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F1B31">
      <w:pPr>
        <w:tabs>
          <w:tab w:val="left" w:pos="426"/>
        </w:tabs>
        <w:spacing w:line="360" w:lineRule="auto"/>
        <w:ind w:left="2961" w:right="112" w:hanging="2600"/>
        <w:jc w:val="center"/>
        <w:rPr>
          <w:rFonts w:ascii="宋体" w:hAnsi="宋体" w:eastAsia="宋体"/>
          <w:b/>
          <w:bCs/>
          <w:color w:val="auto"/>
          <w:sz w:val="48"/>
          <w:szCs w:val="48"/>
        </w:rPr>
      </w:pPr>
    </w:p>
    <w:p w14:paraId="64D2F7F2">
      <w:pPr>
        <w:spacing w:after="240"/>
        <w:ind w:right="112"/>
        <w:jc w:val="center"/>
        <w:rPr>
          <w:rFonts w:ascii="宋体" w:hAnsi="宋体" w:eastAsia="宋体" w:cs="宋体"/>
          <w:b/>
          <w:bCs/>
          <w:color w:val="auto"/>
          <w:sz w:val="72"/>
          <w:szCs w:val="72"/>
        </w:rPr>
      </w:pPr>
      <w:r>
        <w:rPr>
          <w:rFonts w:hint="eastAsia" w:ascii="宋体" w:hAnsi="宋体" w:eastAsia="宋体" w:cs="宋体"/>
          <w:b/>
          <w:bCs/>
          <w:color w:val="auto"/>
          <w:sz w:val="72"/>
          <w:szCs w:val="72"/>
        </w:rPr>
        <w:t>公开招标文件</w:t>
      </w:r>
    </w:p>
    <w:p w14:paraId="0C7EF441">
      <w:pPr>
        <w:spacing w:after="240"/>
        <w:ind w:right="112"/>
        <w:jc w:val="center"/>
        <w:rPr>
          <w:rFonts w:ascii="宋体" w:hAnsi="宋体" w:eastAsia="宋体"/>
          <w:color w:val="auto"/>
          <w:sz w:val="32"/>
          <w:szCs w:val="32"/>
        </w:rPr>
      </w:pPr>
      <w:r>
        <w:rPr>
          <w:rFonts w:hint="eastAsia" w:ascii="宋体" w:hAnsi="宋体" w:eastAsia="宋体"/>
          <w:color w:val="auto"/>
          <w:sz w:val="32"/>
          <w:szCs w:val="32"/>
        </w:rPr>
        <w:t>（政府采购电子交易项目）</w:t>
      </w:r>
    </w:p>
    <w:p w14:paraId="7D6D2652">
      <w:pPr>
        <w:pStyle w:val="19"/>
        <w:rPr>
          <w:rFonts w:ascii="宋体" w:hAnsi="宋体" w:eastAsia="宋体"/>
          <w:color w:val="auto"/>
        </w:rPr>
      </w:pPr>
    </w:p>
    <w:p w14:paraId="5F640748">
      <w:pPr>
        <w:pStyle w:val="19"/>
        <w:rPr>
          <w:rFonts w:ascii="宋体" w:hAnsi="宋体" w:eastAsia="宋体"/>
          <w:color w:val="auto"/>
        </w:rPr>
      </w:pPr>
    </w:p>
    <w:p w14:paraId="1B7839CA">
      <w:pPr>
        <w:pStyle w:val="19"/>
        <w:rPr>
          <w:rFonts w:ascii="宋体" w:hAnsi="宋体" w:eastAsia="宋体"/>
          <w:color w:val="auto"/>
        </w:rPr>
      </w:pPr>
    </w:p>
    <w:p w14:paraId="6E4DABAF">
      <w:pPr>
        <w:pStyle w:val="19"/>
        <w:rPr>
          <w:rFonts w:ascii="宋体" w:hAnsi="宋体" w:eastAsia="宋体"/>
          <w:color w:val="auto"/>
        </w:rPr>
      </w:pPr>
    </w:p>
    <w:p w14:paraId="34C04658">
      <w:pPr>
        <w:pStyle w:val="19"/>
        <w:rPr>
          <w:rFonts w:ascii="宋体" w:hAnsi="宋体" w:eastAsia="宋体"/>
          <w:color w:val="auto"/>
        </w:rPr>
      </w:pPr>
    </w:p>
    <w:p w14:paraId="4F577BDA">
      <w:pPr>
        <w:rPr>
          <w:color w:val="auto"/>
        </w:rPr>
      </w:pPr>
    </w:p>
    <w:p w14:paraId="6A374AE3">
      <w:pPr>
        <w:rPr>
          <w:color w:val="auto"/>
        </w:rPr>
      </w:pPr>
    </w:p>
    <w:p w14:paraId="6640C77F">
      <w:pPr>
        <w:rPr>
          <w:color w:val="auto"/>
        </w:rPr>
      </w:pPr>
    </w:p>
    <w:p w14:paraId="5E323597">
      <w:pPr>
        <w:rPr>
          <w:color w:val="auto"/>
        </w:rPr>
      </w:pPr>
    </w:p>
    <w:p w14:paraId="473ED59F">
      <w:pPr>
        <w:pStyle w:val="19"/>
        <w:rPr>
          <w:rFonts w:ascii="宋体" w:hAnsi="宋体" w:eastAsia="宋体"/>
          <w:color w:val="auto"/>
        </w:rPr>
      </w:pPr>
    </w:p>
    <w:p w14:paraId="50960097">
      <w:pPr>
        <w:spacing w:before="240" w:beforeLines="100" w:after="240" w:afterLines="100" w:line="360" w:lineRule="auto"/>
        <w:ind w:left="2016" w:leftChars="100" w:right="65" w:rightChars="31" w:hanging="1806" w:hangingChars="500"/>
        <w:rPr>
          <w:rFonts w:ascii="宋体" w:hAnsi="宋体" w:eastAsia="宋体"/>
          <w:b/>
          <w:color w:val="auto"/>
          <w:kern w:val="0"/>
          <w:sz w:val="32"/>
          <w:szCs w:val="32"/>
          <w:u w:val="single"/>
        </w:rPr>
      </w:pPr>
      <w:r>
        <w:rPr>
          <w:rFonts w:hint="eastAsia" w:ascii="宋体" w:hAnsi="宋体" w:eastAsia="宋体"/>
          <w:b/>
          <w:color w:val="auto"/>
          <w:spacing w:val="20"/>
          <w:kern w:val="0"/>
          <w:sz w:val="32"/>
          <w:szCs w:val="32"/>
        </w:rPr>
        <w:t>项目名称：</w:t>
      </w:r>
      <w:r>
        <w:rPr>
          <w:rFonts w:hint="eastAsia" w:ascii="宋体" w:hAnsi="宋体" w:eastAsia="宋体"/>
          <w:b/>
          <w:color w:val="auto"/>
          <w:kern w:val="0"/>
          <w:sz w:val="32"/>
          <w:szCs w:val="32"/>
          <w:u w:val="single"/>
        </w:rPr>
        <w:t>邱隘南-环城融合区域前期研究</w:t>
      </w:r>
    </w:p>
    <w:p w14:paraId="25A173CE">
      <w:pPr>
        <w:spacing w:before="240" w:beforeLines="100" w:after="240" w:afterLines="100" w:line="360" w:lineRule="auto"/>
        <w:ind w:left="2016" w:leftChars="100" w:right="112" w:hanging="1806" w:hangingChars="500"/>
        <w:rPr>
          <w:rFonts w:ascii="宋体" w:hAnsi="宋体" w:eastAsia="宋体"/>
          <w:b/>
          <w:color w:val="auto"/>
          <w:spacing w:val="20"/>
          <w:kern w:val="0"/>
          <w:sz w:val="32"/>
          <w:szCs w:val="32"/>
        </w:rPr>
      </w:pPr>
      <w:r>
        <w:rPr>
          <w:rFonts w:hint="eastAsia" w:ascii="宋体" w:hAnsi="宋体" w:eastAsia="宋体"/>
          <w:b/>
          <w:color w:val="auto"/>
          <w:spacing w:val="20"/>
          <w:kern w:val="0"/>
          <w:sz w:val="32"/>
          <w:szCs w:val="32"/>
        </w:rPr>
        <w:t>项目编号：</w:t>
      </w:r>
      <w:r>
        <w:rPr>
          <w:rFonts w:hint="eastAsia" w:ascii="宋体" w:hAnsi="宋体" w:eastAsia="宋体"/>
          <w:b/>
          <w:color w:val="auto"/>
          <w:spacing w:val="20"/>
          <w:kern w:val="0"/>
          <w:sz w:val="32"/>
          <w:szCs w:val="32"/>
          <w:u w:val="single"/>
        </w:rPr>
        <w:t>NBMC-20252145G</w:t>
      </w:r>
    </w:p>
    <w:p w14:paraId="3DE45C3C">
      <w:pPr>
        <w:spacing w:before="240" w:beforeLines="100" w:after="240" w:afterLines="100" w:line="360" w:lineRule="auto"/>
        <w:ind w:left="2016" w:leftChars="100" w:hanging="1806" w:hangingChars="500"/>
        <w:rPr>
          <w:rFonts w:ascii="宋体" w:hAnsi="宋体" w:eastAsia="宋体"/>
          <w:b/>
          <w:color w:val="auto"/>
          <w:kern w:val="0"/>
          <w:sz w:val="32"/>
          <w:szCs w:val="32"/>
          <w:u w:val="single"/>
        </w:rPr>
      </w:pPr>
      <w:r>
        <w:rPr>
          <w:rFonts w:hint="eastAsia" w:ascii="宋体" w:hAnsi="宋体" w:eastAsia="宋体"/>
          <w:b/>
          <w:color w:val="auto"/>
          <w:spacing w:val="20"/>
          <w:kern w:val="0"/>
          <w:sz w:val="32"/>
          <w:szCs w:val="32"/>
        </w:rPr>
        <w:t>采 购 人：</w:t>
      </w:r>
      <w:r>
        <w:rPr>
          <w:rFonts w:hint="eastAsia" w:ascii="宋体" w:hAnsi="宋体" w:eastAsia="宋体"/>
          <w:b/>
          <w:color w:val="auto"/>
          <w:kern w:val="0"/>
          <w:sz w:val="32"/>
          <w:szCs w:val="32"/>
          <w:u w:val="single"/>
        </w:rPr>
        <w:t>宁波市自然资源整治储备中心</w:t>
      </w:r>
    </w:p>
    <w:p w14:paraId="7CB33EB0">
      <w:pPr>
        <w:spacing w:before="240" w:beforeLines="100" w:after="240" w:afterLines="100" w:line="360" w:lineRule="auto"/>
        <w:ind w:left="2016" w:leftChars="100" w:hanging="1806" w:hangingChars="500"/>
        <w:rPr>
          <w:rFonts w:ascii="宋体" w:hAnsi="宋体" w:eastAsia="宋体"/>
          <w:b/>
          <w:color w:val="auto"/>
          <w:spacing w:val="20"/>
          <w:kern w:val="0"/>
          <w:sz w:val="32"/>
          <w:szCs w:val="32"/>
        </w:rPr>
      </w:pPr>
      <w:r>
        <w:rPr>
          <w:rFonts w:hint="eastAsia" w:ascii="宋体" w:hAnsi="宋体" w:eastAsia="宋体"/>
          <w:b/>
          <w:color w:val="auto"/>
          <w:spacing w:val="20"/>
          <w:kern w:val="0"/>
          <w:sz w:val="32"/>
          <w:szCs w:val="32"/>
        </w:rPr>
        <w:t>采购代理机构：</w:t>
      </w:r>
      <w:r>
        <w:rPr>
          <w:rFonts w:hint="eastAsia" w:ascii="宋体" w:hAnsi="宋体" w:eastAsia="宋体"/>
          <w:b/>
          <w:color w:val="auto"/>
          <w:spacing w:val="20"/>
          <w:kern w:val="0"/>
          <w:sz w:val="32"/>
          <w:szCs w:val="32"/>
          <w:u w:val="single"/>
        </w:rPr>
        <w:t>宁波名诚招标代理有限公司</w:t>
      </w:r>
    </w:p>
    <w:p w14:paraId="0378DE6D">
      <w:pPr>
        <w:pStyle w:val="19"/>
        <w:rPr>
          <w:rFonts w:ascii="宋体" w:hAnsi="宋体" w:eastAsia="宋体"/>
          <w:color w:val="auto"/>
        </w:rPr>
      </w:pPr>
    </w:p>
    <w:p w14:paraId="4EF9B212">
      <w:pPr>
        <w:pStyle w:val="8"/>
        <w:spacing w:beforeLines="0" w:afterLines="0" w:line="360" w:lineRule="auto"/>
        <w:ind w:firstLine="480"/>
        <w:rPr>
          <w:rFonts w:hAnsi="宋体" w:eastAsia="宋体"/>
          <w:color w:val="auto"/>
        </w:rPr>
      </w:pPr>
    </w:p>
    <w:p w14:paraId="5C313866">
      <w:pPr>
        <w:pStyle w:val="8"/>
        <w:spacing w:beforeLines="0" w:afterLines="0" w:line="360" w:lineRule="auto"/>
        <w:ind w:firstLine="560"/>
        <w:jc w:val="center"/>
        <w:rPr>
          <w:rFonts w:hAnsi="宋体" w:eastAsia="宋体"/>
          <w:color w:val="auto"/>
          <w:sz w:val="28"/>
          <w:szCs w:val="28"/>
        </w:rPr>
        <w:sectPr>
          <w:headerReference r:id="rId5" w:type="default"/>
          <w:pgSz w:w="11906" w:h="16838"/>
          <w:pgMar w:top="1440" w:right="1558" w:bottom="1440" w:left="1610" w:header="851" w:footer="851" w:gutter="0"/>
          <w:cols w:space="720" w:num="1"/>
          <w:titlePg/>
          <w:docGrid w:linePitch="312" w:charSpace="0"/>
        </w:sectPr>
      </w:pPr>
    </w:p>
    <w:sdt>
      <w:sdtPr>
        <w:rPr>
          <w:rFonts w:ascii="宋体" w:hAnsi="宋体" w:eastAsia="宋体"/>
          <w:b w:val="0"/>
          <w:bCs w:val="0"/>
          <w:color w:val="auto"/>
          <w:kern w:val="2"/>
          <w:sz w:val="21"/>
          <w:szCs w:val="24"/>
          <w:lang w:val="zh-CN"/>
        </w:rPr>
        <w:id w:val="1"/>
        <w:docPartObj>
          <w:docPartGallery w:val="Table of Contents"/>
          <w:docPartUnique/>
        </w:docPartObj>
      </w:sdtPr>
      <w:sdtEndPr>
        <w:rPr>
          <w:rFonts w:ascii="宋体" w:hAnsi="宋体" w:eastAsia="宋体"/>
          <w:b w:val="0"/>
          <w:bCs w:val="0"/>
          <w:color w:val="auto"/>
          <w:kern w:val="2"/>
          <w:sz w:val="21"/>
          <w:szCs w:val="21"/>
          <w:lang w:val="zh-CN"/>
        </w:rPr>
      </w:sdtEndPr>
      <w:sdtContent>
        <w:p w14:paraId="674D956B">
          <w:pPr>
            <w:pStyle w:val="20"/>
            <w:spacing w:before="0" w:after="0"/>
            <w:rPr>
              <w:rFonts w:ascii="宋体" w:hAnsi="宋体" w:eastAsia="宋体"/>
              <w:color w:val="auto"/>
            </w:rPr>
          </w:pPr>
          <w:r>
            <w:rPr>
              <w:rFonts w:ascii="宋体" w:hAnsi="宋体" w:eastAsia="宋体"/>
              <w:color w:val="auto"/>
              <w:lang w:val="zh-CN"/>
            </w:rPr>
            <w:t>目录</w:t>
          </w:r>
        </w:p>
        <w:p w14:paraId="266A0715">
          <w:pPr>
            <w:pStyle w:val="12"/>
            <w:spacing w:after="0"/>
            <w:rPr>
              <w:rFonts w:ascii="宋体" w:hAnsi="宋体" w:eastAsia="宋体"/>
              <w:color w:val="auto"/>
              <w:szCs w:val="22"/>
            </w:rPr>
          </w:pPr>
          <w:r>
            <w:rPr>
              <w:rFonts w:ascii="宋体" w:hAnsi="宋体" w:eastAsia="宋体"/>
              <w:color w:val="auto"/>
              <w:sz w:val="24"/>
            </w:rPr>
            <w:fldChar w:fldCharType="begin"/>
          </w:r>
          <w:r>
            <w:rPr>
              <w:rFonts w:ascii="宋体" w:hAnsi="宋体" w:eastAsia="宋体"/>
              <w:color w:val="auto"/>
              <w:sz w:val="24"/>
            </w:rPr>
            <w:instrText xml:space="preserve"> TOC \o "1-3" \h \z \u </w:instrText>
          </w:r>
          <w:r>
            <w:rPr>
              <w:rFonts w:ascii="宋体" w:hAnsi="宋体" w:eastAsia="宋体"/>
              <w:color w:val="auto"/>
              <w:sz w:val="24"/>
            </w:rPr>
            <w:fldChar w:fldCharType="separate"/>
          </w:r>
          <w:r>
            <w:rPr>
              <w:color w:val="auto"/>
            </w:rPr>
            <w:fldChar w:fldCharType="begin"/>
          </w:r>
          <w:r>
            <w:rPr>
              <w:color w:val="auto"/>
            </w:rPr>
            <w:instrText xml:space="preserve"> HYPERLINK \l "_Toc118452524" </w:instrText>
          </w:r>
          <w:r>
            <w:rPr>
              <w:color w:val="auto"/>
            </w:rPr>
            <w:fldChar w:fldCharType="separate"/>
          </w:r>
          <w:r>
            <w:rPr>
              <w:rStyle w:val="18"/>
              <w:rFonts w:ascii="宋体" w:hAnsi="宋体" w:eastAsia="宋体"/>
              <w:color w:val="auto"/>
            </w:rPr>
            <w:t>第一章</w:t>
          </w:r>
          <w:r>
            <w:rPr>
              <w:rStyle w:val="18"/>
              <w:rFonts w:hint="eastAsia" w:ascii="宋体" w:hAnsi="宋体" w:eastAsia="宋体"/>
              <w:color w:val="auto"/>
            </w:rPr>
            <w:t xml:space="preserve"> </w:t>
          </w:r>
          <w:r>
            <w:rPr>
              <w:rStyle w:val="18"/>
              <w:rFonts w:ascii="宋体" w:hAnsi="宋体" w:eastAsia="宋体"/>
              <w:color w:val="auto"/>
            </w:rPr>
            <w:t xml:space="preserve"> 招标公告（投标邀请）</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_Toc118452524 \h </w:instrText>
          </w:r>
          <w:r>
            <w:rPr>
              <w:rFonts w:ascii="宋体" w:hAnsi="宋体" w:eastAsia="宋体"/>
              <w:color w:val="auto"/>
            </w:rPr>
            <w:fldChar w:fldCharType="separate"/>
          </w:r>
          <w:r>
            <w:rPr>
              <w:rFonts w:ascii="宋体" w:hAnsi="宋体" w:eastAsia="宋体"/>
              <w:color w:val="auto"/>
            </w:rPr>
            <w:t>1</w:t>
          </w:r>
          <w:r>
            <w:rPr>
              <w:rFonts w:ascii="宋体" w:hAnsi="宋体" w:eastAsia="宋体"/>
              <w:color w:val="auto"/>
            </w:rPr>
            <w:fldChar w:fldCharType="end"/>
          </w:r>
          <w:r>
            <w:rPr>
              <w:rFonts w:ascii="宋体" w:hAnsi="宋体" w:eastAsia="宋体"/>
              <w:color w:val="auto"/>
            </w:rPr>
            <w:fldChar w:fldCharType="end"/>
          </w:r>
        </w:p>
        <w:p w14:paraId="4C9E88F8">
          <w:pPr>
            <w:pStyle w:val="12"/>
            <w:spacing w:after="0"/>
            <w:rPr>
              <w:rFonts w:ascii="宋体" w:hAnsi="宋体" w:eastAsia="宋体"/>
              <w:color w:val="auto"/>
              <w:szCs w:val="22"/>
            </w:rPr>
          </w:pPr>
          <w:r>
            <w:rPr>
              <w:color w:val="auto"/>
            </w:rPr>
            <w:fldChar w:fldCharType="begin"/>
          </w:r>
          <w:r>
            <w:rPr>
              <w:color w:val="auto"/>
            </w:rPr>
            <w:instrText xml:space="preserve"> HYPERLINK \l "_Toc118452525" </w:instrText>
          </w:r>
          <w:r>
            <w:rPr>
              <w:color w:val="auto"/>
            </w:rPr>
            <w:fldChar w:fldCharType="separate"/>
          </w:r>
          <w:r>
            <w:rPr>
              <w:rStyle w:val="18"/>
              <w:rFonts w:ascii="宋体" w:hAnsi="宋体" w:eastAsia="宋体"/>
              <w:color w:val="auto"/>
            </w:rPr>
            <w:t>第二章</w:t>
          </w:r>
          <w:r>
            <w:rPr>
              <w:rStyle w:val="18"/>
              <w:rFonts w:hint="eastAsia" w:ascii="宋体" w:hAnsi="宋体" w:eastAsia="宋体"/>
              <w:color w:val="auto"/>
            </w:rPr>
            <w:t xml:space="preserve"> </w:t>
          </w:r>
          <w:r>
            <w:rPr>
              <w:rStyle w:val="18"/>
              <w:rFonts w:ascii="宋体" w:hAnsi="宋体" w:eastAsia="宋体"/>
              <w:color w:val="auto"/>
            </w:rPr>
            <w:t xml:space="preserve"> 采购需求</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_Toc118452525 \h </w:instrText>
          </w:r>
          <w:r>
            <w:rPr>
              <w:rFonts w:ascii="宋体" w:hAnsi="宋体" w:eastAsia="宋体"/>
              <w:color w:val="auto"/>
            </w:rPr>
            <w:fldChar w:fldCharType="separate"/>
          </w:r>
          <w:r>
            <w:rPr>
              <w:rFonts w:ascii="宋体" w:hAnsi="宋体" w:eastAsia="宋体"/>
              <w:color w:val="auto"/>
            </w:rPr>
            <w:t>4</w:t>
          </w:r>
          <w:r>
            <w:rPr>
              <w:rFonts w:ascii="宋体" w:hAnsi="宋体" w:eastAsia="宋体"/>
              <w:color w:val="auto"/>
            </w:rPr>
            <w:fldChar w:fldCharType="end"/>
          </w:r>
          <w:r>
            <w:rPr>
              <w:rFonts w:ascii="宋体" w:hAnsi="宋体" w:eastAsia="宋体"/>
              <w:color w:val="auto"/>
            </w:rPr>
            <w:fldChar w:fldCharType="end"/>
          </w:r>
        </w:p>
        <w:p w14:paraId="78F971D9">
          <w:pPr>
            <w:pStyle w:val="12"/>
            <w:spacing w:after="0"/>
            <w:rPr>
              <w:rFonts w:ascii="宋体" w:hAnsi="宋体" w:eastAsia="宋体"/>
              <w:color w:val="auto"/>
              <w:szCs w:val="22"/>
            </w:rPr>
          </w:pPr>
          <w:r>
            <w:rPr>
              <w:color w:val="auto"/>
            </w:rPr>
            <w:fldChar w:fldCharType="begin"/>
          </w:r>
          <w:r>
            <w:rPr>
              <w:color w:val="auto"/>
            </w:rPr>
            <w:instrText xml:space="preserve"> HYPERLINK \l "_Toc118452526" </w:instrText>
          </w:r>
          <w:r>
            <w:rPr>
              <w:color w:val="auto"/>
            </w:rPr>
            <w:fldChar w:fldCharType="separate"/>
          </w:r>
          <w:r>
            <w:rPr>
              <w:rStyle w:val="18"/>
              <w:rFonts w:ascii="宋体" w:hAnsi="宋体" w:eastAsia="宋体"/>
              <w:color w:val="auto"/>
            </w:rPr>
            <w:t>第三章</w:t>
          </w:r>
          <w:r>
            <w:rPr>
              <w:rStyle w:val="18"/>
              <w:rFonts w:hint="eastAsia" w:ascii="宋体" w:hAnsi="宋体" w:eastAsia="宋体"/>
              <w:color w:val="auto"/>
            </w:rPr>
            <w:t xml:space="preserve"> </w:t>
          </w:r>
          <w:r>
            <w:rPr>
              <w:rStyle w:val="18"/>
              <w:rFonts w:ascii="宋体" w:hAnsi="宋体" w:eastAsia="宋体"/>
              <w:color w:val="auto"/>
            </w:rPr>
            <w:t xml:space="preserve"> 投标人须知</w:t>
          </w:r>
          <w:r>
            <w:rPr>
              <w:rFonts w:ascii="宋体" w:hAnsi="宋体" w:eastAsia="宋体"/>
              <w:color w:val="auto"/>
            </w:rPr>
            <w:tab/>
          </w:r>
          <w:r>
            <w:rPr>
              <w:rFonts w:hint="eastAsia" w:ascii="宋体" w:hAnsi="宋体" w:eastAsia="宋体"/>
              <w:color w:val="auto"/>
            </w:rPr>
            <w:t>8</w:t>
          </w:r>
          <w:r>
            <w:rPr>
              <w:rFonts w:hint="eastAsia" w:ascii="宋体" w:hAnsi="宋体" w:eastAsia="宋体"/>
              <w:color w:val="auto"/>
            </w:rPr>
            <w:fldChar w:fldCharType="end"/>
          </w:r>
        </w:p>
        <w:p w14:paraId="14919748">
          <w:pPr>
            <w:pStyle w:val="13"/>
            <w:tabs>
              <w:tab w:val="right" w:leader="dot" w:pos="8846"/>
            </w:tabs>
            <w:spacing w:after="0" w:line="360" w:lineRule="auto"/>
            <w:rPr>
              <w:rFonts w:ascii="宋体" w:hAnsi="宋体" w:eastAsia="宋体"/>
              <w:color w:val="auto"/>
              <w:szCs w:val="22"/>
            </w:rPr>
          </w:pPr>
          <w:r>
            <w:rPr>
              <w:color w:val="auto"/>
            </w:rPr>
            <w:fldChar w:fldCharType="begin"/>
          </w:r>
          <w:r>
            <w:rPr>
              <w:color w:val="auto"/>
            </w:rPr>
            <w:instrText xml:space="preserve"> HYPERLINK \l "_Toc118452527" </w:instrText>
          </w:r>
          <w:r>
            <w:rPr>
              <w:color w:val="auto"/>
            </w:rPr>
            <w:fldChar w:fldCharType="separate"/>
          </w:r>
          <w:r>
            <w:rPr>
              <w:rStyle w:val="18"/>
              <w:rFonts w:ascii="宋体" w:hAnsi="宋体" w:eastAsia="宋体"/>
              <w:color w:val="auto"/>
            </w:rPr>
            <w:t>一、总则</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_Toc118452527 \h </w:instrText>
          </w:r>
          <w:r>
            <w:rPr>
              <w:rFonts w:ascii="宋体" w:hAnsi="宋体" w:eastAsia="宋体"/>
              <w:color w:val="auto"/>
            </w:rPr>
            <w:fldChar w:fldCharType="separate"/>
          </w:r>
          <w:r>
            <w:rPr>
              <w:rFonts w:ascii="宋体" w:hAnsi="宋体" w:eastAsia="宋体"/>
              <w:color w:val="auto"/>
            </w:rPr>
            <w:t>8</w:t>
          </w:r>
          <w:r>
            <w:rPr>
              <w:rFonts w:ascii="宋体" w:hAnsi="宋体" w:eastAsia="宋体"/>
              <w:color w:val="auto"/>
            </w:rPr>
            <w:fldChar w:fldCharType="end"/>
          </w:r>
          <w:r>
            <w:rPr>
              <w:rFonts w:ascii="宋体" w:hAnsi="宋体" w:eastAsia="宋体"/>
              <w:color w:val="auto"/>
            </w:rPr>
            <w:fldChar w:fldCharType="end"/>
          </w:r>
        </w:p>
        <w:p w14:paraId="30656BF7">
          <w:pPr>
            <w:pStyle w:val="13"/>
            <w:tabs>
              <w:tab w:val="right" w:leader="dot" w:pos="8846"/>
            </w:tabs>
            <w:spacing w:after="0" w:line="360" w:lineRule="auto"/>
            <w:rPr>
              <w:rFonts w:ascii="宋体" w:hAnsi="宋体" w:eastAsia="宋体"/>
              <w:color w:val="auto"/>
              <w:szCs w:val="22"/>
            </w:rPr>
          </w:pPr>
          <w:r>
            <w:rPr>
              <w:color w:val="auto"/>
            </w:rPr>
            <w:fldChar w:fldCharType="begin"/>
          </w:r>
          <w:r>
            <w:rPr>
              <w:color w:val="auto"/>
            </w:rPr>
            <w:instrText xml:space="preserve"> HYPERLINK \l "_Toc118452528" </w:instrText>
          </w:r>
          <w:r>
            <w:rPr>
              <w:color w:val="auto"/>
            </w:rPr>
            <w:fldChar w:fldCharType="separate"/>
          </w:r>
          <w:r>
            <w:rPr>
              <w:rStyle w:val="18"/>
              <w:rFonts w:ascii="宋体" w:hAnsi="宋体" w:eastAsia="宋体"/>
              <w:color w:val="auto"/>
            </w:rPr>
            <w:t>二、招标文件</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_Toc118452528 \h </w:instrText>
          </w:r>
          <w:r>
            <w:rPr>
              <w:rFonts w:ascii="宋体" w:hAnsi="宋体" w:eastAsia="宋体"/>
              <w:color w:val="auto"/>
            </w:rPr>
            <w:fldChar w:fldCharType="separate"/>
          </w:r>
          <w:r>
            <w:rPr>
              <w:rFonts w:ascii="宋体" w:hAnsi="宋体" w:eastAsia="宋体"/>
              <w:color w:val="auto"/>
            </w:rPr>
            <w:t>10</w:t>
          </w:r>
          <w:r>
            <w:rPr>
              <w:rFonts w:ascii="宋体" w:hAnsi="宋体" w:eastAsia="宋体"/>
              <w:color w:val="auto"/>
            </w:rPr>
            <w:fldChar w:fldCharType="end"/>
          </w:r>
          <w:r>
            <w:rPr>
              <w:rFonts w:ascii="宋体" w:hAnsi="宋体" w:eastAsia="宋体"/>
              <w:color w:val="auto"/>
            </w:rPr>
            <w:fldChar w:fldCharType="end"/>
          </w:r>
        </w:p>
        <w:p w14:paraId="3DEBAF28">
          <w:pPr>
            <w:pStyle w:val="13"/>
            <w:tabs>
              <w:tab w:val="right" w:leader="dot" w:pos="8846"/>
            </w:tabs>
            <w:spacing w:after="0" w:line="360" w:lineRule="auto"/>
            <w:rPr>
              <w:rFonts w:ascii="宋体" w:hAnsi="宋体" w:eastAsia="宋体"/>
              <w:color w:val="auto"/>
              <w:szCs w:val="22"/>
            </w:rPr>
          </w:pPr>
          <w:r>
            <w:rPr>
              <w:color w:val="auto"/>
            </w:rPr>
            <w:fldChar w:fldCharType="begin"/>
          </w:r>
          <w:r>
            <w:rPr>
              <w:color w:val="auto"/>
            </w:rPr>
            <w:instrText xml:space="preserve"> HYPERLINK \l "_Toc118452529" </w:instrText>
          </w:r>
          <w:r>
            <w:rPr>
              <w:color w:val="auto"/>
            </w:rPr>
            <w:fldChar w:fldCharType="separate"/>
          </w:r>
          <w:r>
            <w:rPr>
              <w:rStyle w:val="18"/>
              <w:rFonts w:ascii="宋体" w:hAnsi="宋体" w:eastAsia="宋体"/>
              <w:color w:val="auto"/>
            </w:rPr>
            <w:t>三、投标文件的编制</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_Toc118452529 \h </w:instrText>
          </w:r>
          <w:r>
            <w:rPr>
              <w:rFonts w:ascii="宋体" w:hAnsi="宋体" w:eastAsia="宋体"/>
              <w:color w:val="auto"/>
            </w:rPr>
            <w:fldChar w:fldCharType="separate"/>
          </w:r>
          <w:r>
            <w:rPr>
              <w:rFonts w:ascii="宋体" w:hAnsi="宋体" w:eastAsia="宋体"/>
              <w:color w:val="auto"/>
            </w:rPr>
            <w:t>11</w:t>
          </w:r>
          <w:r>
            <w:rPr>
              <w:rFonts w:ascii="宋体" w:hAnsi="宋体" w:eastAsia="宋体"/>
              <w:color w:val="auto"/>
            </w:rPr>
            <w:fldChar w:fldCharType="end"/>
          </w:r>
          <w:r>
            <w:rPr>
              <w:rFonts w:ascii="宋体" w:hAnsi="宋体" w:eastAsia="宋体"/>
              <w:color w:val="auto"/>
            </w:rPr>
            <w:fldChar w:fldCharType="end"/>
          </w:r>
        </w:p>
        <w:p w14:paraId="15AB75DD">
          <w:pPr>
            <w:pStyle w:val="13"/>
            <w:tabs>
              <w:tab w:val="right" w:leader="dot" w:pos="8846"/>
            </w:tabs>
            <w:spacing w:after="0" w:line="360" w:lineRule="auto"/>
            <w:rPr>
              <w:rFonts w:ascii="宋体" w:hAnsi="宋体" w:eastAsia="宋体"/>
              <w:color w:val="auto"/>
              <w:szCs w:val="22"/>
            </w:rPr>
          </w:pPr>
          <w:r>
            <w:rPr>
              <w:color w:val="auto"/>
            </w:rPr>
            <w:fldChar w:fldCharType="begin"/>
          </w:r>
          <w:r>
            <w:rPr>
              <w:color w:val="auto"/>
            </w:rPr>
            <w:instrText xml:space="preserve"> HYPERLINK \l "_Toc118452530" </w:instrText>
          </w:r>
          <w:r>
            <w:rPr>
              <w:color w:val="auto"/>
            </w:rPr>
            <w:fldChar w:fldCharType="separate"/>
          </w:r>
          <w:r>
            <w:rPr>
              <w:rStyle w:val="18"/>
              <w:rFonts w:ascii="宋体" w:hAnsi="宋体" w:eastAsia="宋体"/>
              <w:color w:val="auto"/>
            </w:rPr>
            <w:t>四、投标文件的提交</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_Toc118452530 \h </w:instrText>
          </w:r>
          <w:r>
            <w:rPr>
              <w:rFonts w:ascii="宋体" w:hAnsi="宋体" w:eastAsia="宋体"/>
              <w:color w:val="auto"/>
            </w:rPr>
            <w:fldChar w:fldCharType="separate"/>
          </w:r>
          <w:r>
            <w:rPr>
              <w:rFonts w:ascii="宋体" w:hAnsi="宋体" w:eastAsia="宋体"/>
              <w:color w:val="auto"/>
            </w:rPr>
            <w:t>13</w:t>
          </w:r>
          <w:r>
            <w:rPr>
              <w:rFonts w:ascii="宋体" w:hAnsi="宋体" w:eastAsia="宋体"/>
              <w:color w:val="auto"/>
            </w:rPr>
            <w:fldChar w:fldCharType="end"/>
          </w:r>
          <w:r>
            <w:rPr>
              <w:rFonts w:ascii="宋体" w:hAnsi="宋体" w:eastAsia="宋体"/>
              <w:color w:val="auto"/>
            </w:rPr>
            <w:fldChar w:fldCharType="end"/>
          </w:r>
        </w:p>
        <w:p w14:paraId="6DD55B13">
          <w:pPr>
            <w:pStyle w:val="13"/>
            <w:tabs>
              <w:tab w:val="right" w:leader="dot" w:pos="8846"/>
            </w:tabs>
            <w:spacing w:after="0" w:line="360" w:lineRule="auto"/>
            <w:rPr>
              <w:rFonts w:ascii="宋体" w:hAnsi="宋体" w:eastAsia="宋体"/>
              <w:color w:val="auto"/>
              <w:szCs w:val="22"/>
            </w:rPr>
          </w:pPr>
          <w:r>
            <w:rPr>
              <w:color w:val="auto"/>
            </w:rPr>
            <w:fldChar w:fldCharType="begin"/>
          </w:r>
          <w:r>
            <w:rPr>
              <w:color w:val="auto"/>
            </w:rPr>
            <w:instrText xml:space="preserve"> HYPERLINK \l "_Toc118452531" </w:instrText>
          </w:r>
          <w:r>
            <w:rPr>
              <w:color w:val="auto"/>
            </w:rPr>
            <w:fldChar w:fldCharType="separate"/>
          </w:r>
          <w:r>
            <w:rPr>
              <w:rStyle w:val="18"/>
              <w:rFonts w:ascii="宋体" w:hAnsi="宋体" w:eastAsia="宋体"/>
              <w:color w:val="auto"/>
            </w:rPr>
            <w:t>五、开标与评标</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_Toc118452531 \h </w:instrText>
          </w:r>
          <w:r>
            <w:rPr>
              <w:rFonts w:ascii="宋体" w:hAnsi="宋体" w:eastAsia="宋体"/>
              <w:color w:val="auto"/>
            </w:rPr>
            <w:fldChar w:fldCharType="separate"/>
          </w:r>
          <w:r>
            <w:rPr>
              <w:rFonts w:ascii="宋体" w:hAnsi="宋体" w:eastAsia="宋体"/>
              <w:color w:val="auto"/>
            </w:rPr>
            <w:t>13</w:t>
          </w:r>
          <w:r>
            <w:rPr>
              <w:rFonts w:ascii="宋体" w:hAnsi="宋体" w:eastAsia="宋体"/>
              <w:color w:val="auto"/>
            </w:rPr>
            <w:fldChar w:fldCharType="end"/>
          </w:r>
          <w:r>
            <w:rPr>
              <w:rFonts w:ascii="宋体" w:hAnsi="宋体" w:eastAsia="宋体"/>
              <w:color w:val="auto"/>
            </w:rPr>
            <w:fldChar w:fldCharType="end"/>
          </w:r>
        </w:p>
        <w:p w14:paraId="2D13E628">
          <w:pPr>
            <w:pStyle w:val="13"/>
            <w:tabs>
              <w:tab w:val="right" w:leader="dot" w:pos="8846"/>
            </w:tabs>
            <w:spacing w:after="0" w:line="360" w:lineRule="auto"/>
            <w:rPr>
              <w:rFonts w:ascii="宋体" w:hAnsi="宋体" w:eastAsia="宋体"/>
              <w:color w:val="auto"/>
              <w:szCs w:val="22"/>
            </w:rPr>
          </w:pPr>
          <w:r>
            <w:rPr>
              <w:color w:val="auto"/>
            </w:rPr>
            <w:fldChar w:fldCharType="begin"/>
          </w:r>
          <w:r>
            <w:rPr>
              <w:color w:val="auto"/>
            </w:rPr>
            <w:instrText xml:space="preserve"> HYPERLINK \l "_Toc118452532" </w:instrText>
          </w:r>
          <w:r>
            <w:rPr>
              <w:color w:val="auto"/>
            </w:rPr>
            <w:fldChar w:fldCharType="separate"/>
          </w:r>
          <w:r>
            <w:rPr>
              <w:rStyle w:val="18"/>
              <w:rFonts w:ascii="宋体" w:hAnsi="宋体" w:eastAsia="宋体"/>
              <w:color w:val="auto"/>
            </w:rPr>
            <w:t>六、授予合同</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_Toc118452532 \h </w:instrText>
          </w:r>
          <w:r>
            <w:rPr>
              <w:rFonts w:ascii="宋体" w:hAnsi="宋体" w:eastAsia="宋体"/>
              <w:color w:val="auto"/>
            </w:rPr>
            <w:fldChar w:fldCharType="separate"/>
          </w:r>
          <w:r>
            <w:rPr>
              <w:rFonts w:ascii="宋体" w:hAnsi="宋体" w:eastAsia="宋体"/>
              <w:color w:val="auto"/>
            </w:rPr>
            <w:t>17</w:t>
          </w:r>
          <w:r>
            <w:rPr>
              <w:rFonts w:ascii="宋体" w:hAnsi="宋体" w:eastAsia="宋体"/>
              <w:color w:val="auto"/>
            </w:rPr>
            <w:fldChar w:fldCharType="end"/>
          </w:r>
          <w:r>
            <w:rPr>
              <w:rFonts w:ascii="宋体" w:hAnsi="宋体" w:eastAsia="宋体"/>
              <w:color w:val="auto"/>
            </w:rPr>
            <w:fldChar w:fldCharType="end"/>
          </w:r>
        </w:p>
        <w:p w14:paraId="6F7168EA">
          <w:pPr>
            <w:pStyle w:val="12"/>
            <w:spacing w:after="0"/>
            <w:rPr>
              <w:rFonts w:ascii="宋体" w:hAnsi="宋体" w:eastAsia="宋体"/>
              <w:color w:val="auto"/>
              <w:szCs w:val="22"/>
            </w:rPr>
          </w:pPr>
          <w:r>
            <w:rPr>
              <w:color w:val="auto"/>
            </w:rPr>
            <w:fldChar w:fldCharType="begin"/>
          </w:r>
          <w:r>
            <w:rPr>
              <w:color w:val="auto"/>
            </w:rPr>
            <w:instrText xml:space="preserve"> HYPERLINK \l "_Toc118452533" </w:instrText>
          </w:r>
          <w:r>
            <w:rPr>
              <w:color w:val="auto"/>
            </w:rPr>
            <w:fldChar w:fldCharType="separate"/>
          </w:r>
          <w:r>
            <w:rPr>
              <w:rStyle w:val="18"/>
              <w:rFonts w:ascii="宋体" w:hAnsi="宋体" w:eastAsia="宋体"/>
              <w:color w:val="auto"/>
            </w:rPr>
            <w:t>第四章</w:t>
          </w:r>
          <w:r>
            <w:rPr>
              <w:rStyle w:val="18"/>
              <w:rFonts w:hint="eastAsia" w:ascii="宋体" w:hAnsi="宋体" w:eastAsia="宋体"/>
              <w:color w:val="auto"/>
            </w:rPr>
            <w:t xml:space="preserve"> </w:t>
          </w:r>
          <w:r>
            <w:rPr>
              <w:rStyle w:val="18"/>
              <w:rFonts w:ascii="宋体" w:hAnsi="宋体" w:eastAsia="宋体"/>
              <w:color w:val="auto"/>
            </w:rPr>
            <w:t xml:space="preserve"> 评标方法和标准</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_Toc118452533 \h </w:instrText>
          </w:r>
          <w:r>
            <w:rPr>
              <w:rFonts w:ascii="宋体" w:hAnsi="宋体" w:eastAsia="宋体"/>
              <w:color w:val="auto"/>
            </w:rPr>
            <w:fldChar w:fldCharType="separate"/>
          </w:r>
          <w:r>
            <w:rPr>
              <w:rFonts w:ascii="宋体" w:hAnsi="宋体" w:eastAsia="宋体"/>
              <w:color w:val="auto"/>
            </w:rPr>
            <w:t>18</w:t>
          </w:r>
          <w:r>
            <w:rPr>
              <w:rFonts w:ascii="宋体" w:hAnsi="宋体" w:eastAsia="宋体"/>
              <w:color w:val="auto"/>
            </w:rPr>
            <w:fldChar w:fldCharType="end"/>
          </w:r>
          <w:r>
            <w:rPr>
              <w:rFonts w:ascii="宋体" w:hAnsi="宋体" w:eastAsia="宋体"/>
              <w:color w:val="auto"/>
            </w:rPr>
            <w:fldChar w:fldCharType="end"/>
          </w:r>
        </w:p>
        <w:p w14:paraId="6CD2D7C9">
          <w:pPr>
            <w:pStyle w:val="13"/>
            <w:tabs>
              <w:tab w:val="right" w:leader="dot" w:pos="8846"/>
            </w:tabs>
            <w:spacing w:after="0" w:line="360" w:lineRule="auto"/>
            <w:rPr>
              <w:rFonts w:ascii="宋体" w:hAnsi="宋体" w:eastAsia="宋体"/>
              <w:color w:val="auto"/>
              <w:szCs w:val="22"/>
            </w:rPr>
          </w:pPr>
          <w:r>
            <w:rPr>
              <w:color w:val="auto"/>
            </w:rPr>
            <w:fldChar w:fldCharType="begin"/>
          </w:r>
          <w:r>
            <w:rPr>
              <w:color w:val="auto"/>
            </w:rPr>
            <w:instrText xml:space="preserve"> HYPERLINK \l "_Toc118452534" </w:instrText>
          </w:r>
          <w:r>
            <w:rPr>
              <w:color w:val="auto"/>
            </w:rPr>
            <w:fldChar w:fldCharType="separate"/>
          </w:r>
          <w:r>
            <w:rPr>
              <w:rStyle w:val="18"/>
              <w:rFonts w:ascii="宋体" w:hAnsi="宋体" w:eastAsia="宋体"/>
              <w:color w:val="auto"/>
            </w:rPr>
            <w:t>一、总则</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_Toc118452534 \h </w:instrText>
          </w:r>
          <w:r>
            <w:rPr>
              <w:rFonts w:ascii="宋体" w:hAnsi="宋体" w:eastAsia="宋体"/>
              <w:color w:val="auto"/>
            </w:rPr>
            <w:fldChar w:fldCharType="separate"/>
          </w:r>
          <w:r>
            <w:rPr>
              <w:rFonts w:ascii="宋体" w:hAnsi="宋体" w:eastAsia="宋体"/>
              <w:color w:val="auto"/>
            </w:rPr>
            <w:t>18</w:t>
          </w:r>
          <w:r>
            <w:rPr>
              <w:rFonts w:ascii="宋体" w:hAnsi="宋体" w:eastAsia="宋体"/>
              <w:color w:val="auto"/>
            </w:rPr>
            <w:fldChar w:fldCharType="end"/>
          </w:r>
          <w:r>
            <w:rPr>
              <w:rFonts w:ascii="宋体" w:hAnsi="宋体" w:eastAsia="宋体"/>
              <w:color w:val="auto"/>
            </w:rPr>
            <w:fldChar w:fldCharType="end"/>
          </w:r>
        </w:p>
        <w:p w14:paraId="6FAD20BE">
          <w:pPr>
            <w:pStyle w:val="13"/>
            <w:tabs>
              <w:tab w:val="right" w:leader="dot" w:pos="8846"/>
            </w:tabs>
            <w:spacing w:after="0" w:line="360" w:lineRule="auto"/>
            <w:rPr>
              <w:rFonts w:ascii="宋体" w:hAnsi="宋体" w:eastAsia="宋体"/>
              <w:color w:val="auto"/>
              <w:szCs w:val="22"/>
            </w:rPr>
          </w:pPr>
          <w:r>
            <w:rPr>
              <w:color w:val="auto"/>
            </w:rPr>
            <w:fldChar w:fldCharType="begin"/>
          </w:r>
          <w:r>
            <w:rPr>
              <w:color w:val="auto"/>
            </w:rPr>
            <w:instrText xml:space="preserve"> HYPERLINK \l "_Toc118452535" </w:instrText>
          </w:r>
          <w:r>
            <w:rPr>
              <w:color w:val="auto"/>
            </w:rPr>
            <w:fldChar w:fldCharType="separate"/>
          </w:r>
          <w:r>
            <w:rPr>
              <w:rStyle w:val="18"/>
              <w:rFonts w:ascii="宋体" w:hAnsi="宋体" w:eastAsia="宋体"/>
              <w:color w:val="auto"/>
            </w:rPr>
            <w:t>二、评标方法</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_Toc118452535 \h </w:instrText>
          </w:r>
          <w:r>
            <w:rPr>
              <w:rFonts w:ascii="宋体" w:hAnsi="宋体" w:eastAsia="宋体"/>
              <w:color w:val="auto"/>
            </w:rPr>
            <w:fldChar w:fldCharType="separate"/>
          </w:r>
          <w:r>
            <w:rPr>
              <w:rFonts w:ascii="宋体" w:hAnsi="宋体" w:eastAsia="宋体"/>
              <w:color w:val="auto"/>
            </w:rPr>
            <w:t>18</w:t>
          </w:r>
          <w:r>
            <w:rPr>
              <w:rFonts w:ascii="宋体" w:hAnsi="宋体" w:eastAsia="宋体"/>
              <w:color w:val="auto"/>
            </w:rPr>
            <w:fldChar w:fldCharType="end"/>
          </w:r>
          <w:r>
            <w:rPr>
              <w:rFonts w:ascii="宋体" w:hAnsi="宋体" w:eastAsia="宋体"/>
              <w:color w:val="auto"/>
            </w:rPr>
            <w:fldChar w:fldCharType="end"/>
          </w:r>
        </w:p>
        <w:p w14:paraId="5FCE1A6C">
          <w:pPr>
            <w:pStyle w:val="13"/>
            <w:tabs>
              <w:tab w:val="right" w:leader="dot" w:pos="8846"/>
            </w:tabs>
            <w:spacing w:after="0" w:line="360" w:lineRule="auto"/>
            <w:rPr>
              <w:rFonts w:ascii="宋体" w:hAnsi="宋体" w:eastAsia="宋体"/>
              <w:color w:val="auto"/>
              <w:szCs w:val="22"/>
            </w:rPr>
          </w:pPr>
          <w:r>
            <w:rPr>
              <w:color w:val="auto"/>
            </w:rPr>
            <w:fldChar w:fldCharType="begin"/>
          </w:r>
          <w:r>
            <w:rPr>
              <w:color w:val="auto"/>
            </w:rPr>
            <w:instrText xml:space="preserve"> HYPERLINK \l "_Toc118452536" </w:instrText>
          </w:r>
          <w:r>
            <w:rPr>
              <w:color w:val="auto"/>
            </w:rPr>
            <w:fldChar w:fldCharType="separate"/>
          </w:r>
          <w:r>
            <w:rPr>
              <w:rStyle w:val="18"/>
              <w:rFonts w:ascii="宋体" w:hAnsi="宋体" w:eastAsia="宋体"/>
              <w:color w:val="auto"/>
            </w:rPr>
            <w:t>三、评审程序</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_Toc118452536 \h </w:instrText>
          </w:r>
          <w:r>
            <w:rPr>
              <w:rFonts w:ascii="宋体" w:hAnsi="宋体" w:eastAsia="宋体"/>
              <w:color w:val="auto"/>
            </w:rPr>
            <w:fldChar w:fldCharType="separate"/>
          </w:r>
          <w:r>
            <w:rPr>
              <w:rFonts w:ascii="宋体" w:hAnsi="宋体" w:eastAsia="宋体"/>
              <w:color w:val="auto"/>
            </w:rPr>
            <w:t>18</w:t>
          </w:r>
          <w:r>
            <w:rPr>
              <w:rFonts w:ascii="宋体" w:hAnsi="宋体" w:eastAsia="宋体"/>
              <w:color w:val="auto"/>
            </w:rPr>
            <w:fldChar w:fldCharType="end"/>
          </w:r>
          <w:r>
            <w:rPr>
              <w:rFonts w:ascii="宋体" w:hAnsi="宋体" w:eastAsia="宋体"/>
              <w:color w:val="auto"/>
            </w:rPr>
            <w:fldChar w:fldCharType="end"/>
          </w:r>
        </w:p>
        <w:p w14:paraId="00D895C1">
          <w:pPr>
            <w:pStyle w:val="12"/>
            <w:spacing w:after="0"/>
            <w:rPr>
              <w:rFonts w:ascii="宋体" w:hAnsi="宋体" w:eastAsia="宋体"/>
              <w:color w:val="auto"/>
              <w:szCs w:val="22"/>
            </w:rPr>
          </w:pPr>
          <w:r>
            <w:rPr>
              <w:color w:val="auto"/>
            </w:rPr>
            <w:fldChar w:fldCharType="begin"/>
          </w:r>
          <w:r>
            <w:rPr>
              <w:color w:val="auto"/>
            </w:rPr>
            <w:instrText xml:space="preserve"> HYPERLINK \l "_Toc118452537" </w:instrText>
          </w:r>
          <w:r>
            <w:rPr>
              <w:color w:val="auto"/>
            </w:rPr>
            <w:fldChar w:fldCharType="separate"/>
          </w:r>
          <w:r>
            <w:rPr>
              <w:rStyle w:val="18"/>
              <w:rFonts w:ascii="宋体" w:hAnsi="宋体" w:eastAsia="宋体"/>
              <w:color w:val="auto"/>
            </w:rPr>
            <w:t>第五章</w:t>
          </w:r>
          <w:r>
            <w:rPr>
              <w:rStyle w:val="18"/>
              <w:rFonts w:hint="eastAsia" w:ascii="宋体" w:hAnsi="宋体" w:eastAsia="宋体"/>
              <w:color w:val="auto"/>
            </w:rPr>
            <w:t xml:space="preserve"> </w:t>
          </w:r>
          <w:r>
            <w:rPr>
              <w:rStyle w:val="18"/>
              <w:rFonts w:ascii="宋体" w:hAnsi="宋体" w:eastAsia="宋体"/>
              <w:color w:val="auto"/>
            </w:rPr>
            <w:t xml:space="preserve"> 合同文本</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_Toc118452537 \h </w:instrText>
          </w:r>
          <w:r>
            <w:rPr>
              <w:rFonts w:ascii="宋体" w:hAnsi="宋体" w:eastAsia="宋体"/>
              <w:color w:val="auto"/>
            </w:rPr>
            <w:fldChar w:fldCharType="separate"/>
          </w:r>
          <w:r>
            <w:rPr>
              <w:rFonts w:ascii="宋体" w:hAnsi="宋体" w:eastAsia="宋体"/>
              <w:color w:val="auto"/>
            </w:rPr>
            <w:t>23</w:t>
          </w:r>
          <w:r>
            <w:rPr>
              <w:rFonts w:ascii="宋体" w:hAnsi="宋体" w:eastAsia="宋体"/>
              <w:color w:val="auto"/>
            </w:rPr>
            <w:fldChar w:fldCharType="end"/>
          </w:r>
          <w:r>
            <w:rPr>
              <w:rFonts w:ascii="宋体" w:hAnsi="宋体" w:eastAsia="宋体"/>
              <w:color w:val="auto"/>
            </w:rPr>
            <w:fldChar w:fldCharType="end"/>
          </w:r>
        </w:p>
        <w:p w14:paraId="0FF5AB8A">
          <w:pPr>
            <w:pStyle w:val="12"/>
            <w:spacing w:after="0"/>
            <w:rPr>
              <w:rFonts w:ascii="宋体" w:hAnsi="宋体" w:eastAsia="宋体"/>
              <w:color w:val="auto"/>
              <w:szCs w:val="22"/>
            </w:rPr>
          </w:pPr>
          <w:r>
            <w:rPr>
              <w:color w:val="auto"/>
            </w:rPr>
            <w:fldChar w:fldCharType="begin"/>
          </w:r>
          <w:r>
            <w:rPr>
              <w:color w:val="auto"/>
            </w:rPr>
            <w:instrText xml:space="preserve"> HYPERLINK \l "_Toc118452538" </w:instrText>
          </w:r>
          <w:r>
            <w:rPr>
              <w:color w:val="auto"/>
            </w:rPr>
            <w:fldChar w:fldCharType="separate"/>
          </w:r>
          <w:r>
            <w:rPr>
              <w:rStyle w:val="18"/>
              <w:rFonts w:ascii="宋体" w:hAnsi="宋体" w:eastAsia="宋体"/>
              <w:color w:val="auto"/>
            </w:rPr>
            <w:t>第六章</w:t>
          </w:r>
          <w:r>
            <w:rPr>
              <w:rStyle w:val="18"/>
              <w:rFonts w:hint="eastAsia" w:ascii="宋体" w:hAnsi="宋体" w:eastAsia="宋体"/>
              <w:color w:val="auto"/>
            </w:rPr>
            <w:t xml:space="preserve"> </w:t>
          </w:r>
          <w:r>
            <w:rPr>
              <w:rStyle w:val="18"/>
              <w:rFonts w:ascii="宋体" w:hAnsi="宋体" w:eastAsia="宋体"/>
              <w:color w:val="auto"/>
            </w:rPr>
            <w:t xml:space="preserve"> 投标文件格式</w:t>
          </w:r>
          <w:r>
            <w:rPr>
              <w:rFonts w:ascii="宋体" w:hAnsi="宋体" w:eastAsia="宋体"/>
              <w:color w:val="auto"/>
            </w:rPr>
            <w:tab/>
          </w:r>
          <w:r>
            <w:rPr>
              <w:rFonts w:hint="eastAsia" w:ascii="宋体" w:hAnsi="宋体" w:eastAsia="宋体"/>
              <w:color w:val="auto"/>
            </w:rPr>
            <w:t>5</w:t>
          </w:r>
          <w:r>
            <w:rPr>
              <w:rFonts w:hint="eastAsia" w:ascii="宋体" w:hAnsi="宋体" w:eastAsia="宋体"/>
              <w:color w:val="auto"/>
            </w:rPr>
            <w:fldChar w:fldCharType="end"/>
          </w:r>
          <w:r>
            <w:rPr>
              <w:rFonts w:hint="eastAsia" w:ascii="宋体" w:hAnsi="宋体" w:eastAsia="宋体"/>
              <w:color w:val="auto"/>
            </w:rPr>
            <w:t>4</w:t>
          </w:r>
        </w:p>
        <w:p w14:paraId="5EC276DE">
          <w:pPr>
            <w:spacing w:after="0" w:line="360" w:lineRule="auto"/>
            <w:ind w:firstLine="482"/>
            <w:rPr>
              <w:rFonts w:ascii="宋体" w:hAnsi="宋体" w:eastAsia="宋体"/>
              <w:color w:val="auto"/>
            </w:rPr>
          </w:pPr>
          <w:r>
            <w:rPr>
              <w:rFonts w:ascii="宋体" w:hAnsi="宋体" w:eastAsia="宋体"/>
              <w:b/>
              <w:bCs/>
              <w:color w:val="auto"/>
              <w:sz w:val="24"/>
              <w:lang w:val="zh-CN"/>
            </w:rPr>
            <w:fldChar w:fldCharType="end"/>
          </w:r>
        </w:p>
      </w:sdtContent>
    </w:sdt>
    <w:p w14:paraId="65570EA8">
      <w:pPr>
        <w:spacing w:line="360" w:lineRule="auto"/>
        <w:ind w:firstLine="560"/>
        <w:rPr>
          <w:rFonts w:ascii="宋体" w:hAnsi="宋体" w:eastAsia="宋体"/>
          <w:color w:val="auto"/>
          <w:sz w:val="28"/>
          <w:szCs w:val="28"/>
        </w:rPr>
      </w:pPr>
    </w:p>
    <w:p w14:paraId="57DA29AF">
      <w:pPr>
        <w:spacing w:line="360" w:lineRule="auto"/>
        <w:ind w:firstLine="560"/>
        <w:rPr>
          <w:rFonts w:ascii="宋体" w:hAnsi="宋体" w:eastAsia="宋体"/>
          <w:color w:val="auto"/>
          <w:kern w:val="0"/>
          <w:sz w:val="28"/>
          <w:szCs w:val="28"/>
        </w:rPr>
      </w:pPr>
      <w:r>
        <w:rPr>
          <w:rFonts w:ascii="宋体" w:hAnsi="宋体" w:eastAsia="宋体"/>
          <w:color w:val="auto"/>
          <w:sz w:val="28"/>
          <w:szCs w:val="28"/>
        </w:rPr>
        <w:br w:type="page"/>
      </w:r>
    </w:p>
    <w:p w14:paraId="677DF291">
      <w:pPr>
        <w:pStyle w:val="8"/>
        <w:snapToGrid w:val="0"/>
        <w:spacing w:beforeLines="0" w:afterLines="0" w:line="360" w:lineRule="auto"/>
        <w:ind w:firstLine="560"/>
        <w:jc w:val="center"/>
        <w:outlineLvl w:val="0"/>
        <w:rPr>
          <w:rFonts w:hAnsi="宋体" w:eastAsia="宋体"/>
          <w:color w:val="auto"/>
          <w:sz w:val="28"/>
          <w:szCs w:val="28"/>
        </w:rPr>
        <w:sectPr>
          <w:footerReference r:id="rId8" w:type="first"/>
          <w:footerReference r:id="rId6" w:type="default"/>
          <w:footerReference r:id="rId7" w:type="even"/>
          <w:pgSz w:w="11906" w:h="16838"/>
          <w:pgMar w:top="1440" w:right="1440" w:bottom="1440" w:left="1610" w:header="851" w:footer="851" w:gutter="0"/>
          <w:pgNumType w:start="1"/>
          <w:cols w:space="720" w:num="1"/>
          <w:docGrid w:linePitch="312" w:charSpace="0"/>
        </w:sectPr>
      </w:pPr>
    </w:p>
    <w:p w14:paraId="65CF9644">
      <w:pPr>
        <w:pStyle w:val="2"/>
        <w:ind w:firstLine="482"/>
        <w:rPr>
          <w:rFonts w:ascii="宋体" w:hAnsi="宋体" w:eastAsia="宋体"/>
          <w:color w:val="auto"/>
        </w:rPr>
      </w:pPr>
      <w:bookmarkStart w:id="0" w:name="_Toc118452524"/>
      <w:bookmarkStart w:id="1" w:name="_Toc34844741"/>
      <w:r>
        <w:rPr>
          <w:rFonts w:hint="eastAsia" w:ascii="宋体" w:hAnsi="宋体" w:eastAsia="宋体"/>
          <w:color w:val="auto"/>
        </w:rPr>
        <w:t xml:space="preserve">第一章 </w:t>
      </w:r>
      <w:r>
        <w:rPr>
          <w:rFonts w:ascii="宋体" w:hAnsi="宋体" w:eastAsia="宋体"/>
          <w:color w:val="auto"/>
        </w:rPr>
        <w:t xml:space="preserve"> </w:t>
      </w:r>
      <w:r>
        <w:rPr>
          <w:rFonts w:hint="eastAsia" w:ascii="宋体" w:hAnsi="宋体" w:eastAsia="宋体"/>
          <w:color w:val="auto"/>
        </w:rPr>
        <w:t>招标公告（投标邀请）</w:t>
      </w:r>
      <w:bookmarkEnd w:id="0"/>
    </w:p>
    <w:p w14:paraId="67C496A0">
      <w:pPr>
        <w:pBdr>
          <w:top w:val="single" w:color="auto" w:sz="4" w:space="1"/>
          <w:left w:val="single" w:color="auto" w:sz="4" w:space="4"/>
          <w:bottom w:val="single" w:color="auto" w:sz="4" w:space="1"/>
          <w:right w:val="single" w:color="auto" w:sz="4" w:space="0"/>
        </w:pBdr>
        <w:spacing w:after="0" w:line="360" w:lineRule="auto"/>
        <w:ind w:firstLine="420" w:firstLineChars="200"/>
        <w:rPr>
          <w:rFonts w:ascii="宋体" w:hAnsi="宋体" w:eastAsia="宋体"/>
          <w:color w:val="auto"/>
        </w:rPr>
      </w:pPr>
      <w:r>
        <w:rPr>
          <w:rFonts w:hint="eastAsia" w:ascii="宋体" w:hAnsi="宋体" w:eastAsia="宋体"/>
          <w:color w:val="auto"/>
        </w:rPr>
        <w:t>项目概况</w:t>
      </w:r>
    </w:p>
    <w:p w14:paraId="7BD375DA">
      <w:pPr>
        <w:pBdr>
          <w:top w:val="single" w:color="auto" w:sz="4" w:space="1"/>
          <w:left w:val="single" w:color="auto" w:sz="4" w:space="4"/>
          <w:bottom w:val="single" w:color="auto" w:sz="4" w:space="1"/>
          <w:right w:val="single" w:color="auto" w:sz="4" w:space="0"/>
        </w:pBdr>
        <w:spacing w:after="0" w:line="360" w:lineRule="auto"/>
        <w:ind w:firstLine="525" w:firstLineChars="250"/>
        <w:jc w:val="left"/>
        <w:rPr>
          <w:rFonts w:ascii="宋体" w:hAnsi="宋体" w:eastAsia="宋体"/>
          <w:color w:val="auto"/>
        </w:rPr>
      </w:pPr>
      <w:bookmarkStart w:id="2" w:name="_Toc35393621"/>
      <w:bookmarkStart w:id="3" w:name="_Toc28359002"/>
      <w:bookmarkStart w:id="4" w:name="_Toc28359079"/>
      <w:bookmarkStart w:id="5" w:name="_Toc35393790"/>
      <w:bookmarkStart w:id="6" w:name="_Hlk24379207"/>
      <w:r>
        <w:rPr>
          <w:rFonts w:hint="eastAsia" w:ascii="宋体" w:hAnsi="宋体" w:eastAsia="宋体"/>
          <w:color w:val="auto"/>
          <w:u w:val="single"/>
        </w:rPr>
        <w:t>邱隘南-环城融合区域前期研究</w:t>
      </w:r>
      <w:r>
        <w:rPr>
          <w:rFonts w:hint="eastAsia" w:ascii="宋体" w:hAnsi="宋体" w:eastAsia="宋体"/>
          <w:color w:val="auto"/>
        </w:rPr>
        <w:t>招标项目的潜在投标人应在</w:t>
      </w:r>
      <w:r>
        <w:rPr>
          <w:rFonts w:hint="eastAsia" w:ascii="宋体" w:hAnsi="宋体" w:eastAsia="宋体"/>
          <w:color w:val="auto"/>
          <w:u w:val="single"/>
        </w:rPr>
        <w:t>政采云平台（https：//www.zcygov.cn）</w:t>
      </w:r>
      <w:r>
        <w:rPr>
          <w:rFonts w:hint="eastAsia" w:ascii="宋体" w:hAnsi="宋体" w:eastAsia="宋体"/>
          <w:bCs/>
          <w:color w:val="auto"/>
          <w:u w:val="single"/>
        </w:rPr>
        <w:t>获取（下载）招标文件，并于2025年</w:t>
      </w:r>
      <w:r>
        <w:rPr>
          <w:rFonts w:hint="eastAsia" w:ascii="宋体" w:hAnsi="宋体" w:eastAsia="宋体"/>
          <w:bCs/>
          <w:color w:val="auto"/>
          <w:u w:val="single"/>
          <w:lang w:val="en-US" w:eastAsia="zh-CN"/>
        </w:rPr>
        <w:t>7</w:t>
      </w:r>
      <w:r>
        <w:rPr>
          <w:rFonts w:hint="eastAsia" w:ascii="宋体" w:hAnsi="宋体" w:eastAsia="宋体"/>
          <w:bCs/>
          <w:color w:val="auto"/>
          <w:u w:val="single"/>
        </w:rPr>
        <w:t>月</w:t>
      </w:r>
      <w:r>
        <w:rPr>
          <w:rFonts w:hint="eastAsia" w:ascii="宋体" w:hAnsi="宋体" w:eastAsia="宋体"/>
          <w:bCs/>
          <w:color w:val="auto"/>
          <w:u w:val="single"/>
          <w:lang w:val="en-US" w:eastAsia="zh-CN"/>
        </w:rPr>
        <w:t>21</w:t>
      </w:r>
      <w:r>
        <w:rPr>
          <w:rFonts w:hint="eastAsia" w:ascii="宋体" w:hAnsi="宋体" w:eastAsia="宋体"/>
          <w:bCs/>
          <w:color w:val="auto"/>
          <w:u w:val="single"/>
        </w:rPr>
        <w:t>日</w:t>
      </w:r>
      <w:r>
        <w:rPr>
          <w:rFonts w:hint="eastAsia" w:ascii="宋体" w:hAnsi="宋体" w:eastAsia="宋体"/>
          <w:bCs/>
          <w:color w:val="auto"/>
          <w:u w:val="single"/>
          <w:lang w:val="en-US" w:eastAsia="zh-CN"/>
        </w:rPr>
        <w:t>14</w:t>
      </w:r>
      <w:r>
        <w:rPr>
          <w:rFonts w:hint="eastAsia" w:ascii="宋体" w:hAnsi="宋体" w:eastAsia="宋体"/>
          <w:bCs/>
          <w:color w:val="auto"/>
          <w:u w:val="single"/>
        </w:rPr>
        <w:t>点</w:t>
      </w:r>
      <w:r>
        <w:rPr>
          <w:rFonts w:hint="eastAsia" w:ascii="宋体" w:hAnsi="宋体" w:eastAsia="宋体"/>
          <w:bCs/>
          <w:color w:val="auto"/>
          <w:u w:val="single"/>
          <w:lang w:val="en-US" w:eastAsia="zh-CN"/>
        </w:rPr>
        <w:t>00</w:t>
      </w:r>
      <w:r>
        <w:rPr>
          <w:rFonts w:hint="eastAsia" w:ascii="宋体" w:hAnsi="宋体" w:eastAsia="宋体"/>
          <w:bCs/>
          <w:color w:val="auto"/>
          <w:u w:val="single"/>
        </w:rPr>
        <w:t>分</w:t>
      </w:r>
      <w:r>
        <w:rPr>
          <w:rFonts w:hint="eastAsia" w:ascii="宋体" w:hAnsi="宋体" w:eastAsia="宋体"/>
          <w:bCs/>
          <w:color w:val="auto"/>
        </w:rPr>
        <w:t>（北京时间）前递交（上传）投标</w:t>
      </w:r>
      <w:r>
        <w:rPr>
          <w:rFonts w:ascii="宋体" w:hAnsi="宋体" w:eastAsia="宋体"/>
          <w:bCs/>
          <w:color w:val="auto"/>
        </w:rPr>
        <w:t>文件</w:t>
      </w:r>
      <w:r>
        <w:rPr>
          <w:rFonts w:hint="eastAsia" w:ascii="宋体" w:hAnsi="宋体" w:eastAsia="宋体"/>
          <w:color w:val="auto"/>
        </w:rPr>
        <w:t>。</w:t>
      </w:r>
    </w:p>
    <w:p w14:paraId="7A5D2474">
      <w:pPr>
        <w:snapToGrid w:val="0"/>
        <w:spacing w:after="0" w:line="360" w:lineRule="auto"/>
        <w:ind w:firstLine="422"/>
        <w:rPr>
          <w:rFonts w:ascii="宋体" w:hAnsi="宋体" w:eastAsia="宋体" w:cs="Arial"/>
          <w:b/>
          <w:color w:val="auto"/>
        </w:rPr>
      </w:pPr>
      <w:r>
        <w:rPr>
          <w:rFonts w:hint="eastAsia" w:ascii="宋体" w:hAnsi="宋体" w:eastAsia="宋体" w:cs="Arial"/>
          <w:b/>
          <w:color w:val="auto"/>
        </w:rPr>
        <w:t>一、项目基本情况</w:t>
      </w:r>
      <w:bookmarkEnd w:id="2"/>
      <w:bookmarkEnd w:id="3"/>
      <w:bookmarkEnd w:id="4"/>
      <w:bookmarkEnd w:id="5"/>
    </w:p>
    <w:p w14:paraId="624C6482">
      <w:pPr>
        <w:spacing w:after="0" w:line="360" w:lineRule="auto"/>
        <w:ind w:firstLine="420" w:firstLineChars="200"/>
        <w:rPr>
          <w:rFonts w:ascii="宋体" w:hAnsi="宋体" w:eastAsia="宋体"/>
          <w:color w:val="auto"/>
        </w:rPr>
      </w:pPr>
      <w:r>
        <w:rPr>
          <w:rFonts w:hint="eastAsia" w:ascii="宋体" w:hAnsi="宋体" w:eastAsia="宋体"/>
          <w:color w:val="auto"/>
        </w:rPr>
        <w:t>项目编号：NBMC-20252145G</w:t>
      </w:r>
    </w:p>
    <w:p w14:paraId="27B8BE7F">
      <w:pPr>
        <w:spacing w:after="0" w:line="360" w:lineRule="auto"/>
        <w:ind w:firstLine="420" w:firstLineChars="200"/>
        <w:rPr>
          <w:rFonts w:ascii="宋体" w:hAnsi="宋体" w:eastAsia="宋体"/>
          <w:color w:val="auto"/>
        </w:rPr>
      </w:pPr>
      <w:r>
        <w:rPr>
          <w:rFonts w:hint="eastAsia" w:ascii="宋体" w:hAnsi="宋体" w:eastAsia="宋体"/>
          <w:color w:val="auto"/>
        </w:rPr>
        <w:t>项目名称：邱隘南-环城融合区域前期研究</w:t>
      </w:r>
    </w:p>
    <w:bookmarkEnd w:id="6"/>
    <w:p w14:paraId="7570DDDC">
      <w:pPr>
        <w:spacing w:after="0" w:line="360" w:lineRule="auto"/>
        <w:ind w:firstLine="420" w:firstLineChars="200"/>
        <w:rPr>
          <w:rFonts w:ascii="宋体" w:hAnsi="宋体" w:eastAsia="宋体"/>
          <w:color w:val="auto"/>
        </w:rPr>
      </w:pPr>
      <w:r>
        <w:rPr>
          <w:rFonts w:ascii="宋体" w:hAnsi="宋体" w:eastAsia="宋体"/>
          <w:color w:val="auto"/>
        </w:rPr>
        <w:t>预算金额（元）：</w:t>
      </w:r>
      <w:r>
        <w:rPr>
          <w:rFonts w:hint="eastAsia" w:ascii="宋体" w:hAnsi="宋体" w:eastAsia="宋体"/>
          <w:color w:val="auto"/>
        </w:rPr>
        <w:t>1500000.00</w:t>
      </w:r>
    </w:p>
    <w:p w14:paraId="05FC24F4">
      <w:pPr>
        <w:spacing w:after="0" w:line="360" w:lineRule="auto"/>
        <w:ind w:firstLine="420" w:firstLineChars="200"/>
        <w:rPr>
          <w:rFonts w:ascii="宋体" w:hAnsi="宋体" w:eastAsia="宋体"/>
          <w:color w:val="auto"/>
        </w:rPr>
      </w:pPr>
      <w:r>
        <w:rPr>
          <w:rFonts w:ascii="宋体" w:hAnsi="宋体" w:eastAsia="宋体"/>
          <w:color w:val="auto"/>
        </w:rPr>
        <w:t>最高限价（元）：</w:t>
      </w:r>
      <w:r>
        <w:rPr>
          <w:rFonts w:hint="eastAsia" w:ascii="宋体" w:hAnsi="宋体" w:eastAsia="宋体"/>
          <w:color w:val="auto"/>
        </w:rPr>
        <w:t>1500000.00</w:t>
      </w:r>
    </w:p>
    <w:p w14:paraId="35226B00">
      <w:pPr>
        <w:spacing w:after="0" w:line="360" w:lineRule="auto"/>
        <w:ind w:firstLine="420" w:firstLineChars="200"/>
        <w:rPr>
          <w:rFonts w:ascii="宋体" w:hAnsi="宋体" w:eastAsia="宋体"/>
          <w:color w:val="auto"/>
        </w:rPr>
      </w:pPr>
      <w:r>
        <w:rPr>
          <w:rFonts w:ascii="宋体" w:hAnsi="宋体" w:eastAsia="宋体"/>
          <w:color w:val="auto"/>
        </w:rPr>
        <w:t>采购需求：</w:t>
      </w:r>
    </w:p>
    <w:p w14:paraId="046FA7FC">
      <w:pPr>
        <w:spacing w:after="0" w:line="360" w:lineRule="auto"/>
        <w:ind w:firstLine="420" w:firstLineChars="200"/>
        <w:rPr>
          <w:rFonts w:ascii="宋体" w:hAnsi="宋体" w:eastAsia="宋体"/>
          <w:color w:val="auto"/>
        </w:rPr>
      </w:pPr>
      <w:r>
        <w:rPr>
          <w:rFonts w:hint="eastAsia" w:ascii="宋体" w:hAnsi="宋体" w:eastAsia="宋体"/>
          <w:color w:val="auto"/>
        </w:rPr>
        <w:t>标项名称：邱隘南-环城融合区域前期研究</w:t>
      </w:r>
    </w:p>
    <w:p w14:paraId="4A8C1EE0">
      <w:pPr>
        <w:spacing w:after="0" w:line="360" w:lineRule="auto"/>
        <w:ind w:firstLine="420" w:firstLineChars="200"/>
        <w:rPr>
          <w:rFonts w:ascii="宋体" w:hAnsi="宋体" w:eastAsia="宋体"/>
          <w:color w:val="auto"/>
        </w:rPr>
      </w:pPr>
      <w:r>
        <w:rPr>
          <w:rFonts w:hint="eastAsia" w:ascii="宋体" w:hAnsi="宋体" w:eastAsia="宋体"/>
          <w:color w:val="auto"/>
        </w:rPr>
        <w:t>数量：1项</w:t>
      </w:r>
    </w:p>
    <w:p w14:paraId="7C895748">
      <w:pPr>
        <w:spacing w:after="0" w:line="360" w:lineRule="auto"/>
        <w:ind w:firstLine="420" w:firstLineChars="200"/>
        <w:rPr>
          <w:rFonts w:ascii="宋体" w:hAnsi="宋体" w:eastAsia="宋体"/>
          <w:color w:val="auto"/>
        </w:rPr>
      </w:pPr>
      <w:r>
        <w:rPr>
          <w:rFonts w:hint="eastAsia" w:ascii="宋体" w:hAnsi="宋体" w:eastAsia="宋体"/>
          <w:color w:val="auto"/>
        </w:rPr>
        <w:t>预算金额</w:t>
      </w:r>
      <w:r>
        <w:rPr>
          <w:rFonts w:ascii="宋体" w:hAnsi="宋体" w:eastAsia="宋体"/>
          <w:color w:val="auto"/>
        </w:rPr>
        <w:t>（元）</w:t>
      </w:r>
      <w:r>
        <w:rPr>
          <w:rFonts w:hint="eastAsia" w:ascii="宋体" w:hAnsi="宋体" w:eastAsia="宋体"/>
          <w:color w:val="auto"/>
        </w:rPr>
        <w:t>：1500000.00</w:t>
      </w:r>
    </w:p>
    <w:p w14:paraId="3BE6522D">
      <w:pPr>
        <w:spacing w:after="0" w:line="360" w:lineRule="auto"/>
        <w:ind w:firstLine="420" w:firstLineChars="200"/>
        <w:rPr>
          <w:rFonts w:ascii="宋体" w:hAnsi="宋体" w:eastAsia="宋体"/>
          <w:color w:val="auto"/>
        </w:rPr>
      </w:pPr>
      <w:r>
        <w:rPr>
          <w:rFonts w:ascii="宋体" w:hAnsi="宋体" w:eastAsia="宋体"/>
          <w:color w:val="auto"/>
        </w:rPr>
        <w:t>简要规格描述或项目基本概况介绍、用途：</w:t>
      </w:r>
      <w:r>
        <w:rPr>
          <w:rFonts w:hint="eastAsia" w:ascii="宋体" w:hAnsi="宋体" w:eastAsia="宋体"/>
          <w:color w:val="auto"/>
        </w:rPr>
        <w:t>根据采购需求完成邱隘南-环城融合区域前期研究并交付合格成果。</w:t>
      </w:r>
    </w:p>
    <w:p w14:paraId="0DEB6D48">
      <w:pPr>
        <w:spacing w:after="0" w:line="360" w:lineRule="auto"/>
        <w:ind w:firstLine="420" w:firstLineChars="200"/>
        <w:rPr>
          <w:rFonts w:ascii="宋体" w:hAnsi="宋体" w:eastAsia="宋体"/>
          <w:color w:val="auto"/>
        </w:rPr>
      </w:pPr>
      <w:r>
        <w:rPr>
          <w:rFonts w:hint="eastAsia" w:ascii="宋体" w:hAnsi="宋体" w:eastAsia="宋体"/>
          <w:color w:val="auto"/>
        </w:rPr>
        <w:t>备注：/</w:t>
      </w:r>
    </w:p>
    <w:p w14:paraId="1BCC09F9">
      <w:pPr>
        <w:spacing w:after="0" w:line="360" w:lineRule="auto"/>
        <w:ind w:firstLine="420" w:firstLineChars="200"/>
        <w:rPr>
          <w:rFonts w:ascii="宋体" w:hAnsi="宋体" w:eastAsia="宋体"/>
          <w:color w:val="auto"/>
        </w:rPr>
      </w:pPr>
      <w:r>
        <w:rPr>
          <w:rFonts w:hint="eastAsia" w:ascii="宋体" w:hAnsi="宋体" w:eastAsia="宋体"/>
          <w:color w:val="auto"/>
        </w:rPr>
        <w:t>合同履约期限：标项1，自合同生效之日至合同全部权利义务履行完毕之日止。</w:t>
      </w:r>
    </w:p>
    <w:p w14:paraId="7DA74C60">
      <w:pPr>
        <w:spacing w:after="0" w:line="360" w:lineRule="auto"/>
        <w:ind w:firstLine="420" w:firstLineChars="200"/>
        <w:rPr>
          <w:rFonts w:ascii="宋体" w:hAnsi="宋体" w:eastAsia="宋体"/>
          <w:color w:val="auto"/>
        </w:rPr>
      </w:pPr>
      <w:r>
        <w:rPr>
          <w:rFonts w:hint="eastAsia" w:ascii="宋体" w:hAnsi="宋体" w:eastAsia="宋体"/>
          <w:color w:val="auto"/>
        </w:rPr>
        <w:t>本项目（是）接受联合体投标。</w:t>
      </w:r>
    </w:p>
    <w:p w14:paraId="162A048D">
      <w:pPr>
        <w:snapToGrid w:val="0"/>
        <w:spacing w:after="0" w:line="360" w:lineRule="auto"/>
        <w:ind w:firstLine="422"/>
        <w:rPr>
          <w:rFonts w:ascii="宋体" w:hAnsi="宋体" w:eastAsia="宋体" w:cs="Arial"/>
          <w:b/>
          <w:color w:val="auto"/>
        </w:rPr>
      </w:pPr>
      <w:bookmarkStart w:id="7" w:name="_Toc35393791"/>
      <w:bookmarkStart w:id="8" w:name="_Toc28359080"/>
      <w:bookmarkStart w:id="9" w:name="_Toc28359003"/>
      <w:bookmarkStart w:id="10" w:name="_Toc35393622"/>
      <w:r>
        <w:rPr>
          <w:rFonts w:hint="eastAsia" w:ascii="宋体" w:hAnsi="宋体" w:eastAsia="宋体" w:cs="Arial"/>
          <w:b/>
          <w:color w:val="auto"/>
        </w:rPr>
        <w:t>二、申请人的资格要求：</w:t>
      </w:r>
      <w:bookmarkEnd w:id="7"/>
      <w:bookmarkEnd w:id="8"/>
      <w:bookmarkEnd w:id="9"/>
      <w:bookmarkEnd w:id="10"/>
    </w:p>
    <w:p w14:paraId="64FD4A7F">
      <w:pPr>
        <w:spacing w:after="0" w:line="360" w:lineRule="auto"/>
        <w:ind w:firstLine="420" w:firstLineChars="200"/>
        <w:rPr>
          <w:rFonts w:ascii="宋体" w:hAnsi="宋体" w:eastAsia="宋体"/>
          <w:color w:val="auto"/>
        </w:rPr>
      </w:pPr>
      <w:bookmarkStart w:id="11" w:name="_Toc28359004"/>
      <w:bookmarkStart w:id="12" w:name="_Toc35393623"/>
      <w:bookmarkStart w:id="13" w:name="_Toc28359081"/>
      <w:bookmarkStart w:id="14" w:name="_Toc35393792"/>
      <w:r>
        <w:rPr>
          <w:rFonts w:ascii="宋体" w:hAnsi="宋体" w:eastAsia="宋体"/>
          <w:color w:val="auto"/>
        </w:rPr>
        <w:t>1.满足《中华人民共和国政府采购法》第二十二条第一款的规定；未被“信用中国”（www.creditchina.gov.cn)、中国政府采购网（www.ccgp.gov.cn）列入失信被执行人、重大税收违法失信主体、政府采购严重违法失信行为记录名单；</w:t>
      </w:r>
    </w:p>
    <w:p w14:paraId="641FC998">
      <w:pPr>
        <w:spacing w:after="0" w:line="360" w:lineRule="auto"/>
        <w:ind w:firstLine="420" w:firstLineChars="200"/>
        <w:rPr>
          <w:rFonts w:ascii="宋体" w:hAnsi="宋体" w:eastAsia="宋体"/>
          <w:color w:val="auto"/>
        </w:rPr>
      </w:pPr>
      <w:r>
        <w:rPr>
          <w:rFonts w:ascii="宋体" w:hAnsi="宋体" w:eastAsia="宋体"/>
          <w:color w:val="auto"/>
        </w:rPr>
        <w:t>2.单位负责人为同一人或者存在直接控股、管理关系的不同供应商，不得同时参加本项目的政府采购活动；</w:t>
      </w:r>
    </w:p>
    <w:p w14:paraId="3285B5CB">
      <w:pPr>
        <w:spacing w:after="0" w:line="360" w:lineRule="auto"/>
        <w:ind w:firstLine="420" w:firstLineChars="200"/>
        <w:rPr>
          <w:rFonts w:ascii="宋体" w:hAnsi="宋体" w:eastAsia="宋体"/>
          <w:bCs/>
          <w:color w:val="auto"/>
        </w:rPr>
      </w:pPr>
      <w:r>
        <w:rPr>
          <w:rFonts w:ascii="宋体" w:hAnsi="宋体" w:eastAsia="宋体"/>
          <w:color w:val="auto"/>
        </w:rPr>
        <w:t>3.</w:t>
      </w:r>
      <w:r>
        <w:rPr>
          <w:rFonts w:ascii="宋体" w:hAnsi="宋体" w:eastAsia="宋体"/>
          <w:bCs/>
          <w:color w:val="auto"/>
        </w:rPr>
        <w:t>落实政府采购政策需满足的资格要求：</w:t>
      </w:r>
      <w:r>
        <w:rPr>
          <w:rFonts w:hint="eastAsia" w:ascii="宋体" w:hAnsi="宋体" w:eastAsia="宋体"/>
          <w:color w:val="auto"/>
        </w:rPr>
        <w:t>无</w:t>
      </w:r>
      <w:r>
        <w:rPr>
          <w:rFonts w:hint="eastAsia" w:ascii="宋体" w:hAnsi="宋体" w:eastAsia="宋体"/>
          <w:bCs/>
          <w:color w:val="auto"/>
        </w:rPr>
        <w:t>；</w:t>
      </w:r>
    </w:p>
    <w:p w14:paraId="4E9C03F6">
      <w:pPr>
        <w:spacing w:after="0" w:line="360" w:lineRule="auto"/>
        <w:ind w:firstLine="420" w:firstLineChars="200"/>
        <w:rPr>
          <w:rFonts w:ascii="宋体" w:hAnsi="宋体" w:eastAsia="宋体"/>
          <w:color w:val="auto"/>
        </w:rPr>
      </w:pPr>
      <w:r>
        <w:rPr>
          <w:rFonts w:hint="eastAsia" w:ascii="宋体" w:hAnsi="宋体" w:eastAsia="宋体"/>
          <w:color w:val="auto"/>
        </w:rPr>
        <w:t>4</w:t>
      </w:r>
      <w:r>
        <w:rPr>
          <w:rFonts w:ascii="宋体" w:hAnsi="宋体" w:eastAsia="宋体"/>
          <w:color w:val="auto"/>
        </w:rPr>
        <w:t>.本项目的特定资格要求：</w:t>
      </w:r>
      <w:r>
        <w:rPr>
          <w:rFonts w:hint="eastAsia" w:ascii="宋体" w:hAnsi="宋体" w:eastAsia="宋体"/>
          <w:color w:val="auto"/>
        </w:rPr>
        <w:t>具有</w:t>
      </w:r>
      <w:r>
        <w:rPr>
          <w:rFonts w:ascii="宋体" w:hAnsi="宋体" w:eastAsia="宋体"/>
          <w:color w:val="auto"/>
        </w:rPr>
        <w:t>城乡规划（国土空间规划）编制单位乙级及以上</w:t>
      </w:r>
      <w:r>
        <w:rPr>
          <w:rFonts w:hint="eastAsia" w:ascii="宋体" w:hAnsi="宋体" w:eastAsia="宋体"/>
          <w:color w:val="auto"/>
        </w:rPr>
        <w:t>资质。</w:t>
      </w:r>
    </w:p>
    <w:p w14:paraId="5250DEB1">
      <w:pPr>
        <w:snapToGrid w:val="0"/>
        <w:spacing w:after="0" w:line="360" w:lineRule="auto"/>
        <w:ind w:firstLine="422"/>
        <w:rPr>
          <w:rFonts w:ascii="宋体" w:hAnsi="宋体" w:eastAsia="宋体" w:cs="Arial"/>
          <w:b/>
          <w:color w:val="auto"/>
        </w:rPr>
      </w:pPr>
      <w:r>
        <w:rPr>
          <w:rFonts w:hint="eastAsia" w:ascii="宋体" w:hAnsi="宋体" w:eastAsia="宋体" w:cs="Arial"/>
          <w:b/>
          <w:color w:val="auto"/>
        </w:rPr>
        <w:t>三、获取招标文件</w:t>
      </w:r>
      <w:bookmarkEnd w:id="11"/>
      <w:bookmarkEnd w:id="12"/>
      <w:bookmarkEnd w:id="13"/>
      <w:bookmarkEnd w:id="14"/>
    </w:p>
    <w:p w14:paraId="037BFC7A">
      <w:pPr>
        <w:snapToGrid w:val="0"/>
        <w:spacing w:after="0" w:line="360" w:lineRule="auto"/>
        <w:ind w:firstLine="411" w:firstLineChars="196"/>
        <w:rPr>
          <w:rFonts w:ascii="宋体" w:hAnsi="宋体" w:eastAsia="宋体" w:cs="宋体"/>
          <w:b/>
          <w:color w:val="auto"/>
        </w:rPr>
      </w:pPr>
      <w:bookmarkStart w:id="15" w:name="_Toc28359082"/>
      <w:bookmarkStart w:id="16" w:name="_Toc28359005"/>
      <w:bookmarkStart w:id="17" w:name="_Toc35393624"/>
      <w:bookmarkStart w:id="18" w:name="_Toc35393793"/>
      <w:r>
        <w:rPr>
          <w:rFonts w:hint="eastAsia" w:ascii="宋体" w:hAnsi="宋体" w:eastAsia="宋体" w:cs="宋体"/>
          <w:color w:val="auto"/>
        </w:rPr>
        <w:t>时间：</w:t>
      </w:r>
      <w:r>
        <w:rPr>
          <w:rFonts w:hint="eastAsia" w:ascii="宋体" w:hAnsi="宋体" w:eastAsia="宋体" w:cs="宋体"/>
          <w:color w:val="auto"/>
          <w:u w:val="single"/>
        </w:rPr>
        <w:t>2025年</w:t>
      </w:r>
      <w:r>
        <w:rPr>
          <w:rFonts w:hint="eastAsia" w:ascii="宋体" w:hAnsi="宋体" w:eastAsia="宋体" w:cs="宋体"/>
          <w:color w:val="auto"/>
          <w:u w:val="single"/>
          <w:lang w:val="en-US" w:eastAsia="zh-CN"/>
        </w:rPr>
        <w:t>7</w:t>
      </w:r>
      <w:r>
        <w:rPr>
          <w:rFonts w:hint="eastAsia" w:ascii="宋体" w:hAnsi="宋体" w:eastAsia="宋体" w:cs="宋体"/>
          <w:color w:val="auto"/>
          <w:u w:val="single"/>
        </w:rPr>
        <w:t>月</w:t>
      </w:r>
      <w:r>
        <w:rPr>
          <w:rFonts w:hint="eastAsia" w:ascii="宋体" w:hAnsi="宋体" w:eastAsia="宋体" w:cs="宋体"/>
          <w:color w:val="auto"/>
          <w:u w:val="single"/>
          <w:lang w:val="en-US" w:eastAsia="zh-CN"/>
        </w:rPr>
        <w:t>1</w:t>
      </w:r>
      <w:r>
        <w:rPr>
          <w:rFonts w:hint="eastAsia" w:ascii="宋体" w:hAnsi="宋体" w:eastAsia="宋体" w:cs="宋体"/>
          <w:color w:val="auto"/>
          <w:u w:val="single"/>
        </w:rPr>
        <w:t>日至2025年</w:t>
      </w:r>
      <w:r>
        <w:rPr>
          <w:rFonts w:hint="eastAsia" w:ascii="宋体" w:hAnsi="宋体" w:eastAsia="宋体" w:cs="宋体"/>
          <w:color w:val="auto"/>
          <w:u w:val="single"/>
          <w:lang w:val="en-US" w:eastAsia="zh-CN"/>
        </w:rPr>
        <w:t>7</w:t>
      </w:r>
      <w:r>
        <w:rPr>
          <w:rFonts w:hint="eastAsia" w:ascii="宋体" w:hAnsi="宋体" w:eastAsia="宋体" w:cs="宋体"/>
          <w:color w:val="auto"/>
          <w:u w:val="single"/>
        </w:rPr>
        <w:t>月</w:t>
      </w:r>
      <w:r>
        <w:rPr>
          <w:rFonts w:hint="eastAsia" w:ascii="宋体" w:hAnsi="宋体" w:eastAsia="宋体" w:cs="宋体"/>
          <w:color w:val="auto"/>
          <w:u w:val="single"/>
          <w:lang w:val="en-US" w:eastAsia="zh-CN"/>
        </w:rPr>
        <w:t>8</w:t>
      </w:r>
      <w:r>
        <w:rPr>
          <w:rFonts w:hint="eastAsia" w:ascii="宋体" w:hAnsi="宋体" w:eastAsia="宋体" w:cs="宋体"/>
          <w:color w:val="auto"/>
          <w:u w:val="single"/>
        </w:rPr>
        <w:t>日</w:t>
      </w:r>
      <w:r>
        <w:rPr>
          <w:rFonts w:hint="eastAsia" w:ascii="宋体" w:hAnsi="宋体" w:eastAsia="宋体" w:cs="宋体"/>
          <w:color w:val="auto"/>
        </w:rPr>
        <w:t>，每天上午</w:t>
      </w:r>
      <w:r>
        <w:rPr>
          <w:rFonts w:ascii="宋体" w:hAnsi="宋体" w:eastAsia="宋体" w:cs="宋体"/>
          <w:color w:val="auto"/>
          <w:u w:val="single"/>
        </w:rPr>
        <w:t>00：00</w:t>
      </w:r>
      <w:r>
        <w:rPr>
          <w:rFonts w:hint="eastAsia" w:ascii="宋体" w:hAnsi="宋体" w:eastAsia="宋体" w:cs="宋体"/>
          <w:color w:val="auto"/>
        </w:rPr>
        <w:t>至</w:t>
      </w:r>
      <w:r>
        <w:rPr>
          <w:rFonts w:ascii="宋体" w:hAnsi="宋体" w:eastAsia="宋体" w:cs="宋体"/>
          <w:color w:val="auto"/>
          <w:u w:val="single"/>
        </w:rPr>
        <w:t>12：00</w:t>
      </w:r>
      <w:r>
        <w:rPr>
          <w:rFonts w:hint="eastAsia" w:ascii="宋体" w:hAnsi="宋体" w:eastAsia="宋体" w:cs="宋体"/>
          <w:color w:val="auto"/>
        </w:rPr>
        <w:t>，下午</w:t>
      </w:r>
      <w:r>
        <w:rPr>
          <w:rFonts w:ascii="宋体" w:hAnsi="宋体" w:eastAsia="宋体" w:cs="宋体"/>
          <w:color w:val="auto"/>
          <w:u w:val="single"/>
        </w:rPr>
        <w:t>12：00</w:t>
      </w:r>
      <w:r>
        <w:rPr>
          <w:rFonts w:hint="eastAsia" w:ascii="宋体" w:hAnsi="宋体" w:eastAsia="宋体" w:cs="宋体"/>
          <w:color w:val="auto"/>
        </w:rPr>
        <w:t>至</w:t>
      </w:r>
      <w:r>
        <w:rPr>
          <w:rFonts w:ascii="宋体" w:hAnsi="宋体" w:eastAsia="宋体" w:cs="宋体"/>
          <w:color w:val="auto"/>
          <w:u w:val="single"/>
        </w:rPr>
        <w:t>23：59</w:t>
      </w:r>
      <w:r>
        <w:rPr>
          <w:rFonts w:hint="eastAsia" w:ascii="宋体" w:hAnsi="宋体" w:eastAsia="宋体" w:cs="宋体"/>
          <w:color w:val="auto"/>
        </w:rPr>
        <w:t>（北京时间，线上获取法定节假日均可，线下获取文件法定节假日除外）</w:t>
      </w:r>
    </w:p>
    <w:p w14:paraId="4691956F">
      <w:pPr>
        <w:snapToGrid w:val="0"/>
        <w:spacing w:after="0" w:line="360" w:lineRule="auto"/>
        <w:ind w:firstLine="411" w:firstLineChars="196"/>
        <w:rPr>
          <w:rFonts w:ascii="宋体" w:hAnsi="宋体" w:eastAsia="宋体" w:cs="宋体"/>
          <w:color w:val="auto"/>
          <w:u w:val="single"/>
        </w:rPr>
      </w:pPr>
      <w:r>
        <w:rPr>
          <w:rFonts w:hint="eastAsia" w:ascii="宋体" w:hAnsi="宋体" w:eastAsia="宋体" w:cs="宋体"/>
          <w:color w:val="auto"/>
        </w:rPr>
        <w:t>地点（网址）：</w:t>
      </w:r>
      <w:r>
        <w:rPr>
          <w:rFonts w:hint="eastAsia" w:ascii="宋体" w:hAnsi="宋体" w:eastAsia="宋体"/>
          <w:color w:val="auto"/>
          <w:u w:val="single"/>
        </w:rPr>
        <w:t>政采云平台（</w:t>
      </w:r>
      <w:r>
        <w:rPr>
          <w:rFonts w:ascii="宋体" w:hAnsi="宋体" w:eastAsia="宋体"/>
          <w:color w:val="auto"/>
          <w:u w:val="single"/>
        </w:rPr>
        <w:t>https：//www.zcygov.cn）</w:t>
      </w:r>
    </w:p>
    <w:p w14:paraId="5A1E973E">
      <w:pPr>
        <w:snapToGrid w:val="0"/>
        <w:spacing w:after="0" w:line="360" w:lineRule="auto"/>
        <w:ind w:firstLine="411" w:firstLineChars="196"/>
        <w:rPr>
          <w:rFonts w:ascii="宋体" w:hAnsi="宋体" w:eastAsia="宋体" w:cs="Arial"/>
          <w:color w:val="auto"/>
        </w:rPr>
      </w:pPr>
      <w:r>
        <w:rPr>
          <w:rFonts w:hint="eastAsia" w:ascii="宋体" w:hAnsi="宋体" w:eastAsia="宋体" w:cs="Arial"/>
          <w:color w:val="auto"/>
        </w:rPr>
        <w:t>方式：供应商登录政采云平台（</w:t>
      </w:r>
      <w:r>
        <w:rPr>
          <w:rFonts w:ascii="宋体" w:hAnsi="宋体" w:eastAsia="宋体" w:cs="Arial"/>
          <w:color w:val="auto"/>
        </w:rPr>
        <w:t>https：//www.zcygov.cn/）在线申请获取采购文件（进入“项目采购”应用，在获取采购文件菜单中选择项目，申请获取采购文件）</w:t>
      </w:r>
    </w:p>
    <w:p w14:paraId="629D1025">
      <w:pPr>
        <w:snapToGrid w:val="0"/>
        <w:spacing w:after="0" w:line="360" w:lineRule="auto"/>
        <w:ind w:firstLine="411" w:firstLineChars="196"/>
        <w:rPr>
          <w:rFonts w:ascii="宋体" w:hAnsi="宋体" w:eastAsia="宋体" w:cs="宋体"/>
          <w:color w:val="auto"/>
        </w:rPr>
      </w:pPr>
      <w:r>
        <w:rPr>
          <w:rFonts w:hint="eastAsia" w:ascii="宋体" w:hAnsi="宋体" w:eastAsia="宋体" w:cs="宋体"/>
          <w:color w:val="auto"/>
        </w:rPr>
        <w:t>售价（元）：</w:t>
      </w:r>
      <w:r>
        <w:rPr>
          <w:rFonts w:ascii="宋体" w:hAnsi="宋体" w:eastAsia="宋体" w:cs="宋体"/>
          <w:color w:val="auto"/>
        </w:rPr>
        <w:t>0</w:t>
      </w:r>
    </w:p>
    <w:p w14:paraId="3E81477D">
      <w:pPr>
        <w:snapToGrid w:val="0"/>
        <w:spacing w:after="0" w:line="360" w:lineRule="auto"/>
        <w:ind w:firstLine="422"/>
        <w:rPr>
          <w:rFonts w:ascii="宋体" w:hAnsi="宋体" w:eastAsia="宋体" w:cs="Arial"/>
          <w:b/>
          <w:color w:val="auto"/>
        </w:rPr>
      </w:pPr>
      <w:r>
        <w:rPr>
          <w:rFonts w:hint="eastAsia" w:ascii="宋体" w:hAnsi="宋体" w:eastAsia="宋体" w:cs="Arial"/>
          <w:b/>
          <w:color w:val="auto"/>
        </w:rPr>
        <w:t>四、提交投标文件</w:t>
      </w:r>
      <w:bookmarkEnd w:id="15"/>
      <w:bookmarkEnd w:id="16"/>
      <w:r>
        <w:rPr>
          <w:rFonts w:hint="eastAsia" w:ascii="宋体" w:hAnsi="宋体" w:eastAsia="宋体" w:cs="Arial"/>
          <w:b/>
          <w:color w:val="auto"/>
        </w:rPr>
        <w:t>截止时间、开标时间和地点</w:t>
      </w:r>
      <w:bookmarkEnd w:id="17"/>
      <w:bookmarkEnd w:id="18"/>
    </w:p>
    <w:p w14:paraId="00A05D68">
      <w:pPr>
        <w:spacing w:after="0" w:line="360" w:lineRule="auto"/>
        <w:ind w:firstLine="420" w:firstLineChars="200"/>
        <w:rPr>
          <w:rFonts w:ascii="宋体" w:hAnsi="宋体" w:eastAsia="宋体"/>
          <w:bCs/>
          <w:color w:val="auto"/>
        </w:rPr>
      </w:pPr>
      <w:bookmarkStart w:id="19" w:name="_Toc35393794"/>
      <w:bookmarkStart w:id="20" w:name="_Toc28359007"/>
      <w:bookmarkStart w:id="21" w:name="_Toc28359084"/>
      <w:bookmarkStart w:id="22" w:name="_Toc35393625"/>
      <w:r>
        <w:rPr>
          <w:rFonts w:hint="eastAsia" w:ascii="宋体" w:hAnsi="宋体" w:eastAsia="宋体" w:cs="Arial"/>
          <w:color w:val="auto"/>
        </w:rPr>
        <w:t>提交投标文件截止时间：</w:t>
      </w:r>
      <w:r>
        <w:rPr>
          <w:rFonts w:hint="eastAsia" w:ascii="宋体" w:hAnsi="宋体" w:eastAsia="宋体"/>
          <w:bCs/>
          <w:color w:val="auto"/>
          <w:u w:val="none"/>
        </w:rPr>
        <w:t>2025年</w:t>
      </w:r>
      <w:r>
        <w:rPr>
          <w:rFonts w:hint="eastAsia" w:ascii="宋体" w:hAnsi="宋体" w:eastAsia="宋体"/>
          <w:bCs/>
          <w:color w:val="auto"/>
          <w:u w:val="none"/>
          <w:lang w:val="en-US" w:eastAsia="zh-CN"/>
        </w:rPr>
        <w:t>7</w:t>
      </w:r>
      <w:r>
        <w:rPr>
          <w:rFonts w:hint="eastAsia" w:ascii="宋体" w:hAnsi="宋体" w:eastAsia="宋体"/>
          <w:bCs/>
          <w:color w:val="auto"/>
          <w:u w:val="none"/>
        </w:rPr>
        <w:t>月</w:t>
      </w:r>
      <w:r>
        <w:rPr>
          <w:rFonts w:hint="eastAsia" w:ascii="宋体" w:hAnsi="宋体" w:eastAsia="宋体"/>
          <w:bCs/>
          <w:color w:val="auto"/>
          <w:u w:val="none"/>
          <w:lang w:val="en-US" w:eastAsia="zh-CN"/>
        </w:rPr>
        <w:t>21</w:t>
      </w:r>
      <w:r>
        <w:rPr>
          <w:rFonts w:hint="eastAsia" w:ascii="宋体" w:hAnsi="宋体" w:eastAsia="宋体"/>
          <w:bCs/>
          <w:color w:val="auto"/>
          <w:u w:val="none"/>
        </w:rPr>
        <w:t>日</w:t>
      </w:r>
      <w:r>
        <w:rPr>
          <w:rFonts w:hint="eastAsia" w:ascii="宋体" w:hAnsi="宋体" w:eastAsia="宋体"/>
          <w:bCs/>
          <w:color w:val="auto"/>
          <w:u w:val="none"/>
          <w:lang w:val="en-US" w:eastAsia="zh-CN"/>
        </w:rPr>
        <w:t>14</w:t>
      </w:r>
      <w:r>
        <w:rPr>
          <w:rFonts w:hint="eastAsia" w:ascii="宋体" w:hAnsi="宋体" w:eastAsia="宋体"/>
          <w:bCs/>
          <w:color w:val="auto"/>
          <w:u w:val="none"/>
        </w:rPr>
        <w:t>点</w:t>
      </w:r>
      <w:r>
        <w:rPr>
          <w:rFonts w:hint="eastAsia" w:ascii="宋体" w:hAnsi="宋体" w:eastAsia="宋体"/>
          <w:bCs/>
          <w:color w:val="auto"/>
          <w:u w:val="none"/>
          <w:lang w:val="en-US" w:eastAsia="zh-CN"/>
        </w:rPr>
        <w:t>00</w:t>
      </w:r>
      <w:r>
        <w:rPr>
          <w:rFonts w:hint="eastAsia" w:ascii="宋体" w:hAnsi="宋体" w:eastAsia="宋体"/>
          <w:bCs/>
          <w:color w:val="auto"/>
          <w:u w:val="none"/>
        </w:rPr>
        <w:t>分</w:t>
      </w:r>
      <w:r>
        <w:rPr>
          <w:rFonts w:hint="eastAsia" w:ascii="宋体" w:hAnsi="宋体" w:eastAsia="宋体"/>
          <w:bCs/>
          <w:color w:val="auto"/>
        </w:rPr>
        <w:t>（北京时间）</w:t>
      </w:r>
    </w:p>
    <w:p w14:paraId="232C0DD7">
      <w:pPr>
        <w:spacing w:after="0" w:line="360" w:lineRule="auto"/>
        <w:ind w:firstLine="420" w:firstLineChars="200"/>
        <w:rPr>
          <w:rFonts w:ascii="宋体" w:hAnsi="宋体" w:eastAsia="宋体"/>
          <w:bCs/>
          <w:color w:val="auto"/>
        </w:rPr>
      </w:pPr>
      <w:r>
        <w:rPr>
          <w:rFonts w:hint="eastAsia" w:ascii="宋体" w:hAnsi="宋体" w:eastAsia="宋体" w:cs="Arial"/>
          <w:color w:val="auto"/>
        </w:rPr>
        <w:t>投标地点（网址）</w:t>
      </w:r>
      <w:r>
        <w:rPr>
          <w:rFonts w:hint="eastAsia" w:ascii="宋体" w:hAnsi="宋体" w:eastAsia="宋体"/>
          <w:bCs/>
          <w:color w:val="auto"/>
        </w:rPr>
        <w:t>：</w:t>
      </w:r>
      <w:r>
        <w:rPr>
          <w:rFonts w:hint="eastAsia" w:ascii="宋体" w:hAnsi="宋体" w:eastAsia="宋体"/>
          <w:color w:val="auto"/>
          <w:u w:val="single"/>
        </w:rPr>
        <w:t>政采云平台（</w:t>
      </w:r>
      <w:r>
        <w:rPr>
          <w:rFonts w:ascii="宋体" w:hAnsi="宋体" w:eastAsia="宋体"/>
          <w:color w:val="auto"/>
          <w:u w:val="single"/>
        </w:rPr>
        <w:t>https：//www.zcygov.cn）</w:t>
      </w:r>
    </w:p>
    <w:p w14:paraId="6C1BA747">
      <w:pPr>
        <w:spacing w:after="0" w:line="360" w:lineRule="auto"/>
        <w:ind w:firstLine="420" w:firstLineChars="200"/>
        <w:rPr>
          <w:rFonts w:ascii="宋体" w:hAnsi="宋体" w:eastAsia="宋体"/>
          <w:bCs/>
          <w:color w:val="auto"/>
        </w:rPr>
      </w:pPr>
      <w:r>
        <w:rPr>
          <w:rFonts w:hint="eastAsia" w:ascii="宋体" w:hAnsi="宋体" w:eastAsia="宋体"/>
          <w:bCs/>
          <w:color w:val="auto"/>
        </w:rPr>
        <w:t>开标时间：</w:t>
      </w:r>
      <w:r>
        <w:rPr>
          <w:rFonts w:hint="eastAsia" w:ascii="宋体" w:hAnsi="宋体" w:eastAsia="宋体"/>
          <w:bCs/>
          <w:color w:val="auto"/>
          <w:u w:val="none"/>
        </w:rPr>
        <w:t>2025年</w:t>
      </w:r>
      <w:r>
        <w:rPr>
          <w:rFonts w:hint="eastAsia" w:ascii="宋体" w:hAnsi="宋体" w:eastAsia="宋体"/>
          <w:bCs/>
          <w:color w:val="auto"/>
          <w:u w:val="none"/>
          <w:lang w:val="en-US" w:eastAsia="zh-CN"/>
        </w:rPr>
        <w:t>7</w:t>
      </w:r>
      <w:r>
        <w:rPr>
          <w:rFonts w:hint="eastAsia" w:ascii="宋体" w:hAnsi="宋体" w:eastAsia="宋体"/>
          <w:bCs/>
          <w:color w:val="auto"/>
          <w:u w:val="none"/>
        </w:rPr>
        <w:t>月</w:t>
      </w:r>
      <w:r>
        <w:rPr>
          <w:rFonts w:hint="eastAsia" w:ascii="宋体" w:hAnsi="宋体" w:eastAsia="宋体"/>
          <w:bCs/>
          <w:color w:val="auto"/>
          <w:u w:val="none"/>
          <w:lang w:val="en-US" w:eastAsia="zh-CN"/>
        </w:rPr>
        <w:t>21</w:t>
      </w:r>
      <w:r>
        <w:rPr>
          <w:rFonts w:hint="eastAsia" w:ascii="宋体" w:hAnsi="宋体" w:eastAsia="宋体"/>
          <w:bCs/>
          <w:color w:val="auto"/>
          <w:u w:val="none"/>
        </w:rPr>
        <w:t>日</w:t>
      </w:r>
      <w:r>
        <w:rPr>
          <w:rFonts w:hint="eastAsia" w:ascii="宋体" w:hAnsi="宋体" w:eastAsia="宋体"/>
          <w:bCs/>
          <w:color w:val="auto"/>
          <w:u w:val="none"/>
          <w:lang w:val="en-US" w:eastAsia="zh-CN"/>
        </w:rPr>
        <w:t>14</w:t>
      </w:r>
      <w:r>
        <w:rPr>
          <w:rFonts w:hint="eastAsia" w:ascii="宋体" w:hAnsi="宋体" w:eastAsia="宋体"/>
          <w:bCs/>
          <w:color w:val="auto"/>
          <w:u w:val="none"/>
        </w:rPr>
        <w:t>点</w:t>
      </w:r>
      <w:r>
        <w:rPr>
          <w:rFonts w:hint="eastAsia" w:ascii="宋体" w:hAnsi="宋体" w:eastAsia="宋体"/>
          <w:bCs/>
          <w:color w:val="auto"/>
          <w:u w:val="none"/>
          <w:lang w:val="en-US" w:eastAsia="zh-CN"/>
        </w:rPr>
        <w:t>00</w:t>
      </w:r>
      <w:r>
        <w:rPr>
          <w:rFonts w:hint="eastAsia" w:ascii="宋体" w:hAnsi="宋体" w:eastAsia="宋体"/>
          <w:bCs/>
          <w:color w:val="auto"/>
          <w:u w:val="none"/>
        </w:rPr>
        <w:t>分</w:t>
      </w:r>
      <w:r>
        <w:rPr>
          <w:rFonts w:hint="eastAsia" w:ascii="宋体" w:hAnsi="宋体" w:eastAsia="宋体"/>
          <w:bCs/>
          <w:color w:val="auto"/>
        </w:rPr>
        <w:t>（北京时间）</w:t>
      </w:r>
    </w:p>
    <w:p w14:paraId="7BED40A5">
      <w:pPr>
        <w:spacing w:after="0" w:line="360" w:lineRule="auto"/>
        <w:ind w:firstLine="420" w:firstLineChars="200"/>
        <w:rPr>
          <w:rFonts w:ascii="宋体" w:hAnsi="宋体" w:eastAsia="宋体"/>
          <w:bCs/>
          <w:color w:val="auto"/>
        </w:rPr>
      </w:pPr>
      <w:r>
        <w:rPr>
          <w:rFonts w:hint="eastAsia" w:ascii="宋体" w:hAnsi="宋体" w:eastAsia="宋体"/>
          <w:bCs/>
          <w:color w:val="auto"/>
        </w:rPr>
        <w:t>开标地点（网址）：</w:t>
      </w:r>
      <w:r>
        <w:rPr>
          <w:rFonts w:hint="eastAsia" w:ascii="宋体" w:hAnsi="宋体" w:eastAsia="宋体"/>
          <w:bCs/>
          <w:color w:val="auto"/>
          <w:u w:val="single"/>
        </w:rPr>
        <w:t>政采云平台（</w:t>
      </w:r>
      <w:r>
        <w:rPr>
          <w:rFonts w:ascii="宋体" w:hAnsi="宋体" w:eastAsia="宋体"/>
          <w:bCs/>
          <w:color w:val="auto"/>
          <w:u w:val="single"/>
        </w:rPr>
        <w:t>https：//www.zcygov.cn）</w:t>
      </w:r>
    </w:p>
    <w:p w14:paraId="57D5E71C">
      <w:pPr>
        <w:snapToGrid w:val="0"/>
        <w:spacing w:after="0" w:line="360" w:lineRule="auto"/>
        <w:ind w:firstLine="422"/>
        <w:rPr>
          <w:rFonts w:ascii="宋体" w:hAnsi="宋体" w:eastAsia="宋体" w:cs="Arial"/>
          <w:b/>
          <w:color w:val="auto"/>
        </w:rPr>
      </w:pPr>
      <w:r>
        <w:rPr>
          <w:rFonts w:hint="eastAsia" w:ascii="宋体" w:hAnsi="宋体" w:eastAsia="宋体" w:cs="Arial"/>
          <w:b/>
          <w:color w:val="auto"/>
        </w:rPr>
        <w:t>五、公告期限</w:t>
      </w:r>
      <w:bookmarkEnd w:id="19"/>
      <w:bookmarkEnd w:id="20"/>
      <w:bookmarkEnd w:id="21"/>
      <w:bookmarkEnd w:id="22"/>
    </w:p>
    <w:p w14:paraId="44101009">
      <w:pPr>
        <w:spacing w:after="0"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自本公告发布之日起5个工作日。</w:t>
      </w:r>
    </w:p>
    <w:bookmarkEnd w:id="1"/>
    <w:p w14:paraId="37441491">
      <w:pPr>
        <w:snapToGrid w:val="0"/>
        <w:spacing w:after="0" w:line="360" w:lineRule="auto"/>
        <w:ind w:firstLine="422"/>
        <w:rPr>
          <w:rFonts w:ascii="宋体" w:hAnsi="宋体" w:eastAsia="宋体" w:cs="Arial"/>
          <w:b/>
          <w:color w:val="auto"/>
        </w:rPr>
      </w:pPr>
      <w:bookmarkStart w:id="23" w:name="_Toc35393626"/>
      <w:bookmarkStart w:id="24" w:name="_Toc35393795"/>
      <w:r>
        <w:rPr>
          <w:rFonts w:hint="eastAsia" w:ascii="宋体" w:hAnsi="宋体" w:eastAsia="宋体" w:cs="Arial"/>
          <w:b/>
          <w:color w:val="auto"/>
        </w:rPr>
        <w:t>六、其他补充事宜</w:t>
      </w:r>
      <w:bookmarkEnd w:id="23"/>
      <w:bookmarkEnd w:id="24"/>
    </w:p>
    <w:p w14:paraId="49D5DCB6">
      <w:pPr>
        <w:snapToGrid w:val="0"/>
        <w:spacing w:after="0" w:line="360" w:lineRule="auto"/>
        <w:ind w:firstLine="411" w:firstLineChars="196"/>
        <w:rPr>
          <w:rFonts w:ascii="宋体" w:hAnsi="宋体" w:eastAsia="宋体" w:cs="Arial"/>
          <w:color w:val="auto"/>
        </w:rPr>
      </w:pPr>
      <w:r>
        <w:rPr>
          <w:rFonts w:hint="eastAsia" w:ascii="宋体" w:hAnsi="宋体" w:eastAsia="宋体" w:cs="Arial"/>
          <w:color w:val="auto"/>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2C810A62">
      <w:pPr>
        <w:snapToGrid w:val="0"/>
        <w:spacing w:after="0" w:line="360" w:lineRule="auto"/>
        <w:ind w:firstLine="411" w:firstLineChars="196"/>
        <w:rPr>
          <w:rFonts w:ascii="宋体" w:hAnsi="宋体" w:eastAsia="宋体" w:cs="Arial"/>
          <w:color w:val="auto"/>
        </w:rPr>
      </w:pPr>
      <w:r>
        <w:rPr>
          <w:rFonts w:ascii="宋体" w:hAnsi="宋体" w:eastAsia="宋体" w:cs="Arial"/>
          <w:color w:val="auto"/>
        </w:rPr>
        <w:t>2.其他事项：</w:t>
      </w:r>
    </w:p>
    <w:p w14:paraId="6D782A64">
      <w:pPr>
        <w:snapToGrid w:val="0"/>
        <w:spacing w:after="0" w:line="360" w:lineRule="auto"/>
        <w:ind w:firstLine="411" w:firstLineChars="196"/>
        <w:rPr>
          <w:rFonts w:ascii="宋体" w:hAnsi="宋体" w:eastAsia="宋体" w:cs="Arial"/>
          <w:color w:val="auto"/>
        </w:rPr>
      </w:pPr>
      <w:r>
        <w:rPr>
          <w:rFonts w:hint="eastAsia" w:ascii="宋体" w:hAnsi="宋体" w:eastAsia="宋体" w:cs="Arial"/>
          <w:color w:val="auto"/>
        </w:rPr>
        <w:t>（1）为依法获取本项目招标文件及投标响应，潜在投标人应当按照《浙江省政府采购供应商注册及诚信管理暂行办法》的规定在“浙江政府采购网(</w:t>
      </w:r>
      <w:r>
        <w:rPr>
          <w:rFonts w:ascii="宋体" w:hAnsi="宋体" w:eastAsia="宋体" w:cs="Arial"/>
          <w:color w:val="auto"/>
        </w:rPr>
        <w:t>http：//zfcg.czt.zj.gov.cn/</w:t>
      </w:r>
      <w:r>
        <w:rPr>
          <w:rFonts w:hint="eastAsia" w:ascii="宋体" w:hAnsi="宋体" w:eastAsia="宋体" w:cs="Arial"/>
          <w:color w:val="auto"/>
        </w:rPr>
        <w:t>)”政采云平台注册登记。中标人必须在采购人支付合同款项前成为注册供应商。</w:t>
      </w:r>
    </w:p>
    <w:p w14:paraId="35FF2189">
      <w:pPr>
        <w:snapToGrid w:val="0"/>
        <w:spacing w:after="0" w:line="360" w:lineRule="auto"/>
        <w:ind w:firstLine="411" w:firstLineChars="196"/>
        <w:rPr>
          <w:rFonts w:ascii="宋体" w:hAnsi="宋体" w:eastAsia="宋体" w:cs="Arial"/>
          <w:color w:val="auto"/>
        </w:rPr>
      </w:pPr>
      <w:r>
        <w:rPr>
          <w:rFonts w:hint="eastAsia" w:ascii="宋体" w:hAnsi="宋体" w:eastAsia="宋体" w:cs="Arial"/>
          <w:color w:val="auto"/>
        </w:rPr>
        <w:t>（2）本项目依据《浙江省政府采购项目电子交易管理暂行办法》采用电子交易方式实施采购，电子交易平台为政采云平台(</w:t>
      </w:r>
      <w:r>
        <w:rPr>
          <w:rFonts w:hint="eastAsia" w:ascii="宋体" w:hAnsi="宋体" w:eastAsia="宋体"/>
          <w:color w:val="auto"/>
          <w:u w:val="single"/>
        </w:rPr>
        <w:t>https：//www.zcygov.cn</w:t>
      </w:r>
      <w:r>
        <w:rPr>
          <w:rFonts w:hint="eastAsia" w:ascii="宋体" w:hAnsi="宋体" w:eastAsia="宋体" w:cs="Arial"/>
          <w:color w:val="auto"/>
        </w:rPr>
        <w:t>）。潜在投标人在参与本项目投标前应当完成政采云平台的账号注册、身份认证（CA数字证书申领）、“政采云电子交易客户端”下载安装。</w:t>
      </w:r>
    </w:p>
    <w:p w14:paraId="17B64B21">
      <w:pPr>
        <w:snapToGrid w:val="0"/>
        <w:spacing w:after="0" w:line="360" w:lineRule="auto"/>
        <w:ind w:firstLine="411" w:firstLineChars="196"/>
        <w:rPr>
          <w:rFonts w:ascii="宋体" w:hAnsi="宋体" w:eastAsia="宋体" w:cs="宋体"/>
          <w:color w:val="auto"/>
        </w:rPr>
      </w:pPr>
      <w:bookmarkStart w:id="25" w:name="_Toc35393627"/>
      <w:bookmarkStart w:id="26" w:name="_Toc28359085"/>
      <w:bookmarkStart w:id="27" w:name="_Toc35393796"/>
      <w:bookmarkStart w:id="28" w:name="_Toc28359008"/>
      <w:r>
        <w:rPr>
          <w:rFonts w:hint="eastAsia" w:ascii="宋体" w:hAnsi="宋体" w:eastAsia="宋体" w:cs="Arial"/>
          <w:color w:val="auto"/>
        </w:rPr>
        <w:t>（</w:t>
      </w:r>
      <w:r>
        <w:rPr>
          <w:rFonts w:ascii="宋体" w:hAnsi="宋体" w:eastAsia="宋体" w:cs="Arial"/>
          <w:color w:val="auto"/>
        </w:rPr>
        <w:t>3</w:t>
      </w:r>
      <w:r>
        <w:rPr>
          <w:rFonts w:hint="eastAsia" w:ascii="宋体" w:hAnsi="宋体" w:eastAsia="宋体" w:cs="Arial"/>
          <w:color w:val="auto"/>
        </w:rPr>
        <w:t>）投标人</w:t>
      </w:r>
      <w:r>
        <w:rPr>
          <w:rFonts w:ascii="宋体" w:hAnsi="宋体" w:eastAsia="宋体" w:cs="宋体"/>
          <w:color w:val="auto"/>
        </w:rPr>
        <w:t>如提供备份投标文件的，应于提交投标文件截止时间前，将以U盘存储的电子备份投标文件</w:t>
      </w:r>
      <w:r>
        <w:rPr>
          <w:rFonts w:hint="eastAsia" w:ascii="宋体" w:hAnsi="宋体" w:eastAsia="宋体" w:cs="宋体"/>
          <w:color w:val="auto"/>
        </w:rPr>
        <w:t>按照招标文件的规定密封、标注并盖章后</w:t>
      </w:r>
      <w:r>
        <w:rPr>
          <w:rFonts w:ascii="宋体" w:hAnsi="宋体" w:eastAsia="宋体" w:cs="宋体"/>
          <w:color w:val="auto"/>
        </w:rPr>
        <w:t>，递交至</w:t>
      </w:r>
      <w:r>
        <w:rPr>
          <w:rFonts w:hint="eastAsia" w:ascii="宋体" w:hAnsi="宋体" w:eastAsia="宋体" w:cs="Arial"/>
          <w:b/>
          <w:color w:val="auto"/>
        </w:rPr>
        <w:t>宁波市海曙区江汇城496号姚江时代14幢3楼</w:t>
      </w:r>
      <w:r>
        <w:rPr>
          <w:rFonts w:ascii="宋体" w:hAnsi="宋体" w:eastAsia="宋体" w:cs="宋体"/>
          <w:color w:val="auto"/>
        </w:rPr>
        <w:t>，逾期送达或未</w:t>
      </w:r>
      <w:r>
        <w:rPr>
          <w:rFonts w:hint="eastAsia" w:ascii="宋体" w:hAnsi="宋体" w:eastAsia="宋体" w:cs="宋体"/>
          <w:color w:val="auto"/>
        </w:rPr>
        <w:t>按照规定</w:t>
      </w:r>
      <w:r>
        <w:rPr>
          <w:rFonts w:ascii="宋体" w:hAnsi="宋体" w:eastAsia="宋体" w:cs="宋体"/>
          <w:color w:val="auto"/>
        </w:rPr>
        <w:t>密封</w:t>
      </w:r>
      <w:r>
        <w:rPr>
          <w:rFonts w:hint="eastAsia" w:ascii="宋体" w:hAnsi="宋体" w:eastAsia="宋体" w:cs="宋体"/>
          <w:color w:val="auto"/>
        </w:rPr>
        <w:t>包装的招标代理机构有权拒绝接收</w:t>
      </w:r>
      <w:r>
        <w:rPr>
          <w:rFonts w:ascii="宋体" w:hAnsi="宋体" w:eastAsia="宋体" w:cs="宋体"/>
          <w:color w:val="auto"/>
        </w:rPr>
        <w:t>。</w:t>
      </w:r>
    </w:p>
    <w:p w14:paraId="476CF9F8">
      <w:pPr>
        <w:snapToGrid w:val="0"/>
        <w:spacing w:after="0" w:line="360" w:lineRule="auto"/>
        <w:ind w:firstLine="411" w:firstLineChars="196"/>
        <w:rPr>
          <w:rFonts w:ascii="宋体" w:hAnsi="宋体" w:eastAsia="宋体" w:cs="宋体"/>
          <w:color w:val="auto"/>
        </w:rPr>
      </w:pPr>
      <w:r>
        <w:rPr>
          <w:rFonts w:hint="eastAsia" w:ascii="宋体" w:hAnsi="宋体" w:eastAsia="宋体" w:cs="宋体"/>
          <w:color w:val="auto"/>
        </w:rPr>
        <w:t>（4）落实政府采购政策：本项目非专门面向中小企业采购，对符合财政扶持政策的中小企业、监狱企业、残疾人福利性单位给予价格优惠。</w:t>
      </w:r>
    </w:p>
    <w:p w14:paraId="3ABE75C9">
      <w:pPr>
        <w:snapToGrid w:val="0"/>
        <w:spacing w:after="0" w:line="360" w:lineRule="auto"/>
        <w:ind w:firstLine="422"/>
        <w:rPr>
          <w:rFonts w:ascii="宋体" w:hAnsi="宋体" w:eastAsia="宋体" w:cs="Arial"/>
          <w:b/>
          <w:color w:val="auto"/>
        </w:rPr>
      </w:pPr>
      <w:r>
        <w:rPr>
          <w:rFonts w:hint="eastAsia" w:ascii="宋体" w:hAnsi="宋体" w:eastAsia="宋体" w:cs="Arial"/>
          <w:b/>
          <w:color w:val="auto"/>
        </w:rPr>
        <w:t>七、对本次招标提出询问，请按</w:t>
      </w:r>
      <w:r>
        <w:rPr>
          <w:rFonts w:ascii="宋体" w:hAnsi="宋体" w:eastAsia="宋体" w:cs="Arial"/>
          <w:b/>
          <w:color w:val="auto"/>
        </w:rPr>
        <w:t>以下方式</w:t>
      </w:r>
      <w:r>
        <w:rPr>
          <w:rFonts w:hint="eastAsia" w:ascii="宋体" w:hAnsi="宋体" w:eastAsia="宋体" w:cs="Arial"/>
          <w:b/>
          <w:color w:val="auto"/>
        </w:rPr>
        <w:t>联系。</w:t>
      </w:r>
      <w:bookmarkEnd w:id="25"/>
      <w:bookmarkEnd w:id="26"/>
      <w:bookmarkEnd w:id="27"/>
      <w:bookmarkEnd w:id="28"/>
    </w:p>
    <w:p w14:paraId="37B97FEE">
      <w:pPr>
        <w:snapToGrid w:val="0"/>
        <w:spacing w:after="0" w:line="360" w:lineRule="auto"/>
        <w:ind w:firstLine="411" w:firstLineChars="196"/>
        <w:rPr>
          <w:rFonts w:ascii="宋体" w:hAnsi="宋体" w:eastAsia="宋体"/>
          <w:color w:val="auto"/>
        </w:rPr>
      </w:pPr>
      <w:r>
        <w:rPr>
          <w:rFonts w:ascii="宋体" w:hAnsi="宋体" w:eastAsia="宋体"/>
          <w:color w:val="auto"/>
        </w:rPr>
        <w:t>1.采购人信息</w:t>
      </w:r>
    </w:p>
    <w:p w14:paraId="626D941E">
      <w:pPr>
        <w:snapToGrid w:val="0"/>
        <w:spacing w:after="0" w:line="360" w:lineRule="auto"/>
        <w:ind w:firstLine="411" w:firstLineChars="196"/>
        <w:rPr>
          <w:rFonts w:ascii="宋体" w:hAnsi="宋体" w:eastAsia="宋体"/>
          <w:color w:val="auto"/>
        </w:rPr>
      </w:pPr>
      <w:bookmarkStart w:id="29" w:name="_Toc28359086"/>
      <w:bookmarkStart w:id="30" w:name="_Toc28359009"/>
      <w:r>
        <w:rPr>
          <w:rFonts w:hint="eastAsia" w:ascii="宋体" w:hAnsi="宋体" w:eastAsia="宋体"/>
          <w:color w:val="auto"/>
        </w:rPr>
        <w:t>名称：宁波市自然资源整治储备中心</w:t>
      </w:r>
    </w:p>
    <w:p w14:paraId="20D827C1">
      <w:pPr>
        <w:snapToGrid w:val="0"/>
        <w:spacing w:after="0" w:line="360" w:lineRule="auto"/>
        <w:ind w:firstLine="411" w:firstLineChars="196"/>
        <w:rPr>
          <w:rFonts w:ascii="宋体" w:hAnsi="宋体" w:eastAsia="宋体"/>
          <w:color w:val="auto"/>
        </w:rPr>
      </w:pPr>
      <w:r>
        <w:rPr>
          <w:rFonts w:hint="eastAsia" w:ascii="宋体" w:hAnsi="宋体" w:eastAsia="宋体"/>
          <w:color w:val="auto"/>
        </w:rPr>
        <w:t>地址：宁波市鄞州区和济街</w:t>
      </w:r>
      <w:r>
        <w:rPr>
          <w:rFonts w:ascii="宋体" w:hAnsi="宋体" w:eastAsia="宋体"/>
          <w:color w:val="auto"/>
        </w:rPr>
        <w:t>9号</w:t>
      </w:r>
    </w:p>
    <w:p w14:paraId="1F79DD53">
      <w:pPr>
        <w:snapToGrid w:val="0"/>
        <w:spacing w:after="0" w:line="360" w:lineRule="auto"/>
        <w:ind w:firstLine="411" w:firstLineChars="196"/>
        <w:rPr>
          <w:rFonts w:ascii="宋体" w:hAnsi="宋体" w:eastAsia="宋体"/>
          <w:color w:val="auto"/>
        </w:rPr>
      </w:pPr>
      <w:r>
        <w:rPr>
          <w:rFonts w:hint="eastAsia" w:ascii="宋体" w:hAnsi="宋体" w:eastAsia="宋体"/>
          <w:color w:val="auto"/>
        </w:rPr>
        <w:t>传真：</w:t>
      </w:r>
      <w:r>
        <w:rPr>
          <w:rFonts w:ascii="宋体" w:hAnsi="宋体" w:eastAsia="宋体"/>
          <w:color w:val="auto"/>
        </w:rPr>
        <w:t>/</w:t>
      </w:r>
    </w:p>
    <w:p w14:paraId="212C7433">
      <w:pPr>
        <w:snapToGrid w:val="0"/>
        <w:spacing w:after="0" w:line="360" w:lineRule="auto"/>
        <w:ind w:firstLine="411" w:firstLineChars="196"/>
        <w:rPr>
          <w:rFonts w:ascii="宋体" w:hAnsi="宋体" w:eastAsia="宋体"/>
          <w:color w:val="auto"/>
        </w:rPr>
      </w:pPr>
      <w:r>
        <w:rPr>
          <w:rFonts w:hint="eastAsia" w:ascii="宋体" w:hAnsi="宋体" w:eastAsia="宋体"/>
          <w:color w:val="auto"/>
        </w:rPr>
        <w:t>项目联系人（询问）：罗老师</w:t>
      </w:r>
    </w:p>
    <w:p w14:paraId="41728119">
      <w:pPr>
        <w:snapToGrid w:val="0"/>
        <w:spacing w:after="0" w:line="360" w:lineRule="auto"/>
        <w:ind w:firstLine="411" w:firstLineChars="196"/>
        <w:rPr>
          <w:rFonts w:ascii="宋体" w:hAnsi="宋体" w:eastAsia="宋体"/>
          <w:color w:val="auto"/>
        </w:rPr>
      </w:pPr>
      <w:r>
        <w:rPr>
          <w:rFonts w:hint="eastAsia" w:ascii="宋体" w:hAnsi="宋体" w:eastAsia="宋体"/>
          <w:color w:val="auto"/>
        </w:rPr>
        <w:t>项目联系方式：</w:t>
      </w:r>
      <w:r>
        <w:rPr>
          <w:rFonts w:ascii="宋体" w:hAnsi="宋体" w:eastAsia="宋体"/>
          <w:color w:val="auto"/>
        </w:rPr>
        <w:t>0574-89284836</w:t>
      </w:r>
    </w:p>
    <w:p w14:paraId="60CF7B3D">
      <w:pPr>
        <w:snapToGrid w:val="0"/>
        <w:spacing w:after="0" w:line="360" w:lineRule="auto"/>
        <w:ind w:firstLine="411" w:firstLineChars="196"/>
        <w:rPr>
          <w:rFonts w:ascii="宋体" w:hAnsi="宋体" w:eastAsia="宋体"/>
          <w:color w:val="auto"/>
        </w:rPr>
      </w:pPr>
      <w:r>
        <w:rPr>
          <w:rFonts w:hint="eastAsia" w:ascii="宋体" w:hAnsi="宋体" w:eastAsia="宋体"/>
          <w:color w:val="auto"/>
        </w:rPr>
        <w:t>质疑联系人：徐老师</w:t>
      </w:r>
    </w:p>
    <w:p w14:paraId="12B7C73A">
      <w:pPr>
        <w:snapToGrid w:val="0"/>
        <w:spacing w:after="0" w:line="360" w:lineRule="auto"/>
        <w:ind w:firstLine="411" w:firstLineChars="196"/>
        <w:rPr>
          <w:rFonts w:ascii="宋体" w:hAnsi="宋体" w:eastAsia="宋体"/>
          <w:color w:val="auto"/>
        </w:rPr>
      </w:pPr>
      <w:r>
        <w:rPr>
          <w:rFonts w:hint="eastAsia" w:ascii="宋体" w:hAnsi="宋体" w:eastAsia="宋体"/>
          <w:color w:val="auto"/>
        </w:rPr>
        <w:t>质疑联系人方式：</w:t>
      </w:r>
      <w:r>
        <w:rPr>
          <w:rFonts w:ascii="宋体" w:hAnsi="宋体" w:eastAsia="宋体"/>
          <w:color w:val="auto"/>
        </w:rPr>
        <w:t>0574-89284845</w:t>
      </w:r>
    </w:p>
    <w:p w14:paraId="2F62BD69">
      <w:pPr>
        <w:snapToGrid w:val="0"/>
        <w:spacing w:after="0" w:line="360" w:lineRule="auto"/>
        <w:ind w:firstLine="411" w:firstLineChars="196"/>
        <w:rPr>
          <w:rFonts w:ascii="宋体" w:hAnsi="宋体" w:eastAsia="宋体"/>
          <w:color w:val="auto"/>
        </w:rPr>
      </w:pPr>
      <w:r>
        <w:rPr>
          <w:rFonts w:ascii="宋体" w:hAnsi="宋体" w:eastAsia="宋体"/>
          <w:color w:val="auto"/>
        </w:rPr>
        <w:t>2.采购代理机构信息</w:t>
      </w:r>
      <w:bookmarkEnd w:id="29"/>
      <w:bookmarkEnd w:id="30"/>
    </w:p>
    <w:p w14:paraId="7A09279A">
      <w:pPr>
        <w:snapToGrid w:val="0"/>
        <w:spacing w:after="0" w:line="360" w:lineRule="auto"/>
        <w:ind w:firstLine="411" w:firstLineChars="196"/>
        <w:rPr>
          <w:rFonts w:ascii="宋体" w:hAnsi="宋体" w:eastAsia="宋体"/>
          <w:color w:val="auto"/>
        </w:rPr>
      </w:pPr>
      <w:bookmarkStart w:id="31" w:name="_Toc28359010"/>
      <w:bookmarkStart w:id="32" w:name="_Toc28359087"/>
      <w:r>
        <w:rPr>
          <w:rFonts w:ascii="宋体" w:hAnsi="宋体" w:eastAsia="宋体"/>
          <w:color w:val="auto"/>
        </w:rPr>
        <w:t>名称：宁波名诚招标代理有限公司</w:t>
      </w:r>
    </w:p>
    <w:p w14:paraId="4C414391">
      <w:pPr>
        <w:snapToGrid w:val="0"/>
        <w:spacing w:after="0" w:line="360" w:lineRule="auto"/>
        <w:ind w:firstLine="411" w:firstLineChars="196"/>
        <w:rPr>
          <w:rFonts w:ascii="宋体" w:hAnsi="宋体" w:eastAsia="宋体"/>
          <w:color w:val="auto"/>
        </w:rPr>
      </w:pPr>
      <w:r>
        <w:rPr>
          <w:rFonts w:ascii="宋体" w:hAnsi="宋体" w:eastAsia="宋体"/>
          <w:color w:val="auto"/>
        </w:rPr>
        <w:t>地址：宁波市海曙区江汇城496号姚江时代14幢3楼</w:t>
      </w:r>
    </w:p>
    <w:p w14:paraId="7EC9FEFE">
      <w:pPr>
        <w:snapToGrid w:val="0"/>
        <w:spacing w:after="0" w:line="360" w:lineRule="auto"/>
        <w:ind w:firstLine="411" w:firstLineChars="196"/>
        <w:rPr>
          <w:rFonts w:ascii="宋体" w:hAnsi="宋体" w:eastAsia="宋体"/>
          <w:color w:val="auto"/>
        </w:rPr>
      </w:pPr>
      <w:r>
        <w:rPr>
          <w:rFonts w:ascii="宋体" w:hAnsi="宋体" w:eastAsia="宋体"/>
          <w:color w:val="auto"/>
        </w:rPr>
        <w:t>传真：/</w:t>
      </w:r>
    </w:p>
    <w:p w14:paraId="26485701">
      <w:pPr>
        <w:snapToGrid w:val="0"/>
        <w:spacing w:after="0" w:line="360" w:lineRule="auto"/>
        <w:ind w:firstLine="411" w:firstLineChars="196"/>
        <w:rPr>
          <w:rFonts w:ascii="宋体" w:hAnsi="宋体" w:eastAsia="宋体"/>
          <w:color w:val="auto"/>
        </w:rPr>
      </w:pPr>
      <w:r>
        <w:rPr>
          <w:rFonts w:ascii="宋体" w:hAnsi="宋体" w:eastAsia="宋体"/>
          <w:color w:val="auto"/>
        </w:rPr>
        <w:t>项目联系人（询问）：</w:t>
      </w:r>
      <w:r>
        <w:rPr>
          <w:rFonts w:hint="eastAsia" w:ascii="宋体" w:hAnsi="宋体" w:eastAsia="宋体"/>
          <w:color w:val="auto"/>
        </w:rPr>
        <w:t>王立挺、何晟昊、江森杰、金生华、</w:t>
      </w:r>
      <w:r>
        <w:rPr>
          <w:rFonts w:ascii="宋体" w:hAnsi="宋体" w:eastAsia="宋体"/>
          <w:color w:val="auto"/>
        </w:rPr>
        <w:t>王裕挺</w:t>
      </w:r>
    </w:p>
    <w:p w14:paraId="403E773D">
      <w:pPr>
        <w:snapToGrid w:val="0"/>
        <w:spacing w:after="0" w:line="360" w:lineRule="auto"/>
        <w:ind w:firstLine="411" w:firstLineChars="196"/>
        <w:rPr>
          <w:rFonts w:ascii="宋体" w:hAnsi="宋体" w:eastAsia="宋体"/>
          <w:color w:val="auto"/>
        </w:rPr>
      </w:pPr>
      <w:r>
        <w:rPr>
          <w:rFonts w:ascii="宋体" w:hAnsi="宋体" w:eastAsia="宋体"/>
          <w:color w:val="auto"/>
        </w:rPr>
        <w:t>项目联系方式（询问）：0574-87101259</w:t>
      </w:r>
    </w:p>
    <w:p w14:paraId="377129A4">
      <w:pPr>
        <w:snapToGrid w:val="0"/>
        <w:spacing w:after="0" w:line="360" w:lineRule="auto"/>
        <w:ind w:firstLine="411" w:firstLineChars="196"/>
        <w:rPr>
          <w:rFonts w:ascii="宋体" w:hAnsi="宋体" w:eastAsia="宋体"/>
          <w:color w:val="auto"/>
        </w:rPr>
      </w:pPr>
      <w:r>
        <w:rPr>
          <w:rFonts w:ascii="宋体" w:hAnsi="宋体" w:eastAsia="宋体"/>
          <w:color w:val="auto"/>
        </w:rPr>
        <w:t>质疑联系人：方芳</w:t>
      </w:r>
    </w:p>
    <w:p w14:paraId="0B574130">
      <w:pPr>
        <w:snapToGrid w:val="0"/>
        <w:spacing w:after="0" w:line="360" w:lineRule="auto"/>
        <w:ind w:firstLine="411" w:firstLineChars="196"/>
        <w:rPr>
          <w:rFonts w:ascii="宋体" w:hAnsi="宋体" w:eastAsia="宋体"/>
          <w:color w:val="auto"/>
        </w:rPr>
      </w:pPr>
      <w:r>
        <w:rPr>
          <w:rFonts w:ascii="宋体" w:hAnsi="宋体" w:eastAsia="宋体"/>
          <w:color w:val="auto"/>
        </w:rPr>
        <w:t>质疑联系方式：0574-87101271</w:t>
      </w:r>
    </w:p>
    <w:bookmarkEnd w:id="31"/>
    <w:bookmarkEnd w:id="32"/>
    <w:p w14:paraId="2D6C824A">
      <w:pPr>
        <w:snapToGrid w:val="0"/>
        <w:spacing w:after="0" w:line="360" w:lineRule="auto"/>
        <w:ind w:firstLine="411" w:firstLineChars="196"/>
        <w:rPr>
          <w:rFonts w:ascii="宋体" w:hAnsi="宋体" w:eastAsia="宋体"/>
          <w:color w:val="auto"/>
        </w:rPr>
      </w:pPr>
      <w:r>
        <w:rPr>
          <w:rFonts w:ascii="宋体" w:hAnsi="宋体" w:eastAsia="宋体"/>
          <w:color w:val="auto"/>
        </w:rPr>
        <w:t>3.同级政府采购监督管理部门</w:t>
      </w:r>
    </w:p>
    <w:p w14:paraId="36CF1F09">
      <w:pPr>
        <w:snapToGrid w:val="0"/>
        <w:spacing w:after="0" w:line="360" w:lineRule="auto"/>
        <w:ind w:firstLine="411" w:firstLineChars="196"/>
        <w:rPr>
          <w:rFonts w:ascii="宋体" w:hAnsi="宋体" w:eastAsia="宋体"/>
          <w:color w:val="auto"/>
        </w:rPr>
      </w:pPr>
      <w:r>
        <w:rPr>
          <w:rFonts w:ascii="宋体" w:hAnsi="宋体" w:eastAsia="宋体"/>
          <w:color w:val="auto"/>
        </w:rPr>
        <w:t>名称：</w:t>
      </w:r>
      <w:r>
        <w:rPr>
          <w:rFonts w:hint="eastAsia" w:ascii="宋体" w:hAnsi="宋体" w:eastAsia="宋体"/>
          <w:color w:val="auto"/>
        </w:rPr>
        <w:t>宁波市财政局政府采购监管处</w:t>
      </w:r>
    </w:p>
    <w:p w14:paraId="42E6610E">
      <w:pPr>
        <w:snapToGrid w:val="0"/>
        <w:spacing w:after="0" w:line="360" w:lineRule="auto"/>
        <w:ind w:firstLine="411" w:firstLineChars="196"/>
        <w:rPr>
          <w:rFonts w:ascii="宋体" w:hAnsi="宋体" w:eastAsia="宋体"/>
          <w:color w:val="auto"/>
        </w:rPr>
      </w:pPr>
      <w:r>
        <w:rPr>
          <w:rFonts w:ascii="宋体" w:hAnsi="宋体" w:eastAsia="宋体"/>
          <w:color w:val="auto"/>
        </w:rPr>
        <w:t>地址：宁波市海曙区中山西路19号</w:t>
      </w:r>
    </w:p>
    <w:p w14:paraId="1B262630">
      <w:pPr>
        <w:snapToGrid w:val="0"/>
        <w:spacing w:after="0" w:line="360" w:lineRule="auto"/>
        <w:ind w:firstLine="411" w:firstLineChars="196"/>
        <w:rPr>
          <w:rFonts w:ascii="宋体" w:hAnsi="宋体" w:eastAsia="宋体"/>
          <w:color w:val="auto"/>
        </w:rPr>
      </w:pPr>
      <w:r>
        <w:rPr>
          <w:rFonts w:ascii="宋体" w:hAnsi="宋体" w:eastAsia="宋体"/>
          <w:color w:val="auto"/>
        </w:rPr>
        <w:t>传真：/</w:t>
      </w:r>
    </w:p>
    <w:p w14:paraId="2193B996">
      <w:pPr>
        <w:snapToGrid w:val="0"/>
        <w:spacing w:after="0" w:line="360" w:lineRule="auto"/>
        <w:ind w:firstLine="411" w:firstLineChars="196"/>
        <w:rPr>
          <w:rFonts w:ascii="宋体" w:hAnsi="宋体" w:eastAsia="宋体"/>
          <w:color w:val="auto"/>
        </w:rPr>
      </w:pPr>
      <w:r>
        <w:rPr>
          <w:rFonts w:ascii="宋体" w:hAnsi="宋体" w:eastAsia="宋体"/>
          <w:color w:val="auto"/>
        </w:rPr>
        <w:t>联系人：李老师</w:t>
      </w:r>
    </w:p>
    <w:p w14:paraId="3B43612C">
      <w:pPr>
        <w:snapToGrid w:val="0"/>
        <w:spacing w:after="0" w:line="360" w:lineRule="auto"/>
        <w:ind w:firstLine="411" w:firstLineChars="196"/>
        <w:rPr>
          <w:rFonts w:ascii="宋体" w:hAnsi="宋体" w:eastAsia="宋体"/>
          <w:color w:val="auto"/>
        </w:rPr>
      </w:pPr>
      <w:r>
        <w:rPr>
          <w:rFonts w:ascii="宋体" w:hAnsi="宋体" w:eastAsia="宋体"/>
          <w:color w:val="auto"/>
        </w:rPr>
        <w:t>监督投诉电话：0574-89388042</w:t>
      </w:r>
    </w:p>
    <w:p w14:paraId="22F398DF">
      <w:pPr>
        <w:snapToGrid w:val="0"/>
        <w:spacing w:after="0" w:line="360" w:lineRule="auto"/>
        <w:ind w:firstLine="411" w:firstLineChars="196"/>
        <w:rPr>
          <w:rFonts w:ascii="宋体" w:hAnsi="宋体" w:eastAsia="宋体"/>
          <w:color w:val="auto"/>
        </w:rPr>
      </w:pPr>
    </w:p>
    <w:p w14:paraId="763C6C37">
      <w:pPr>
        <w:snapToGrid w:val="0"/>
        <w:spacing w:after="0" w:line="360" w:lineRule="auto"/>
        <w:ind w:firstLine="411" w:firstLineChars="196"/>
        <w:rPr>
          <w:rFonts w:ascii="宋体" w:hAnsi="宋体" w:eastAsia="宋体"/>
          <w:color w:val="auto"/>
        </w:rPr>
      </w:pPr>
      <w:r>
        <w:rPr>
          <w:rFonts w:hint="eastAsia" w:ascii="宋体" w:hAnsi="宋体" w:eastAsia="宋体"/>
          <w:color w:val="auto"/>
        </w:rPr>
        <w:t>若对项目采购电子交易系统操作有疑问，可登录政采云（https：//www.zcygov.cn/），点击右侧咨询小采，获取采小蜜智能服务管家帮助，或拨打政采云服务热线</w:t>
      </w:r>
      <w:r>
        <w:rPr>
          <w:rFonts w:ascii="宋体" w:hAnsi="宋体" w:eastAsia="宋体"/>
          <w:color w:val="auto"/>
        </w:rPr>
        <w:t>95763</w:t>
      </w:r>
      <w:r>
        <w:rPr>
          <w:rFonts w:hint="eastAsia" w:ascii="宋体" w:hAnsi="宋体" w:eastAsia="宋体"/>
          <w:color w:val="auto"/>
        </w:rPr>
        <w:t>获取热线服务帮助。</w:t>
      </w:r>
    </w:p>
    <w:p w14:paraId="07106595">
      <w:pPr>
        <w:snapToGrid w:val="0"/>
        <w:spacing w:after="0" w:line="360" w:lineRule="auto"/>
        <w:ind w:firstLine="411" w:firstLineChars="196"/>
        <w:rPr>
          <w:rFonts w:ascii="宋体" w:hAnsi="宋体" w:eastAsia="宋体"/>
          <w:color w:val="auto"/>
        </w:rPr>
      </w:pPr>
      <w:r>
        <w:rPr>
          <w:rFonts w:hint="eastAsia" w:ascii="宋体" w:hAnsi="宋体" w:eastAsia="宋体"/>
          <w:color w:val="auto"/>
        </w:rPr>
        <w:t>CA问题联系电话（人工）：汇信CA 400-888-4636；天谷CA 400-087-8198。</w:t>
      </w:r>
    </w:p>
    <w:p w14:paraId="1B15B250">
      <w:pPr>
        <w:rPr>
          <w:rFonts w:ascii="宋体" w:hAnsi="宋体" w:eastAsia="宋体"/>
          <w:color w:val="auto"/>
        </w:rPr>
      </w:pPr>
      <w:bookmarkStart w:id="33" w:name="_Toc118452525"/>
      <w:r>
        <w:rPr>
          <w:rFonts w:hint="eastAsia" w:ascii="宋体" w:hAnsi="宋体" w:eastAsia="宋体"/>
          <w:color w:val="auto"/>
        </w:rPr>
        <w:br w:type="page"/>
      </w:r>
    </w:p>
    <w:p w14:paraId="2A666ED8">
      <w:pPr>
        <w:pStyle w:val="2"/>
        <w:spacing w:before="0" w:after="0"/>
        <w:ind w:firstLine="482"/>
        <w:rPr>
          <w:rFonts w:ascii="宋体" w:hAnsi="宋体" w:eastAsia="宋体"/>
          <w:color w:val="auto"/>
        </w:rPr>
      </w:pPr>
      <w:r>
        <w:rPr>
          <w:rFonts w:hint="eastAsia" w:ascii="宋体" w:hAnsi="宋体" w:eastAsia="宋体"/>
          <w:color w:val="auto"/>
        </w:rPr>
        <w:t xml:space="preserve">第二章 </w:t>
      </w:r>
      <w:r>
        <w:rPr>
          <w:rFonts w:ascii="宋体" w:hAnsi="宋体" w:eastAsia="宋体"/>
          <w:color w:val="auto"/>
        </w:rPr>
        <w:t xml:space="preserve"> </w:t>
      </w:r>
      <w:r>
        <w:rPr>
          <w:rFonts w:hint="eastAsia" w:ascii="宋体" w:hAnsi="宋体" w:eastAsia="宋体"/>
          <w:color w:val="auto"/>
        </w:rPr>
        <w:t>采购需求</w:t>
      </w:r>
      <w:bookmarkEnd w:id="33"/>
    </w:p>
    <w:p w14:paraId="36B72EC2">
      <w:pPr>
        <w:spacing w:after="0" w:line="360" w:lineRule="auto"/>
        <w:ind w:firstLine="435"/>
        <w:rPr>
          <w:rFonts w:ascii="宋体" w:hAnsi="宋体" w:eastAsia="宋体"/>
          <w:b/>
          <w:color w:val="auto"/>
        </w:rPr>
      </w:pPr>
      <w:bookmarkStart w:id="34" w:name="OLE_LINK2"/>
      <w:bookmarkStart w:id="35" w:name="_Toc34844743"/>
      <w:bookmarkStart w:id="36" w:name="_Toc118452526"/>
      <w:r>
        <w:rPr>
          <w:rFonts w:hint="eastAsia" w:ascii="宋体" w:hAnsi="宋体" w:eastAsia="宋体"/>
          <w:b/>
          <w:color w:val="auto"/>
        </w:rPr>
        <w:t>一、项目目标</w:t>
      </w:r>
    </w:p>
    <w:p w14:paraId="2C899D99">
      <w:pPr>
        <w:spacing w:after="0" w:line="360" w:lineRule="auto"/>
        <w:ind w:firstLine="435"/>
        <w:rPr>
          <w:rFonts w:ascii="宋体" w:hAnsi="宋体" w:eastAsia="宋体"/>
          <w:color w:val="auto"/>
        </w:rPr>
      </w:pPr>
      <w:r>
        <w:rPr>
          <w:rFonts w:hint="eastAsia" w:ascii="宋体" w:hAnsi="宋体" w:eastAsia="宋体"/>
          <w:color w:val="auto"/>
        </w:rPr>
        <w:t>随着城市化推进和新发展机遇出现，邱隘南环城融合区是中心城区和东钱湖区链接的潜力区域，是城乡融合发展的引领示范，是未来城市发展的重要板块。基于现状迫切性、区位重要性和规划协同必要性，邱隘南环城融合区域前期研究迫在眉睫。</w:t>
      </w:r>
    </w:p>
    <w:p w14:paraId="366FB73F">
      <w:pPr>
        <w:spacing w:after="0" w:line="360" w:lineRule="auto"/>
        <w:ind w:firstLine="435"/>
        <w:rPr>
          <w:rFonts w:ascii="宋体" w:hAnsi="宋体" w:eastAsia="宋体"/>
          <w:b/>
          <w:color w:val="auto"/>
        </w:rPr>
      </w:pPr>
      <w:r>
        <w:rPr>
          <w:rFonts w:hint="eastAsia" w:ascii="宋体" w:hAnsi="宋体" w:eastAsia="宋体"/>
          <w:b/>
          <w:color w:val="auto"/>
        </w:rPr>
        <w:t>二、项目内容</w:t>
      </w:r>
    </w:p>
    <w:p w14:paraId="76D5BC5B">
      <w:pPr>
        <w:spacing w:after="0" w:line="360" w:lineRule="auto"/>
        <w:ind w:firstLine="435"/>
        <w:rPr>
          <w:rFonts w:ascii="宋体" w:hAnsi="宋体" w:eastAsia="宋体"/>
          <w:b/>
          <w:color w:val="auto"/>
        </w:rPr>
      </w:pPr>
      <w:r>
        <w:rPr>
          <w:color w:val="auto"/>
        </w:rPr>
        <w:t>在新发展契机下，本次规划研究面向国空中期调整，进行区域发展的思考，重点工作内容分为两个层级，第一，通过区域总体研究挖潜近期重点区块。梳理区域规划情况和限制要素，基于潜力空间分布，结合市级做地主体已开展工作的情况，进一步明晰近期具备实施条件的重点区块。第二，近期重点区块的土地储备可行性研究。进一步聚焦邱隘南区块，研究内容包括现状基本情况、区块定位和导向、空间布局研究和投资测算及评估四大部分内容。本项目主要涉及区域总体研究、邱隘南区块可研编制两部分内容</w:t>
      </w:r>
      <w:r>
        <w:rPr>
          <w:rFonts w:hint="eastAsia"/>
          <w:color w:val="auto"/>
        </w:rPr>
        <w:t>。</w:t>
      </w:r>
    </w:p>
    <w:p w14:paraId="00A7F269">
      <w:pPr>
        <w:spacing w:after="0" w:line="360" w:lineRule="auto"/>
        <w:ind w:firstLine="435"/>
        <w:rPr>
          <w:rFonts w:ascii="宋体" w:hAnsi="宋体" w:eastAsia="宋体"/>
          <w:b/>
          <w:color w:val="auto"/>
        </w:rPr>
      </w:pPr>
      <w:r>
        <w:rPr>
          <w:rFonts w:hint="eastAsia" w:ascii="宋体" w:hAnsi="宋体" w:eastAsia="宋体"/>
          <w:b/>
          <w:color w:val="auto"/>
        </w:rPr>
        <w:t>三、服务标准</w:t>
      </w:r>
    </w:p>
    <w:p w14:paraId="460B69A8">
      <w:pPr>
        <w:spacing w:after="0" w:line="360" w:lineRule="auto"/>
        <w:ind w:firstLine="420" w:firstLineChars="200"/>
        <w:rPr>
          <w:rFonts w:ascii="宋体" w:hAnsi="宋体" w:eastAsia="宋体" w:cs="宋体"/>
          <w:color w:val="auto"/>
        </w:rPr>
      </w:pPr>
      <w:r>
        <w:rPr>
          <w:rFonts w:hint="eastAsia" w:ascii="宋体" w:hAnsi="宋体" w:eastAsia="宋体" w:cs="宋体"/>
          <w:color w:val="auto"/>
        </w:rPr>
        <w:t>根据行业实际情况和采购人要求，按时高质量完成项目各项工作并交付合格成果。</w:t>
      </w:r>
    </w:p>
    <w:p w14:paraId="3EE11EC2">
      <w:pPr>
        <w:spacing w:after="0" w:line="360" w:lineRule="auto"/>
        <w:ind w:firstLine="435"/>
        <w:rPr>
          <w:rFonts w:ascii="宋体" w:hAnsi="宋体" w:eastAsia="宋体"/>
          <w:b/>
          <w:color w:val="auto"/>
        </w:rPr>
      </w:pPr>
      <w:bookmarkStart w:id="37" w:name="_Toc29646"/>
      <w:r>
        <w:rPr>
          <w:rFonts w:hint="eastAsia" w:ascii="宋体" w:hAnsi="宋体" w:eastAsia="宋体"/>
          <w:b/>
          <w:color w:val="auto"/>
        </w:rPr>
        <w:t>四、服务团队要求</w:t>
      </w:r>
      <w:bookmarkEnd w:id="37"/>
    </w:p>
    <w:p w14:paraId="5D65DDC7">
      <w:pPr>
        <w:autoSpaceDE w:val="0"/>
        <w:autoSpaceDN w:val="0"/>
        <w:adjustRightInd w:val="0"/>
        <w:spacing w:after="0" w:line="360" w:lineRule="auto"/>
        <w:ind w:firstLine="420" w:firstLineChars="200"/>
        <w:rPr>
          <w:rFonts w:ascii="宋体" w:hAnsi="宋体" w:eastAsia="宋体" w:cs="宋体"/>
          <w:bCs/>
          <w:snapToGrid w:val="0"/>
          <w:color w:val="auto"/>
        </w:rPr>
      </w:pPr>
      <w:r>
        <w:rPr>
          <w:rFonts w:hint="eastAsia" w:ascii="宋体" w:hAnsi="宋体" w:eastAsia="宋体" w:cs="宋体"/>
          <w:color w:val="auto"/>
        </w:rPr>
        <w:t>1.供应商拟派本项目的</w:t>
      </w:r>
      <w:r>
        <w:rPr>
          <w:rFonts w:hint="eastAsia" w:ascii="宋体" w:hAnsi="宋体" w:eastAsia="宋体" w:cs="宋体"/>
          <w:bCs/>
          <w:snapToGrid w:val="0"/>
          <w:color w:val="auto"/>
        </w:rPr>
        <w:t>服务团队应组织架构合理、人员数量充足。</w:t>
      </w:r>
    </w:p>
    <w:p w14:paraId="27FA0B50">
      <w:pPr>
        <w:autoSpaceDE w:val="0"/>
        <w:autoSpaceDN w:val="0"/>
        <w:adjustRightInd w:val="0"/>
        <w:spacing w:after="0" w:line="360" w:lineRule="auto"/>
        <w:ind w:firstLine="420" w:firstLineChars="200"/>
        <w:rPr>
          <w:rFonts w:ascii="宋体" w:hAnsi="宋体" w:eastAsia="宋体" w:cs="宋体"/>
          <w:color w:val="auto"/>
        </w:rPr>
      </w:pPr>
      <w:r>
        <w:rPr>
          <w:rFonts w:hint="eastAsia" w:ascii="宋体" w:hAnsi="宋体" w:eastAsia="宋体" w:cs="宋体"/>
          <w:color w:val="auto"/>
        </w:rPr>
        <w:t>2.</w:t>
      </w:r>
      <w:r>
        <w:rPr>
          <w:rFonts w:hint="eastAsia" w:ascii="宋体" w:hAnsi="宋体" w:eastAsia="宋体" w:cs="宋体"/>
          <w:bCs/>
          <w:color w:val="auto"/>
        </w:rPr>
        <w:t>项目服务团队管理规范，具有本项目相关项目工作经历</w:t>
      </w:r>
      <w:r>
        <w:rPr>
          <w:rFonts w:hint="eastAsia" w:ascii="宋体" w:hAnsi="宋体" w:eastAsia="宋体" w:cs="宋体"/>
          <w:color w:val="auto"/>
        </w:rPr>
        <w:t>。</w:t>
      </w:r>
    </w:p>
    <w:p w14:paraId="3E90C4BE">
      <w:pPr>
        <w:spacing w:after="0" w:line="360" w:lineRule="auto"/>
        <w:ind w:firstLine="435"/>
        <w:rPr>
          <w:rFonts w:ascii="宋体" w:hAnsi="宋体" w:eastAsia="宋体"/>
          <w:b/>
          <w:color w:val="auto"/>
        </w:rPr>
      </w:pPr>
      <w:bookmarkStart w:id="38" w:name="_Toc57"/>
      <w:bookmarkStart w:id="39" w:name="_Toc7443"/>
      <w:bookmarkStart w:id="40" w:name="_Toc23967"/>
      <w:bookmarkStart w:id="41" w:name="_Toc5065"/>
      <w:r>
        <w:rPr>
          <w:rFonts w:hint="eastAsia" w:ascii="宋体" w:hAnsi="宋体" w:eastAsia="宋体"/>
          <w:b/>
          <w:color w:val="auto"/>
        </w:rPr>
        <w:t>五、其他相关服务要求</w:t>
      </w:r>
      <w:bookmarkEnd w:id="38"/>
      <w:bookmarkEnd w:id="39"/>
    </w:p>
    <w:p w14:paraId="52D88E34">
      <w:pPr>
        <w:spacing w:after="0" w:line="360" w:lineRule="auto"/>
        <w:ind w:firstLine="420" w:firstLineChars="200"/>
        <w:rPr>
          <w:rFonts w:ascii="宋体" w:hAnsi="宋体" w:eastAsia="宋体"/>
          <w:color w:val="auto"/>
        </w:rPr>
      </w:pPr>
      <w:bookmarkStart w:id="42" w:name="_Toc23227"/>
      <w:r>
        <w:rPr>
          <w:rFonts w:hint="eastAsia" w:ascii="宋体" w:hAnsi="宋体" w:eastAsia="宋体"/>
          <w:color w:val="auto"/>
        </w:rPr>
        <w:t>1.供应商应对本项目需求和目标理解深入、充分、全面。</w:t>
      </w:r>
    </w:p>
    <w:p w14:paraId="58D45148">
      <w:pPr>
        <w:spacing w:after="0" w:line="360" w:lineRule="auto"/>
        <w:ind w:firstLine="420" w:firstLineChars="200"/>
        <w:rPr>
          <w:rFonts w:ascii="宋体" w:hAnsi="宋体" w:eastAsia="宋体"/>
          <w:color w:val="auto"/>
        </w:rPr>
      </w:pPr>
      <w:r>
        <w:rPr>
          <w:rFonts w:hint="eastAsia" w:ascii="宋体" w:hAnsi="宋体" w:eastAsia="宋体"/>
          <w:color w:val="auto"/>
        </w:rPr>
        <w:t>2.供应商应按照本项目的进度要求提供方案。</w:t>
      </w:r>
    </w:p>
    <w:p w14:paraId="643F22AD">
      <w:pPr>
        <w:spacing w:after="0" w:line="360" w:lineRule="auto"/>
        <w:ind w:firstLine="420" w:firstLineChars="200"/>
        <w:rPr>
          <w:rFonts w:ascii="宋体" w:hAnsi="宋体" w:eastAsia="宋体"/>
          <w:color w:val="auto"/>
        </w:rPr>
      </w:pPr>
      <w:r>
        <w:rPr>
          <w:rFonts w:hint="eastAsia" w:ascii="宋体" w:hAnsi="宋体" w:eastAsia="宋体"/>
          <w:color w:val="auto"/>
        </w:rPr>
        <w:t>3.供应商应提供针对本项目的实施方案。</w:t>
      </w:r>
    </w:p>
    <w:p w14:paraId="652239C9">
      <w:pPr>
        <w:spacing w:after="0" w:line="360" w:lineRule="auto"/>
        <w:ind w:firstLine="420" w:firstLineChars="200"/>
        <w:rPr>
          <w:rFonts w:ascii="宋体" w:hAnsi="宋体" w:eastAsia="宋体"/>
          <w:color w:val="auto"/>
        </w:rPr>
      </w:pPr>
      <w:r>
        <w:rPr>
          <w:rFonts w:hint="eastAsia" w:ascii="宋体" w:hAnsi="宋体" w:eastAsia="宋体"/>
          <w:color w:val="auto"/>
        </w:rPr>
        <w:t>4.供应商应在投标文件中提供针对本项目实施过程中的重点进行分析，提出相应解决方案。</w:t>
      </w:r>
    </w:p>
    <w:p w14:paraId="6D0FC648">
      <w:pPr>
        <w:spacing w:after="0" w:line="360" w:lineRule="auto"/>
        <w:ind w:firstLine="420" w:firstLineChars="200"/>
        <w:rPr>
          <w:rFonts w:ascii="宋体" w:hAnsi="宋体" w:eastAsia="宋体"/>
          <w:color w:val="auto"/>
        </w:rPr>
      </w:pPr>
      <w:r>
        <w:rPr>
          <w:rFonts w:hint="eastAsia" w:ascii="宋体" w:hAnsi="宋体" w:eastAsia="宋体"/>
          <w:color w:val="auto"/>
        </w:rPr>
        <w:t>5.供应商应提供针对本项的质量保证方案，质量保证方案要求质量保证目标明确合理、质量保证措施全面到位、质量管理机制完善规范。</w:t>
      </w:r>
    </w:p>
    <w:p w14:paraId="1136B870">
      <w:pPr>
        <w:spacing w:after="0" w:line="360" w:lineRule="auto"/>
        <w:ind w:firstLine="420" w:firstLineChars="200"/>
        <w:rPr>
          <w:rFonts w:ascii="宋体" w:hAnsi="宋体" w:eastAsia="宋体"/>
          <w:color w:val="auto"/>
        </w:rPr>
      </w:pPr>
      <w:r>
        <w:rPr>
          <w:rFonts w:hint="eastAsia" w:ascii="宋体" w:hAnsi="宋体" w:eastAsia="宋体"/>
          <w:color w:val="auto"/>
        </w:rPr>
        <w:t>6.供应商应提供针对本项目的保密方案，在得到采购人的允许前不得将成果透露至第三方或其他单位，保密方案内容全面，措施完善合理。</w:t>
      </w:r>
    </w:p>
    <w:p w14:paraId="7B4E52F6">
      <w:pPr>
        <w:spacing w:after="0" w:line="360" w:lineRule="auto"/>
        <w:ind w:firstLine="435"/>
        <w:rPr>
          <w:rFonts w:ascii="宋体" w:hAnsi="宋体" w:eastAsia="宋体"/>
          <w:b/>
          <w:color w:val="auto"/>
        </w:rPr>
      </w:pPr>
      <w:bookmarkStart w:id="43" w:name="_Toc7500"/>
      <w:r>
        <w:rPr>
          <w:rFonts w:hint="eastAsia" w:ascii="宋体" w:hAnsi="宋体" w:eastAsia="宋体"/>
          <w:b/>
          <w:color w:val="auto"/>
        </w:rPr>
        <w:t>六、成果要求</w:t>
      </w:r>
    </w:p>
    <w:p w14:paraId="06D1A301">
      <w:pPr>
        <w:autoSpaceDE w:val="0"/>
        <w:autoSpaceDN w:val="0"/>
        <w:adjustRightInd w:val="0"/>
        <w:spacing w:after="0" w:line="360" w:lineRule="auto"/>
        <w:ind w:firstLine="434" w:firstLineChars="207"/>
        <w:rPr>
          <w:color w:val="auto"/>
        </w:rPr>
      </w:pPr>
      <w:r>
        <w:rPr>
          <w:rFonts w:hint="eastAsia"/>
          <w:color w:val="auto"/>
        </w:rPr>
        <w:t>1</w:t>
      </w:r>
      <w:r>
        <w:rPr>
          <w:color w:val="auto"/>
        </w:rPr>
        <w:t>.</w:t>
      </w:r>
      <w:r>
        <w:rPr>
          <w:rFonts w:hint="eastAsia"/>
          <w:color w:val="auto"/>
        </w:rPr>
        <w:t>成果内容：</w:t>
      </w:r>
      <w:r>
        <w:rPr>
          <w:color w:val="auto"/>
        </w:rPr>
        <w:t>形成《邱隘南-环城融合区域前期研究》，包含成果文本和规划图纸等内容。</w:t>
      </w:r>
    </w:p>
    <w:p w14:paraId="336705C0">
      <w:pPr>
        <w:autoSpaceDE w:val="0"/>
        <w:autoSpaceDN w:val="0"/>
        <w:adjustRightInd w:val="0"/>
        <w:spacing w:after="0" w:line="360" w:lineRule="auto"/>
        <w:ind w:firstLine="434" w:firstLineChars="207"/>
        <w:rPr>
          <w:rFonts w:ascii="宋体" w:hAnsi="宋体" w:eastAsia="宋体" w:cs="宋体"/>
          <w:color w:val="auto"/>
          <w:spacing w:val="-4"/>
        </w:rPr>
      </w:pPr>
      <w:r>
        <w:rPr>
          <w:color w:val="auto"/>
        </w:rPr>
        <w:t>2.成果形式：所有成果均需提供纸质文本和电子文件。纸质成果6份，采用A4规格,主要图纸必要时附在报告后或者独立成册。电子文件为刻录光盘2张,要求包含主要图纸（jpg格式）、主要文字（doc格式）和汇报演示材料（ppt格式）。</w:t>
      </w:r>
    </w:p>
    <w:p w14:paraId="12546CEC">
      <w:pPr>
        <w:spacing w:after="0" w:line="360" w:lineRule="auto"/>
        <w:ind w:firstLine="435"/>
        <w:rPr>
          <w:rFonts w:ascii="宋体" w:hAnsi="宋体" w:eastAsia="宋体"/>
          <w:b/>
          <w:color w:val="auto"/>
        </w:rPr>
      </w:pPr>
      <w:r>
        <w:rPr>
          <w:rFonts w:hint="eastAsia" w:ascii="宋体" w:hAnsi="宋体" w:eastAsia="宋体"/>
          <w:b/>
          <w:color w:val="auto"/>
        </w:rPr>
        <w:t>七、项目履约时间和方式、验收方法和标准</w:t>
      </w:r>
      <w:bookmarkEnd w:id="40"/>
      <w:bookmarkEnd w:id="41"/>
      <w:bookmarkEnd w:id="42"/>
      <w:bookmarkEnd w:id="43"/>
      <w:bookmarkStart w:id="44" w:name="_Toc32522"/>
    </w:p>
    <w:bookmarkEnd w:id="44"/>
    <w:p w14:paraId="4BE348DD">
      <w:pPr>
        <w:spacing w:after="0" w:line="360" w:lineRule="auto"/>
        <w:ind w:firstLine="435"/>
        <w:rPr>
          <w:rFonts w:ascii="宋体" w:hAnsi="宋体" w:eastAsia="宋体" w:cs="宋体"/>
          <w:color w:val="auto"/>
          <w:spacing w:val="-4"/>
        </w:rPr>
      </w:pPr>
      <w:bookmarkStart w:id="45" w:name="_Toc22321"/>
      <w:bookmarkStart w:id="46" w:name="_Toc13091"/>
      <w:bookmarkStart w:id="47" w:name="_Toc11277"/>
      <w:bookmarkStart w:id="48" w:name="_Toc10755"/>
      <w:bookmarkStart w:id="49" w:name="_Toc4516"/>
      <w:bookmarkStart w:id="50" w:name="_Toc10841"/>
      <w:bookmarkStart w:id="51" w:name="_Toc5807"/>
      <w:bookmarkStart w:id="52" w:name="_Toc12850"/>
      <w:bookmarkStart w:id="53" w:name="_Toc15631"/>
      <w:bookmarkStart w:id="54" w:name="_Toc20935"/>
      <w:bookmarkStart w:id="55" w:name="_Toc23040"/>
      <w:bookmarkStart w:id="56" w:name="_Toc10195"/>
      <w:bookmarkStart w:id="57" w:name="_Toc25701"/>
      <w:r>
        <w:rPr>
          <w:rFonts w:hint="eastAsia" w:ascii="宋体" w:hAnsi="宋体" w:eastAsia="宋体" w:cs="宋体"/>
          <w:color w:val="auto"/>
          <w:spacing w:val="-4"/>
        </w:rPr>
        <w:t>1.验收时间：采购人在收到中标人提供的成果报告之日起10个工作日内对报告及相关资料开展验收。</w:t>
      </w:r>
      <w:bookmarkEnd w:id="45"/>
      <w:bookmarkEnd w:id="46"/>
      <w:bookmarkEnd w:id="47"/>
      <w:bookmarkEnd w:id="48"/>
      <w:bookmarkEnd w:id="49"/>
      <w:bookmarkEnd w:id="50"/>
      <w:bookmarkEnd w:id="51"/>
      <w:bookmarkEnd w:id="52"/>
      <w:bookmarkEnd w:id="53"/>
      <w:bookmarkEnd w:id="54"/>
      <w:bookmarkEnd w:id="55"/>
      <w:bookmarkEnd w:id="56"/>
      <w:bookmarkEnd w:id="57"/>
      <w:bookmarkStart w:id="58" w:name="_Toc4181"/>
    </w:p>
    <w:p w14:paraId="696F29CA">
      <w:pPr>
        <w:spacing w:after="0" w:line="360" w:lineRule="auto"/>
        <w:ind w:firstLine="435"/>
        <w:rPr>
          <w:rFonts w:ascii="宋体" w:hAnsi="宋体" w:eastAsia="宋体" w:cs="宋体"/>
          <w:color w:val="auto"/>
          <w:spacing w:val="-4"/>
        </w:rPr>
      </w:pPr>
      <w:bookmarkStart w:id="59" w:name="_Toc5487"/>
      <w:bookmarkStart w:id="60" w:name="_Toc17131"/>
      <w:bookmarkStart w:id="61" w:name="_Toc21341"/>
      <w:bookmarkStart w:id="62" w:name="_Toc12235"/>
      <w:bookmarkStart w:id="63" w:name="_Toc23937"/>
      <w:bookmarkStart w:id="64" w:name="_Toc10803"/>
      <w:bookmarkStart w:id="65" w:name="_Toc4658"/>
      <w:bookmarkStart w:id="66" w:name="_Toc2830"/>
      <w:bookmarkStart w:id="67" w:name="_Toc30919"/>
      <w:bookmarkStart w:id="68" w:name="_Toc4010"/>
      <w:bookmarkStart w:id="69" w:name="_Toc4006"/>
      <w:bookmarkStart w:id="70" w:name="_Toc30401"/>
      <w:r>
        <w:rPr>
          <w:rFonts w:hint="eastAsia" w:ascii="宋体" w:hAnsi="宋体" w:eastAsia="宋体" w:cs="宋体"/>
          <w:color w:val="auto"/>
          <w:spacing w:val="-4"/>
        </w:rPr>
        <w:t>2.验收主体：采购人组建验收小组开展验收。</w:t>
      </w:r>
      <w:bookmarkEnd w:id="58"/>
      <w:bookmarkEnd w:id="59"/>
      <w:bookmarkEnd w:id="60"/>
      <w:bookmarkEnd w:id="61"/>
      <w:bookmarkEnd w:id="62"/>
      <w:bookmarkEnd w:id="63"/>
      <w:bookmarkEnd w:id="64"/>
      <w:bookmarkEnd w:id="65"/>
      <w:bookmarkEnd w:id="66"/>
      <w:bookmarkEnd w:id="67"/>
      <w:bookmarkEnd w:id="68"/>
      <w:bookmarkEnd w:id="69"/>
      <w:bookmarkEnd w:id="70"/>
      <w:bookmarkStart w:id="71" w:name="_Toc31499"/>
    </w:p>
    <w:p w14:paraId="68A30C9D">
      <w:pPr>
        <w:autoSpaceDE w:val="0"/>
        <w:autoSpaceDN w:val="0"/>
        <w:adjustRightInd w:val="0"/>
        <w:spacing w:after="0" w:line="360" w:lineRule="auto"/>
        <w:ind w:firstLine="418" w:firstLineChars="207"/>
        <w:rPr>
          <w:rFonts w:ascii="宋体" w:hAnsi="宋体" w:eastAsia="宋体" w:cs="宋体"/>
          <w:color w:val="auto"/>
          <w:spacing w:val="-4"/>
        </w:rPr>
      </w:pPr>
      <w:r>
        <w:rPr>
          <w:rFonts w:hint="eastAsia" w:ascii="宋体" w:hAnsi="宋体" w:eastAsia="宋体" w:cs="宋体"/>
          <w:color w:val="auto"/>
          <w:spacing w:val="-4"/>
        </w:rPr>
        <w:t>3.验收依据：（1）招标文件技术服务要求；（2）投标文件技术响应方案内容；（3）合同等。</w:t>
      </w:r>
      <w:bookmarkEnd w:id="71"/>
      <w:bookmarkStart w:id="72" w:name="_Toc10164"/>
    </w:p>
    <w:p w14:paraId="5227C1E5">
      <w:pPr>
        <w:autoSpaceDE w:val="0"/>
        <w:autoSpaceDN w:val="0"/>
        <w:adjustRightInd w:val="0"/>
        <w:spacing w:after="0" w:line="360" w:lineRule="auto"/>
        <w:ind w:firstLine="418" w:firstLineChars="207"/>
        <w:rPr>
          <w:rFonts w:ascii="宋体" w:hAnsi="宋体" w:eastAsia="宋体" w:cs="宋体"/>
          <w:color w:val="auto"/>
          <w:spacing w:val="-4"/>
        </w:rPr>
      </w:pPr>
      <w:r>
        <w:rPr>
          <w:rFonts w:hint="eastAsia" w:ascii="宋体" w:hAnsi="宋体" w:eastAsia="宋体" w:cs="宋体"/>
          <w:color w:val="auto"/>
          <w:spacing w:val="-4"/>
        </w:rPr>
        <w:t>4.验收对象：中标人提供的有关成果文件。</w:t>
      </w:r>
      <w:bookmarkEnd w:id="72"/>
      <w:bookmarkStart w:id="73" w:name="_Toc3531"/>
      <w:r>
        <w:rPr>
          <w:rFonts w:hint="eastAsia" w:ascii="宋体" w:hAnsi="宋体" w:eastAsia="宋体" w:cs="宋体"/>
          <w:color w:val="auto"/>
          <w:spacing w:val="-4"/>
        </w:rPr>
        <w:t>验收结果：验收结果不符合合同约定的，通知中标人在限期达到合同约定的要求，且中标人应按照合同约定承担相应的违约责任。</w:t>
      </w:r>
    </w:p>
    <w:bookmarkEnd w:id="73"/>
    <w:p w14:paraId="5A464661">
      <w:pPr>
        <w:spacing w:after="0" w:line="360" w:lineRule="auto"/>
        <w:ind w:firstLine="435"/>
        <w:rPr>
          <w:rFonts w:ascii="宋体" w:hAnsi="宋体" w:eastAsia="宋体"/>
          <w:b/>
          <w:color w:val="auto"/>
        </w:rPr>
      </w:pPr>
      <w:r>
        <w:rPr>
          <w:rFonts w:hint="eastAsia" w:ascii="宋体" w:hAnsi="宋体" w:eastAsia="宋体"/>
          <w:b/>
          <w:color w:val="auto"/>
        </w:rPr>
        <w:t>八、项目商务要求</w:t>
      </w:r>
    </w:p>
    <w:tbl>
      <w:tblPr>
        <w:tblStyle w:val="15"/>
        <w:tblW w:w="8928" w:type="dxa"/>
        <w:tblInd w:w="108" w:type="dxa"/>
        <w:tblLayout w:type="fixed"/>
        <w:tblCellMar>
          <w:top w:w="0" w:type="dxa"/>
          <w:left w:w="108" w:type="dxa"/>
          <w:bottom w:w="0" w:type="dxa"/>
          <w:right w:w="108" w:type="dxa"/>
        </w:tblCellMar>
      </w:tblPr>
      <w:tblGrid>
        <w:gridCol w:w="703"/>
        <w:gridCol w:w="1427"/>
        <w:gridCol w:w="6798"/>
      </w:tblGrid>
      <w:tr w14:paraId="4DDDD31C">
        <w:tblPrEx>
          <w:tblCellMar>
            <w:top w:w="0" w:type="dxa"/>
            <w:left w:w="108" w:type="dxa"/>
            <w:bottom w:w="0" w:type="dxa"/>
            <w:right w:w="108" w:type="dxa"/>
          </w:tblCellMar>
        </w:tblPrEx>
        <w:trPr>
          <w:trHeight w:val="454" w:hRule="atLeast"/>
        </w:trPr>
        <w:tc>
          <w:tcPr>
            <w:tcW w:w="703" w:type="dxa"/>
            <w:tcBorders>
              <w:top w:val="single" w:color="000000" w:sz="4" w:space="0"/>
              <w:left w:val="single" w:color="000000" w:sz="4" w:space="0"/>
              <w:bottom w:val="single" w:color="000000" w:sz="4" w:space="0"/>
              <w:right w:val="single" w:color="000000" w:sz="4" w:space="0"/>
            </w:tcBorders>
            <w:vAlign w:val="center"/>
          </w:tcPr>
          <w:p w14:paraId="5506EF6C">
            <w:pPr>
              <w:spacing w:after="0" w:line="240" w:lineRule="auto"/>
              <w:jc w:val="center"/>
              <w:rPr>
                <w:rFonts w:ascii="宋体" w:hAnsi="宋体" w:eastAsia="宋体"/>
                <w:b/>
                <w:color w:val="auto"/>
              </w:rPr>
            </w:pPr>
            <w:r>
              <w:rPr>
                <w:rFonts w:hint="eastAsia" w:ascii="宋体" w:hAnsi="宋体" w:eastAsia="宋体"/>
                <w:b/>
                <w:color w:val="auto"/>
              </w:rPr>
              <w:t>序号</w:t>
            </w:r>
          </w:p>
        </w:tc>
        <w:tc>
          <w:tcPr>
            <w:tcW w:w="1427" w:type="dxa"/>
            <w:tcBorders>
              <w:top w:val="single" w:color="000000" w:sz="4" w:space="0"/>
              <w:left w:val="single" w:color="000000" w:sz="4" w:space="0"/>
              <w:bottom w:val="single" w:color="000000" w:sz="4" w:space="0"/>
              <w:right w:val="single" w:color="000000" w:sz="4" w:space="0"/>
            </w:tcBorders>
            <w:vAlign w:val="center"/>
          </w:tcPr>
          <w:p w14:paraId="061BE990">
            <w:pPr>
              <w:spacing w:after="0" w:line="240" w:lineRule="auto"/>
              <w:jc w:val="center"/>
              <w:rPr>
                <w:rFonts w:ascii="宋体" w:hAnsi="宋体" w:eastAsia="宋体"/>
                <w:b/>
                <w:color w:val="auto"/>
              </w:rPr>
            </w:pPr>
            <w:r>
              <w:rPr>
                <w:rFonts w:hint="eastAsia" w:ascii="宋体" w:hAnsi="宋体" w:eastAsia="宋体"/>
                <w:b/>
                <w:color w:val="auto"/>
              </w:rPr>
              <w:t>项目</w:t>
            </w:r>
          </w:p>
        </w:tc>
        <w:tc>
          <w:tcPr>
            <w:tcW w:w="6798" w:type="dxa"/>
            <w:tcBorders>
              <w:top w:val="single" w:color="000000" w:sz="4" w:space="0"/>
              <w:left w:val="single" w:color="000000" w:sz="4" w:space="0"/>
              <w:bottom w:val="single" w:color="000000" w:sz="4" w:space="0"/>
              <w:right w:val="single" w:color="000000" w:sz="4" w:space="0"/>
            </w:tcBorders>
            <w:vAlign w:val="center"/>
          </w:tcPr>
          <w:p w14:paraId="77DBFF4B">
            <w:pPr>
              <w:spacing w:after="0" w:line="240" w:lineRule="auto"/>
              <w:jc w:val="center"/>
              <w:rPr>
                <w:rFonts w:ascii="宋体" w:hAnsi="宋体" w:eastAsia="宋体"/>
                <w:b/>
                <w:color w:val="auto"/>
              </w:rPr>
            </w:pPr>
            <w:r>
              <w:rPr>
                <w:rFonts w:hint="eastAsia" w:ascii="宋体" w:hAnsi="宋体" w:eastAsia="宋体"/>
                <w:b/>
                <w:color w:val="auto"/>
              </w:rPr>
              <w:t>要求</w:t>
            </w:r>
          </w:p>
        </w:tc>
      </w:tr>
      <w:tr w14:paraId="6F1D621B">
        <w:tblPrEx>
          <w:tblCellMar>
            <w:top w:w="0" w:type="dxa"/>
            <w:left w:w="108" w:type="dxa"/>
            <w:bottom w:w="0" w:type="dxa"/>
            <w:right w:w="108" w:type="dxa"/>
          </w:tblCellMar>
        </w:tblPrEx>
        <w:trPr>
          <w:trHeight w:val="454" w:hRule="atLeast"/>
        </w:trPr>
        <w:tc>
          <w:tcPr>
            <w:tcW w:w="703" w:type="dxa"/>
            <w:tcBorders>
              <w:top w:val="single" w:color="000000" w:sz="4" w:space="0"/>
              <w:left w:val="single" w:color="000000" w:sz="4" w:space="0"/>
              <w:bottom w:val="single" w:color="000000" w:sz="4" w:space="0"/>
              <w:right w:val="single" w:color="000000" w:sz="4" w:space="0"/>
            </w:tcBorders>
            <w:vAlign w:val="center"/>
          </w:tcPr>
          <w:p w14:paraId="51F8C48B">
            <w:pPr>
              <w:spacing w:after="0" w:line="240" w:lineRule="auto"/>
              <w:jc w:val="center"/>
              <w:rPr>
                <w:rFonts w:ascii="宋体" w:hAnsi="宋体" w:eastAsia="宋体"/>
                <w:color w:val="auto"/>
              </w:rPr>
            </w:pPr>
            <w:r>
              <w:rPr>
                <w:rFonts w:hint="eastAsia" w:ascii="宋体" w:hAnsi="宋体" w:eastAsia="宋体"/>
                <w:color w:val="auto"/>
              </w:rPr>
              <w:t>1</w:t>
            </w:r>
          </w:p>
        </w:tc>
        <w:tc>
          <w:tcPr>
            <w:tcW w:w="1427" w:type="dxa"/>
            <w:tcBorders>
              <w:top w:val="single" w:color="000000" w:sz="4" w:space="0"/>
              <w:left w:val="single" w:color="000000" w:sz="4" w:space="0"/>
              <w:bottom w:val="single" w:color="000000" w:sz="4" w:space="0"/>
              <w:right w:val="single" w:color="000000" w:sz="4" w:space="0"/>
            </w:tcBorders>
            <w:vAlign w:val="center"/>
          </w:tcPr>
          <w:p w14:paraId="4F98ED80">
            <w:pPr>
              <w:spacing w:after="0" w:line="240" w:lineRule="auto"/>
              <w:jc w:val="left"/>
              <w:rPr>
                <w:rFonts w:ascii="宋体" w:hAnsi="宋体" w:eastAsia="宋体"/>
                <w:color w:val="auto"/>
              </w:rPr>
            </w:pPr>
            <w:r>
              <w:rPr>
                <w:rFonts w:hint="eastAsia" w:ascii="宋体" w:hAnsi="宋体" w:eastAsia="宋体"/>
                <w:color w:val="auto"/>
              </w:rPr>
              <w:t>服务期限</w:t>
            </w:r>
          </w:p>
        </w:tc>
        <w:tc>
          <w:tcPr>
            <w:tcW w:w="6798" w:type="dxa"/>
            <w:tcBorders>
              <w:top w:val="single" w:color="000000" w:sz="4" w:space="0"/>
              <w:left w:val="single" w:color="000000" w:sz="4" w:space="0"/>
              <w:bottom w:val="single" w:color="000000" w:sz="4" w:space="0"/>
              <w:right w:val="single" w:color="000000" w:sz="4" w:space="0"/>
            </w:tcBorders>
            <w:vAlign w:val="center"/>
          </w:tcPr>
          <w:p w14:paraId="38DC1BA5">
            <w:pPr>
              <w:spacing w:after="0" w:line="240" w:lineRule="auto"/>
              <w:rPr>
                <w:rFonts w:ascii="宋体" w:hAnsi="宋体" w:eastAsia="宋体"/>
                <w:color w:val="auto"/>
              </w:rPr>
            </w:pPr>
            <w:r>
              <w:rPr>
                <w:rFonts w:hint="eastAsia" w:ascii="宋体" w:hAnsi="宋体" w:eastAsia="宋体"/>
                <w:color w:val="auto"/>
              </w:rPr>
              <w:t>合同生效之日起至2025年</w:t>
            </w:r>
            <w:r>
              <w:rPr>
                <w:rFonts w:ascii="宋体" w:hAnsi="宋体" w:eastAsia="宋体"/>
                <w:color w:val="auto"/>
              </w:rPr>
              <w:t>1</w:t>
            </w:r>
            <w:r>
              <w:rPr>
                <w:rFonts w:hint="eastAsia" w:ascii="宋体" w:hAnsi="宋体" w:eastAsia="宋体"/>
                <w:color w:val="auto"/>
              </w:rPr>
              <w:t>2月底。</w:t>
            </w:r>
          </w:p>
        </w:tc>
      </w:tr>
      <w:tr w14:paraId="59AF438C">
        <w:tblPrEx>
          <w:tblCellMar>
            <w:top w:w="0" w:type="dxa"/>
            <w:left w:w="108" w:type="dxa"/>
            <w:bottom w:w="0" w:type="dxa"/>
            <w:right w:w="108" w:type="dxa"/>
          </w:tblCellMar>
        </w:tblPrEx>
        <w:trPr>
          <w:trHeight w:val="454" w:hRule="atLeast"/>
        </w:trPr>
        <w:tc>
          <w:tcPr>
            <w:tcW w:w="703" w:type="dxa"/>
            <w:tcBorders>
              <w:top w:val="single" w:color="000000" w:sz="4" w:space="0"/>
              <w:left w:val="single" w:color="000000" w:sz="4" w:space="0"/>
              <w:bottom w:val="single" w:color="000000" w:sz="4" w:space="0"/>
              <w:right w:val="single" w:color="000000" w:sz="4" w:space="0"/>
            </w:tcBorders>
            <w:vAlign w:val="center"/>
          </w:tcPr>
          <w:p w14:paraId="5549857E">
            <w:pPr>
              <w:spacing w:after="0" w:line="240" w:lineRule="auto"/>
              <w:jc w:val="center"/>
              <w:rPr>
                <w:rFonts w:ascii="宋体" w:hAnsi="宋体" w:eastAsia="宋体"/>
                <w:color w:val="auto"/>
              </w:rPr>
            </w:pPr>
            <w:r>
              <w:rPr>
                <w:rFonts w:hint="eastAsia" w:ascii="宋体" w:hAnsi="宋体" w:eastAsia="宋体"/>
                <w:color w:val="auto"/>
              </w:rPr>
              <w:t>2</w:t>
            </w:r>
          </w:p>
        </w:tc>
        <w:tc>
          <w:tcPr>
            <w:tcW w:w="1427" w:type="dxa"/>
            <w:tcBorders>
              <w:top w:val="single" w:color="000000" w:sz="4" w:space="0"/>
              <w:left w:val="single" w:color="000000" w:sz="4" w:space="0"/>
              <w:bottom w:val="single" w:color="000000" w:sz="4" w:space="0"/>
              <w:right w:val="single" w:color="000000" w:sz="4" w:space="0"/>
            </w:tcBorders>
            <w:vAlign w:val="center"/>
          </w:tcPr>
          <w:p w14:paraId="00930AF8">
            <w:pPr>
              <w:spacing w:after="0" w:line="240" w:lineRule="auto"/>
              <w:jc w:val="left"/>
              <w:rPr>
                <w:rFonts w:ascii="宋体" w:hAnsi="宋体" w:eastAsia="宋体"/>
                <w:color w:val="auto"/>
              </w:rPr>
            </w:pPr>
            <w:r>
              <w:rPr>
                <w:rFonts w:hint="eastAsia" w:ascii="宋体" w:hAnsi="宋体" w:eastAsia="宋体"/>
                <w:color w:val="auto"/>
              </w:rPr>
              <w:t>签订合同时间</w:t>
            </w:r>
          </w:p>
        </w:tc>
        <w:tc>
          <w:tcPr>
            <w:tcW w:w="6798" w:type="dxa"/>
            <w:tcBorders>
              <w:top w:val="single" w:color="000000" w:sz="4" w:space="0"/>
              <w:left w:val="single" w:color="000000" w:sz="4" w:space="0"/>
              <w:bottom w:val="single" w:color="000000" w:sz="4" w:space="0"/>
              <w:right w:val="single" w:color="000000" w:sz="4" w:space="0"/>
            </w:tcBorders>
            <w:vAlign w:val="center"/>
          </w:tcPr>
          <w:p w14:paraId="2418778E">
            <w:pPr>
              <w:spacing w:after="0" w:line="240" w:lineRule="auto"/>
              <w:rPr>
                <w:rFonts w:ascii="宋体" w:hAnsi="宋体" w:eastAsia="宋体"/>
                <w:color w:val="auto"/>
              </w:rPr>
            </w:pPr>
            <w:r>
              <w:rPr>
                <w:rFonts w:hint="eastAsia" w:ascii="宋体" w:hAnsi="宋体" w:eastAsia="宋体"/>
                <w:color w:val="auto"/>
              </w:rPr>
              <w:t>采购人在中标通知书发出之日起30日内与中标人签订书面合同。具体签订时间以采购人通知为准。</w:t>
            </w:r>
          </w:p>
        </w:tc>
      </w:tr>
      <w:tr w14:paraId="4EC23922">
        <w:tblPrEx>
          <w:tblCellMar>
            <w:top w:w="0" w:type="dxa"/>
            <w:left w:w="108" w:type="dxa"/>
            <w:bottom w:w="0" w:type="dxa"/>
            <w:right w:w="108" w:type="dxa"/>
          </w:tblCellMar>
        </w:tblPrEx>
        <w:trPr>
          <w:trHeight w:val="454" w:hRule="atLeast"/>
        </w:trPr>
        <w:tc>
          <w:tcPr>
            <w:tcW w:w="703" w:type="dxa"/>
            <w:tcBorders>
              <w:top w:val="single" w:color="000000" w:sz="4" w:space="0"/>
              <w:left w:val="single" w:color="000000" w:sz="4" w:space="0"/>
              <w:bottom w:val="single" w:color="000000" w:sz="4" w:space="0"/>
              <w:right w:val="single" w:color="000000" w:sz="4" w:space="0"/>
            </w:tcBorders>
            <w:vAlign w:val="center"/>
          </w:tcPr>
          <w:p w14:paraId="33BF49B5">
            <w:pPr>
              <w:spacing w:after="0" w:line="240" w:lineRule="auto"/>
              <w:jc w:val="center"/>
              <w:rPr>
                <w:rFonts w:ascii="宋体" w:hAnsi="宋体" w:eastAsia="宋体"/>
                <w:color w:val="auto"/>
              </w:rPr>
            </w:pPr>
            <w:r>
              <w:rPr>
                <w:rFonts w:hint="eastAsia" w:ascii="宋体" w:hAnsi="宋体" w:eastAsia="宋体"/>
                <w:color w:val="auto"/>
              </w:rPr>
              <w:t>3</w:t>
            </w:r>
          </w:p>
        </w:tc>
        <w:tc>
          <w:tcPr>
            <w:tcW w:w="1427" w:type="dxa"/>
            <w:tcBorders>
              <w:top w:val="single" w:color="000000" w:sz="4" w:space="0"/>
              <w:left w:val="single" w:color="000000" w:sz="4" w:space="0"/>
              <w:bottom w:val="single" w:color="000000" w:sz="4" w:space="0"/>
              <w:right w:val="single" w:color="000000" w:sz="4" w:space="0"/>
            </w:tcBorders>
            <w:vAlign w:val="center"/>
          </w:tcPr>
          <w:p w14:paraId="4C7B7FDE">
            <w:pPr>
              <w:spacing w:after="0" w:line="240" w:lineRule="auto"/>
              <w:jc w:val="left"/>
              <w:rPr>
                <w:rFonts w:ascii="宋体" w:hAnsi="宋体" w:eastAsia="宋体"/>
                <w:color w:val="auto"/>
              </w:rPr>
            </w:pPr>
            <w:r>
              <w:rPr>
                <w:rFonts w:hint="eastAsia" w:ascii="宋体" w:hAnsi="宋体" w:eastAsia="宋体"/>
                <w:color w:val="auto"/>
              </w:rPr>
              <w:t>合同款项支付条件及方式</w:t>
            </w:r>
          </w:p>
        </w:tc>
        <w:tc>
          <w:tcPr>
            <w:tcW w:w="6798" w:type="dxa"/>
            <w:tcBorders>
              <w:top w:val="single" w:color="000000" w:sz="4" w:space="0"/>
              <w:left w:val="single" w:color="000000" w:sz="4" w:space="0"/>
              <w:bottom w:val="single" w:color="000000" w:sz="4" w:space="0"/>
              <w:right w:val="single" w:color="000000" w:sz="4" w:space="0"/>
            </w:tcBorders>
            <w:vAlign w:val="center"/>
          </w:tcPr>
          <w:p w14:paraId="38E53CB1">
            <w:pPr>
              <w:spacing w:after="0" w:line="240" w:lineRule="auto"/>
              <w:rPr>
                <w:rFonts w:ascii="宋体" w:hAnsi="宋体" w:eastAsia="宋体"/>
                <w:color w:val="auto"/>
              </w:rPr>
            </w:pPr>
            <w:r>
              <w:rPr>
                <w:rFonts w:hint="eastAsia" w:ascii="宋体" w:hAnsi="宋体" w:eastAsia="宋体"/>
                <w:color w:val="auto"/>
              </w:rPr>
              <w:t>（1）合同签订并具备实施条件后7个工作日内，采购人向中标人支付合同总价的50%作为预付款；</w:t>
            </w:r>
          </w:p>
          <w:p w14:paraId="4D56325C">
            <w:pPr>
              <w:spacing w:after="0" w:line="240" w:lineRule="auto"/>
              <w:rPr>
                <w:rFonts w:ascii="宋体" w:hAnsi="宋体" w:eastAsia="宋体"/>
                <w:color w:val="auto"/>
              </w:rPr>
            </w:pPr>
            <w:r>
              <w:rPr>
                <w:rFonts w:hint="eastAsia" w:ascii="宋体" w:hAnsi="宋体" w:eastAsia="宋体"/>
                <w:color w:val="auto"/>
              </w:rPr>
              <w:t>（2）中标人提交初步方案后7个工作日内，采购人向中标人支付合同总价的30%；</w:t>
            </w:r>
          </w:p>
          <w:p w14:paraId="7ED6C803">
            <w:pPr>
              <w:spacing w:after="0" w:line="240" w:lineRule="auto"/>
              <w:rPr>
                <w:rFonts w:ascii="宋体" w:hAnsi="宋体" w:eastAsia="宋体"/>
                <w:color w:val="auto"/>
              </w:rPr>
            </w:pPr>
            <w:r>
              <w:rPr>
                <w:rFonts w:hint="eastAsia" w:ascii="宋体" w:hAnsi="宋体" w:eastAsia="宋体"/>
                <w:color w:val="auto"/>
              </w:rPr>
              <w:t>（3）中标人提交经采购人认可的成果后7个工作日内，采购人支付剩余尾款。</w:t>
            </w:r>
          </w:p>
          <w:p w14:paraId="10C41E11">
            <w:pPr>
              <w:spacing w:after="0" w:line="240" w:lineRule="auto"/>
              <w:rPr>
                <w:rFonts w:ascii="宋体" w:hAnsi="宋体" w:eastAsia="宋体"/>
                <w:color w:val="auto"/>
              </w:rPr>
            </w:pPr>
            <w:r>
              <w:rPr>
                <w:rFonts w:ascii="宋体" w:hAnsi="宋体" w:eastAsia="宋体"/>
                <w:color w:val="auto"/>
              </w:rPr>
              <w:t>注：如联合体</w:t>
            </w:r>
            <w:r>
              <w:rPr>
                <w:rFonts w:hint="eastAsia" w:ascii="宋体" w:hAnsi="宋体" w:eastAsia="宋体"/>
                <w:color w:val="auto"/>
              </w:rPr>
              <w:t>中标</w:t>
            </w:r>
            <w:r>
              <w:rPr>
                <w:rFonts w:ascii="宋体" w:hAnsi="宋体" w:eastAsia="宋体"/>
                <w:color w:val="auto"/>
              </w:rPr>
              <w:t>的，项目合同款项支付至联合体牵头人，联合体内部自行结算相关费用，如联合体内部结算时产生额外费用等争议的，由联合体内部解决，与采购人无关。</w:t>
            </w:r>
          </w:p>
        </w:tc>
      </w:tr>
      <w:tr w14:paraId="75B5F8F9">
        <w:tblPrEx>
          <w:tblCellMar>
            <w:top w:w="0" w:type="dxa"/>
            <w:left w:w="108" w:type="dxa"/>
            <w:bottom w:w="0" w:type="dxa"/>
            <w:right w:w="108" w:type="dxa"/>
          </w:tblCellMar>
        </w:tblPrEx>
        <w:trPr>
          <w:trHeight w:val="454" w:hRule="atLeast"/>
        </w:trPr>
        <w:tc>
          <w:tcPr>
            <w:tcW w:w="703" w:type="dxa"/>
            <w:tcBorders>
              <w:top w:val="single" w:color="000000" w:sz="4" w:space="0"/>
              <w:left w:val="single" w:color="000000" w:sz="4" w:space="0"/>
              <w:bottom w:val="single" w:color="000000" w:sz="4" w:space="0"/>
              <w:right w:val="single" w:color="000000" w:sz="4" w:space="0"/>
            </w:tcBorders>
            <w:vAlign w:val="center"/>
          </w:tcPr>
          <w:p w14:paraId="0C16A7B8">
            <w:pPr>
              <w:spacing w:after="0" w:line="240" w:lineRule="auto"/>
              <w:jc w:val="center"/>
              <w:rPr>
                <w:rFonts w:ascii="宋体" w:hAnsi="宋体" w:eastAsia="宋体"/>
                <w:color w:val="auto"/>
              </w:rPr>
            </w:pPr>
            <w:r>
              <w:rPr>
                <w:rFonts w:hint="eastAsia" w:ascii="宋体" w:hAnsi="宋体" w:eastAsia="宋体"/>
                <w:color w:val="auto"/>
              </w:rPr>
              <w:t>4</w:t>
            </w:r>
          </w:p>
        </w:tc>
        <w:tc>
          <w:tcPr>
            <w:tcW w:w="1427" w:type="dxa"/>
            <w:tcBorders>
              <w:top w:val="single" w:color="000000" w:sz="4" w:space="0"/>
              <w:left w:val="single" w:color="000000" w:sz="4" w:space="0"/>
              <w:bottom w:val="single" w:color="000000" w:sz="4" w:space="0"/>
              <w:right w:val="single" w:color="000000" w:sz="4" w:space="0"/>
            </w:tcBorders>
            <w:vAlign w:val="center"/>
          </w:tcPr>
          <w:p w14:paraId="5C2CF391">
            <w:pPr>
              <w:spacing w:after="0" w:line="240" w:lineRule="auto"/>
              <w:jc w:val="left"/>
              <w:rPr>
                <w:rFonts w:ascii="宋体" w:hAnsi="宋体" w:eastAsia="宋体"/>
                <w:color w:val="auto"/>
              </w:rPr>
            </w:pPr>
            <w:r>
              <w:rPr>
                <w:rFonts w:hint="eastAsia" w:ascii="宋体" w:hAnsi="宋体" w:eastAsia="宋体"/>
                <w:color w:val="auto"/>
              </w:rPr>
              <w:t>履约保证金</w:t>
            </w:r>
          </w:p>
        </w:tc>
        <w:tc>
          <w:tcPr>
            <w:tcW w:w="6798" w:type="dxa"/>
            <w:tcBorders>
              <w:top w:val="single" w:color="000000" w:sz="4" w:space="0"/>
              <w:left w:val="single" w:color="000000" w:sz="4" w:space="0"/>
              <w:bottom w:val="single" w:color="000000" w:sz="4" w:space="0"/>
              <w:right w:val="single" w:color="000000" w:sz="4" w:space="0"/>
            </w:tcBorders>
            <w:vAlign w:val="center"/>
          </w:tcPr>
          <w:p w14:paraId="4388E495">
            <w:pPr>
              <w:spacing w:after="0" w:line="240" w:lineRule="auto"/>
              <w:rPr>
                <w:rFonts w:ascii="宋体" w:hAnsi="宋体" w:eastAsia="宋体"/>
                <w:color w:val="auto"/>
              </w:rPr>
            </w:pPr>
            <w:r>
              <w:rPr>
                <w:rFonts w:hint="eastAsia" w:ascii="宋体" w:hAnsi="宋体" w:eastAsia="宋体"/>
                <w:color w:val="auto"/>
              </w:rPr>
              <w:t>本项目无须中标人缴纳履约保证金。</w:t>
            </w:r>
          </w:p>
        </w:tc>
      </w:tr>
      <w:tr w14:paraId="65872B3B">
        <w:tblPrEx>
          <w:tblCellMar>
            <w:top w:w="0" w:type="dxa"/>
            <w:left w:w="108" w:type="dxa"/>
            <w:bottom w:w="0" w:type="dxa"/>
            <w:right w:w="108" w:type="dxa"/>
          </w:tblCellMar>
        </w:tblPrEx>
        <w:trPr>
          <w:trHeight w:val="454" w:hRule="atLeast"/>
        </w:trPr>
        <w:tc>
          <w:tcPr>
            <w:tcW w:w="703" w:type="dxa"/>
            <w:tcBorders>
              <w:top w:val="single" w:color="000000" w:sz="4" w:space="0"/>
              <w:left w:val="single" w:color="000000" w:sz="4" w:space="0"/>
              <w:bottom w:val="single" w:color="000000" w:sz="4" w:space="0"/>
              <w:right w:val="single" w:color="000000" w:sz="4" w:space="0"/>
            </w:tcBorders>
            <w:vAlign w:val="center"/>
          </w:tcPr>
          <w:p w14:paraId="611D6848">
            <w:pPr>
              <w:spacing w:after="0" w:line="240" w:lineRule="auto"/>
              <w:jc w:val="center"/>
              <w:rPr>
                <w:rFonts w:ascii="宋体" w:hAnsi="宋体" w:eastAsia="宋体"/>
                <w:color w:val="auto"/>
              </w:rPr>
            </w:pPr>
            <w:r>
              <w:rPr>
                <w:rFonts w:hint="eastAsia" w:ascii="宋体" w:hAnsi="宋体" w:eastAsia="宋体"/>
                <w:color w:val="auto"/>
              </w:rPr>
              <w:t>5</w:t>
            </w:r>
          </w:p>
        </w:tc>
        <w:tc>
          <w:tcPr>
            <w:tcW w:w="1427" w:type="dxa"/>
            <w:tcBorders>
              <w:top w:val="single" w:color="000000" w:sz="4" w:space="0"/>
              <w:left w:val="single" w:color="000000" w:sz="4" w:space="0"/>
              <w:bottom w:val="single" w:color="000000" w:sz="4" w:space="0"/>
              <w:right w:val="single" w:color="000000" w:sz="4" w:space="0"/>
            </w:tcBorders>
            <w:vAlign w:val="center"/>
          </w:tcPr>
          <w:p w14:paraId="40368DDD">
            <w:pPr>
              <w:spacing w:after="0" w:line="240" w:lineRule="auto"/>
              <w:rPr>
                <w:rFonts w:ascii="宋体" w:hAnsi="宋体" w:eastAsia="宋体"/>
                <w:color w:val="auto"/>
              </w:rPr>
            </w:pPr>
            <w:r>
              <w:rPr>
                <w:rFonts w:hint="eastAsia" w:ascii="宋体" w:hAnsi="宋体" w:eastAsia="宋体"/>
                <w:color w:val="auto"/>
              </w:rPr>
              <w:t>发票要求</w:t>
            </w:r>
          </w:p>
        </w:tc>
        <w:tc>
          <w:tcPr>
            <w:tcW w:w="6798" w:type="dxa"/>
            <w:tcBorders>
              <w:top w:val="single" w:color="000000" w:sz="4" w:space="0"/>
              <w:left w:val="single" w:color="000000" w:sz="4" w:space="0"/>
              <w:bottom w:val="single" w:color="000000" w:sz="4" w:space="0"/>
              <w:right w:val="single" w:color="000000" w:sz="4" w:space="0"/>
            </w:tcBorders>
            <w:vAlign w:val="center"/>
          </w:tcPr>
          <w:p w14:paraId="07ED2CDB">
            <w:pPr>
              <w:spacing w:after="0" w:line="240" w:lineRule="auto"/>
              <w:rPr>
                <w:rFonts w:ascii="宋体" w:hAnsi="宋体" w:eastAsia="宋体"/>
                <w:color w:val="auto"/>
              </w:rPr>
            </w:pPr>
            <w:r>
              <w:rPr>
                <w:rFonts w:hint="eastAsia" w:ascii="宋体" w:hAnsi="宋体" w:eastAsia="宋体"/>
                <w:color w:val="auto"/>
              </w:rPr>
              <w:t>（1）中标人应在采购人支付费用前，依据相应的金额，先行提供足额且符合税法规定的发票。在收到中标人提供的发票后在约定的时间内支付相应款项，否则有权延迟支付而不被视为违约，亦无须承担任何责任。</w:t>
            </w:r>
          </w:p>
          <w:p w14:paraId="30DE91AB">
            <w:pPr>
              <w:spacing w:after="0" w:line="240" w:lineRule="auto"/>
              <w:rPr>
                <w:rFonts w:ascii="宋体" w:hAnsi="宋体" w:eastAsia="宋体"/>
                <w:color w:val="auto"/>
              </w:rPr>
            </w:pPr>
            <w:r>
              <w:rPr>
                <w:rFonts w:hint="eastAsia" w:ascii="宋体" w:hAnsi="宋体" w:eastAsia="宋体"/>
                <w:color w:val="auto"/>
              </w:rPr>
              <w:t>（2）本项目合同签署的中标人名称与发票开具单位及收款单位必须一致，中标人不得以任何理由在合同执行过程中要求调整发票开具单位或收款单位（中标人依法变更单位名称或存在其他特殊情况符合规定要求除外），否则视为中标人违约并自行承担相关责任，且须承担由此对采购人造成的一切损失。</w:t>
            </w:r>
          </w:p>
        </w:tc>
      </w:tr>
      <w:tr w14:paraId="47E80B91">
        <w:tblPrEx>
          <w:tblCellMar>
            <w:top w:w="0" w:type="dxa"/>
            <w:left w:w="108" w:type="dxa"/>
            <w:bottom w:w="0" w:type="dxa"/>
            <w:right w:w="108" w:type="dxa"/>
          </w:tblCellMar>
        </w:tblPrEx>
        <w:trPr>
          <w:trHeight w:val="454" w:hRule="atLeast"/>
        </w:trPr>
        <w:tc>
          <w:tcPr>
            <w:tcW w:w="703" w:type="dxa"/>
            <w:tcBorders>
              <w:top w:val="single" w:color="000000" w:sz="4" w:space="0"/>
              <w:left w:val="single" w:color="000000" w:sz="4" w:space="0"/>
              <w:bottom w:val="single" w:color="000000" w:sz="4" w:space="0"/>
              <w:right w:val="single" w:color="000000" w:sz="4" w:space="0"/>
            </w:tcBorders>
            <w:vAlign w:val="center"/>
          </w:tcPr>
          <w:p w14:paraId="0D9255AC">
            <w:pPr>
              <w:spacing w:after="0" w:line="240" w:lineRule="auto"/>
              <w:jc w:val="center"/>
              <w:rPr>
                <w:rFonts w:ascii="宋体" w:hAnsi="宋体" w:eastAsia="宋体"/>
                <w:color w:val="auto"/>
              </w:rPr>
            </w:pPr>
            <w:r>
              <w:rPr>
                <w:rFonts w:hint="eastAsia" w:ascii="宋体" w:hAnsi="宋体" w:eastAsia="宋体"/>
                <w:color w:val="auto"/>
              </w:rPr>
              <w:t>6</w:t>
            </w:r>
          </w:p>
        </w:tc>
        <w:tc>
          <w:tcPr>
            <w:tcW w:w="1427" w:type="dxa"/>
            <w:tcBorders>
              <w:top w:val="single" w:color="000000" w:sz="4" w:space="0"/>
              <w:left w:val="single" w:color="000000" w:sz="4" w:space="0"/>
              <w:bottom w:val="single" w:color="000000" w:sz="4" w:space="0"/>
              <w:right w:val="single" w:color="000000" w:sz="4" w:space="0"/>
            </w:tcBorders>
            <w:vAlign w:val="center"/>
          </w:tcPr>
          <w:p w14:paraId="41ED55CA">
            <w:pPr>
              <w:spacing w:after="0" w:line="240" w:lineRule="auto"/>
              <w:jc w:val="left"/>
              <w:rPr>
                <w:rFonts w:ascii="宋体" w:hAnsi="宋体" w:eastAsia="宋体"/>
                <w:color w:val="auto"/>
              </w:rPr>
            </w:pPr>
            <w:r>
              <w:rPr>
                <w:rFonts w:hint="eastAsia" w:ascii="宋体" w:hAnsi="宋体" w:eastAsia="宋体"/>
                <w:color w:val="auto"/>
              </w:rPr>
              <w:t>其他</w:t>
            </w:r>
          </w:p>
        </w:tc>
        <w:tc>
          <w:tcPr>
            <w:tcW w:w="6798" w:type="dxa"/>
            <w:tcBorders>
              <w:top w:val="single" w:color="000000" w:sz="4" w:space="0"/>
              <w:left w:val="single" w:color="000000" w:sz="4" w:space="0"/>
              <w:bottom w:val="single" w:color="000000" w:sz="4" w:space="0"/>
              <w:right w:val="single" w:color="000000" w:sz="4" w:space="0"/>
            </w:tcBorders>
            <w:vAlign w:val="center"/>
          </w:tcPr>
          <w:p w14:paraId="490109F6">
            <w:pPr>
              <w:spacing w:after="0" w:line="240" w:lineRule="auto"/>
              <w:rPr>
                <w:rFonts w:ascii="宋体" w:hAnsi="宋体" w:eastAsia="宋体"/>
                <w:color w:val="auto"/>
              </w:rPr>
            </w:pPr>
            <w:r>
              <w:rPr>
                <w:rFonts w:hint="eastAsia" w:ascii="宋体" w:hAnsi="宋体" w:eastAsia="宋体"/>
                <w:color w:val="auto"/>
              </w:rPr>
              <w:t>在合同履行过程中，中标人应承担由于其行为所造成的采购人或第三人的人身伤害、财产损失或损坏的责任，无论何种原因所造成，与采购人无涉，由此导致的损失由中标人承担，无论何种原因采购人先行支付的，采购人有权向中标人进行追偿。</w:t>
            </w:r>
          </w:p>
        </w:tc>
      </w:tr>
      <w:tr w14:paraId="131EFF9D">
        <w:tblPrEx>
          <w:tblCellMar>
            <w:top w:w="0" w:type="dxa"/>
            <w:left w:w="108" w:type="dxa"/>
            <w:bottom w:w="0" w:type="dxa"/>
            <w:right w:w="108" w:type="dxa"/>
          </w:tblCellMar>
        </w:tblPrEx>
        <w:trPr>
          <w:trHeight w:val="454" w:hRule="atLeast"/>
        </w:trPr>
        <w:tc>
          <w:tcPr>
            <w:tcW w:w="703" w:type="dxa"/>
            <w:tcBorders>
              <w:top w:val="single" w:color="000000" w:sz="4" w:space="0"/>
              <w:left w:val="single" w:color="000000" w:sz="4" w:space="0"/>
              <w:bottom w:val="single" w:color="000000" w:sz="4" w:space="0"/>
              <w:right w:val="single" w:color="000000" w:sz="4" w:space="0"/>
            </w:tcBorders>
            <w:vAlign w:val="center"/>
          </w:tcPr>
          <w:p w14:paraId="2C10946A">
            <w:pPr>
              <w:spacing w:after="0" w:line="240" w:lineRule="auto"/>
              <w:jc w:val="center"/>
              <w:rPr>
                <w:rFonts w:ascii="宋体" w:hAnsi="宋体" w:eastAsia="宋体"/>
                <w:color w:val="auto"/>
              </w:rPr>
            </w:pPr>
            <w:r>
              <w:rPr>
                <w:rFonts w:hint="eastAsia" w:ascii="宋体" w:hAnsi="宋体" w:eastAsia="宋体"/>
                <w:color w:val="auto"/>
              </w:rPr>
              <w:t>7</w:t>
            </w:r>
          </w:p>
        </w:tc>
        <w:tc>
          <w:tcPr>
            <w:tcW w:w="1427" w:type="dxa"/>
            <w:tcBorders>
              <w:top w:val="single" w:color="000000" w:sz="4" w:space="0"/>
              <w:left w:val="single" w:color="000000" w:sz="4" w:space="0"/>
              <w:bottom w:val="single" w:color="000000" w:sz="4" w:space="0"/>
              <w:right w:val="single" w:color="000000" w:sz="4" w:space="0"/>
            </w:tcBorders>
            <w:vAlign w:val="center"/>
          </w:tcPr>
          <w:p w14:paraId="131A7F13">
            <w:pPr>
              <w:spacing w:after="0" w:line="240" w:lineRule="auto"/>
              <w:jc w:val="left"/>
              <w:rPr>
                <w:rFonts w:ascii="宋体" w:hAnsi="宋体" w:eastAsia="宋体"/>
                <w:color w:val="auto"/>
              </w:rPr>
            </w:pPr>
            <w:r>
              <w:rPr>
                <w:rFonts w:hint="eastAsia" w:ascii="宋体" w:hAnsi="宋体" w:eastAsia="宋体"/>
                <w:color w:val="auto"/>
              </w:rPr>
              <w:t>知识产权要求</w:t>
            </w:r>
          </w:p>
        </w:tc>
        <w:tc>
          <w:tcPr>
            <w:tcW w:w="6798" w:type="dxa"/>
            <w:tcBorders>
              <w:top w:val="single" w:color="000000" w:sz="4" w:space="0"/>
              <w:left w:val="single" w:color="000000" w:sz="4" w:space="0"/>
              <w:bottom w:val="single" w:color="000000" w:sz="4" w:space="0"/>
              <w:right w:val="single" w:color="000000" w:sz="4" w:space="0"/>
            </w:tcBorders>
            <w:vAlign w:val="center"/>
          </w:tcPr>
          <w:p w14:paraId="7A89CA33">
            <w:pPr>
              <w:spacing w:after="0" w:line="240" w:lineRule="auto"/>
              <w:rPr>
                <w:rFonts w:ascii="宋体" w:hAnsi="宋体" w:eastAsia="宋体"/>
                <w:color w:val="auto"/>
              </w:rPr>
            </w:pPr>
            <w:r>
              <w:rPr>
                <w:rFonts w:hint="eastAsia" w:ascii="宋体" w:hAnsi="宋体" w:eastAsia="宋体"/>
                <w:color w:val="auto"/>
              </w:rPr>
              <w:t>在项目实施过程中，中标人不得侵犯第三方的知识产权(包括但不限于著作权、专利权、商标权)，同时，在交付本项目合同成果中也不涉及或非法使用第三方的知识产权(包括但不限于著作权、专利权、商标权)。</w:t>
            </w:r>
          </w:p>
        </w:tc>
      </w:tr>
    </w:tbl>
    <w:p w14:paraId="2740F1E5">
      <w:pPr>
        <w:spacing w:after="0" w:line="360" w:lineRule="auto"/>
        <w:rPr>
          <w:rFonts w:ascii="宋体" w:hAnsi="宋体" w:eastAsia="宋体" w:cs="Times New Roman"/>
          <w:color w:val="auto"/>
          <w:szCs w:val="28"/>
          <w:u w:val="single"/>
        </w:rPr>
      </w:pPr>
    </w:p>
    <w:tbl>
      <w:tblPr>
        <w:tblStyle w:val="16"/>
        <w:tblpPr w:leftFromText="180" w:rightFromText="180" w:vertAnchor="text" w:tblpX="15505" w:tblpY="-8900"/>
        <w:tblOverlap w:val="never"/>
        <w:tblW w:w="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tblGrid>
      <w:tr w14:paraId="09D9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40" w:type="dxa"/>
            <w:tcBorders>
              <w:top w:val="single" w:color="auto" w:sz="4" w:space="0"/>
              <w:left w:val="single" w:color="auto" w:sz="4" w:space="0"/>
              <w:bottom w:val="single" w:color="auto" w:sz="4" w:space="0"/>
              <w:right w:val="single" w:color="auto" w:sz="4" w:space="0"/>
            </w:tcBorders>
            <w:shd w:val="clear" w:color="auto" w:fill="auto"/>
          </w:tcPr>
          <w:p w14:paraId="018C9917">
            <w:pPr>
              <w:spacing w:line="276" w:lineRule="auto"/>
              <w:ind w:left="5250"/>
              <w:rPr>
                <w:rFonts w:ascii="宋体" w:hAnsi="宋体" w:eastAsia="宋体"/>
                <w:color w:val="auto"/>
                <w:kern w:val="0"/>
                <w:sz w:val="20"/>
              </w:rPr>
            </w:pPr>
          </w:p>
        </w:tc>
      </w:tr>
      <w:bookmarkEnd w:id="34"/>
    </w:tbl>
    <w:p w14:paraId="7F8E1E4F">
      <w:pPr>
        <w:pStyle w:val="2"/>
        <w:pageBreakBefore/>
        <w:spacing w:before="0" w:after="0"/>
        <w:ind w:firstLine="482"/>
        <w:rPr>
          <w:rFonts w:ascii="宋体" w:hAnsi="宋体" w:eastAsia="宋体"/>
          <w:color w:val="auto"/>
          <w:sz w:val="32"/>
        </w:rPr>
      </w:pPr>
      <w:r>
        <w:rPr>
          <w:rFonts w:hint="eastAsia" w:ascii="宋体" w:hAnsi="宋体" w:eastAsia="宋体"/>
          <w:color w:val="auto"/>
        </w:rPr>
        <w:t xml:space="preserve">第三章 </w:t>
      </w:r>
      <w:r>
        <w:rPr>
          <w:rFonts w:ascii="宋体" w:hAnsi="宋体" w:eastAsia="宋体"/>
          <w:color w:val="auto"/>
        </w:rPr>
        <w:t xml:space="preserve"> </w:t>
      </w:r>
      <w:r>
        <w:rPr>
          <w:rFonts w:hint="eastAsia" w:ascii="宋体" w:hAnsi="宋体" w:eastAsia="宋体"/>
          <w:color w:val="auto"/>
        </w:rPr>
        <w:t>投标人须知</w:t>
      </w:r>
      <w:bookmarkEnd w:id="35"/>
      <w:bookmarkEnd w:id="36"/>
    </w:p>
    <w:p w14:paraId="0A2DBB85">
      <w:pPr>
        <w:spacing w:after="0" w:line="360" w:lineRule="auto"/>
        <w:ind w:firstLine="422"/>
        <w:jc w:val="center"/>
        <w:rPr>
          <w:rFonts w:ascii="宋体" w:hAnsi="宋体" w:eastAsia="宋体"/>
          <w:b/>
          <w:color w:val="auto"/>
        </w:rPr>
      </w:pPr>
      <w:r>
        <w:rPr>
          <w:rFonts w:hint="eastAsia" w:ascii="宋体" w:hAnsi="宋体" w:eastAsia="宋体"/>
          <w:b/>
          <w:color w:val="auto"/>
        </w:rPr>
        <w:t>投标人须知前附表</w:t>
      </w:r>
    </w:p>
    <w:p w14:paraId="177F8E19">
      <w:pPr>
        <w:spacing w:after="0" w:line="360" w:lineRule="auto"/>
        <w:ind w:firstLine="416" w:firstLineChars="200"/>
        <w:jc w:val="left"/>
        <w:rPr>
          <w:rStyle w:val="21"/>
          <w:rFonts w:hint="default"/>
          <w:color w:val="auto"/>
          <w:spacing w:val="-6"/>
        </w:rPr>
      </w:pPr>
      <w:r>
        <w:rPr>
          <w:rStyle w:val="21"/>
          <w:rFonts w:hint="default"/>
          <w:color w:val="auto"/>
          <w:spacing w:val="-6"/>
        </w:rPr>
        <w:t>注：本表是本项目的具体要求，是对投标人须知的具体补充和修改，如有不一致，以本表为准。</w:t>
      </w:r>
    </w:p>
    <w:tbl>
      <w:tblPr>
        <w:tblStyle w:val="15"/>
        <w:tblW w:w="89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817"/>
        <w:gridCol w:w="5515"/>
      </w:tblGrid>
      <w:tr w14:paraId="1362A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137B1214">
            <w:pPr>
              <w:spacing w:after="0" w:line="240" w:lineRule="auto"/>
              <w:rPr>
                <w:rFonts w:ascii="宋体" w:hAnsi="宋体" w:eastAsia="宋体"/>
                <w:b/>
                <w:color w:val="auto"/>
              </w:rPr>
            </w:pPr>
            <w:r>
              <w:rPr>
                <w:rFonts w:hint="eastAsia" w:ascii="宋体" w:hAnsi="宋体" w:eastAsia="宋体"/>
                <w:b/>
                <w:color w:val="auto"/>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73713732">
            <w:pPr>
              <w:spacing w:after="0" w:line="240" w:lineRule="auto"/>
              <w:rPr>
                <w:rFonts w:ascii="宋体" w:hAnsi="宋体" w:eastAsia="宋体"/>
                <w:b/>
                <w:color w:val="auto"/>
              </w:rPr>
            </w:pPr>
            <w:r>
              <w:rPr>
                <w:rFonts w:hint="eastAsia" w:ascii="宋体" w:hAnsi="宋体" w:eastAsia="宋体"/>
                <w:b/>
                <w:color w:val="auto"/>
              </w:rPr>
              <w:t>条款号</w:t>
            </w:r>
          </w:p>
        </w:tc>
        <w:tc>
          <w:tcPr>
            <w:tcW w:w="1817" w:type="dxa"/>
            <w:tcBorders>
              <w:top w:val="single" w:color="auto" w:sz="4" w:space="0"/>
              <w:left w:val="single" w:color="auto" w:sz="4" w:space="0"/>
              <w:bottom w:val="single" w:color="auto" w:sz="4" w:space="0"/>
              <w:right w:val="single" w:color="auto" w:sz="4" w:space="0"/>
            </w:tcBorders>
            <w:vAlign w:val="center"/>
          </w:tcPr>
          <w:p w14:paraId="595F6044">
            <w:pPr>
              <w:spacing w:after="0" w:line="240" w:lineRule="auto"/>
              <w:jc w:val="center"/>
              <w:rPr>
                <w:rFonts w:ascii="宋体" w:hAnsi="宋体" w:eastAsia="宋体"/>
                <w:b/>
                <w:color w:val="auto"/>
              </w:rPr>
            </w:pPr>
            <w:r>
              <w:rPr>
                <w:rFonts w:hint="eastAsia" w:ascii="宋体" w:hAnsi="宋体" w:eastAsia="宋体"/>
                <w:b/>
                <w:color w:val="auto"/>
              </w:rPr>
              <w:t>条款名称</w:t>
            </w:r>
          </w:p>
        </w:tc>
        <w:tc>
          <w:tcPr>
            <w:tcW w:w="5515" w:type="dxa"/>
            <w:tcBorders>
              <w:top w:val="single" w:color="auto" w:sz="4" w:space="0"/>
              <w:left w:val="single" w:color="auto" w:sz="4" w:space="0"/>
              <w:bottom w:val="single" w:color="auto" w:sz="4" w:space="0"/>
              <w:right w:val="single" w:color="auto" w:sz="4" w:space="0"/>
            </w:tcBorders>
            <w:vAlign w:val="center"/>
          </w:tcPr>
          <w:p w14:paraId="3AFCE825">
            <w:pPr>
              <w:spacing w:after="0" w:line="240" w:lineRule="auto"/>
              <w:jc w:val="center"/>
              <w:rPr>
                <w:rFonts w:ascii="宋体" w:hAnsi="宋体" w:eastAsia="宋体"/>
                <w:b/>
                <w:color w:val="auto"/>
              </w:rPr>
            </w:pPr>
            <w:r>
              <w:rPr>
                <w:rFonts w:hint="eastAsia" w:ascii="宋体" w:hAnsi="宋体" w:eastAsia="宋体"/>
                <w:b/>
                <w:color w:val="auto"/>
              </w:rPr>
              <w:t>内容、要求</w:t>
            </w:r>
          </w:p>
        </w:tc>
      </w:tr>
      <w:tr w14:paraId="28B8B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4B791682">
            <w:pPr>
              <w:numPr>
                <w:ilvl w:val="0"/>
                <w:numId w:val="2"/>
              </w:numPr>
              <w:tabs>
                <w:tab w:val="clear" w:pos="312"/>
              </w:tabs>
              <w:spacing w:after="0" w:line="240" w:lineRule="auto"/>
              <w:jc w:val="center"/>
              <w:rPr>
                <w:rFonts w:ascii="宋体" w:hAnsi="宋体" w:eastAsia="宋体"/>
                <w:color w:val="auto"/>
              </w:rPr>
            </w:pPr>
          </w:p>
        </w:tc>
        <w:tc>
          <w:tcPr>
            <w:tcW w:w="892" w:type="dxa"/>
            <w:tcBorders>
              <w:top w:val="single" w:color="auto" w:sz="4" w:space="0"/>
              <w:left w:val="single" w:color="auto" w:sz="4" w:space="0"/>
              <w:bottom w:val="single" w:color="auto" w:sz="4" w:space="0"/>
              <w:right w:val="single" w:color="auto" w:sz="4" w:space="0"/>
            </w:tcBorders>
            <w:vAlign w:val="center"/>
          </w:tcPr>
          <w:p w14:paraId="7F6161D3">
            <w:pPr>
              <w:spacing w:after="0" w:line="240" w:lineRule="auto"/>
              <w:jc w:val="center"/>
              <w:rPr>
                <w:rFonts w:ascii="宋体" w:hAnsi="宋体" w:eastAsia="宋体"/>
                <w:color w:val="auto"/>
              </w:rPr>
            </w:pPr>
            <w:r>
              <w:rPr>
                <w:rFonts w:hint="eastAsia" w:ascii="宋体" w:hAnsi="宋体" w:eastAsia="宋体"/>
                <w:color w:val="auto"/>
              </w:rPr>
              <w:t>3.1</w:t>
            </w:r>
          </w:p>
        </w:tc>
        <w:tc>
          <w:tcPr>
            <w:tcW w:w="1817" w:type="dxa"/>
            <w:tcBorders>
              <w:top w:val="single" w:color="auto" w:sz="4" w:space="0"/>
              <w:left w:val="single" w:color="auto" w:sz="4" w:space="0"/>
              <w:bottom w:val="single" w:color="auto" w:sz="4" w:space="0"/>
              <w:right w:val="single" w:color="auto" w:sz="4" w:space="0"/>
            </w:tcBorders>
            <w:vAlign w:val="center"/>
          </w:tcPr>
          <w:p w14:paraId="55F2CB5F">
            <w:pPr>
              <w:spacing w:after="0" w:line="240" w:lineRule="auto"/>
              <w:rPr>
                <w:rFonts w:ascii="宋体" w:hAnsi="宋体" w:eastAsia="宋体"/>
                <w:color w:val="auto"/>
              </w:rPr>
            </w:pPr>
            <w:r>
              <w:rPr>
                <w:rFonts w:hint="eastAsia" w:ascii="宋体" w:hAnsi="宋体" w:eastAsia="宋体"/>
                <w:color w:val="auto"/>
              </w:rPr>
              <w:t>采购人</w:t>
            </w:r>
          </w:p>
        </w:tc>
        <w:tc>
          <w:tcPr>
            <w:tcW w:w="5515" w:type="dxa"/>
            <w:tcBorders>
              <w:top w:val="single" w:color="auto" w:sz="4" w:space="0"/>
              <w:left w:val="single" w:color="auto" w:sz="4" w:space="0"/>
              <w:bottom w:val="single" w:color="auto" w:sz="4" w:space="0"/>
              <w:right w:val="single" w:color="auto" w:sz="4" w:space="0"/>
            </w:tcBorders>
            <w:vAlign w:val="center"/>
          </w:tcPr>
          <w:p w14:paraId="5E70CEC1">
            <w:pPr>
              <w:spacing w:after="0" w:line="240" w:lineRule="auto"/>
              <w:jc w:val="left"/>
              <w:rPr>
                <w:rFonts w:ascii="宋体" w:hAnsi="宋体" w:eastAsia="宋体"/>
                <w:color w:val="auto"/>
              </w:rPr>
            </w:pPr>
            <w:r>
              <w:rPr>
                <w:rFonts w:hint="eastAsia" w:ascii="宋体" w:hAnsi="宋体" w:eastAsia="宋体"/>
                <w:color w:val="auto"/>
              </w:rPr>
              <w:t>宁波市自然资源整治储备中心</w:t>
            </w:r>
          </w:p>
        </w:tc>
      </w:tr>
      <w:tr w14:paraId="52D0F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51E11C29">
            <w:pPr>
              <w:numPr>
                <w:ilvl w:val="0"/>
                <w:numId w:val="2"/>
              </w:numPr>
              <w:tabs>
                <w:tab w:val="clear" w:pos="312"/>
              </w:tabs>
              <w:spacing w:after="0" w:line="240" w:lineRule="auto"/>
              <w:jc w:val="center"/>
              <w:rPr>
                <w:rFonts w:ascii="宋体" w:hAnsi="宋体" w:eastAsia="宋体"/>
                <w:color w:val="auto"/>
              </w:rPr>
            </w:pPr>
          </w:p>
        </w:tc>
        <w:tc>
          <w:tcPr>
            <w:tcW w:w="892" w:type="dxa"/>
            <w:tcBorders>
              <w:top w:val="single" w:color="auto" w:sz="4" w:space="0"/>
              <w:left w:val="single" w:color="auto" w:sz="4" w:space="0"/>
              <w:bottom w:val="single" w:color="auto" w:sz="4" w:space="0"/>
              <w:right w:val="single" w:color="auto" w:sz="4" w:space="0"/>
            </w:tcBorders>
            <w:vAlign w:val="center"/>
          </w:tcPr>
          <w:p w14:paraId="44022484">
            <w:pPr>
              <w:spacing w:after="0" w:line="240" w:lineRule="auto"/>
              <w:jc w:val="center"/>
              <w:rPr>
                <w:rFonts w:ascii="宋体" w:hAnsi="宋体" w:eastAsia="宋体"/>
                <w:color w:val="auto"/>
              </w:rPr>
            </w:pPr>
            <w:r>
              <w:rPr>
                <w:rFonts w:hint="eastAsia" w:ascii="宋体" w:hAnsi="宋体" w:eastAsia="宋体"/>
                <w:color w:val="auto"/>
              </w:rPr>
              <w:t>3.2</w:t>
            </w:r>
          </w:p>
        </w:tc>
        <w:tc>
          <w:tcPr>
            <w:tcW w:w="1817" w:type="dxa"/>
            <w:tcBorders>
              <w:top w:val="single" w:color="auto" w:sz="4" w:space="0"/>
              <w:left w:val="single" w:color="auto" w:sz="4" w:space="0"/>
              <w:bottom w:val="single" w:color="auto" w:sz="4" w:space="0"/>
              <w:right w:val="single" w:color="auto" w:sz="4" w:space="0"/>
            </w:tcBorders>
            <w:vAlign w:val="center"/>
          </w:tcPr>
          <w:p w14:paraId="213FAAB4">
            <w:pPr>
              <w:spacing w:after="0" w:line="240" w:lineRule="auto"/>
              <w:rPr>
                <w:rFonts w:ascii="宋体" w:hAnsi="宋体" w:eastAsia="宋体"/>
                <w:color w:val="auto"/>
              </w:rPr>
            </w:pPr>
            <w:r>
              <w:rPr>
                <w:rFonts w:hint="eastAsia" w:ascii="宋体" w:hAnsi="宋体" w:eastAsia="宋体"/>
                <w:color w:val="auto"/>
              </w:rPr>
              <w:t>采购代理机构</w:t>
            </w:r>
          </w:p>
        </w:tc>
        <w:tc>
          <w:tcPr>
            <w:tcW w:w="5515" w:type="dxa"/>
            <w:tcBorders>
              <w:top w:val="single" w:color="auto" w:sz="4" w:space="0"/>
              <w:left w:val="single" w:color="auto" w:sz="4" w:space="0"/>
              <w:bottom w:val="single" w:color="auto" w:sz="4" w:space="0"/>
              <w:right w:val="single" w:color="auto" w:sz="4" w:space="0"/>
            </w:tcBorders>
            <w:vAlign w:val="center"/>
          </w:tcPr>
          <w:p w14:paraId="2284918F">
            <w:pPr>
              <w:spacing w:after="0" w:line="240" w:lineRule="auto"/>
              <w:jc w:val="left"/>
              <w:rPr>
                <w:rFonts w:ascii="宋体" w:hAnsi="宋体" w:eastAsia="宋体"/>
                <w:color w:val="auto"/>
              </w:rPr>
            </w:pPr>
            <w:r>
              <w:rPr>
                <w:rFonts w:hint="eastAsia" w:ascii="宋体" w:hAnsi="宋体" w:eastAsia="宋体"/>
                <w:color w:val="auto"/>
              </w:rPr>
              <w:t>宁波名诚招标代理有限公司</w:t>
            </w:r>
          </w:p>
        </w:tc>
      </w:tr>
      <w:tr w14:paraId="40B3C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34A5028E">
            <w:pPr>
              <w:numPr>
                <w:ilvl w:val="0"/>
                <w:numId w:val="2"/>
              </w:numPr>
              <w:tabs>
                <w:tab w:val="clear" w:pos="312"/>
              </w:tabs>
              <w:spacing w:after="0" w:line="240" w:lineRule="auto"/>
              <w:jc w:val="center"/>
              <w:rPr>
                <w:rFonts w:ascii="宋体" w:hAnsi="宋体" w:eastAsia="宋体"/>
                <w:color w:val="auto"/>
              </w:rPr>
            </w:pPr>
          </w:p>
        </w:tc>
        <w:tc>
          <w:tcPr>
            <w:tcW w:w="892" w:type="dxa"/>
            <w:tcBorders>
              <w:top w:val="single" w:color="auto" w:sz="4" w:space="0"/>
              <w:left w:val="single" w:color="auto" w:sz="4" w:space="0"/>
              <w:bottom w:val="single" w:color="auto" w:sz="4" w:space="0"/>
              <w:right w:val="single" w:color="auto" w:sz="4" w:space="0"/>
            </w:tcBorders>
            <w:vAlign w:val="center"/>
          </w:tcPr>
          <w:p w14:paraId="395FE3D1">
            <w:pPr>
              <w:spacing w:after="0" w:line="240" w:lineRule="auto"/>
              <w:jc w:val="center"/>
              <w:rPr>
                <w:rFonts w:ascii="宋体" w:hAnsi="宋体" w:eastAsia="宋体"/>
                <w:color w:val="auto"/>
              </w:rPr>
            </w:pPr>
            <w:r>
              <w:rPr>
                <w:rFonts w:hint="eastAsia" w:ascii="宋体" w:hAnsi="宋体" w:eastAsia="宋体"/>
                <w:color w:val="auto"/>
              </w:rPr>
              <w:t>3.3</w:t>
            </w:r>
          </w:p>
        </w:tc>
        <w:tc>
          <w:tcPr>
            <w:tcW w:w="1817" w:type="dxa"/>
            <w:tcBorders>
              <w:top w:val="single" w:color="auto" w:sz="4" w:space="0"/>
              <w:left w:val="single" w:color="auto" w:sz="4" w:space="0"/>
              <w:bottom w:val="single" w:color="auto" w:sz="4" w:space="0"/>
              <w:right w:val="single" w:color="auto" w:sz="4" w:space="0"/>
            </w:tcBorders>
            <w:vAlign w:val="center"/>
          </w:tcPr>
          <w:p w14:paraId="2EB3A7C9">
            <w:pPr>
              <w:spacing w:after="0" w:line="240" w:lineRule="auto"/>
              <w:rPr>
                <w:rFonts w:ascii="宋体" w:hAnsi="宋体" w:eastAsia="宋体"/>
                <w:color w:val="auto"/>
              </w:rPr>
            </w:pPr>
            <w:r>
              <w:rPr>
                <w:rFonts w:hint="eastAsia" w:ascii="宋体" w:hAnsi="宋体" w:eastAsia="宋体"/>
                <w:color w:val="auto"/>
              </w:rPr>
              <w:t>政府采购监督管理部门</w:t>
            </w:r>
          </w:p>
        </w:tc>
        <w:tc>
          <w:tcPr>
            <w:tcW w:w="5515" w:type="dxa"/>
            <w:tcBorders>
              <w:top w:val="single" w:color="auto" w:sz="4" w:space="0"/>
              <w:left w:val="single" w:color="auto" w:sz="4" w:space="0"/>
              <w:bottom w:val="single" w:color="auto" w:sz="4" w:space="0"/>
              <w:right w:val="single" w:color="auto" w:sz="4" w:space="0"/>
            </w:tcBorders>
            <w:vAlign w:val="center"/>
          </w:tcPr>
          <w:p w14:paraId="3D38A236">
            <w:pPr>
              <w:pStyle w:val="22"/>
              <w:widowControl w:val="0"/>
              <w:spacing w:before="0" w:beforeAutospacing="0" w:after="0" w:afterAutospacing="0" w:line="240" w:lineRule="auto"/>
              <w:jc w:val="both"/>
              <w:rPr>
                <w:rFonts w:eastAsia="宋体"/>
                <w:bCs/>
                <w:color w:val="auto"/>
                <w:sz w:val="21"/>
                <w:szCs w:val="21"/>
              </w:rPr>
            </w:pPr>
            <w:r>
              <w:rPr>
                <w:rFonts w:hint="eastAsia" w:eastAsia="宋体"/>
                <w:bCs/>
                <w:color w:val="auto"/>
                <w:sz w:val="21"/>
                <w:szCs w:val="21"/>
              </w:rPr>
              <w:t>宁波市财政局政府采购监管处</w:t>
            </w:r>
          </w:p>
        </w:tc>
      </w:tr>
      <w:tr w14:paraId="09014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4B5D8703">
            <w:pPr>
              <w:numPr>
                <w:ilvl w:val="0"/>
                <w:numId w:val="2"/>
              </w:numPr>
              <w:tabs>
                <w:tab w:val="clear" w:pos="312"/>
              </w:tabs>
              <w:spacing w:after="0" w:line="240" w:lineRule="auto"/>
              <w:jc w:val="center"/>
              <w:rPr>
                <w:rFonts w:ascii="宋体" w:hAnsi="宋体" w:eastAsia="宋体"/>
                <w:color w:val="auto"/>
              </w:rPr>
            </w:pPr>
          </w:p>
        </w:tc>
        <w:tc>
          <w:tcPr>
            <w:tcW w:w="892" w:type="dxa"/>
            <w:tcBorders>
              <w:top w:val="single" w:color="auto" w:sz="4" w:space="0"/>
              <w:left w:val="single" w:color="auto" w:sz="4" w:space="0"/>
              <w:bottom w:val="single" w:color="auto" w:sz="4" w:space="0"/>
              <w:right w:val="single" w:color="auto" w:sz="4" w:space="0"/>
            </w:tcBorders>
            <w:vAlign w:val="center"/>
          </w:tcPr>
          <w:p w14:paraId="5E116A6F">
            <w:pPr>
              <w:spacing w:after="0" w:line="240" w:lineRule="auto"/>
              <w:jc w:val="center"/>
              <w:rPr>
                <w:rFonts w:ascii="宋体" w:hAnsi="宋体" w:eastAsia="宋体"/>
                <w:color w:val="auto"/>
              </w:rPr>
            </w:pPr>
            <w:r>
              <w:rPr>
                <w:rFonts w:ascii="宋体" w:hAnsi="宋体" w:eastAsia="宋体"/>
                <w:color w:val="auto"/>
              </w:rPr>
              <w:t>3.4</w:t>
            </w:r>
          </w:p>
        </w:tc>
        <w:tc>
          <w:tcPr>
            <w:tcW w:w="1817" w:type="dxa"/>
            <w:tcBorders>
              <w:top w:val="single" w:color="auto" w:sz="4" w:space="0"/>
              <w:left w:val="single" w:color="auto" w:sz="4" w:space="0"/>
              <w:bottom w:val="single" w:color="auto" w:sz="4" w:space="0"/>
              <w:right w:val="single" w:color="auto" w:sz="4" w:space="0"/>
            </w:tcBorders>
            <w:vAlign w:val="center"/>
          </w:tcPr>
          <w:p w14:paraId="5D2D1730">
            <w:pPr>
              <w:spacing w:after="0" w:line="240" w:lineRule="auto"/>
              <w:rPr>
                <w:rFonts w:ascii="宋体" w:hAnsi="宋体" w:eastAsia="宋体"/>
                <w:color w:val="auto"/>
              </w:rPr>
            </w:pPr>
            <w:r>
              <w:rPr>
                <w:rFonts w:hint="eastAsia" w:ascii="宋体" w:hAnsi="宋体" w:eastAsia="宋体"/>
                <w:color w:val="auto"/>
              </w:rPr>
              <w:t>是否为专门面向中小企业采购</w:t>
            </w:r>
          </w:p>
        </w:tc>
        <w:tc>
          <w:tcPr>
            <w:tcW w:w="5515" w:type="dxa"/>
            <w:tcBorders>
              <w:top w:val="single" w:color="auto" w:sz="4" w:space="0"/>
              <w:left w:val="single" w:color="auto" w:sz="4" w:space="0"/>
              <w:bottom w:val="single" w:color="auto" w:sz="4" w:space="0"/>
              <w:right w:val="single" w:color="auto" w:sz="4" w:space="0"/>
            </w:tcBorders>
            <w:vAlign w:val="center"/>
          </w:tcPr>
          <w:p w14:paraId="25DF77BD">
            <w:pPr>
              <w:pStyle w:val="22"/>
              <w:widowControl w:val="0"/>
              <w:spacing w:before="0" w:beforeAutospacing="0" w:after="0" w:afterAutospacing="0" w:line="240" w:lineRule="auto"/>
              <w:jc w:val="both"/>
              <w:rPr>
                <w:rFonts w:eastAsia="宋体"/>
                <w:bCs/>
                <w:color w:val="auto"/>
                <w:sz w:val="21"/>
                <w:szCs w:val="21"/>
              </w:rPr>
            </w:pPr>
            <w:r>
              <w:rPr>
                <w:rFonts w:hint="eastAsia" w:eastAsia="宋体"/>
                <w:color w:val="auto"/>
                <w:sz w:val="21"/>
                <w:szCs w:val="21"/>
              </w:rPr>
              <w:t xml:space="preserve">□是 </w:t>
            </w:r>
            <w:r>
              <w:rPr>
                <w:rFonts w:eastAsia="宋体"/>
                <w:color w:val="auto"/>
                <w:sz w:val="21"/>
                <w:szCs w:val="21"/>
              </w:rPr>
              <w:t xml:space="preserve"> </w:t>
            </w:r>
            <w:r>
              <w:rPr>
                <w:rFonts w:hint="eastAsia" w:eastAsia="宋体"/>
                <w:color w:val="auto"/>
                <w:sz w:val="21"/>
                <w:szCs w:val="21"/>
              </w:rPr>
              <w:sym w:font="Wingdings" w:char="F0FE"/>
            </w:r>
            <w:r>
              <w:rPr>
                <w:rFonts w:hint="eastAsia" w:eastAsia="宋体"/>
                <w:color w:val="auto"/>
                <w:sz w:val="21"/>
                <w:szCs w:val="21"/>
              </w:rPr>
              <w:t>否</w:t>
            </w:r>
          </w:p>
        </w:tc>
      </w:tr>
      <w:tr w14:paraId="39D45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10CDA626">
            <w:pPr>
              <w:numPr>
                <w:ilvl w:val="0"/>
                <w:numId w:val="2"/>
              </w:numPr>
              <w:tabs>
                <w:tab w:val="clear" w:pos="312"/>
              </w:tabs>
              <w:spacing w:after="0" w:line="240" w:lineRule="auto"/>
              <w:jc w:val="center"/>
              <w:rPr>
                <w:rFonts w:ascii="宋体" w:hAnsi="宋体" w:eastAsia="宋体"/>
                <w:color w:val="auto"/>
              </w:rPr>
            </w:pPr>
          </w:p>
        </w:tc>
        <w:tc>
          <w:tcPr>
            <w:tcW w:w="892" w:type="dxa"/>
            <w:tcBorders>
              <w:top w:val="single" w:color="auto" w:sz="4" w:space="0"/>
              <w:left w:val="single" w:color="auto" w:sz="4" w:space="0"/>
              <w:bottom w:val="single" w:color="auto" w:sz="4" w:space="0"/>
              <w:right w:val="single" w:color="auto" w:sz="4" w:space="0"/>
            </w:tcBorders>
            <w:vAlign w:val="center"/>
          </w:tcPr>
          <w:p w14:paraId="3C6BB23B">
            <w:pPr>
              <w:spacing w:after="0" w:line="240" w:lineRule="auto"/>
              <w:jc w:val="center"/>
              <w:rPr>
                <w:rFonts w:ascii="宋体" w:hAnsi="宋体" w:eastAsia="宋体"/>
                <w:color w:val="auto"/>
              </w:rPr>
            </w:pPr>
            <w:r>
              <w:rPr>
                <w:rFonts w:hint="eastAsia" w:ascii="宋体" w:hAnsi="宋体" w:eastAsia="宋体"/>
                <w:color w:val="auto"/>
              </w:rPr>
              <w:t>11.3</w:t>
            </w:r>
          </w:p>
        </w:tc>
        <w:tc>
          <w:tcPr>
            <w:tcW w:w="1817" w:type="dxa"/>
            <w:tcBorders>
              <w:top w:val="single" w:color="auto" w:sz="4" w:space="0"/>
              <w:left w:val="single" w:color="auto" w:sz="4" w:space="0"/>
              <w:bottom w:val="single" w:color="auto" w:sz="4" w:space="0"/>
              <w:right w:val="single" w:color="auto" w:sz="4" w:space="0"/>
            </w:tcBorders>
            <w:vAlign w:val="center"/>
          </w:tcPr>
          <w:p w14:paraId="0AA164A4">
            <w:pPr>
              <w:spacing w:after="0" w:line="240" w:lineRule="auto"/>
              <w:rPr>
                <w:rFonts w:ascii="宋体" w:hAnsi="宋体" w:eastAsia="宋体"/>
                <w:color w:val="auto"/>
              </w:rPr>
            </w:pPr>
            <w:r>
              <w:rPr>
                <w:rFonts w:hint="eastAsia" w:ascii="宋体" w:hAnsi="宋体" w:eastAsia="宋体"/>
                <w:color w:val="auto"/>
              </w:rPr>
              <w:t>质疑函递交方式、接收部门、联系电话和通讯地址</w:t>
            </w:r>
          </w:p>
        </w:tc>
        <w:tc>
          <w:tcPr>
            <w:tcW w:w="5515" w:type="dxa"/>
            <w:tcBorders>
              <w:top w:val="single" w:color="auto" w:sz="4" w:space="0"/>
              <w:left w:val="single" w:color="auto" w:sz="4" w:space="0"/>
              <w:bottom w:val="single" w:color="auto" w:sz="4" w:space="0"/>
              <w:right w:val="single" w:color="auto" w:sz="4" w:space="0"/>
            </w:tcBorders>
            <w:vAlign w:val="center"/>
          </w:tcPr>
          <w:p w14:paraId="6C9EADEF">
            <w:pPr>
              <w:pStyle w:val="22"/>
              <w:widowControl w:val="0"/>
              <w:spacing w:before="0" w:beforeAutospacing="0" w:after="0" w:afterAutospacing="0" w:line="240" w:lineRule="auto"/>
              <w:jc w:val="both"/>
              <w:rPr>
                <w:rFonts w:eastAsia="宋体"/>
                <w:b/>
                <w:color w:val="auto"/>
                <w:sz w:val="21"/>
                <w:szCs w:val="21"/>
              </w:rPr>
            </w:pPr>
            <w:r>
              <w:rPr>
                <w:rFonts w:hint="eastAsia" w:eastAsia="宋体"/>
                <w:color w:val="auto"/>
                <w:sz w:val="21"/>
                <w:szCs w:val="21"/>
              </w:rPr>
              <w:t>递交方式：</w:t>
            </w:r>
            <w:r>
              <w:rPr>
                <w:rFonts w:hint="eastAsia" w:eastAsia="宋体"/>
                <w:color w:val="auto"/>
                <w:sz w:val="21"/>
                <w:szCs w:val="21"/>
                <w:u w:val="single"/>
              </w:rPr>
              <w:t>书面形式</w:t>
            </w:r>
          </w:p>
          <w:p w14:paraId="1E83992C">
            <w:pPr>
              <w:pStyle w:val="22"/>
              <w:widowControl w:val="0"/>
              <w:spacing w:before="0" w:beforeAutospacing="0" w:after="0" w:afterAutospacing="0" w:line="240" w:lineRule="auto"/>
              <w:jc w:val="both"/>
              <w:rPr>
                <w:rFonts w:eastAsia="宋体"/>
                <w:b/>
                <w:bCs/>
                <w:color w:val="auto"/>
                <w:sz w:val="21"/>
                <w:szCs w:val="21"/>
                <w:u w:val="single"/>
              </w:rPr>
            </w:pPr>
            <w:r>
              <w:rPr>
                <w:rFonts w:hint="eastAsia" w:eastAsia="宋体"/>
                <w:color w:val="auto"/>
                <w:sz w:val="21"/>
                <w:szCs w:val="21"/>
              </w:rPr>
              <w:t>接收部门：</w:t>
            </w:r>
            <w:r>
              <w:rPr>
                <w:rFonts w:hint="eastAsia" w:eastAsia="宋体"/>
                <w:color w:val="auto"/>
                <w:sz w:val="21"/>
                <w:szCs w:val="21"/>
                <w:u w:val="single"/>
              </w:rPr>
              <w:t>综合办</w:t>
            </w:r>
          </w:p>
          <w:p w14:paraId="3997DD77">
            <w:pPr>
              <w:pStyle w:val="22"/>
              <w:widowControl w:val="0"/>
              <w:spacing w:before="0" w:beforeAutospacing="0" w:after="0" w:afterAutospacing="0" w:line="240" w:lineRule="auto"/>
              <w:jc w:val="both"/>
              <w:rPr>
                <w:rFonts w:eastAsia="宋体"/>
                <w:b/>
                <w:bCs/>
                <w:color w:val="auto"/>
                <w:sz w:val="21"/>
                <w:szCs w:val="21"/>
                <w:u w:val="single"/>
              </w:rPr>
            </w:pPr>
            <w:r>
              <w:rPr>
                <w:rFonts w:eastAsia="宋体"/>
                <w:color w:val="auto"/>
                <w:sz w:val="21"/>
                <w:szCs w:val="21"/>
              </w:rPr>
              <w:t>联系电话：</w:t>
            </w:r>
            <w:r>
              <w:rPr>
                <w:rFonts w:eastAsia="宋体"/>
                <w:bCs/>
                <w:color w:val="auto"/>
                <w:sz w:val="21"/>
                <w:szCs w:val="21"/>
                <w:u w:val="single"/>
              </w:rPr>
              <w:t>13968311598</w:t>
            </w:r>
          </w:p>
          <w:p w14:paraId="1217E5B7">
            <w:pPr>
              <w:pStyle w:val="22"/>
              <w:widowControl w:val="0"/>
              <w:spacing w:before="0" w:beforeAutospacing="0" w:after="0" w:afterAutospacing="0" w:line="240" w:lineRule="auto"/>
              <w:jc w:val="both"/>
              <w:rPr>
                <w:rFonts w:eastAsia="宋体"/>
                <w:bCs/>
                <w:color w:val="auto"/>
                <w:sz w:val="21"/>
                <w:szCs w:val="21"/>
              </w:rPr>
            </w:pPr>
            <w:r>
              <w:rPr>
                <w:rFonts w:hint="eastAsia" w:eastAsia="宋体"/>
                <w:color w:val="auto"/>
                <w:sz w:val="21"/>
                <w:szCs w:val="21"/>
              </w:rPr>
              <w:t>通讯地址：</w:t>
            </w:r>
            <w:r>
              <w:rPr>
                <w:rFonts w:hint="eastAsia" w:eastAsia="宋体"/>
                <w:bCs/>
                <w:color w:val="auto"/>
                <w:spacing w:val="-6"/>
                <w:sz w:val="21"/>
                <w:szCs w:val="21"/>
                <w:u w:val="single"/>
              </w:rPr>
              <w:t>宁波市海曙区江汇城496号姚江时代14幢3楼</w:t>
            </w:r>
          </w:p>
        </w:tc>
      </w:tr>
      <w:tr w14:paraId="5836F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22D645CC">
            <w:pPr>
              <w:numPr>
                <w:ilvl w:val="0"/>
                <w:numId w:val="2"/>
              </w:numPr>
              <w:tabs>
                <w:tab w:val="clear" w:pos="312"/>
              </w:tabs>
              <w:spacing w:after="0" w:line="240" w:lineRule="auto"/>
              <w:jc w:val="center"/>
              <w:rPr>
                <w:rFonts w:ascii="宋体" w:hAnsi="宋体" w:eastAsia="宋体"/>
                <w:color w:val="auto"/>
              </w:rPr>
            </w:pPr>
          </w:p>
        </w:tc>
        <w:tc>
          <w:tcPr>
            <w:tcW w:w="892" w:type="dxa"/>
            <w:tcBorders>
              <w:top w:val="single" w:color="auto" w:sz="4" w:space="0"/>
              <w:left w:val="single" w:color="auto" w:sz="4" w:space="0"/>
              <w:bottom w:val="single" w:color="auto" w:sz="4" w:space="0"/>
              <w:right w:val="single" w:color="auto" w:sz="4" w:space="0"/>
            </w:tcBorders>
            <w:vAlign w:val="center"/>
          </w:tcPr>
          <w:p w14:paraId="11406247">
            <w:pPr>
              <w:spacing w:after="0" w:line="240" w:lineRule="auto"/>
              <w:jc w:val="center"/>
              <w:rPr>
                <w:rFonts w:ascii="宋体" w:hAnsi="宋体" w:eastAsia="宋体"/>
                <w:color w:val="auto"/>
              </w:rPr>
            </w:pPr>
            <w:r>
              <w:rPr>
                <w:rFonts w:hint="eastAsia" w:ascii="宋体" w:hAnsi="宋体" w:eastAsia="宋体"/>
                <w:color w:val="auto"/>
              </w:rPr>
              <w:t>14.1</w:t>
            </w:r>
          </w:p>
        </w:tc>
        <w:tc>
          <w:tcPr>
            <w:tcW w:w="1817" w:type="dxa"/>
            <w:tcBorders>
              <w:top w:val="single" w:color="auto" w:sz="4" w:space="0"/>
              <w:left w:val="single" w:color="auto" w:sz="4" w:space="0"/>
              <w:bottom w:val="single" w:color="auto" w:sz="4" w:space="0"/>
              <w:right w:val="single" w:color="auto" w:sz="4" w:space="0"/>
            </w:tcBorders>
            <w:vAlign w:val="center"/>
          </w:tcPr>
          <w:p w14:paraId="6E06F5FD">
            <w:pPr>
              <w:spacing w:after="0" w:line="240" w:lineRule="auto"/>
              <w:rPr>
                <w:rFonts w:ascii="宋体" w:hAnsi="宋体" w:eastAsia="宋体"/>
                <w:color w:val="auto"/>
              </w:rPr>
            </w:pPr>
            <w:r>
              <w:rPr>
                <w:rFonts w:hint="eastAsia" w:ascii="宋体" w:hAnsi="宋体" w:eastAsia="宋体"/>
                <w:color w:val="auto"/>
              </w:rPr>
              <w:t>采购</w:t>
            </w:r>
            <w:r>
              <w:rPr>
                <w:rFonts w:ascii="宋体" w:hAnsi="宋体" w:eastAsia="宋体"/>
                <w:color w:val="auto"/>
              </w:rPr>
              <w:t>代理</w:t>
            </w:r>
            <w:r>
              <w:rPr>
                <w:rFonts w:hint="eastAsia" w:ascii="宋体" w:hAnsi="宋体" w:eastAsia="宋体"/>
                <w:color w:val="auto"/>
              </w:rPr>
              <w:t>服务</w:t>
            </w:r>
            <w:r>
              <w:rPr>
                <w:rFonts w:ascii="宋体" w:hAnsi="宋体" w:eastAsia="宋体"/>
                <w:color w:val="auto"/>
              </w:rPr>
              <w:t>费用的收取标准</w:t>
            </w:r>
          </w:p>
        </w:tc>
        <w:tc>
          <w:tcPr>
            <w:tcW w:w="5515" w:type="dxa"/>
            <w:tcBorders>
              <w:top w:val="single" w:color="auto" w:sz="4" w:space="0"/>
              <w:left w:val="single" w:color="auto" w:sz="4" w:space="0"/>
              <w:bottom w:val="single" w:color="auto" w:sz="4" w:space="0"/>
              <w:right w:val="single" w:color="auto" w:sz="4" w:space="0"/>
            </w:tcBorders>
            <w:vAlign w:val="center"/>
          </w:tcPr>
          <w:p w14:paraId="1C17CD98">
            <w:pPr>
              <w:pStyle w:val="22"/>
              <w:spacing w:before="0" w:beforeAutospacing="0" w:after="0" w:afterAutospacing="0" w:line="240" w:lineRule="auto"/>
              <w:ind w:firstLine="29" w:firstLineChars="14"/>
              <w:jc w:val="left"/>
              <w:rPr>
                <w:rFonts w:eastAsia="宋体"/>
                <w:bCs/>
                <w:color w:val="auto"/>
              </w:rPr>
            </w:pPr>
            <w:r>
              <w:rPr>
                <w:rFonts w:hint="eastAsia" w:eastAsia="宋体"/>
                <w:bCs/>
                <w:color w:val="auto"/>
                <w:sz w:val="21"/>
                <w:szCs w:val="21"/>
              </w:rPr>
              <w:t>参照原国家发改委发改办价格[2003]857号通知和原国家计委计价格[2002]1980号文件规定的服务招标收费费率为取费标准。以中标总金额为计算基数，结合上述费率标准计算本项目的代理服务费用。经计算不足3</w:t>
            </w:r>
            <w:r>
              <w:rPr>
                <w:rFonts w:eastAsia="宋体"/>
                <w:bCs/>
                <w:color w:val="auto"/>
                <w:sz w:val="21"/>
                <w:szCs w:val="21"/>
              </w:rPr>
              <w:t>000</w:t>
            </w:r>
            <w:r>
              <w:rPr>
                <w:rFonts w:hint="eastAsia" w:eastAsia="宋体"/>
                <w:bCs/>
                <w:color w:val="auto"/>
                <w:sz w:val="21"/>
                <w:szCs w:val="21"/>
              </w:rPr>
              <w:t>元的按照3</w:t>
            </w:r>
            <w:r>
              <w:rPr>
                <w:rFonts w:eastAsia="宋体"/>
                <w:bCs/>
                <w:color w:val="auto"/>
                <w:sz w:val="21"/>
                <w:szCs w:val="21"/>
              </w:rPr>
              <w:t>000</w:t>
            </w:r>
            <w:r>
              <w:rPr>
                <w:rFonts w:hint="eastAsia" w:eastAsia="宋体"/>
                <w:bCs/>
                <w:color w:val="auto"/>
                <w:sz w:val="21"/>
                <w:szCs w:val="21"/>
              </w:rPr>
              <w:t>元收取。</w:t>
            </w:r>
          </w:p>
        </w:tc>
      </w:tr>
      <w:tr w14:paraId="75B81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50777698">
            <w:pPr>
              <w:numPr>
                <w:ilvl w:val="0"/>
                <w:numId w:val="2"/>
              </w:numPr>
              <w:tabs>
                <w:tab w:val="clear" w:pos="312"/>
              </w:tabs>
              <w:spacing w:after="0" w:line="240" w:lineRule="auto"/>
              <w:jc w:val="center"/>
              <w:rPr>
                <w:rFonts w:ascii="宋体" w:hAnsi="宋体" w:eastAsia="宋体"/>
                <w:color w:val="auto"/>
              </w:rPr>
            </w:pPr>
          </w:p>
        </w:tc>
        <w:tc>
          <w:tcPr>
            <w:tcW w:w="892" w:type="dxa"/>
            <w:tcBorders>
              <w:top w:val="single" w:color="auto" w:sz="4" w:space="0"/>
              <w:left w:val="single" w:color="auto" w:sz="4" w:space="0"/>
              <w:bottom w:val="single" w:color="auto" w:sz="4" w:space="0"/>
              <w:right w:val="single" w:color="auto" w:sz="4" w:space="0"/>
            </w:tcBorders>
            <w:vAlign w:val="center"/>
          </w:tcPr>
          <w:p w14:paraId="120D752C">
            <w:pPr>
              <w:spacing w:after="0" w:line="240" w:lineRule="auto"/>
              <w:jc w:val="center"/>
              <w:rPr>
                <w:rFonts w:ascii="宋体" w:hAnsi="宋体" w:eastAsia="宋体"/>
                <w:color w:val="auto"/>
              </w:rPr>
            </w:pPr>
            <w:r>
              <w:rPr>
                <w:rFonts w:hint="eastAsia" w:ascii="宋体" w:hAnsi="宋体" w:eastAsia="宋体"/>
                <w:color w:val="auto"/>
              </w:rPr>
              <w:t>14.2</w:t>
            </w:r>
          </w:p>
        </w:tc>
        <w:tc>
          <w:tcPr>
            <w:tcW w:w="1817" w:type="dxa"/>
            <w:tcBorders>
              <w:top w:val="single" w:color="auto" w:sz="4" w:space="0"/>
              <w:left w:val="single" w:color="auto" w:sz="4" w:space="0"/>
              <w:bottom w:val="single" w:color="auto" w:sz="4" w:space="0"/>
              <w:right w:val="single" w:color="auto" w:sz="4" w:space="0"/>
            </w:tcBorders>
            <w:vAlign w:val="center"/>
          </w:tcPr>
          <w:p w14:paraId="2954C532">
            <w:pPr>
              <w:spacing w:after="0" w:line="240" w:lineRule="auto"/>
              <w:rPr>
                <w:rFonts w:ascii="宋体" w:hAnsi="宋体" w:eastAsia="宋体"/>
                <w:color w:val="auto"/>
              </w:rPr>
            </w:pPr>
            <w:r>
              <w:rPr>
                <w:rFonts w:hint="eastAsia" w:ascii="宋体" w:hAnsi="宋体" w:eastAsia="宋体"/>
                <w:color w:val="auto"/>
              </w:rPr>
              <w:t>采购代理服务费的支付</w:t>
            </w:r>
          </w:p>
        </w:tc>
        <w:tc>
          <w:tcPr>
            <w:tcW w:w="5515" w:type="dxa"/>
            <w:tcBorders>
              <w:top w:val="single" w:color="auto" w:sz="4" w:space="0"/>
              <w:left w:val="single" w:color="auto" w:sz="4" w:space="0"/>
              <w:bottom w:val="single" w:color="auto" w:sz="4" w:space="0"/>
              <w:right w:val="single" w:color="auto" w:sz="4" w:space="0"/>
            </w:tcBorders>
            <w:vAlign w:val="center"/>
          </w:tcPr>
          <w:p w14:paraId="341DC916">
            <w:pPr>
              <w:spacing w:after="0" w:line="240" w:lineRule="auto"/>
              <w:ind w:firstLine="29" w:firstLineChars="14"/>
              <w:jc w:val="left"/>
              <w:rPr>
                <w:rFonts w:ascii="宋体" w:hAnsi="宋体" w:eastAsia="宋体"/>
                <w:bCs/>
                <w:color w:val="auto"/>
              </w:rPr>
            </w:pPr>
            <w:r>
              <w:rPr>
                <w:rFonts w:hint="eastAsia" w:ascii="宋体" w:hAnsi="宋体" w:eastAsia="宋体"/>
                <w:bCs/>
                <w:color w:val="auto"/>
              </w:rPr>
              <w:t>本项目代理服务费由中标人支付，中标人在中标通知书发出后5个工作日内一次性全额支付。</w:t>
            </w:r>
          </w:p>
        </w:tc>
      </w:tr>
      <w:tr w14:paraId="2356A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31E9063D">
            <w:pPr>
              <w:numPr>
                <w:ilvl w:val="0"/>
                <w:numId w:val="2"/>
              </w:numPr>
              <w:tabs>
                <w:tab w:val="clear" w:pos="312"/>
              </w:tabs>
              <w:spacing w:after="0" w:line="240" w:lineRule="auto"/>
              <w:jc w:val="center"/>
              <w:rPr>
                <w:rFonts w:ascii="宋体" w:hAnsi="宋体" w:eastAsia="宋体"/>
                <w:color w:val="auto"/>
              </w:rPr>
            </w:pPr>
          </w:p>
        </w:tc>
        <w:tc>
          <w:tcPr>
            <w:tcW w:w="892" w:type="dxa"/>
            <w:tcBorders>
              <w:top w:val="single" w:color="auto" w:sz="4" w:space="0"/>
              <w:left w:val="single" w:color="auto" w:sz="4" w:space="0"/>
              <w:bottom w:val="single" w:color="auto" w:sz="4" w:space="0"/>
              <w:right w:val="single" w:color="auto" w:sz="4" w:space="0"/>
            </w:tcBorders>
            <w:vAlign w:val="center"/>
          </w:tcPr>
          <w:p w14:paraId="53A11A51">
            <w:pPr>
              <w:spacing w:after="0" w:line="240" w:lineRule="auto"/>
              <w:jc w:val="center"/>
              <w:rPr>
                <w:rFonts w:ascii="宋体" w:hAnsi="宋体" w:eastAsia="宋体"/>
                <w:color w:val="auto"/>
              </w:rPr>
            </w:pPr>
            <w:r>
              <w:rPr>
                <w:rFonts w:hint="eastAsia" w:ascii="宋体" w:hAnsi="宋体" w:eastAsia="宋体"/>
                <w:color w:val="auto"/>
              </w:rPr>
              <w:t>18.1</w:t>
            </w:r>
          </w:p>
        </w:tc>
        <w:tc>
          <w:tcPr>
            <w:tcW w:w="1817" w:type="dxa"/>
            <w:tcBorders>
              <w:top w:val="single" w:color="auto" w:sz="4" w:space="0"/>
              <w:left w:val="single" w:color="auto" w:sz="4" w:space="0"/>
              <w:bottom w:val="single" w:color="auto" w:sz="4" w:space="0"/>
              <w:right w:val="single" w:color="auto" w:sz="4" w:space="0"/>
            </w:tcBorders>
            <w:vAlign w:val="center"/>
          </w:tcPr>
          <w:p w14:paraId="667B6C31">
            <w:pPr>
              <w:pStyle w:val="22"/>
              <w:widowControl w:val="0"/>
              <w:spacing w:before="0" w:beforeAutospacing="0" w:after="0" w:afterAutospacing="0" w:line="240" w:lineRule="auto"/>
              <w:jc w:val="left"/>
              <w:rPr>
                <w:rFonts w:eastAsia="宋体"/>
                <w:b/>
                <w:color w:val="auto"/>
                <w:sz w:val="21"/>
                <w:szCs w:val="21"/>
              </w:rPr>
            </w:pPr>
            <w:r>
              <w:rPr>
                <w:rFonts w:hint="eastAsia" w:eastAsia="宋体"/>
                <w:color w:val="auto"/>
                <w:sz w:val="21"/>
                <w:szCs w:val="21"/>
              </w:rPr>
              <w:t>现场考察</w:t>
            </w:r>
          </w:p>
        </w:tc>
        <w:tc>
          <w:tcPr>
            <w:tcW w:w="5515" w:type="dxa"/>
            <w:tcBorders>
              <w:top w:val="single" w:color="auto" w:sz="4" w:space="0"/>
              <w:left w:val="single" w:color="auto" w:sz="4" w:space="0"/>
              <w:bottom w:val="single" w:color="auto" w:sz="4" w:space="0"/>
              <w:right w:val="single" w:color="auto" w:sz="4" w:space="0"/>
            </w:tcBorders>
            <w:vAlign w:val="center"/>
          </w:tcPr>
          <w:p w14:paraId="27F27AAE">
            <w:pPr>
              <w:spacing w:after="0" w:line="240" w:lineRule="auto"/>
              <w:rPr>
                <w:rFonts w:ascii="宋体" w:hAnsi="宋体" w:eastAsia="宋体"/>
                <w:bCs/>
                <w:color w:val="auto"/>
              </w:rPr>
            </w:pPr>
            <w:r>
              <w:rPr>
                <w:rFonts w:hint="eastAsia" w:ascii="宋体" w:hAnsi="宋体" w:eastAsia="宋体"/>
                <w:color w:val="auto"/>
              </w:rPr>
              <w:sym w:font="Wingdings" w:char="F0FE"/>
            </w:r>
            <w:r>
              <w:rPr>
                <w:rFonts w:hint="eastAsia" w:ascii="宋体" w:hAnsi="宋体" w:eastAsia="宋体"/>
                <w:color w:val="auto"/>
              </w:rPr>
              <w:t>不</w:t>
            </w:r>
            <w:r>
              <w:rPr>
                <w:rFonts w:hint="eastAsia" w:ascii="宋体" w:hAnsi="宋体" w:eastAsia="宋体"/>
                <w:bCs/>
                <w:color w:val="auto"/>
              </w:rPr>
              <w:t>统一</w:t>
            </w:r>
            <w:r>
              <w:rPr>
                <w:rFonts w:hint="eastAsia" w:ascii="宋体" w:hAnsi="宋体" w:eastAsia="宋体"/>
                <w:color w:val="auto"/>
              </w:rPr>
              <w:t>组织现场考察。</w:t>
            </w:r>
          </w:p>
          <w:p w14:paraId="1C5927C0">
            <w:pPr>
              <w:spacing w:after="0" w:line="240" w:lineRule="auto"/>
              <w:rPr>
                <w:rFonts w:ascii="宋体" w:hAnsi="宋体" w:eastAsia="宋体"/>
                <w:bCs/>
                <w:color w:val="auto"/>
              </w:rPr>
            </w:pPr>
            <w:r>
              <w:rPr>
                <w:rFonts w:hint="eastAsia" w:ascii="宋体" w:hAnsi="宋体" w:eastAsia="宋体"/>
                <w:color w:val="auto"/>
              </w:rPr>
              <w:t>□</w:t>
            </w:r>
            <w:r>
              <w:rPr>
                <w:rFonts w:hint="eastAsia" w:ascii="宋体" w:hAnsi="宋体" w:eastAsia="宋体"/>
                <w:bCs/>
                <w:color w:val="auto"/>
              </w:rPr>
              <w:t>统一组织</w:t>
            </w:r>
            <w:r>
              <w:rPr>
                <w:rFonts w:hint="eastAsia" w:ascii="宋体" w:hAnsi="宋体" w:eastAsia="宋体"/>
                <w:color w:val="auto"/>
              </w:rPr>
              <w:t>现场考察</w:t>
            </w:r>
          </w:p>
        </w:tc>
      </w:tr>
      <w:tr w14:paraId="4F6E5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02" w:type="dxa"/>
            <w:tcBorders>
              <w:top w:val="single" w:color="auto" w:sz="4" w:space="0"/>
              <w:left w:val="single" w:color="auto" w:sz="4" w:space="0"/>
              <w:right w:val="single" w:color="auto" w:sz="4" w:space="0"/>
            </w:tcBorders>
            <w:vAlign w:val="center"/>
          </w:tcPr>
          <w:p w14:paraId="4F9C0316">
            <w:pPr>
              <w:numPr>
                <w:ilvl w:val="0"/>
                <w:numId w:val="2"/>
              </w:numPr>
              <w:tabs>
                <w:tab w:val="clear" w:pos="312"/>
              </w:tabs>
              <w:spacing w:after="0" w:line="240" w:lineRule="auto"/>
              <w:jc w:val="center"/>
              <w:rPr>
                <w:rFonts w:ascii="宋体" w:hAnsi="宋体" w:eastAsia="宋体"/>
                <w:color w:val="auto"/>
              </w:rPr>
            </w:pPr>
          </w:p>
        </w:tc>
        <w:tc>
          <w:tcPr>
            <w:tcW w:w="892" w:type="dxa"/>
            <w:vMerge w:val="restart"/>
            <w:tcBorders>
              <w:top w:val="single" w:color="auto" w:sz="4" w:space="0"/>
              <w:left w:val="single" w:color="auto" w:sz="4" w:space="0"/>
              <w:right w:val="single" w:color="auto" w:sz="4" w:space="0"/>
            </w:tcBorders>
            <w:vAlign w:val="center"/>
          </w:tcPr>
          <w:p w14:paraId="2F2F2FCC">
            <w:pPr>
              <w:spacing w:after="0" w:line="240" w:lineRule="auto"/>
              <w:jc w:val="center"/>
              <w:rPr>
                <w:rFonts w:ascii="宋体" w:hAnsi="宋体" w:eastAsia="宋体"/>
                <w:color w:val="auto"/>
              </w:rPr>
            </w:pPr>
            <w:r>
              <w:rPr>
                <w:rFonts w:hint="eastAsia" w:ascii="宋体" w:hAnsi="宋体" w:eastAsia="宋体"/>
                <w:color w:val="auto"/>
              </w:rPr>
              <w:t>22.1</w:t>
            </w:r>
          </w:p>
        </w:tc>
        <w:tc>
          <w:tcPr>
            <w:tcW w:w="1817" w:type="dxa"/>
            <w:tcBorders>
              <w:top w:val="single" w:color="auto" w:sz="4" w:space="0"/>
              <w:left w:val="single" w:color="auto" w:sz="4" w:space="0"/>
              <w:right w:val="single" w:color="auto" w:sz="4" w:space="0"/>
            </w:tcBorders>
            <w:vAlign w:val="center"/>
          </w:tcPr>
          <w:p w14:paraId="40495F8E">
            <w:pPr>
              <w:spacing w:after="0" w:line="240" w:lineRule="auto"/>
              <w:rPr>
                <w:rFonts w:ascii="宋体" w:hAnsi="宋体" w:eastAsia="宋体"/>
                <w:color w:val="auto"/>
              </w:rPr>
            </w:pPr>
            <w:r>
              <w:rPr>
                <w:rFonts w:hint="eastAsia" w:ascii="宋体" w:hAnsi="宋体" w:eastAsia="宋体"/>
                <w:color w:val="auto"/>
              </w:rPr>
              <w:t>资格要求响应文件的组成</w:t>
            </w:r>
          </w:p>
        </w:tc>
        <w:tc>
          <w:tcPr>
            <w:tcW w:w="5515" w:type="dxa"/>
            <w:tcBorders>
              <w:top w:val="single" w:color="auto" w:sz="4" w:space="0"/>
              <w:left w:val="single" w:color="auto" w:sz="4" w:space="0"/>
              <w:right w:val="single" w:color="auto" w:sz="4" w:space="0"/>
            </w:tcBorders>
            <w:vAlign w:val="center"/>
          </w:tcPr>
          <w:p w14:paraId="59E39823">
            <w:pPr>
              <w:spacing w:after="0" w:line="240" w:lineRule="auto"/>
              <w:rPr>
                <w:rFonts w:ascii="宋体" w:hAnsi="宋体" w:eastAsia="宋体"/>
                <w:color w:val="auto"/>
              </w:rPr>
            </w:pPr>
            <w:r>
              <w:rPr>
                <w:rFonts w:hint="eastAsia" w:ascii="宋体" w:hAnsi="宋体" w:eastAsia="宋体"/>
                <w:color w:val="auto"/>
              </w:rPr>
              <w:t>1.投标人资格声明函</w:t>
            </w:r>
            <w:r>
              <w:rPr>
                <w:rFonts w:hint="eastAsia" w:ascii="宋体" w:hAnsi="宋体"/>
                <w:b/>
                <w:color w:val="auto"/>
              </w:rPr>
              <w:t>（联合体投标的，联合体各方均须提供）</w:t>
            </w:r>
            <w:r>
              <w:rPr>
                <w:rFonts w:hint="eastAsia" w:ascii="宋体" w:hAnsi="宋体" w:eastAsia="宋体"/>
                <w:color w:val="auto"/>
              </w:rPr>
              <w:t>；</w:t>
            </w:r>
          </w:p>
          <w:p w14:paraId="0B50507C">
            <w:pPr>
              <w:spacing w:after="0" w:line="240" w:lineRule="auto"/>
              <w:rPr>
                <w:rFonts w:ascii="宋体" w:hAnsi="宋体"/>
                <w:b/>
                <w:color w:val="auto"/>
              </w:rPr>
            </w:pPr>
            <w:r>
              <w:rPr>
                <w:rFonts w:hint="eastAsia" w:ascii="宋体" w:hAnsi="宋体" w:eastAsia="宋体"/>
                <w:color w:val="auto"/>
              </w:rPr>
              <w:t>2.法人或者其他组织的营业执照等登记证明文件复印件</w:t>
            </w:r>
            <w:r>
              <w:rPr>
                <w:rFonts w:hint="eastAsia" w:ascii="宋体" w:hAnsi="宋体"/>
                <w:b/>
                <w:color w:val="auto"/>
              </w:rPr>
              <w:t>（联合体投标的，联合体各方均须提供）</w:t>
            </w:r>
            <w:r>
              <w:rPr>
                <w:rFonts w:hint="eastAsia" w:ascii="宋体" w:hAnsi="宋体"/>
                <w:color w:val="auto"/>
              </w:rPr>
              <w:t>；</w:t>
            </w:r>
          </w:p>
          <w:p w14:paraId="232C4964">
            <w:pPr>
              <w:spacing w:after="0" w:line="240" w:lineRule="auto"/>
              <w:rPr>
                <w:rFonts w:ascii="宋体" w:hAnsi="宋体"/>
                <w:color w:val="auto"/>
              </w:rPr>
            </w:pPr>
            <w:r>
              <w:rPr>
                <w:rFonts w:hint="eastAsia" w:ascii="宋体" w:hAnsi="宋体"/>
                <w:color w:val="auto"/>
              </w:rPr>
              <w:t>3</w:t>
            </w:r>
            <w:r>
              <w:rPr>
                <w:rFonts w:ascii="宋体" w:hAnsi="宋体"/>
                <w:color w:val="auto"/>
              </w:rPr>
              <w:t>.</w:t>
            </w:r>
            <w:r>
              <w:rPr>
                <w:rFonts w:hint="eastAsia" w:ascii="宋体" w:hAnsi="宋体"/>
                <w:color w:val="auto"/>
              </w:rPr>
              <w:t>城乡规划（国土空间规划）编制单位乙级及以上资质复印件；</w:t>
            </w:r>
          </w:p>
          <w:p w14:paraId="75083879">
            <w:pPr>
              <w:spacing w:after="0" w:line="240" w:lineRule="auto"/>
              <w:rPr>
                <w:rFonts w:ascii="宋体" w:hAnsi="宋体"/>
                <w:color w:val="auto"/>
              </w:rPr>
            </w:pPr>
            <w:r>
              <w:rPr>
                <w:rFonts w:ascii="宋体" w:hAnsi="宋体"/>
                <w:color w:val="auto"/>
              </w:rPr>
              <w:t>4</w:t>
            </w:r>
            <w:r>
              <w:rPr>
                <w:rFonts w:hint="eastAsia" w:ascii="宋体" w:hAnsi="宋体"/>
                <w:color w:val="auto"/>
              </w:rPr>
              <w:t>.联合协议（非联合体投标无需提供）。</w:t>
            </w:r>
          </w:p>
          <w:p w14:paraId="576B6E2B">
            <w:pPr>
              <w:spacing w:after="0" w:line="240" w:lineRule="auto"/>
              <w:rPr>
                <w:rFonts w:ascii="宋体" w:hAnsi="宋体" w:eastAsia="宋体"/>
                <w:color w:val="auto"/>
              </w:rPr>
            </w:pPr>
            <w:r>
              <w:rPr>
                <w:rFonts w:hint="eastAsia" w:ascii="宋体" w:hAnsi="宋体"/>
                <w:b/>
                <w:color w:val="auto"/>
              </w:rPr>
              <w:t>注：联合体投标人中被联合一方提供的资料加盖自己单位的公章。</w:t>
            </w:r>
          </w:p>
        </w:tc>
      </w:tr>
      <w:tr w14:paraId="4FFE5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2" w:type="dxa"/>
            <w:tcBorders>
              <w:top w:val="single" w:color="auto" w:sz="4" w:space="0"/>
              <w:left w:val="single" w:color="auto" w:sz="4" w:space="0"/>
              <w:right w:val="single" w:color="auto" w:sz="4" w:space="0"/>
            </w:tcBorders>
            <w:vAlign w:val="center"/>
          </w:tcPr>
          <w:p w14:paraId="57FF6D6E">
            <w:pPr>
              <w:numPr>
                <w:ilvl w:val="0"/>
                <w:numId w:val="2"/>
              </w:numPr>
              <w:tabs>
                <w:tab w:val="clear" w:pos="312"/>
              </w:tabs>
              <w:spacing w:after="0" w:line="240" w:lineRule="auto"/>
              <w:jc w:val="center"/>
              <w:rPr>
                <w:rFonts w:ascii="宋体" w:hAnsi="宋体" w:eastAsia="宋体"/>
                <w:color w:val="auto"/>
              </w:rPr>
            </w:pPr>
          </w:p>
        </w:tc>
        <w:tc>
          <w:tcPr>
            <w:tcW w:w="892" w:type="dxa"/>
            <w:vMerge w:val="continue"/>
            <w:tcBorders>
              <w:left w:val="single" w:color="auto" w:sz="4" w:space="0"/>
              <w:right w:val="single" w:color="auto" w:sz="4" w:space="0"/>
            </w:tcBorders>
            <w:vAlign w:val="center"/>
          </w:tcPr>
          <w:p w14:paraId="7D15EFD8">
            <w:pPr>
              <w:spacing w:after="0" w:line="240" w:lineRule="auto"/>
              <w:jc w:val="center"/>
              <w:rPr>
                <w:rFonts w:ascii="宋体" w:hAnsi="宋体" w:eastAsia="宋体"/>
                <w:color w:val="auto"/>
              </w:rPr>
            </w:pPr>
          </w:p>
        </w:tc>
        <w:tc>
          <w:tcPr>
            <w:tcW w:w="1817" w:type="dxa"/>
            <w:tcBorders>
              <w:top w:val="single" w:color="auto" w:sz="4" w:space="0"/>
              <w:left w:val="single" w:color="auto" w:sz="4" w:space="0"/>
              <w:right w:val="single" w:color="auto" w:sz="4" w:space="0"/>
            </w:tcBorders>
            <w:vAlign w:val="center"/>
          </w:tcPr>
          <w:p w14:paraId="4D9F3E55">
            <w:pPr>
              <w:spacing w:after="0" w:line="240" w:lineRule="auto"/>
              <w:rPr>
                <w:rFonts w:ascii="宋体" w:hAnsi="宋体" w:eastAsia="宋体"/>
                <w:color w:val="auto"/>
              </w:rPr>
            </w:pPr>
            <w:r>
              <w:rPr>
                <w:rFonts w:hint="eastAsia" w:ascii="宋体" w:hAnsi="宋体" w:eastAsia="宋体"/>
                <w:color w:val="auto"/>
              </w:rPr>
              <w:t>商务技术文件的组成</w:t>
            </w:r>
          </w:p>
        </w:tc>
        <w:tc>
          <w:tcPr>
            <w:tcW w:w="5515" w:type="dxa"/>
            <w:tcBorders>
              <w:top w:val="single" w:color="auto" w:sz="4" w:space="0"/>
              <w:left w:val="single" w:color="auto" w:sz="4" w:space="0"/>
              <w:right w:val="single" w:color="auto" w:sz="4" w:space="0"/>
            </w:tcBorders>
            <w:vAlign w:val="center"/>
          </w:tcPr>
          <w:p w14:paraId="71272F4C">
            <w:pPr>
              <w:spacing w:after="0" w:line="240" w:lineRule="auto"/>
              <w:rPr>
                <w:rFonts w:ascii="宋体" w:hAnsi="宋体" w:eastAsia="宋体"/>
                <w:color w:val="auto"/>
              </w:rPr>
            </w:pPr>
            <w:r>
              <w:rPr>
                <w:rFonts w:hint="eastAsia" w:ascii="宋体" w:hAnsi="宋体" w:eastAsia="宋体"/>
                <w:color w:val="auto"/>
              </w:rPr>
              <w:t>1.投标函；</w:t>
            </w:r>
          </w:p>
          <w:p w14:paraId="074E7072">
            <w:pPr>
              <w:spacing w:after="0" w:line="240" w:lineRule="auto"/>
              <w:rPr>
                <w:rFonts w:ascii="宋体" w:hAnsi="宋体" w:eastAsia="宋体"/>
                <w:color w:val="auto"/>
              </w:rPr>
            </w:pPr>
            <w:r>
              <w:rPr>
                <w:rFonts w:ascii="宋体" w:hAnsi="宋体" w:eastAsia="宋体"/>
                <w:color w:val="auto"/>
              </w:rPr>
              <w:t>2.</w:t>
            </w:r>
            <w:r>
              <w:rPr>
                <w:rFonts w:hint="eastAsia" w:ascii="宋体" w:hAnsi="宋体" w:eastAsia="宋体"/>
                <w:color w:val="auto"/>
              </w:rPr>
              <w:t>投标人法定代表人身份证复印件（双面）或授权委托书及其附件；</w:t>
            </w:r>
          </w:p>
          <w:p w14:paraId="673C8660">
            <w:pPr>
              <w:spacing w:after="0" w:line="240" w:lineRule="auto"/>
              <w:rPr>
                <w:rFonts w:ascii="宋体" w:hAnsi="宋体" w:eastAsia="宋体"/>
                <w:color w:val="auto"/>
              </w:rPr>
            </w:pPr>
            <w:r>
              <w:rPr>
                <w:rFonts w:ascii="宋体" w:hAnsi="宋体" w:eastAsia="宋体"/>
                <w:color w:val="auto"/>
              </w:rPr>
              <w:t>3</w:t>
            </w:r>
            <w:r>
              <w:rPr>
                <w:rFonts w:hint="eastAsia" w:ascii="宋体" w:hAnsi="宋体" w:eastAsia="宋体"/>
                <w:color w:val="auto"/>
              </w:rPr>
              <w:t>.</w:t>
            </w:r>
            <w:r>
              <w:rPr>
                <w:rFonts w:ascii="宋体" w:hAnsi="宋体" w:eastAsia="宋体"/>
                <w:color w:val="auto"/>
              </w:rPr>
              <w:t>商务要求</w:t>
            </w:r>
            <w:r>
              <w:rPr>
                <w:rFonts w:hint="eastAsia" w:ascii="宋体" w:hAnsi="宋体" w:eastAsia="宋体"/>
                <w:color w:val="auto"/>
              </w:rPr>
              <w:t>响应表；</w:t>
            </w:r>
          </w:p>
          <w:p w14:paraId="17FBFD39">
            <w:pPr>
              <w:spacing w:after="0" w:line="240" w:lineRule="auto"/>
              <w:rPr>
                <w:rFonts w:ascii="宋体" w:hAnsi="宋体" w:eastAsia="宋体"/>
                <w:color w:val="auto"/>
              </w:rPr>
            </w:pPr>
            <w:r>
              <w:rPr>
                <w:rFonts w:ascii="宋体" w:hAnsi="宋体" w:eastAsia="宋体"/>
                <w:color w:val="auto"/>
              </w:rPr>
              <w:t>4</w:t>
            </w:r>
            <w:r>
              <w:rPr>
                <w:rFonts w:hint="eastAsia" w:ascii="宋体" w:hAnsi="宋体" w:eastAsia="宋体"/>
                <w:color w:val="auto"/>
              </w:rPr>
              <w:t>.技术/服务要求响应表；</w:t>
            </w:r>
          </w:p>
          <w:p w14:paraId="392E4036">
            <w:pPr>
              <w:spacing w:after="0" w:line="240" w:lineRule="auto"/>
              <w:rPr>
                <w:rFonts w:ascii="宋体" w:hAnsi="宋体" w:eastAsia="宋体"/>
                <w:color w:val="auto"/>
              </w:rPr>
            </w:pPr>
            <w:r>
              <w:rPr>
                <w:rFonts w:ascii="宋体" w:hAnsi="宋体" w:eastAsia="宋体"/>
                <w:color w:val="auto"/>
              </w:rPr>
              <w:t>5</w:t>
            </w:r>
            <w:r>
              <w:rPr>
                <w:rFonts w:hint="eastAsia" w:ascii="宋体" w:hAnsi="宋体" w:eastAsia="宋体"/>
                <w:color w:val="auto"/>
              </w:rPr>
              <w:t>.项目实施人员情况表；</w:t>
            </w:r>
          </w:p>
          <w:p w14:paraId="3E621C8D">
            <w:pPr>
              <w:spacing w:after="0" w:line="240" w:lineRule="auto"/>
              <w:rPr>
                <w:rFonts w:ascii="宋体" w:hAnsi="宋体" w:eastAsia="宋体"/>
                <w:color w:val="auto"/>
              </w:rPr>
            </w:pPr>
            <w:r>
              <w:rPr>
                <w:rFonts w:ascii="宋体" w:hAnsi="宋体" w:eastAsia="宋体"/>
                <w:color w:val="auto"/>
              </w:rPr>
              <w:t>6</w:t>
            </w:r>
            <w:r>
              <w:rPr>
                <w:rFonts w:hint="eastAsia" w:ascii="宋体" w:hAnsi="宋体" w:eastAsia="宋体"/>
                <w:color w:val="auto"/>
              </w:rPr>
              <w:t>.类似项目业绩一览表；</w:t>
            </w:r>
          </w:p>
          <w:p w14:paraId="54EE2B42">
            <w:pPr>
              <w:spacing w:after="0" w:line="240" w:lineRule="auto"/>
              <w:rPr>
                <w:rFonts w:ascii="宋体" w:hAnsi="宋体" w:eastAsia="宋体"/>
                <w:color w:val="auto"/>
              </w:rPr>
            </w:pPr>
            <w:r>
              <w:rPr>
                <w:rFonts w:ascii="宋体" w:hAnsi="宋体" w:eastAsia="宋体"/>
                <w:color w:val="auto"/>
              </w:rPr>
              <w:t>7</w:t>
            </w:r>
            <w:r>
              <w:rPr>
                <w:rFonts w:hint="eastAsia" w:ascii="宋体" w:hAnsi="宋体" w:eastAsia="宋体"/>
                <w:color w:val="auto"/>
              </w:rPr>
              <w:t>.项目相关服务方案等与项目评审及履行合同有关的其他资料。</w:t>
            </w:r>
          </w:p>
        </w:tc>
      </w:tr>
      <w:tr w14:paraId="21A91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02" w:type="dxa"/>
            <w:tcBorders>
              <w:top w:val="single" w:color="auto" w:sz="4" w:space="0"/>
              <w:left w:val="single" w:color="auto" w:sz="4" w:space="0"/>
              <w:right w:val="single" w:color="auto" w:sz="4" w:space="0"/>
            </w:tcBorders>
            <w:vAlign w:val="center"/>
          </w:tcPr>
          <w:p w14:paraId="6BFF3250">
            <w:pPr>
              <w:numPr>
                <w:ilvl w:val="0"/>
                <w:numId w:val="2"/>
              </w:numPr>
              <w:tabs>
                <w:tab w:val="clear" w:pos="312"/>
              </w:tabs>
              <w:spacing w:after="0" w:line="240" w:lineRule="auto"/>
              <w:jc w:val="center"/>
              <w:rPr>
                <w:rFonts w:ascii="宋体" w:hAnsi="宋体" w:eastAsia="宋体"/>
                <w:color w:val="auto"/>
              </w:rPr>
            </w:pPr>
          </w:p>
        </w:tc>
        <w:tc>
          <w:tcPr>
            <w:tcW w:w="892" w:type="dxa"/>
            <w:vMerge w:val="continue"/>
            <w:tcBorders>
              <w:left w:val="single" w:color="auto" w:sz="4" w:space="0"/>
              <w:right w:val="single" w:color="auto" w:sz="4" w:space="0"/>
            </w:tcBorders>
            <w:vAlign w:val="center"/>
          </w:tcPr>
          <w:p w14:paraId="383A0A45">
            <w:pPr>
              <w:spacing w:after="0" w:line="240" w:lineRule="auto"/>
              <w:jc w:val="center"/>
              <w:rPr>
                <w:rFonts w:ascii="宋体" w:hAnsi="宋体" w:eastAsia="宋体"/>
                <w:color w:val="auto"/>
              </w:rPr>
            </w:pPr>
          </w:p>
        </w:tc>
        <w:tc>
          <w:tcPr>
            <w:tcW w:w="1817" w:type="dxa"/>
            <w:tcBorders>
              <w:top w:val="single" w:color="auto" w:sz="4" w:space="0"/>
              <w:left w:val="single" w:color="auto" w:sz="4" w:space="0"/>
              <w:right w:val="single" w:color="auto" w:sz="4" w:space="0"/>
            </w:tcBorders>
            <w:vAlign w:val="center"/>
          </w:tcPr>
          <w:p w14:paraId="25A8BF6D">
            <w:pPr>
              <w:spacing w:after="0" w:line="240" w:lineRule="auto"/>
              <w:rPr>
                <w:rFonts w:ascii="宋体" w:hAnsi="宋体" w:eastAsia="宋体"/>
                <w:color w:val="auto"/>
              </w:rPr>
            </w:pPr>
            <w:r>
              <w:rPr>
                <w:rFonts w:hint="eastAsia" w:ascii="宋体" w:hAnsi="宋体" w:eastAsia="宋体"/>
                <w:color w:val="auto"/>
              </w:rPr>
              <w:t>报价要求响应文件的组成</w:t>
            </w:r>
          </w:p>
        </w:tc>
        <w:tc>
          <w:tcPr>
            <w:tcW w:w="5515" w:type="dxa"/>
            <w:tcBorders>
              <w:top w:val="single" w:color="auto" w:sz="4" w:space="0"/>
              <w:left w:val="single" w:color="auto" w:sz="4" w:space="0"/>
              <w:right w:val="single" w:color="auto" w:sz="4" w:space="0"/>
            </w:tcBorders>
            <w:vAlign w:val="center"/>
          </w:tcPr>
          <w:p w14:paraId="55C48194">
            <w:pPr>
              <w:pStyle w:val="9"/>
              <w:spacing w:after="0" w:line="240" w:lineRule="auto"/>
              <w:ind w:left="0" w:leftChars="0"/>
              <w:rPr>
                <w:rFonts w:ascii="宋体" w:hAnsi="宋体" w:eastAsia="宋体"/>
                <w:color w:val="auto"/>
                <w:kern w:val="2"/>
                <w:sz w:val="21"/>
                <w:szCs w:val="21"/>
              </w:rPr>
            </w:pPr>
            <w:r>
              <w:rPr>
                <w:rFonts w:hint="eastAsia" w:ascii="宋体" w:hAnsi="宋体" w:eastAsia="宋体"/>
                <w:color w:val="auto"/>
                <w:kern w:val="2"/>
                <w:sz w:val="21"/>
                <w:szCs w:val="21"/>
              </w:rPr>
              <w:t>1.开标一览表；</w:t>
            </w:r>
          </w:p>
          <w:p w14:paraId="6EABE175">
            <w:pPr>
              <w:pStyle w:val="9"/>
              <w:spacing w:after="0" w:line="240" w:lineRule="auto"/>
              <w:ind w:left="0" w:leftChars="0"/>
              <w:rPr>
                <w:rFonts w:ascii="宋体" w:hAnsi="宋体" w:eastAsia="宋体"/>
                <w:color w:val="auto"/>
                <w:kern w:val="2"/>
                <w:sz w:val="21"/>
                <w:szCs w:val="21"/>
              </w:rPr>
            </w:pPr>
            <w:r>
              <w:rPr>
                <w:rFonts w:hint="eastAsia" w:ascii="宋体" w:hAnsi="宋体" w:eastAsia="宋体"/>
                <w:color w:val="auto"/>
                <w:kern w:val="2"/>
                <w:sz w:val="21"/>
                <w:szCs w:val="21"/>
              </w:rPr>
              <w:t>2.投标</w:t>
            </w:r>
            <w:r>
              <w:rPr>
                <w:rFonts w:ascii="宋体" w:hAnsi="宋体" w:eastAsia="宋体"/>
                <w:color w:val="auto"/>
                <w:kern w:val="2"/>
                <w:sz w:val="21"/>
                <w:szCs w:val="21"/>
              </w:rPr>
              <w:t>报价组成明细表</w:t>
            </w:r>
            <w:r>
              <w:rPr>
                <w:rFonts w:hint="eastAsia" w:ascii="宋体" w:hAnsi="宋体" w:eastAsia="宋体"/>
                <w:color w:val="auto"/>
                <w:kern w:val="2"/>
                <w:sz w:val="21"/>
                <w:szCs w:val="21"/>
              </w:rPr>
              <w:t>；</w:t>
            </w:r>
          </w:p>
          <w:p w14:paraId="52F52569">
            <w:pPr>
              <w:spacing w:after="0" w:line="240" w:lineRule="auto"/>
              <w:rPr>
                <w:rFonts w:ascii="宋体" w:hAnsi="宋体" w:eastAsia="宋体"/>
                <w:color w:val="auto"/>
              </w:rPr>
            </w:pPr>
            <w:r>
              <w:rPr>
                <w:rFonts w:hint="eastAsia" w:ascii="宋体" w:hAnsi="宋体" w:eastAsia="宋体"/>
                <w:color w:val="auto"/>
              </w:rPr>
              <w:t>3</w:t>
            </w:r>
            <w:r>
              <w:rPr>
                <w:rFonts w:ascii="宋体" w:hAnsi="宋体" w:eastAsia="宋体"/>
                <w:color w:val="auto"/>
              </w:rPr>
              <w:t>.</w:t>
            </w:r>
            <w:r>
              <w:rPr>
                <w:rFonts w:hint="eastAsia" w:ascii="宋体" w:hAnsi="宋体" w:eastAsia="宋体"/>
                <w:color w:val="auto"/>
              </w:rPr>
              <w:t>中小企业声明函或残疾人福利性单位声明函或监狱企业证明文件(不强制要求提供）。</w:t>
            </w:r>
          </w:p>
        </w:tc>
      </w:tr>
      <w:tr w14:paraId="37CCA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02" w:type="dxa"/>
            <w:tcBorders>
              <w:top w:val="single" w:color="auto" w:sz="4" w:space="0"/>
              <w:left w:val="single" w:color="auto" w:sz="4" w:space="0"/>
              <w:bottom w:val="single" w:color="auto" w:sz="4" w:space="0"/>
              <w:right w:val="single" w:color="auto" w:sz="4" w:space="0"/>
            </w:tcBorders>
            <w:vAlign w:val="center"/>
          </w:tcPr>
          <w:p w14:paraId="6F5DA21C">
            <w:pPr>
              <w:numPr>
                <w:ilvl w:val="0"/>
                <w:numId w:val="2"/>
              </w:numPr>
              <w:tabs>
                <w:tab w:val="clear" w:pos="312"/>
              </w:tabs>
              <w:spacing w:after="0" w:line="240" w:lineRule="auto"/>
              <w:jc w:val="center"/>
              <w:rPr>
                <w:rFonts w:ascii="宋体" w:hAnsi="宋体" w:eastAsia="宋体"/>
                <w:color w:val="auto"/>
              </w:rPr>
            </w:pPr>
          </w:p>
        </w:tc>
        <w:tc>
          <w:tcPr>
            <w:tcW w:w="892" w:type="dxa"/>
            <w:tcBorders>
              <w:top w:val="single" w:color="auto" w:sz="4" w:space="0"/>
              <w:left w:val="single" w:color="auto" w:sz="4" w:space="0"/>
              <w:bottom w:val="single" w:color="auto" w:sz="4" w:space="0"/>
              <w:right w:val="single" w:color="auto" w:sz="4" w:space="0"/>
            </w:tcBorders>
            <w:vAlign w:val="center"/>
          </w:tcPr>
          <w:p w14:paraId="7620F8BD">
            <w:pPr>
              <w:spacing w:after="0" w:line="240" w:lineRule="auto"/>
              <w:jc w:val="center"/>
              <w:rPr>
                <w:rFonts w:ascii="宋体" w:hAnsi="宋体" w:eastAsia="宋体"/>
                <w:color w:val="auto"/>
              </w:rPr>
            </w:pPr>
            <w:r>
              <w:rPr>
                <w:rFonts w:hint="eastAsia" w:ascii="宋体" w:hAnsi="宋体" w:eastAsia="宋体"/>
                <w:color w:val="auto"/>
              </w:rPr>
              <w:t>25.1</w:t>
            </w:r>
          </w:p>
        </w:tc>
        <w:tc>
          <w:tcPr>
            <w:tcW w:w="1817" w:type="dxa"/>
            <w:tcBorders>
              <w:top w:val="single" w:color="auto" w:sz="4" w:space="0"/>
              <w:left w:val="single" w:color="auto" w:sz="4" w:space="0"/>
              <w:bottom w:val="single" w:color="auto" w:sz="4" w:space="0"/>
              <w:right w:val="single" w:color="auto" w:sz="4" w:space="0"/>
            </w:tcBorders>
            <w:vAlign w:val="center"/>
          </w:tcPr>
          <w:p w14:paraId="69F37281">
            <w:pPr>
              <w:spacing w:after="0" w:line="240" w:lineRule="auto"/>
              <w:rPr>
                <w:rFonts w:ascii="宋体" w:hAnsi="宋体" w:eastAsia="宋体"/>
                <w:color w:val="auto"/>
              </w:rPr>
            </w:pPr>
            <w:r>
              <w:rPr>
                <w:rFonts w:hint="eastAsia" w:ascii="宋体" w:hAnsi="宋体" w:eastAsia="宋体"/>
                <w:color w:val="auto"/>
              </w:rPr>
              <w:t>投标报价的组成</w:t>
            </w:r>
          </w:p>
        </w:tc>
        <w:tc>
          <w:tcPr>
            <w:tcW w:w="5515" w:type="dxa"/>
            <w:tcBorders>
              <w:top w:val="single" w:color="auto" w:sz="4" w:space="0"/>
              <w:left w:val="single" w:color="auto" w:sz="4" w:space="0"/>
              <w:bottom w:val="single" w:color="auto" w:sz="4" w:space="0"/>
              <w:right w:val="single" w:color="auto" w:sz="4" w:space="0"/>
            </w:tcBorders>
            <w:vAlign w:val="center"/>
          </w:tcPr>
          <w:p w14:paraId="3B7CA4D7">
            <w:pPr>
              <w:spacing w:after="0" w:line="240" w:lineRule="auto"/>
              <w:rPr>
                <w:rFonts w:ascii="宋体" w:hAnsi="宋体" w:eastAsia="宋体" w:cs="宋体"/>
                <w:color w:val="auto"/>
              </w:rPr>
            </w:pPr>
            <w:r>
              <w:rPr>
                <w:rFonts w:hint="eastAsia" w:ascii="宋体" w:hAnsi="宋体" w:eastAsia="宋体"/>
                <w:color w:val="auto"/>
              </w:rPr>
              <w:t>投标报价为完成本项目采购需求所包含的全部内容，达到合同目的的一切费用，报价应</w:t>
            </w:r>
            <w:r>
              <w:rPr>
                <w:rFonts w:hint="eastAsia" w:ascii="宋体" w:hAnsi="宋体" w:eastAsia="宋体" w:cs="宋体"/>
                <w:color w:val="auto"/>
                <w:kern w:val="0"/>
              </w:rPr>
              <w:t>包含但不限于为完成采购内容所发生的诸如设施设备的使用费、交通食宿费、资料收集费、人员费用、技术支持费、资料费、专家评审费等与工作内容相关费用以及保险费、风险费、管理费、利润、税金等服务过程中可能涉及的一切费用。</w:t>
            </w:r>
          </w:p>
        </w:tc>
      </w:tr>
      <w:tr w14:paraId="5FB5C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4240587D">
            <w:pPr>
              <w:numPr>
                <w:ilvl w:val="0"/>
                <w:numId w:val="2"/>
              </w:numPr>
              <w:tabs>
                <w:tab w:val="clear" w:pos="312"/>
              </w:tabs>
              <w:spacing w:after="0" w:line="240" w:lineRule="auto"/>
              <w:jc w:val="center"/>
              <w:rPr>
                <w:rFonts w:ascii="宋体" w:hAnsi="宋体" w:eastAsia="宋体"/>
                <w:color w:val="auto"/>
              </w:rPr>
            </w:pPr>
          </w:p>
        </w:tc>
        <w:tc>
          <w:tcPr>
            <w:tcW w:w="892" w:type="dxa"/>
            <w:tcBorders>
              <w:top w:val="single" w:color="auto" w:sz="4" w:space="0"/>
              <w:left w:val="single" w:color="auto" w:sz="4" w:space="0"/>
              <w:bottom w:val="single" w:color="auto" w:sz="4" w:space="0"/>
              <w:right w:val="single" w:color="auto" w:sz="4" w:space="0"/>
            </w:tcBorders>
            <w:vAlign w:val="center"/>
          </w:tcPr>
          <w:p w14:paraId="398F97F7">
            <w:pPr>
              <w:spacing w:after="0" w:line="240" w:lineRule="auto"/>
              <w:jc w:val="center"/>
              <w:rPr>
                <w:rFonts w:ascii="宋体" w:hAnsi="宋体" w:eastAsia="宋体"/>
                <w:color w:val="auto"/>
              </w:rPr>
            </w:pPr>
            <w:r>
              <w:rPr>
                <w:rFonts w:hint="eastAsia" w:ascii="宋体" w:hAnsi="宋体" w:eastAsia="宋体"/>
                <w:color w:val="auto"/>
              </w:rPr>
              <w:t>27.1</w:t>
            </w:r>
          </w:p>
        </w:tc>
        <w:tc>
          <w:tcPr>
            <w:tcW w:w="1817" w:type="dxa"/>
            <w:tcBorders>
              <w:top w:val="single" w:color="auto" w:sz="4" w:space="0"/>
              <w:left w:val="single" w:color="auto" w:sz="4" w:space="0"/>
              <w:bottom w:val="single" w:color="auto" w:sz="4" w:space="0"/>
              <w:right w:val="single" w:color="auto" w:sz="4" w:space="0"/>
            </w:tcBorders>
            <w:vAlign w:val="center"/>
          </w:tcPr>
          <w:p w14:paraId="54C5AF6D">
            <w:pPr>
              <w:spacing w:after="0" w:line="240" w:lineRule="auto"/>
              <w:rPr>
                <w:rFonts w:ascii="宋体" w:hAnsi="宋体" w:eastAsia="宋体"/>
                <w:color w:val="auto"/>
              </w:rPr>
            </w:pPr>
            <w:r>
              <w:rPr>
                <w:rFonts w:hint="eastAsia" w:ascii="宋体" w:hAnsi="宋体" w:eastAsia="宋体"/>
                <w:color w:val="auto"/>
              </w:rPr>
              <w:t>投标</w:t>
            </w:r>
            <w:r>
              <w:rPr>
                <w:rFonts w:ascii="宋体" w:hAnsi="宋体" w:eastAsia="宋体"/>
                <w:color w:val="auto"/>
              </w:rPr>
              <w:t>有效期</w:t>
            </w:r>
          </w:p>
        </w:tc>
        <w:tc>
          <w:tcPr>
            <w:tcW w:w="5515" w:type="dxa"/>
            <w:tcBorders>
              <w:top w:val="single" w:color="auto" w:sz="4" w:space="0"/>
              <w:left w:val="single" w:color="auto" w:sz="4" w:space="0"/>
              <w:bottom w:val="single" w:color="auto" w:sz="4" w:space="0"/>
              <w:right w:val="single" w:color="auto" w:sz="4" w:space="0"/>
            </w:tcBorders>
            <w:vAlign w:val="center"/>
          </w:tcPr>
          <w:p w14:paraId="3EE7DA7D">
            <w:pPr>
              <w:spacing w:after="0" w:line="240" w:lineRule="auto"/>
              <w:jc w:val="left"/>
              <w:rPr>
                <w:rFonts w:ascii="宋体" w:hAnsi="宋体" w:eastAsia="宋体"/>
                <w:color w:val="auto"/>
              </w:rPr>
            </w:pPr>
            <w:r>
              <w:rPr>
                <w:rFonts w:hint="eastAsia" w:ascii="宋体" w:hAnsi="宋体" w:eastAsia="宋体" w:cs="Arial"/>
                <w:color w:val="auto"/>
              </w:rPr>
              <w:t>90日历天</w:t>
            </w:r>
          </w:p>
        </w:tc>
      </w:tr>
      <w:tr w14:paraId="37A4F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5C33ADB6">
            <w:pPr>
              <w:numPr>
                <w:ilvl w:val="0"/>
                <w:numId w:val="2"/>
              </w:numPr>
              <w:tabs>
                <w:tab w:val="clear" w:pos="312"/>
              </w:tabs>
              <w:spacing w:after="0" w:line="240" w:lineRule="auto"/>
              <w:jc w:val="center"/>
              <w:rPr>
                <w:rFonts w:ascii="宋体" w:hAnsi="宋体" w:eastAsia="宋体"/>
                <w:color w:val="auto"/>
              </w:rPr>
            </w:pPr>
          </w:p>
        </w:tc>
        <w:tc>
          <w:tcPr>
            <w:tcW w:w="892" w:type="dxa"/>
            <w:tcBorders>
              <w:top w:val="single" w:color="auto" w:sz="4" w:space="0"/>
              <w:left w:val="single" w:color="auto" w:sz="4" w:space="0"/>
              <w:bottom w:val="single" w:color="auto" w:sz="4" w:space="0"/>
              <w:right w:val="single" w:color="auto" w:sz="4" w:space="0"/>
            </w:tcBorders>
            <w:vAlign w:val="center"/>
          </w:tcPr>
          <w:p w14:paraId="459C18E0">
            <w:pPr>
              <w:spacing w:after="0" w:line="240" w:lineRule="auto"/>
              <w:jc w:val="center"/>
              <w:rPr>
                <w:rFonts w:ascii="宋体" w:hAnsi="宋体" w:eastAsia="宋体"/>
                <w:color w:val="auto"/>
              </w:rPr>
            </w:pPr>
            <w:r>
              <w:rPr>
                <w:rFonts w:hint="eastAsia" w:ascii="宋体" w:hAnsi="宋体" w:eastAsia="宋体"/>
                <w:color w:val="auto"/>
              </w:rPr>
              <w:t>30.1</w:t>
            </w:r>
          </w:p>
        </w:tc>
        <w:tc>
          <w:tcPr>
            <w:tcW w:w="1817" w:type="dxa"/>
            <w:tcBorders>
              <w:top w:val="single" w:color="auto" w:sz="4" w:space="0"/>
              <w:left w:val="single" w:color="auto" w:sz="4" w:space="0"/>
              <w:bottom w:val="single" w:color="auto" w:sz="4" w:space="0"/>
              <w:right w:val="single" w:color="auto" w:sz="4" w:space="0"/>
            </w:tcBorders>
            <w:vAlign w:val="center"/>
          </w:tcPr>
          <w:p w14:paraId="10732996">
            <w:pPr>
              <w:pStyle w:val="22"/>
              <w:widowControl w:val="0"/>
              <w:spacing w:before="0" w:beforeAutospacing="0" w:after="0" w:afterAutospacing="0" w:line="240" w:lineRule="auto"/>
              <w:jc w:val="both"/>
              <w:rPr>
                <w:rFonts w:eastAsia="宋体"/>
                <w:b/>
                <w:color w:val="auto"/>
                <w:sz w:val="21"/>
                <w:szCs w:val="21"/>
              </w:rPr>
            </w:pPr>
            <w:r>
              <w:rPr>
                <w:rFonts w:hint="eastAsia" w:eastAsia="宋体"/>
                <w:color w:val="auto"/>
                <w:sz w:val="21"/>
                <w:szCs w:val="21"/>
              </w:rPr>
              <w:t>投标截止时间及地点</w:t>
            </w:r>
          </w:p>
        </w:tc>
        <w:tc>
          <w:tcPr>
            <w:tcW w:w="5515" w:type="dxa"/>
            <w:tcBorders>
              <w:top w:val="single" w:color="auto" w:sz="4" w:space="0"/>
              <w:left w:val="single" w:color="auto" w:sz="4" w:space="0"/>
              <w:bottom w:val="single" w:color="auto" w:sz="4" w:space="0"/>
              <w:right w:val="single" w:color="auto" w:sz="4" w:space="0"/>
            </w:tcBorders>
            <w:vAlign w:val="center"/>
          </w:tcPr>
          <w:p w14:paraId="2D0F1BA9">
            <w:pPr>
              <w:pStyle w:val="22"/>
              <w:widowControl w:val="0"/>
              <w:spacing w:before="0" w:beforeAutospacing="0" w:after="0" w:afterAutospacing="0" w:line="240" w:lineRule="auto"/>
              <w:jc w:val="both"/>
              <w:rPr>
                <w:rFonts w:eastAsia="宋体"/>
                <w:b/>
                <w:color w:val="auto"/>
                <w:sz w:val="21"/>
                <w:szCs w:val="21"/>
              </w:rPr>
            </w:pPr>
            <w:r>
              <w:rPr>
                <w:rFonts w:hint="eastAsia" w:eastAsia="宋体"/>
                <w:color w:val="auto"/>
                <w:sz w:val="21"/>
                <w:szCs w:val="21"/>
              </w:rPr>
              <w:t>见</w:t>
            </w:r>
            <w:r>
              <w:rPr>
                <w:rFonts w:hint="eastAsia" w:eastAsia="宋体"/>
                <w:bCs/>
                <w:color w:val="auto"/>
                <w:sz w:val="21"/>
                <w:szCs w:val="21"/>
                <w:u w:val="single"/>
              </w:rPr>
              <w:t>招标公告（投标邀请）</w:t>
            </w:r>
          </w:p>
        </w:tc>
      </w:tr>
      <w:tr w14:paraId="11F47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4E9B84E9">
            <w:pPr>
              <w:numPr>
                <w:ilvl w:val="0"/>
                <w:numId w:val="2"/>
              </w:numPr>
              <w:tabs>
                <w:tab w:val="clear" w:pos="312"/>
              </w:tabs>
              <w:spacing w:after="0" w:line="240" w:lineRule="auto"/>
              <w:jc w:val="center"/>
              <w:rPr>
                <w:rFonts w:ascii="宋体" w:hAnsi="宋体" w:eastAsia="宋体"/>
                <w:color w:val="auto"/>
              </w:rPr>
            </w:pPr>
          </w:p>
        </w:tc>
        <w:tc>
          <w:tcPr>
            <w:tcW w:w="892" w:type="dxa"/>
            <w:tcBorders>
              <w:top w:val="single" w:color="auto" w:sz="4" w:space="0"/>
              <w:left w:val="single" w:color="auto" w:sz="4" w:space="0"/>
              <w:bottom w:val="single" w:color="auto" w:sz="4" w:space="0"/>
              <w:right w:val="single" w:color="auto" w:sz="4" w:space="0"/>
            </w:tcBorders>
            <w:vAlign w:val="center"/>
          </w:tcPr>
          <w:p w14:paraId="3F46B1F7">
            <w:pPr>
              <w:spacing w:after="0" w:line="240" w:lineRule="auto"/>
              <w:jc w:val="center"/>
              <w:rPr>
                <w:rFonts w:ascii="宋体" w:hAnsi="宋体" w:eastAsia="宋体"/>
                <w:color w:val="auto"/>
              </w:rPr>
            </w:pPr>
            <w:r>
              <w:rPr>
                <w:rFonts w:hint="eastAsia" w:ascii="宋体" w:hAnsi="宋体" w:eastAsia="宋体"/>
                <w:color w:val="auto"/>
              </w:rPr>
              <w:t>32.2</w:t>
            </w:r>
          </w:p>
        </w:tc>
        <w:tc>
          <w:tcPr>
            <w:tcW w:w="1817" w:type="dxa"/>
            <w:tcBorders>
              <w:top w:val="single" w:color="auto" w:sz="4" w:space="0"/>
              <w:left w:val="single" w:color="auto" w:sz="4" w:space="0"/>
              <w:bottom w:val="single" w:color="auto" w:sz="4" w:space="0"/>
              <w:right w:val="single" w:color="auto" w:sz="4" w:space="0"/>
            </w:tcBorders>
            <w:vAlign w:val="center"/>
          </w:tcPr>
          <w:p w14:paraId="162629F9">
            <w:pPr>
              <w:pStyle w:val="22"/>
              <w:widowControl w:val="0"/>
              <w:spacing w:before="0" w:beforeAutospacing="0" w:after="0" w:afterAutospacing="0" w:line="240" w:lineRule="auto"/>
              <w:jc w:val="both"/>
              <w:rPr>
                <w:rFonts w:eastAsia="宋体"/>
                <w:b/>
                <w:color w:val="auto"/>
                <w:sz w:val="21"/>
                <w:szCs w:val="21"/>
              </w:rPr>
            </w:pPr>
            <w:r>
              <w:rPr>
                <w:rFonts w:hint="eastAsia" w:eastAsia="宋体"/>
                <w:color w:val="auto"/>
                <w:sz w:val="21"/>
                <w:szCs w:val="21"/>
              </w:rPr>
              <w:t>投标文件解密时间</w:t>
            </w:r>
          </w:p>
        </w:tc>
        <w:tc>
          <w:tcPr>
            <w:tcW w:w="5515" w:type="dxa"/>
            <w:tcBorders>
              <w:top w:val="single" w:color="auto" w:sz="4" w:space="0"/>
              <w:left w:val="single" w:color="auto" w:sz="4" w:space="0"/>
              <w:bottom w:val="single" w:color="auto" w:sz="4" w:space="0"/>
              <w:right w:val="single" w:color="auto" w:sz="4" w:space="0"/>
            </w:tcBorders>
            <w:vAlign w:val="center"/>
          </w:tcPr>
          <w:p w14:paraId="5124F5BF">
            <w:pPr>
              <w:pStyle w:val="22"/>
              <w:widowControl w:val="0"/>
              <w:spacing w:before="0" w:beforeAutospacing="0" w:after="0" w:afterAutospacing="0" w:line="240" w:lineRule="auto"/>
              <w:jc w:val="both"/>
              <w:rPr>
                <w:rFonts w:eastAsia="宋体"/>
                <w:b/>
                <w:color w:val="auto"/>
                <w:sz w:val="21"/>
                <w:szCs w:val="21"/>
              </w:rPr>
            </w:pPr>
            <w:r>
              <w:rPr>
                <w:rFonts w:hint="eastAsia" w:eastAsia="宋体"/>
                <w:color w:val="auto"/>
                <w:sz w:val="21"/>
                <w:szCs w:val="21"/>
              </w:rPr>
              <w:t>开标后3</w:t>
            </w:r>
            <w:r>
              <w:rPr>
                <w:rFonts w:eastAsia="宋体"/>
                <w:color w:val="auto"/>
                <w:sz w:val="21"/>
                <w:szCs w:val="21"/>
              </w:rPr>
              <w:t>0</w:t>
            </w:r>
            <w:r>
              <w:rPr>
                <w:rFonts w:hint="eastAsia" w:eastAsia="宋体"/>
                <w:color w:val="auto"/>
                <w:sz w:val="21"/>
                <w:szCs w:val="21"/>
              </w:rPr>
              <w:t>分钟内（以电子交易系统解密倒计时为准）</w:t>
            </w:r>
          </w:p>
        </w:tc>
      </w:tr>
      <w:tr w14:paraId="44B75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6A219ED4">
            <w:pPr>
              <w:numPr>
                <w:ilvl w:val="0"/>
                <w:numId w:val="2"/>
              </w:numPr>
              <w:tabs>
                <w:tab w:val="clear" w:pos="312"/>
              </w:tabs>
              <w:spacing w:after="0" w:line="240" w:lineRule="auto"/>
              <w:jc w:val="center"/>
              <w:rPr>
                <w:rFonts w:ascii="宋体" w:hAnsi="宋体" w:eastAsia="宋体"/>
                <w:color w:val="auto"/>
              </w:rPr>
            </w:pPr>
          </w:p>
        </w:tc>
        <w:tc>
          <w:tcPr>
            <w:tcW w:w="892" w:type="dxa"/>
            <w:tcBorders>
              <w:top w:val="single" w:color="auto" w:sz="4" w:space="0"/>
              <w:left w:val="single" w:color="auto" w:sz="4" w:space="0"/>
              <w:bottom w:val="single" w:color="auto" w:sz="4" w:space="0"/>
              <w:right w:val="single" w:color="auto" w:sz="4" w:space="0"/>
            </w:tcBorders>
            <w:vAlign w:val="center"/>
          </w:tcPr>
          <w:p w14:paraId="26D712F1">
            <w:pPr>
              <w:spacing w:after="0" w:line="240" w:lineRule="auto"/>
              <w:jc w:val="center"/>
              <w:rPr>
                <w:rFonts w:ascii="宋体" w:hAnsi="宋体" w:eastAsia="宋体"/>
                <w:color w:val="auto"/>
              </w:rPr>
            </w:pPr>
            <w:r>
              <w:rPr>
                <w:rFonts w:hint="eastAsia" w:ascii="宋体" w:hAnsi="宋体" w:eastAsia="宋体"/>
                <w:color w:val="auto"/>
              </w:rPr>
              <w:t>36.2</w:t>
            </w:r>
          </w:p>
        </w:tc>
        <w:tc>
          <w:tcPr>
            <w:tcW w:w="1817" w:type="dxa"/>
            <w:tcBorders>
              <w:top w:val="single" w:color="auto" w:sz="4" w:space="0"/>
              <w:left w:val="single" w:color="auto" w:sz="4" w:space="0"/>
              <w:bottom w:val="single" w:color="auto" w:sz="4" w:space="0"/>
              <w:right w:val="single" w:color="auto" w:sz="4" w:space="0"/>
            </w:tcBorders>
            <w:vAlign w:val="center"/>
          </w:tcPr>
          <w:p w14:paraId="23FE7EEB">
            <w:pPr>
              <w:pStyle w:val="22"/>
              <w:widowControl w:val="0"/>
              <w:spacing w:before="0" w:beforeAutospacing="0" w:after="0" w:afterAutospacing="0" w:line="240" w:lineRule="auto"/>
              <w:jc w:val="both"/>
              <w:rPr>
                <w:rFonts w:eastAsia="宋体"/>
                <w:b/>
                <w:color w:val="auto"/>
                <w:sz w:val="21"/>
                <w:szCs w:val="21"/>
              </w:rPr>
            </w:pPr>
            <w:r>
              <w:rPr>
                <w:rFonts w:hint="eastAsia" w:eastAsia="宋体"/>
                <w:color w:val="auto"/>
                <w:sz w:val="21"/>
                <w:szCs w:val="21"/>
              </w:rPr>
              <w:t>评标方法</w:t>
            </w:r>
          </w:p>
        </w:tc>
        <w:tc>
          <w:tcPr>
            <w:tcW w:w="5515" w:type="dxa"/>
            <w:tcBorders>
              <w:top w:val="single" w:color="auto" w:sz="4" w:space="0"/>
              <w:left w:val="single" w:color="auto" w:sz="4" w:space="0"/>
              <w:bottom w:val="single" w:color="auto" w:sz="4" w:space="0"/>
              <w:right w:val="single" w:color="auto" w:sz="4" w:space="0"/>
            </w:tcBorders>
            <w:vAlign w:val="center"/>
          </w:tcPr>
          <w:p w14:paraId="7557CF44">
            <w:pPr>
              <w:pStyle w:val="22"/>
              <w:widowControl w:val="0"/>
              <w:spacing w:before="0" w:beforeAutospacing="0" w:after="0" w:afterAutospacing="0" w:line="240" w:lineRule="auto"/>
              <w:jc w:val="both"/>
              <w:rPr>
                <w:rFonts w:eastAsia="宋体"/>
                <w:b/>
                <w:color w:val="auto"/>
                <w:sz w:val="21"/>
                <w:szCs w:val="21"/>
              </w:rPr>
            </w:pPr>
            <w:r>
              <w:rPr>
                <w:rFonts w:hint="eastAsia" w:eastAsia="宋体"/>
                <w:color w:val="auto"/>
                <w:sz w:val="21"/>
                <w:szCs w:val="21"/>
              </w:rPr>
              <w:t>综合评分法</w:t>
            </w:r>
          </w:p>
        </w:tc>
      </w:tr>
    </w:tbl>
    <w:p w14:paraId="47D18BDD">
      <w:pPr>
        <w:pStyle w:val="23"/>
        <w:spacing w:before="0" w:beforeLines="0" w:after="0" w:afterLines="0" w:line="360" w:lineRule="auto"/>
        <w:jc w:val="center"/>
        <w:rPr>
          <w:rFonts w:ascii="宋体" w:hAnsi="宋体" w:eastAsia="宋体"/>
          <w:color w:val="auto"/>
          <w:sz w:val="21"/>
          <w:szCs w:val="21"/>
        </w:rPr>
      </w:pPr>
      <w:r>
        <w:rPr>
          <w:rFonts w:ascii="宋体" w:hAnsi="宋体" w:eastAsia="宋体"/>
          <w:color w:val="auto"/>
        </w:rPr>
        <w:br w:type="page"/>
      </w:r>
      <w:bookmarkStart w:id="74" w:name="_Toc118452527"/>
      <w:r>
        <w:rPr>
          <w:rFonts w:hint="eastAsia" w:ascii="宋体" w:hAnsi="宋体" w:eastAsia="宋体"/>
          <w:color w:val="auto"/>
          <w:sz w:val="21"/>
          <w:szCs w:val="21"/>
        </w:rPr>
        <w:t>一、总则</w:t>
      </w:r>
      <w:bookmarkEnd w:id="74"/>
    </w:p>
    <w:p w14:paraId="4CEF6A29">
      <w:pPr>
        <w:spacing w:after="0" w:line="360" w:lineRule="auto"/>
        <w:ind w:firstLine="422" w:firstLineChars="200"/>
        <w:jc w:val="left"/>
        <w:rPr>
          <w:rFonts w:ascii="宋体" w:hAnsi="宋体" w:eastAsia="宋体"/>
          <w:b/>
          <w:color w:val="auto"/>
        </w:rPr>
      </w:pPr>
      <w:r>
        <w:rPr>
          <w:rFonts w:hint="eastAsia" w:ascii="宋体" w:hAnsi="宋体" w:eastAsia="宋体"/>
          <w:b/>
          <w:color w:val="auto"/>
        </w:rPr>
        <w:t>1.</w:t>
      </w:r>
      <w:r>
        <w:rPr>
          <w:rFonts w:ascii="宋体" w:hAnsi="宋体" w:eastAsia="宋体"/>
          <w:b/>
          <w:color w:val="auto"/>
        </w:rPr>
        <w:t>适用范围</w:t>
      </w:r>
    </w:p>
    <w:p w14:paraId="17C88EAC">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本招标文件适用于本次公开招标所述的服务采购。</w:t>
      </w:r>
    </w:p>
    <w:p w14:paraId="041625EB">
      <w:pPr>
        <w:spacing w:after="0" w:line="360" w:lineRule="auto"/>
        <w:ind w:firstLine="422" w:firstLineChars="200"/>
        <w:jc w:val="left"/>
        <w:rPr>
          <w:rFonts w:ascii="宋体" w:hAnsi="宋体" w:eastAsia="宋体"/>
          <w:b/>
          <w:color w:val="auto"/>
        </w:rPr>
      </w:pPr>
      <w:r>
        <w:rPr>
          <w:rFonts w:hint="eastAsia" w:ascii="宋体" w:hAnsi="宋体" w:eastAsia="宋体"/>
          <w:b/>
          <w:color w:val="auto"/>
        </w:rPr>
        <w:t>2.定义</w:t>
      </w:r>
    </w:p>
    <w:p w14:paraId="60B95C25">
      <w:pPr>
        <w:snapToGrid w:val="0"/>
        <w:spacing w:after="0" w:line="360" w:lineRule="auto"/>
        <w:ind w:firstLine="420" w:firstLineChars="200"/>
        <w:jc w:val="left"/>
        <w:rPr>
          <w:rFonts w:ascii="宋体" w:hAnsi="宋体" w:eastAsia="宋体" w:cs="Arial"/>
          <w:color w:val="auto"/>
        </w:rPr>
      </w:pPr>
      <w:r>
        <w:rPr>
          <w:rFonts w:hint="eastAsia" w:ascii="宋体" w:hAnsi="宋体" w:eastAsia="宋体" w:cs="Arial"/>
          <w:color w:val="auto"/>
        </w:rPr>
        <w:t>2.1</w:t>
      </w:r>
      <w:r>
        <w:rPr>
          <w:rFonts w:ascii="宋体" w:hAnsi="宋体" w:eastAsia="宋体" w:cs="Arial"/>
          <w:color w:val="auto"/>
        </w:rPr>
        <w:t>书面形式</w:t>
      </w:r>
      <w:r>
        <w:rPr>
          <w:rFonts w:hint="eastAsia" w:ascii="宋体" w:hAnsi="宋体" w:eastAsia="宋体" w:cs="Arial"/>
          <w:color w:val="auto"/>
        </w:rPr>
        <w:t>：</w:t>
      </w:r>
      <w:r>
        <w:rPr>
          <w:rFonts w:ascii="宋体" w:hAnsi="宋体" w:eastAsia="宋体" w:cs="Arial"/>
          <w:color w:val="auto"/>
        </w:rPr>
        <w:t>包括</w:t>
      </w:r>
      <w:r>
        <w:rPr>
          <w:rFonts w:hint="eastAsia" w:ascii="宋体" w:hAnsi="宋体" w:eastAsia="宋体" w:cs="Arial"/>
          <w:color w:val="auto"/>
        </w:rPr>
        <w:t>信件、</w:t>
      </w:r>
      <w:r>
        <w:rPr>
          <w:rFonts w:ascii="宋体" w:hAnsi="宋体" w:eastAsia="宋体" w:cs="Arial"/>
          <w:color w:val="auto"/>
        </w:rPr>
        <w:t>电报、电传、传真</w:t>
      </w:r>
      <w:r>
        <w:rPr>
          <w:rFonts w:hint="eastAsia" w:ascii="宋体" w:hAnsi="宋体" w:eastAsia="宋体" w:cs="Arial"/>
          <w:color w:val="auto"/>
        </w:rPr>
        <w:t>、网上公告</w:t>
      </w:r>
      <w:r>
        <w:rPr>
          <w:rFonts w:ascii="宋体" w:hAnsi="宋体" w:eastAsia="宋体" w:cs="Arial"/>
          <w:color w:val="auto"/>
        </w:rPr>
        <w:t>等可以有形地表现所载内容的形式</w:t>
      </w:r>
      <w:r>
        <w:rPr>
          <w:rFonts w:hint="eastAsia" w:ascii="宋体" w:hAnsi="宋体" w:eastAsia="宋体" w:cs="Arial"/>
          <w:color w:val="auto"/>
        </w:rPr>
        <w:t>。以电子数据交换、电子邮件等方式能够有形地表现所载内容，并可以随时调取查用的数据电文，视为书面形式。</w:t>
      </w:r>
    </w:p>
    <w:p w14:paraId="4210E4FD">
      <w:pPr>
        <w:snapToGrid w:val="0"/>
        <w:spacing w:after="0" w:line="360" w:lineRule="auto"/>
        <w:ind w:firstLine="420" w:firstLineChars="200"/>
        <w:jc w:val="left"/>
        <w:rPr>
          <w:rFonts w:ascii="宋体" w:hAnsi="宋体" w:eastAsia="宋体" w:cs="Arial"/>
          <w:color w:val="auto"/>
        </w:rPr>
      </w:pPr>
      <w:r>
        <w:rPr>
          <w:rFonts w:hint="eastAsia" w:ascii="宋体" w:hAnsi="宋体" w:eastAsia="宋体" w:cs="Arial"/>
          <w:color w:val="auto"/>
        </w:rPr>
        <w:t>2.2实质性条款：标注</w:t>
      </w:r>
      <w:r>
        <w:rPr>
          <w:rFonts w:ascii="宋体" w:hAnsi="宋体" w:eastAsia="宋体" w:cs="Arial"/>
          <w:color w:val="auto"/>
        </w:rPr>
        <w:t>“▲”</w:t>
      </w:r>
      <w:r>
        <w:rPr>
          <w:rFonts w:hint="eastAsia" w:ascii="宋体" w:hAnsi="宋体" w:eastAsia="宋体" w:cs="Arial"/>
          <w:color w:val="auto"/>
        </w:rPr>
        <w:t>的属于招标文件的</w:t>
      </w:r>
      <w:r>
        <w:rPr>
          <w:rFonts w:ascii="宋体" w:hAnsi="宋体" w:eastAsia="宋体" w:cs="Arial"/>
          <w:color w:val="auto"/>
        </w:rPr>
        <w:t>实质性要求条款。</w:t>
      </w:r>
    </w:p>
    <w:p w14:paraId="1D2D86D1">
      <w:pPr>
        <w:snapToGrid w:val="0"/>
        <w:spacing w:after="0" w:line="360" w:lineRule="auto"/>
        <w:ind w:firstLine="420" w:firstLineChars="200"/>
        <w:jc w:val="left"/>
        <w:rPr>
          <w:rFonts w:ascii="宋体" w:hAnsi="宋体" w:eastAsia="宋体" w:cs="Arial"/>
          <w:color w:val="auto"/>
        </w:rPr>
      </w:pPr>
      <w:r>
        <w:rPr>
          <w:rFonts w:hint="eastAsia" w:ascii="宋体" w:hAnsi="宋体" w:eastAsia="宋体" w:cs="Arial"/>
          <w:color w:val="auto"/>
        </w:rPr>
        <w:t>2.3公章：</w:t>
      </w:r>
      <w:r>
        <w:rPr>
          <w:rFonts w:ascii="宋体" w:hAnsi="宋体" w:eastAsia="宋体" w:cs="Arial"/>
          <w:color w:val="auto"/>
        </w:rPr>
        <w:t>投标人在投标文件及通知等事项的书面文件中的单位盖章、公章等处，均仅指与投标当事人名称全称相一致的标准公章</w:t>
      </w:r>
      <w:r>
        <w:rPr>
          <w:rFonts w:hint="eastAsia" w:ascii="宋体" w:hAnsi="宋体" w:eastAsia="宋体" w:cs="Arial"/>
          <w:color w:val="auto"/>
        </w:rPr>
        <w:t>（行政章）</w:t>
      </w:r>
      <w:r>
        <w:rPr>
          <w:rFonts w:ascii="宋体" w:hAnsi="宋体" w:eastAsia="宋体" w:cs="Arial"/>
          <w:color w:val="auto"/>
        </w:rPr>
        <w:t>，不得使用其它形式，如带有“专用章”</w:t>
      </w:r>
      <w:r>
        <w:rPr>
          <w:rFonts w:hint="eastAsia" w:ascii="宋体" w:hAnsi="宋体" w:eastAsia="宋体" w:cs="Arial"/>
          <w:color w:val="auto"/>
        </w:rPr>
        <w:t>“业务章”</w:t>
      </w:r>
      <w:r>
        <w:rPr>
          <w:rFonts w:ascii="宋体" w:hAnsi="宋体" w:eastAsia="宋体" w:cs="Arial"/>
          <w:color w:val="auto"/>
        </w:rPr>
        <w:t>等字样的印章。</w:t>
      </w:r>
    </w:p>
    <w:p w14:paraId="7699CFA5">
      <w:pPr>
        <w:snapToGrid w:val="0"/>
        <w:spacing w:after="0" w:line="360" w:lineRule="auto"/>
        <w:ind w:firstLine="420" w:firstLineChars="200"/>
        <w:jc w:val="left"/>
        <w:rPr>
          <w:rFonts w:ascii="宋体" w:hAnsi="宋体" w:eastAsia="宋体" w:cs="Arial"/>
          <w:color w:val="auto"/>
        </w:rPr>
      </w:pPr>
      <w:r>
        <w:rPr>
          <w:rFonts w:hint="eastAsia" w:ascii="宋体" w:hAnsi="宋体" w:eastAsia="宋体" w:cs="Arial"/>
          <w:color w:val="auto"/>
        </w:rPr>
        <w:t>2.4“电子交易平台”是指本项目政府采购活动所依托的政府采购云平台（https：//www.zcygov.cn/）。</w:t>
      </w:r>
    </w:p>
    <w:p w14:paraId="05BFF756">
      <w:pPr>
        <w:snapToGrid w:val="0"/>
        <w:spacing w:after="0" w:line="360" w:lineRule="auto"/>
        <w:ind w:firstLine="420" w:firstLineChars="200"/>
        <w:jc w:val="left"/>
        <w:rPr>
          <w:rFonts w:ascii="宋体" w:hAnsi="宋体" w:eastAsia="宋体" w:cs="Arial"/>
          <w:color w:val="auto"/>
        </w:rPr>
      </w:pPr>
      <w:r>
        <w:rPr>
          <w:rFonts w:hint="eastAsia" w:ascii="宋体" w:hAnsi="宋体" w:eastAsia="宋体" w:cs="Arial"/>
          <w:color w:val="auto"/>
        </w:rPr>
        <w:t>2.5电子签章：为投标人单位法定名称电子公章。</w:t>
      </w:r>
    </w:p>
    <w:p w14:paraId="3080649A">
      <w:pPr>
        <w:snapToGrid w:val="0"/>
        <w:spacing w:after="0" w:line="360" w:lineRule="auto"/>
        <w:ind w:firstLine="420" w:firstLineChars="200"/>
        <w:jc w:val="left"/>
        <w:rPr>
          <w:rFonts w:ascii="宋体" w:hAnsi="宋体" w:eastAsia="宋体" w:cs="Arial"/>
          <w:color w:val="auto"/>
        </w:rPr>
      </w:pPr>
      <w:r>
        <w:rPr>
          <w:rFonts w:hint="eastAsia" w:ascii="宋体" w:hAnsi="宋体" w:eastAsia="宋体" w:cs="Arial"/>
          <w:color w:val="auto"/>
        </w:rPr>
        <w:t>2.6依法获取招标文件：供应商按照</w:t>
      </w:r>
      <w:r>
        <w:rPr>
          <w:rFonts w:hint="eastAsia" w:ascii="宋体" w:hAnsi="宋体" w:eastAsia="宋体"/>
          <w:bCs/>
          <w:color w:val="auto"/>
          <w:u w:val="single"/>
        </w:rPr>
        <w:t>招标公告（投标邀请）</w:t>
      </w:r>
      <w:r>
        <w:rPr>
          <w:rFonts w:hint="eastAsia" w:ascii="宋体" w:hAnsi="宋体" w:eastAsia="宋体"/>
          <w:bCs/>
          <w:color w:val="auto"/>
        </w:rPr>
        <w:t>第三条的约定实施，并最终在</w:t>
      </w:r>
      <w:r>
        <w:rPr>
          <w:rFonts w:hint="eastAsia" w:ascii="宋体" w:hAnsi="宋体" w:eastAsia="宋体"/>
          <w:color w:val="auto"/>
        </w:rPr>
        <w:t>政采云平台系统后台显示通过。</w:t>
      </w:r>
    </w:p>
    <w:p w14:paraId="48A030ED">
      <w:pPr>
        <w:spacing w:after="0" w:line="360" w:lineRule="auto"/>
        <w:ind w:firstLine="422" w:firstLineChars="200"/>
        <w:jc w:val="left"/>
        <w:rPr>
          <w:rFonts w:ascii="宋体" w:hAnsi="宋体" w:eastAsia="宋体"/>
          <w:b/>
          <w:color w:val="auto"/>
        </w:rPr>
      </w:pPr>
      <w:r>
        <w:rPr>
          <w:rFonts w:hint="eastAsia" w:ascii="宋体" w:hAnsi="宋体" w:eastAsia="宋体"/>
          <w:b/>
          <w:color w:val="auto"/>
        </w:rPr>
        <w:t>3</w:t>
      </w:r>
      <w:r>
        <w:rPr>
          <w:rFonts w:ascii="宋体" w:hAnsi="宋体" w:eastAsia="宋体"/>
          <w:b/>
          <w:color w:val="auto"/>
        </w:rPr>
        <w:t>.</w:t>
      </w:r>
      <w:r>
        <w:rPr>
          <w:rFonts w:hint="eastAsia" w:ascii="宋体" w:hAnsi="宋体" w:eastAsia="宋体"/>
          <w:b/>
          <w:color w:val="auto"/>
        </w:rPr>
        <w:t>采购人、采购代理机构及投标人</w:t>
      </w:r>
    </w:p>
    <w:p w14:paraId="4481CACA">
      <w:pPr>
        <w:spacing w:after="0" w:line="360" w:lineRule="auto"/>
        <w:ind w:firstLine="420"/>
        <w:rPr>
          <w:rFonts w:ascii="宋体" w:hAnsi="宋体" w:eastAsia="宋体"/>
          <w:color w:val="auto"/>
        </w:rPr>
      </w:pPr>
      <w:r>
        <w:rPr>
          <w:rFonts w:hint="eastAsia" w:ascii="宋体" w:hAnsi="宋体" w:eastAsia="宋体"/>
          <w:color w:val="auto"/>
        </w:rPr>
        <w:t>3</w:t>
      </w:r>
      <w:r>
        <w:rPr>
          <w:rFonts w:ascii="宋体" w:hAnsi="宋体" w:eastAsia="宋体"/>
          <w:color w:val="auto"/>
        </w:rPr>
        <w:t>.1采购人</w:t>
      </w:r>
      <w:r>
        <w:rPr>
          <w:rFonts w:hint="eastAsia" w:ascii="宋体" w:hAnsi="宋体" w:eastAsia="宋体"/>
          <w:color w:val="auto"/>
        </w:rPr>
        <w:t>/甲方</w:t>
      </w:r>
      <w:r>
        <w:rPr>
          <w:rFonts w:ascii="宋体" w:hAnsi="宋体" w:eastAsia="宋体"/>
          <w:color w:val="auto"/>
        </w:rPr>
        <w:t>：是指依法开展政府采购活动的国家机关、事业单位、团体组织。</w:t>
      </w:r>
      <w:r>
        <w:rPr>
          <w:rFonts w:hint="eastAsia" w:ascii="宋体" w:hAnsi="宋体" w:eastAsia="宋体"/>
          <w:color w:val="auto"/>
        </w:rPr>
        <w:t>本项目的采购人见</w:t>
      </w:r>
      <w:r>
        <w:rPr>
          <w:rFonts w:hint="eastAsia" w:ascii="宋体" w:hAnsi="宋体" w:eastAsia="宋体"/>
          <w:color w:val="auto"/>
          <w:u w:val="single"/>
        </w:rPr>
        <w:t>投标人须知前附表</w:t>
      </w:r>
      <w:r>
        <w:rPr>
          <w:rFonts w:hint="eastAsia" w:ascii="宋体" w:hAnsi="宋体" w:eastAsia="宋体"/>
          <w:color w:val="auto"/>
        </w:rPr>
        <w:t>。</w:t>
      </w:r>
    </w:p>
    <w:p w14:paraId="424D874B">
      <w:pPr>
        <w:spacing w:after="0" w:line="360" w:lineRule="auto"/>
        <w:ind w:firstLine="420"/>
        <w:rPr>
          <w:rFonts w:ascii="宋体" w:hAnsi="宋体" w:eastAsia="宋体"/>
          <w:color w:val="auto"/>
        </w:rPr>
      </w:pPr>
      <w:r>
        <w:rPr>
          <w:rFonts w:hint="eastAsia" w:ascii="宋体" w:hAnsi="宋体" w:eastAsia="宋体"/>
          <w:color w:val="auto"/>
        </w:rPr>
        <w:t>3</w:t>
      </w:r>
      <w:r>
        <w:rPr>
          <w:rFonts w:ascii="宋体" w:hAnsi="宋体" w:eastAsia="宋体"/>
          <w:color w:val="auto"/>
        </w:rPr>
        <w:t>.2采购代理机构：是指从事采购代理业务的社会中介机构。本项目的采购代理机构见</w:t>
      </w:r>
      <w:r>
        <w:rPr>
          <w:rFonts w:hint="eastAsia" w:ascii="宋体" w:hAnsi="宋体" w:eastAsia="宋体"/>
          <w:color w:val="auto"/>
          <w:u w:val="single"/>
        </w:rPr>
        <w:t>投标人须知前附表</w:t>
      </w:r>
      <w:r>
        <w:rPr>
          <w:rFonts w:ascii="宋体" w:hAnsi="宋体" w:eastAsia="宋体"/>
          <w:color w:val="auto"/>
        </w:rPr>
        <w:t>。</w:t>
      </w:r>
    </w:p>
    <w:p w14:paraId="334C0EE8">
      <w:pPr>
        <w:spacing w:after="0" w:line="360" w:lineRule="auto"/>
        <w:ind w:firstLine="420"/>
        <w:rPr>
          <w:rFonts w:ascii="宋体" w:hAnsi="宋体" w:eastAsia="宋体"/>
          <w:color w:val="auto"/>
        </w:rPr>
      </w:pPr>
      <w:r>
        <w:rPr>
          <w:rFonts w:ascii="宋体" w:hAnsi="宋体" w:eastAsia="宋体"/>
          <w:color w:val="auto"/>
        </w:rPr>
        <w:t>3.3政府采购监督管理部门：</w:t>
      </w:r>
      <w:r>
        <w:rPr>
          <w:rFonts w:hint="eastAsia" w:ascii="宋体" w:hAnsi="宋体" w:eastAsia="宋体"/>
          <w:color w:val="auto"/>
        </w:rPr>
        <w:t>各级人民政府指定的有关部门依法履行与政府采购活动有关的监督管理职责。本项目的政府采购监督管理部门见</w:t>
      </w:r>
      <w:r>
        <w:rPr>
          <w:rFonts w:hint="eastAsia" w:ascii="宋体" w:hAnsi="宋体" w:eastAsia="宋体"/>
          <w:color w:val="auto"/>
          <w:u w:val="single"/>
        </w:rPr>
        <w:t>投标人须知前附表</w:t>
      </w:r>
      <w:r>
        <w:rPr>
          <w:rFonts w:ascii="宋体" w:hAnsi="宋体" w:eastAsia="宋体"/>
          <w:color w:val="auto"/>
        </w:rPr>
        <w:t>。</w:t>
      </w:r>
    </w:p>
    <w:p w14:paraId="07E498C6">
      <w:pPr>
        <w:spacing w:after="0" w:line="360" w:lineRule="auto"/>
        <w:ind w:firstLine="420"/>
        <w:rPr>
          <w:rFonts w:ascii="宋体" w:hAnsi="宋体" w:eastAsia="宋体"/>
          <w:color w:val="auto"/>
        </w:rPr>
      </w:pPr>
      <w:r>
        <w:rPr>
          <w:rFonts w:hint="eastAsia" w:ascii="宋体" w:hAnsi="宋体" w:eastAsia="宋体"/>
          <w:color w:val="auto"/>
        </w:rPr>
        <w:t>3</w:t>
      </w:r>
      <w:r>
        <w:rPr>
          <w:rFonts w:ascii="宋体" w:hAnsi="宋体" w:eastAsia="宋体"/>
          <w:color w:val="auto"/>
        </w:rPr>
        <w:t>.4投标人</w:t>
      </w:r>
      <w:r>
        <w:rPr>
          <w:rFonts w:hint="eastAsia" w:ascii="宋体" w:hAnsi="宋体" w:eastAsia="宋体"/>
          <w:color w:val="auto"/>
        </w:rPr>
        <w:t>（供应商）/乙方</w:t>
      </w:r>
      <w:r>
        <w:rPr>
          <w:rFonts w:ascii="宋体" w:hAnsi="宋体" w:eastAsia="宋体"/>
          <w:color w:val="auto"/>
        </w:rPr>
        <w:t>：</w:t>
      </w:r>
      <w:r>
        <w:rPr>
          <w:rFonts w:hint="eastAsia" w:ascii="宋体" w:hAnsi="宋体" w:eastAsia="宋体"/>
          <w:color w:val="auto"/>
        </w:rPr>
        <w:t>是指向采购人提供货物、工程或者服务的法人、其他组织或者自然人</w:t>
      </w:r>
      <w:r>
        <w:rPr>
          <w:rFonts w:ascii="宋体" w:hAnsi="宋体" w:eastAsia="宋体"/>
          <w:color w:val="auto"/>
        </w:rPr>
        <w:t>。本项目的投标人须满足</w:t>
      </w:r>
      <w:r>
        <w:rPr>
          <w:rFonts w:hint="eastAsia" w:ascii="宋体" w:hAnsi="宋体" w:eastAsia="宋体"/>
          <w:color w:val="auto"/>
          <w:u w:val="single"/>
        </w:rPr>
        <w:t>招标公告（投标邀请）</w:t>
      </w:r>
      <w:r>
        <w:rPr>
          <w:rFonts w:hint="eastAsia" w:ascii="宋体" w:hAnsi="宋体" w:eastAsia="宋体"/>
          <w:color w:val="auto"/>
        </w:rPr>
        <w:t>中</w:t>
      </w:r>
      <w:r>
        <w:rPr>
          <w:rFonts w:ascii="宋体" w:hAnsi="宋体" w:eastAsia="宋体"/>
          <w:color w:val="auto"/>
        </w:rPr>
        <w:t>关于</w:t>
      </w:r>
      <w:r>
        <w:rPr>
          <w:rFonts w:hint="eastAsia" w:ascii="宋体" w:hAnsi="宋体" w:eastAsia="宋体"/>
          <w:color w:val="auto"/>
        </w:rPr>
        <w:t>申请人的资格要求</w:t>
      </w:r>
      <w:r>
        <w:rPr>
          <w:rFonts w:ascii="宋体" w:hAnsi="宋体" w:eastAsia="宋体"/>
          <w:color w:val="auto"/>
        </w:rPr>
        <w:t>的规定。</w:t>
      </w:r>
      <w:r>
        <w:rPr>
          <w:rFonts w:hint="eastAsia" w:ascii="宋体" w:hAnsi="宋体" w:eastAsia="宋体"/>
          <w:color w:val="auto"/>
        </w:rPr>
        <w:t>本项目是否专门面向中小企业采购</w:t>
      </w:r>
      <w:r>
        <w:rPr>
          <w:rFonts w:hint="eastAsia" w:ascii="宋体" w:hAnsi="宋体" w:eastAsia="宋体"/>
          <w:color w:val="auto"/>
          <w:u w:val="single"/>
        </w:rPr>
        <w:t>详见投标人须知前附表。</w:t>
      </w:r>
    </w:p>
    <w:p w14:paraId="67C5AA23">
      <w:pPr>
        <w:spacing w:after="0" w:line="360" w:lineRule="auto"/>
        <w:ind w:firstLine="420"/>
        <w:rPr>
          <w:rFonts w:ascii="宋体" w:hAnsi="宋体" w:eastAsia="宋体"/>
          <w:bCs/>
          <w:color w:val="auto"/>
          <w:kern w:val="0"/>
        </w:rPr>
      </w:pPr>
      <w:bookmarkStart w:id="75" w:name="_Hlk60580861"/>
      <w:r>
        <w:rPr>
          <w:rFonts w:hint="eastAsia" w:ascii="宋体" w:hAnsi="宋体" w:eastAsia="宋体"/>
          <w:bCs/>
          <w:color w:val="auto"/>
          <w:kern w:val="0"/>
        </w:rPr>
        <w:t>3</w:t>
      </w:r>
      <w:r>
        <w:rPr>
          <w:rFonts w:ascii="宋体" w:hAnsi="宋体" w:eastAsia="宋体"/>
          <w:bCs/>
          <w:color w:val="auto"/>
          <w:kern w:val="0"/>
        </w:rPr>
        <w:t>.5</w:t>
      </w:r>
      <w:r>
        <w:rPr>
          <w:rFonts w:hint="eastAsia" w:ascii="宋体" w:hAnsi="宋体" w:eastAsia="宋体"/>
          <w:bCs/>
          <w:color w:val="auto"/>
          <w:kern w:val="0"/>
        </w:rPr>
        <w:t>本项目接受</w:t>
      </w:r>
      <w:r>
        <w:rPr>
          <w:rFonts w:ascii="宋体" w:hAnsi="宋体" w:eastAsia="宋体"/>
          <w:bCs/>
          <w:color w:val="auto"/>
          <w:kern w:val="0"/>
        </w:rPr>
        <w:t>联合体投标</w:t>
      </w:r>
      <w:r>
        <w:rPr>
          <w:rFonts w:hint="eastAsia" w:ascii="宋体" w:hAnsi="宋体" w:eastAsia="宋体"/>
          <w:bCs/>
          <w:color w:val="auto"/>
          <w:kern w:val="0"/>
        </w:rPr>
        <w:t>，但需要满足以下要求：</w:t>
      </w:r>
    </w:p>
    <w:p w14:paraId="251CE220">
      <w:pPr>
        <w:spacing w:after="0" w:line="360" w:lineRule="auto"/>
        <w:ind w:firstLine="420"/>
        <w:rPr>
          <w:rFonts w:ascii="宋体" w:hAnsi="宋体"/>
          <w:color w:val="auto"/>
          <w:shd w:val="clear" w:color="auto" w:fill="FFFFFF"/>
        </w:rPr>
      </w:pPr>
      <w:r>
        <w:rPr>
          <w:rFonts w:hint="eastAsia" w:ascii="宋体" w:hAnsi="宋体"/>
          <w:color w:val="auto"/>
          <w:shd w:val="clear" w:color="auto" w:fill="FFFFFF"/>
        </w:rPr>
        <w:t>（</w:t>
      </w:r>
      <w:r>
        <w:rPr>
          <w:rFonts w:ascii="宋体" w:hAnsi="宋体"/>
          <w:color w:val="auto"/>
          <w:shd w:val="clear" w:color="auto" w:fill="FFFFFF"/>
        </w:rPr>
        <w:t>1</w:t>
      </w:r>
      <w:r>
        <w:rPr>
          <w:rFonts w:hint="eastAsia" w:ascii="宋体" w:hAnsi="宋体"/>
          <w:color w:val="auto"/>
          <w:shd w:val="clear" w:color="auto" w:fill="FFFFFF"/>
        </w:rPr>
        <w:t>）</w:t>
      </w:r>
      <w:r>
        <w:rPr>
          <w:rFonts w:hint="eastAsia"/>
          <w:color w:val="auto"/>
        </w:rPr>
        <w:t>联合体中承担项目</w:t>
      </w:r>
      <w:r>
        <w:rPr>
          <w:color w:val="auto"/>
        </w:rPr>
        <w:t>现状基本情况、区块定位和导向、空间布局研究</w:t>
      </w:r>
      <w:r>
        <w:rPr>
          <w:rFonts w:hint="eastAsia"/>
          <w:color w:val="auto"/>
        </w:rPr>
        <w:t>工作内容的单位必须具有</w:t>
      </w:r>
      <w:r>
        <w:rPr>
          <w:color w:val="auto"/>
        </w:rPr>
        <w:t>城乡规划（国土空间规划）编制单位乙级及以上</w:t>
      </w:r>
      <w:r>
        <w:rPr>
          <w:rFonts w:hint="eastAsia"/>
          <w:color w:val="auto"/>
        </w:rPr>
        <w:t>资质，联合体成员不超过</w:t>
      </w:r>
      <w:r>
        <w:rPr>
          <w:color w:val="auto"/>
        </w:rPr>
        <w:t>2</w:t>
      </w:r>
      <w:r>
        <w:rPr>
          <w:rFonts w:hint="eastAsia"/>
          <w:color w:val="auto"/>
        </w:rPr>
        <w:t>家单位。</w:t>
      </w:r>
    </w:p>
    <w:p w14:paraId="601B9E32">
      <w:pPr>
        <w:spacing w:after="0" w:line="360" w:lineRule="auto"/>
        <w:ind w:firstLine="420"/>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w:t>
      </w:r>
      <w:r>
        <w:rPr>
          <w:rFonts w:ascii="宋体" w:hAnsi="宋体"/>
          <w:color w:val="auto"/>
        </w:rPr>
        <w:t>联合体各方应签订</w:t>
      </w:r>
      <w:r>
        <w:rPr>
          <w:rFonts w:hint="eastAsia" w:ascii="宋体" w:hAnsi="宋体"/>
          <w:color w:val="auto"/>
        </w:rPr>
        <w:t>联合协议</w:t>
      </w:r>
      <w:r>
        <w:rPr>
          <w:rFonts w:ascii="宋体" w:hAnsi="宋体"/>
          <w:color w:val="auto"/>
        </w:rPr>
        <w:t>，明确约定联合体各方承担的工作和相应的责任，并将</w:t>
      </w:r>
      <w:r>
        <w:rPr>
          <w:rFonts w:hint="eastAsia" w:ascii="宋体" w:hAnsi="宋体"/>
          <w:color w:val="auto"/>
        </w:rPr>
        <w:t>联合协议</w:t>
      </w:r>
      <w:r>
        <w:rPr>
          <w:rFonts w:ascii="宋体" w:hAnsi="宋体"/>
          <w:color w:val="auto"/>
        </w:rPr>
        <w:t>作为投标文件</w:t>
      </w:r>
      <w:r>
        <w:rPr>
          <w:rFonts w:hint="eastAsia" w:ascii="宋体" w:hAnsi="宋体"/>
          <w:color w:val="auto"/>
        </w:rPr>
        <w:t>的组成</w:t>
      </w:r>
      <w:r>
        <w:rPr>
          <w:rFonts w:ascii="宋体" w:hAnsi="宋体"/>
          <w:color w:val="auto"/>
        </w:rPr>
        <w:t>提交。</w:t>
      </w:r>
    </w:p>
    <w:p w14:paraId="1E90C353">
      <w:pPr>
        <w:spacing w:after="0" w:line="360" w:lineRule="auto"/>
        <w:ind w:firstLine="420"/>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）联合体中有同类资质的供应商按照联合体分工承担相同工作的，</w:t>
      </w:r>
      <w:r>
        <w:rPr>
          <w:rFonts w:ascii="宋体" w:hAnsi="宋体"/>
          <w:color w:val="auto"/>
        </w:rPr>
        <w:t>按照</w:t>
      </w:r>
      <w:r>
        <w:rPr>
          <w:rFonts w:hint="eastAsia" w:ascii="宋体" w:hAnsi="宋体"/>
          <w:color w:val="auto"/>
        </w:rPr>
        <w:t>资质等级较低的供应商确定资质等级。</w:t>
      </w:r>
    </w:p>
    <w:p w14:paraId="32A214DB">
      <w:pPr>
        <w:spacing w:after="0" w:line="360" w:lineRule="auto"/>
        <w:ind w:firstLine="420"/>
        <w:rPr>
          <w:rFonts w:ascii="宋体" w:hAnsi="宋体"/>
          <w:color w:val="auto"/>
        </w:rPr>
      </w:pPr>
      <w:r>
        <w:rPr>
          <w:rFonts w:hint="eastAsia" w:ascii="宋体" w:hAnsi="宋体"/>
          <w:color w:val="auto"/>
        </w:rPr>
        <w:t>（</w:t>
      </w:r>
      <w:r>
        <w:rPr>
          <w:rFonts w:ascii="宋体" w:hAnsi="宋体"/>
          <w:color w:val="auto"/>
        </w:rPr>
        <w:t>4</w:t>
      </w:r>
      <w:r>
        <w:rPr>
          <w:rFonts w:hint="eastAsia" w:ascii="宋体" w:hAnsi="宋体"/>
          <w:color w:val="auto"/>
        </w:rPr>
        <w:t>）</w:t>
      </w:r>
      <w:r>
        <w:rPr>
          <w:rFonts w:ascii="宋体" w:hAnsi="宋体"/>
          <w:color w:val="auto"/>
        </w:rPr>
        <w:t>以联合体形式参加政府采购活动的，联合体各方不得再单独参加或者与其他供应商另外组成联合体参加本项目投标，否则相关投标</w:t>
      </w:r>
      <w:r>
        <w:rPr>
          <w:rFonts w:hint="eastAsia" w:ascii="宋体" w:hAnsi="宋体"/>
          <w:color w:val="auto"/>
        </w:rPr>
        <w:t>均</w:t>
      </w:r>
      <w:r>
        <w:rPr>
          <w:rFonts w:ascii="宋体" w:hAnsi="宋体"/>
          <w:color w:val="auto"/>
        </w:rPr>
        <w:t>将被认定为</w:t>
      </w:r>
      <w:r>
        <w:rPr>
          <w:rFonts w:ascii="宋体" w:hAnsi="宋体"/>
          <w:b/>
          <w:color w:val="auto"/>
        </w:rPr>
        <w:t>投标无效</w:t>
      </w:r>
      <w:r>
        <w:rPr>
          <w:rFonts w:ascii="宋体" w:hAnsi="宋体"/>
          <w:color w:val="auto"/>
        </w:rPr>
        <w:t>。</w:t>
      </w:r>
    </w:p>
    <w:bookmarkEnd w:id="75"/>
    <w:p w14:paraId="0F06D6E6">
      <w:pPr>
        <w:spacing w:after="0" w:line="360" w:lineRule="auto"/>
        <w:ind w:firstLine="420"/>
        <w:rPr>
          <w:rFonts w:ascii="宋体" w:hAnsi="宋体" w:eastAsia="宋体"/>
          <w:color w:val="auto"/>
        </w:rPr>
      </w:pPr>
      <w:r>
        <w:rPr>
          <w:rFonts w:hint="eastAsia" w:ascii="宋体" w:hAnsi="宋体" w:eastAsia="宋体"/>
          <w:color w:val="auto"/>
        </w:rPr>
        <w:t>3</w:t>
      </w:r>
      <w:r>
        <w:rPr>
          <w:rFonts w:ascii="宋体" w:hAnsi="宋体" w:eastAsia="宋体"/>
          <w:color w:val="auto"/>
        </w:rPr>
        <w:t>.6单位负责人为同一人或者存在直接控股、管理关系的不同供应商，</w:t>
      </w:r>
      <w:r>
        <w:rPr>
          <w:rFonts w:hint="eastAsia" w:ascii="宋体" w:hAnsi="宋体" w:eastAsia="宋体"/>
          <w:color w:val="auto"/>
        </w:rPr>
        <w:t>不得参加同一合同项下的政府采购活动，否则其投标将被认定为</w:t>
      </w:r>
      <w:r>
        <w:rPr>
          <w:rFonts w:hint="eastAsia" w:ascii="宋体" w:hAnsi="宋体" w:eastAsia="宋体"/>
          <w:b/>
          <w:bCs/>
          <w:color w:val="auto"/>
        </w:rPr>
        <w:t>投标无效</w:t>
      </w:r>
      <w:r>
        <w:rPr>
          <w:rFonts w:hint="eastAsia" w:ascii="宋体" w:hAnsi="宋体" w:eastAsia="宋体"/>
          <w:color w:val="auto"/>
        </w:rPr>
        <w:t>。</w:t>
      </w:r>
    </w:p>
    <w:p w14:paraId="146EF805">
      <w:pPr>
        <w:spacing w:after="0" w:line="360" w:lineRule="auto"/>
        <w:ind w:firstLine="420"/>
        <w:rPr>
          <w:rFonts w:ascii="宋体" w:hAnsi="宋体" w:eastAsia="宋体"/>
          <w:color w:val="auto"/>
        </w:rPr>
      </w:pPr>
      <w:r>
        <w:rPr>
          <w:rFonts w:hint="eastAsia" w:ascii="宋体" w:hAnsi="宋体" w:eastAsia="宋体"/>
          <w:color w:val="auto"/>
        </w:rPr>
        <w:t>3</w:t>
      </w:r>
      <w:r>
        <w:rPr>
          <w:rFonts w:ascii="宋体" w:hAnsi="宋体" w:eastAsia="宋体"/>
          <w:color w:val="auto"/>
        </w:rPr>
        <w:t>.7为本项目提供过整体设计、规范编制或者项目管理、监理、检测等服务的供应商，不得再参加本项目的采购活动</w:t>
      </w:r>
      <w:bookmarkStart w:id="76" w:name="_Hlk13431092"/>
      <w:r>
        <w:rPr>
          <w:rFonts w:hint="eastAsia" w:ascii="宋体" w:hAnsi="宋体" w:eastAsia="宋体"/>
          <w:color w:val="auto"/>
        </w:rPr>
        <w:t>，</w:t>
      </w:r>
      <w:r>
        <w:rPr>
          <w:rFonts w:ascii="宋体" w:hAnsi="宋体" w:eastAsia="宋体"/>
          <w:color w:val="auto"/>
        </w:rPr>
        <w:t>否则其投标将被认定为</w:t>
      </w:r>
      <w:r>
        <w:rPr>
          <w:rFonts w:ascii="宋体" w:hAnsi="宋体" w:eastAsia="宋体"/>
          <w:b/>
          <w:color w:val="auto"/>
        </w:rPr>
        <w:t>投标无效</w:t>
      </w:r>
      <w:r>
        <w:rPr>
          <w:rFonts w:ascii="宋体" w:hAnsi="宋体" w:eastAsia="宋体"/>
          <w:color w:val="auto"/>
        </w:rPr>
        <w:t>。</w:t>
      </w:r>
      <w:bookmarkEnd w:id="76"/>
    </w:p>
    <w:p w14:paraId="002D8FB8">
      <w:pPr>
        <w:spacing w:after="0" w:line="360" w:lineRule="auto"/>
        <w:ind w:firstLine="422"/>
        <w:rPr>
          <w:rFonts w:ascii="宋体" w:hAnsi="宋体" w:eastAsia="宋体"/>
          <w:b/>
          <w:color w:val="auto"/>
        </w:rPr>
      </w:pPr>
      <w:r>
        <w:rPr>
          <w:rFonts w:hint="eastAsia" w:ascii="宋体" w:hAnsi="宋体" w:eastAsia="宋体"/>
          <w:b/>
          <w:color w:val="auto"/>
        </w:rPr>
        <w:t>4</w:t>
      </w:r>
      <w:r>
        <w:rPr>
          <w:rFonts w:ascii="宋体" w:hAnsi="宋体" w:eastAsia="宋体"/>
          <w:b/>
          <w:color w:val="auto"/>
        </w:rPr>
        <w:t>.</w:t>
      </w:r>
      <w:r>
        <w:rPr>
          <w:rFonts w:hint="eastAsia" w:ascii="宋体" w:hAnsi="宋体" w:eastAsia="宋体"/>
          <w:b/>
          <w:color w:val="auto"/>
        </w:rPr>
        <w:t>资金来源</w:t>
      </w:r>
    </w:p>
    <w:p w14:paraId="6EEF2649">
      <w:pPr>
        <w:spacing w:after="0" w:line="360" w:lineRule="auto"/>
        <w:ind w:firstLine="420"/>
        <w:rPr>
          <w:rFonts w:ascii="宋体" w:hAnsi="宋体" w:eastAsia="宋体"/>
          <w:color w:val="auto"/>
        </w:rPr>
      </w:pPr>
      <w:r>
        <w:rPr>
          <w:rFonts w:hint="eastAsia" w:ascii="宋体" w:hAnsi="宋体" w:eastAsia="宋体"/>
          <w:color w:val="auto"/>
        </w:rPr>
        <w:t>4</w:t>
      </w:r>
      <w:r>
        <w:rPr>
          <w:rFonts w:ascii="宋体" w:hAnsi="宋体" w:eastAsia="宋体"/>
          <w:color w:val="auto"/>
        </w:rPr>
        <w:t>.1</w:t>
      </w:r>
      <w:r>
        <w:rPr>
          <w:rFonts w:hint="eastAsia" w:ascii="宋体" w:hAnsi="宋体" w:eastAsia="宋体"/>
          <w:color w:val="auto"/>
        </w:rPr>
        <w:t>本项目的采购人已获得足以支付本次招标后所签订的合同项下的资金。</w:t>
      </w:r>
    </w:p>
    <w:p w14:paraId="679CB14F">
      <w:pPr>
        <w:spacing w:after="0" w:line="360" w:lineRule="auto"/>
        <w:ind w:firstLine="420"/>
        <w:rPr>
          <w:rFonts w:ascii="宋体" w:hAnsi="宋体" w:eastAsia="宋体"/>
          <w:color w:val="auto"/>
        </w:rPr>
      </w:pPr>
      <w:bookmarkStart w:id="77" w:name="_Hlk11702998"/>
      <w:r>
        <w:rPr>
          <w:rFonts w:hint="eastAsia" w:ascii="宋体" w:hAnsi="宋体" w:eastAsia="宋体"/>
          <w:color w:val="auto"/>
        </w:rPr>
        <w:t>4.2项目预算金额和最高限价见</w:t>
      </w:r>
      <w:r>
        <w:rPr>
          <w:rFonts w:hint="eastAsia" w:ascii="宋体" w:hAnsi="宋体" w:eastAsia="宋体"/>
          <w:bCs/>
          <w:color w:val="auto"/>
          <w:kern w:val="0"/>
          <w:u w:val="single"/>
        </w:rPr>
        <w:t>招标公告（投标邀请）</w:t>
      </w:r>
      <w:r>
        <w:rPr>
          <w:rFonts w:hint="eastAsia" w:ascii="宋体" w:hAnsi="宋体" w:eastAsia="宋体"/>
          <w:color w:val="auto"/>
        </w:rPr>
        <w:t>。</w:t>
      </w:r>
    </w:p>
    <w:bookmarkEnd w:id="77"/>
    <w:p w14:paraId="014B166B">
      <w:pPr>
        <w:spacing w:after="0" w:line="360" w:lineRule="auto"/>
        <w:ind w:firstLine="422" w:firstLineChars="200"/>
        <w:jc w:val="left"/>
        <w:rPr>
          <w:rFonts w:ascii="宋体" w:hAnsi="宋体" w:eastAsia="宋体"/>
          <w:b/>
          <w:color w:val="auto"/>
        </w:rPr>
      </w:pPr>
      <w:r>
        <w:rPr>
          <w:rFonts w:hint="eastAsia" w:ascii="宋体" w:hAnsi="宋体" w:eastAsia="宋体"/>
          <w:b/>
          <w:color w:val="auto"/>
        </w:rPr>
        <w:t>5.投标委托</w:t>
      </w:r>
    </w:p>
    <w:p w14:paraId="38A7BDDF">
      <w:pPr>
        <w:pStyle w:val="25"/>
        <w:widowControl w:val="0"/>
        <w:spacing w:after="0" w:afterLines="0" w:line="360" w:lineRule="auto"/>
        <w:ind w:firstLine="420"/>
        <w:rPr>
          <w:rFonts w:ascii="宋体" w:hAnsi="宋体" w:eastAsia="宋体"/>
          <w:color w:val="auto"/>
          <w:sz w:val="21"/>
          <w:szCs w:val="21"/>
        </w:rPr>
      </w:pPr>
      <w:r>
        <w:rPr>
          <w:rFonts w:hint="eastAsia" w:ascii="宋体" w:hAnsi="宋体" w:eastAsia="宋体"/>
          <w:color w:val="auto"/>
          <w:sz w:val="21"/>
          <w:szCs w:val="21"/>
        </w:rPr>
        <w:t>投标文件的签署人应当为投标人的法定代表人，并提供法定代表人身份证正反面复印件。如投标人的法定代表人委托他人签署投标文件办理投标事务的，提供投标人的</w:t>
      </w:r>
      <w:r>
        <w:rPr>
          <w:rFonts w:ascii="宋体" w:hAnsi="宋体" w:eastAsia="宋体"/>
          <w:color w:val="auto"/>
          <w:sz w:val="21"/>
          <w:szCs w:val="21"/>
        </w:rPr>
        <w:t>法定代表人出具的授权委托书</w:t>
      </w:r>
      <w:r>
        <w:rPr>
          <w:rFonts w:hint="eastAsia" w:ascii="宋体" w:hAnsi="宋体" w:eastAsia="宋体"/>
          <w:color w:val="auto"/>
          <w:sz w:val="21"/>
          <w:szCs w:val="21"/>
        </w:rPr>
        <w:t>及授权代表的身份证正反面复印件</w:t>
      </w:r>
      <w:r>
        <w:rPr>
          <w:rFonts w:ascii="宋体" w:hAnsi="宋体" w:eastAsia="宋体"/>
          <w:color w:val="auto"/>
          <w:sz w:val="21"/>
          <w:szCs w:val="21"/>
        </w:rPr>
        <w:t>。</w:t>
      </w:r>
    </w:p>
    <w:p w14:paraId="162BD3EE">
      <w:pPr>
        <w:pStyle w:val="25"/>
        <w:widowControl w:val="0"/>
        <w:spacing w:after="0" w:afterLines="0" w:line="360" w:lineRule="auto"/>
        <w:ind w:firstLine="420"/>
        <w:rPr>
          <w:rFonts w:ascii="宋体" w:hAnsi="宋体" w:eastAsia="宋体"/>
          <w:color w:val="auto"/>
          <w:sz w:val="21"/>
          <w:szCs w:val="21"/>
        </w:rPr>
      </w:pPr>
      <w:r>
        <w:rPr>
          <w:rFonts w:hint="eastAsia" w:ascii="宋体" w:hAnsi="宋体" w:eastAsia="宋体"/>
          <w:color w:val="auto"/>
          <w:sz w:val="21"/>
          <w:szCs w:val="21"/>
        </w:rPr>
        <w:t>法定代表人或其授权代表未在投标文件或投标资料中签署姓名的，不要求在投标文件中提供法定代表人的身份证或授权代表委托书及其附件。</w:t>
      </w:r>
    </w:p>
    <w:p w14:paraId="2A6E0E14">
      <w:pPr>
        <w:spacing w:after="0" w:line="360" w:lineRule="auto"/>
        <w:ind w:firstLine="422" w:firstLineChars="200"/>
        <w:jc w:val="left"/>
        <w:rPr>
          <w:rFonts w:ascii="宋体" w:hAnsi="宋体" w:eastAsia="宋体"/>
          <w:b/>
          <w:color w:val="auto"/>
        </w:rPr>
      </w:pPr>
      <w:r>
        <w:rPr>
          <w:rFonts w:hint="eastAsia" w:ascii="宋体" w:hAnsi="宋体" w:eastAsia="宋体"/>
          <w:b/>
          <w:color w:val="auto"/>
        </w:rPr>
        <w:t>6.投标费用</w:t>
      </w:r>
    </w:p>
    <w:p w14:paraId="5B1EED15">
      <w:pPr>
        <w:pStyle w:val="25"/>
        <w:widowControl w:val="0"/>
        <w:spacing w:after="0" w:afterLines="0" w:line="360" w:lineRule="auto"/>
        <w:ind w:firstLine="420"/>
        <w:rPr>
          <w:rFonts w:ascii="宋体" w:hAnsi="宋体" w:eastAsia="宋体"/>
          <w:color w:val="auto"/>
          <w:sz w:val="21"/>
          <w:szCs w:val="21"/>
        </w:rPr>
      </w:pPr>
      <w:r>
        <w:rPr>
          <w:rFonts w:hint="eastAsia" w:ascii="宋体" w:hAnsi="宋体" w:eastAsia="宋体"/>
          <w:color w:val="auto"/>
          <w:sz w:val="21"/>
          <w:szCs w:val="21"/>
        </w:rPr>
        <w:t>不论投标的结果如何，投标人自行承担所有与准备和参加投标有关的费用。</w:t>
      </w:r>
    </w:p>
    <w:p w14:paraId="4C7A13F9">
      <w:pPr>
        <w:spacing w:after="0" w:line="360" w:lineRule="auto"/>
        <w:ind w:firstLine="422" w:firstLineChars="200"/>
        <w:jc w:val="left"/>
        <w:rPr>
          <w:rFonts w:ascii="宋体" w:hAnsi="宋体" w:eastAsia="宋体"/>
          <w:b/>
          <w:color w:val="auto"/>
        </w:rPr>
      </w:pPr>
      <w:r>
        <w:rPr>
          <w:rFonts w:hint="eastAsia" w:ascii="宋体" w:hAnsi="宋体" w:eastAsia="宋体"/>
          <w:b/>
          <w:color w:val="auto"/>
        </w:rPr>
        <w:t>7</w:t>
      </w:r>
      <w:r>
        <w:rPr>
          <w:rFonts w:ascii="宋体" w:hAnsi="宋体" w:eastAsia="宋体"/>
          <w:b/>
          <w:color w:val="auto"/>
        </w:rPr>
        <w:t>.</w:t>
      </w:r>
      <w:r>
        <w:rPr>
          <w:rFonts w:hint="eastAsia" w:ascii="宋体" w:hAnsi="宋体" w:eastAsia="宋体"/>
          <w:b/>
          <w:color w:val="auto"/>
        </w:rPr>
        <w:t>适用法律</w:t>
      </w:r>
    </w:p>
    <w:p w14:paraId="025D0D07">
      <w:pPr>
        <w:pStyle w:val="25"/>
        <w:widowControl w:val="0"/>
        <w:spacing w:after="0" w:afterLines="0" w:line="360" w:lineRule="auto"/>
        <w:ind w:firstLine="420"/>
        <w:rPr>
          <w:rFonts w:ascii="宋体" w:hAnsi="宋体" w:eastAsia="宋体"/>
          <w:color w:val="auto"/>
          <w:sz w:val="21"/>
          <w:szCs w:val="21"/>
        </w:rPr>
      </w:pPr>
      <w:r>
        <w:rPr>
          <w:rFonts w:hint="eastAsia" w:ascii="宋体" w:hAnsi="宋体" w:eastAsia="宋体"/>
          <w:color w:val="auto"/>
          <w:sz w:val="21"/>
          <w:szCs w:val="21"/>
        </w:rPr>
        <w:t>本项目采购人、采购代理机构、投标人、评标委员会的相关行为均受《中华人民共和国政府采购法》《中华人民共和国政府采购法实施条例》《政府采购货物和服务招标投标管理办法》《中华人民共和国民法典》等法律法规的约束，其权利亦受到上述法律法规的保护。</w:t>
      </w:r>
    </w:p>
    <w:p w14:paraId="46C989A7">
      <w:pPr>
        <w:spacing w:after="0" w:line="360" w:lineRule="auto"/>
        <w:ind w:firstLine="422" w:firstLineChars="200"/>
        <w:rPr>
          <w:rFonts w:ascii="宋体" w:hAnsi="宋体" w:eastAsia="宋体"/>
          <w:b/>
          <w:color w:val="auto"/>
        </w:rPr>
      </w:pPr>
      <w:r>
        <w:rPr>
          <w:rFonts w:hint="eastAsia" w:ascii="宋体" w:hAnsi="宋体" w:eastAsia="宋体"/>
          <w:b/>
          <w:color w:val="auto"/>
        </w:rPr>
        <w:t>8.知识产权</w:t>
      </w:r>
    </w:p>
    <w:p w14:paraId="3CB2A9C8">
      <w:pPr>
        <w:pStyle w:val="8"/>
        <w:snapToGrid w:val="0"/>
        <w:spacing w:beforeLines="0" w:after="0" w:afterLines="0" w:line="360" w:lineRule="auto"/>
        <w:ind w:firstLine="420" w:firstLineChars="200"/>
        <w:rPr>
          <w:rFonts w:hAnsi="宋体" w:eastAsia="宋体"/>
          <w:color w:val="auto"/>
          <w:sz w:val="21"/>
        </w:rPr>
      </w:pPr>
      <w:r>
        <w:rPr>
          <w:rFonts w:hAnsi="宋体" w:eastAsia="宋体"/>
          <w:color w:val="auto"/>
          <w:sz w:val="21"/>
        </w:rPr>
        <w:t>投标人应保证在本项目使用的任何产品（包括部分使用），不会产生因第三方提出侵犯其</w:t>
      </w:r>
      <w:r>
        <w:rPr>
          <w:rFonts w:hint="eastAsia" w:hAnsi="宋体" w:eastAsia="宋体"/>
          <w:color w:val="auto"/>
          <w:sz w:val="21"/>
        </w:rPr>
        <w:t>著作权、</w:t>
      </w:r>
      <w:r>
        <w:rPr>
          <w:rFonts w:hAnsi="宋体" w:eastAsia="宋体"/>
          <w:color w:val="auto"/>
          <w:sz w:val="21"/>
        </w:rPr>
        <w:t>专利权、商标权</w:t>
      </w:r>
      <w:r>
        <w:rPr>
          <w:rFonts w:hint="eastAsia" w:hAnsi="宋体" w:eastAsia="宋体"/>
          <w:color w:val="auto"/>
          <w:sz w:val="21"/>
        </w:rPr>
        <w:t>等</w:t>
      </w:r>
      <w:r>
        <w:rPr>
          <w:rFonts w:hAnsi="宋体" w:eastAsia="宋体"/>
          <w:color w:val="auto"/>
          <w:sz w:val="21"/>
        </w:rPr>
        <w:t>知识产权而引起</w:t>
      </w:r>
      <w:r>
        <w:rPr>
          <w:rFonts w:hint="eastAsia" w:hAnsi="宋体" w:eastAsia="宋体"/>
          <w:color w:val="auto"/>
          <w:sz w:val="21"/>
        </w:rPr>
        <w:t>法律或经济纠纷。</w:t>
      </w:r>
      <w:r>
        <w:rPr>
          <w:rFonts w:hAnsi="宋体" w:eastAsia="宋体"/>
          <w:color w:val="auto"/>
          <w:sz w:val="21"/>
        </w:rPr>
        <w:t>如果任何第三方提出侵权</w:t>
      </w:r>
      <w:r>
        <w:rPr>
          <w:rFonts w:hint="eastAsia" w:hAnsi="宋体" w:eastAsia="宋体"/>
          <w:color w:val="auto"/>
          <w:sz w:val="21"/>
        </w:rPr>
        <w:t>指控，由投标人</w:t>
      </w:r>
      <w:r>
        <w:rPr>
          <w:rFonts w:hAnsi="宋体" w:eastAsia="宋体"/>
          <w:color w:val="auto"/>
          <w:sz w:val="21"/>
        </w:rPr>
        <w:t>与该第三方交涉并承担由此发生的一切责任、费用和赔偿</w:t>
      </w:r>
      <w:r>
        <w:rPr>
          <w:rFonts w:hint="eastAsia" w:hAnsi="宋体" w:eastAsia="宋体"/>
          <w:color w:val="auto"/>
          <w:sz w:val="21"/>
        </w:rPr>
        <w:t>。</w:t>
      </w:r>
    </w:p>
    <w:p w14:paraId="2D282D88">
      <w:pPr>
        <w:pStyle w:val="8"/>
        <w:snapToGrid w:val="0"/>
        <w:spacing w:beforeLines="0" w:after="0" w:afterLines="0" w:line="360" w:lineRule="auto"/>
        <w:ind w:firstLine="420" w:firstLineChars="200"/>
        <w:rPr>
          <w:rFonts w:hAnsi="宋体" w:eastAsia="宋体"/>
          <w:color w:val="auto"/>
          <w:sz w:val="21"/>
        </w:rPr>
      </w:pPr>
      <w:r>
        <w:rPr>
          <w:rFonts w:hint="eastAsia" w:hAnsi="宋体" w:eastAsia="宋体"/>
          <w:color w:val="auto"/>
          <w:sz w:val="21"/>
        </w:rPr>
        <w:t>投标人采用自身所不拥有的知识产权，无论是否在投标报价中单独列明，采购人均视为报价已包含投标人合法获取该知识产权的相关费用。</w:t>
      </w:r>
    </w:p>
    <w:p w14:paraId="79678601">
      <w:pPr>
        <w:spacing w:after="0" w:line="360" w:lineRule="auto"/>
        <w:ind w:firstLine="422" w:firstLineChars="200"/>
        <w:jc w:val="left"/>
        <w:rPr>
          <w:rFonts w:ascii="宋体" w:hAnsi="宋体" w:eastAsia="宋体"/>
          <w:b/>
          <w:color w:val="auto"/>
        </w:rPr>
      </w:pPr>
      <w:r>
        <w:rPr>
          <w:rFonts w:hint="eastAsia" w:ascii="宋体" w:hAnsi="宋体" w:eastAsia="宋体"/>
          <w:b/>
          <w:color w:val="auto"/>
        </w:rPr>
        <w:t>9.转包</w:t>
      </w:r>
    </w:p>
    <w:p w14:paraId="138CDF22">
      <w:pPr>
        <w:pStyle w:val="8"/>
        <w:snapToGrid w:val="0"/>
        <w:spacing w:beforeLines="0" w:after="0" w:afterLines="0" w:line="360" w:lineRule="auto"/>
        <w:ind w:firstLine="420" w:firstLineChars="200"/>
        <w:rPr>
          <w:rFonts w:hAnsi="宋体" w:eastAsia="宋体"/>
          <w:color w:val="auto"/>
          <w:sz w:val="21"/>
        </w:rPr>
      </w:pPr>
      <w:r>
        <w:rPr>
          <w:rFonts w:hAnsi="宋体" w:eastAsia="宋体"/>
          <w:color w:val="auto"/>
          <w:sz w:val="21"/>
        </w:rPr>
        <w:t>本项目不允许转包</w:t>
      </w:r>
      <w:r>
        <w:rPr>
          <w:rFonts w:hint="eastAsia" w:hAnsi="宋体" w:eastAsia="宋体"/>
          <w:color w:val="auto"/>
          <w:sz w:val="21"/>
        </w:rPr>
        <w:t>。</w:t>
      </w:r>
    </w:p>
    <w:p w14:paraId="1E58DE1D">
      <w:pPr>
        <w:spacing w:after="0" w:line="360" w:lineRule="auto"/>
        <w:ind w:firstLine="422" w:firstLineChars="200"/>
        <w:jc w:val="left"/>
        <w:rPr>
          <w:rFonts w:ascii="宋体" w:hAnsi="宋体" w:eastAsia="宋体"/>
          <w:b/>
          <w:color w:val="auto"/>
        </w:rPr>
      </w:pPr>
      <w:r>
        <w:rPr>
          <w:rFonts w:hint="eastAsia" w:ascii="宋体" w:hAnsi="宋体" w:eastAsia="宋体"/>
          <w:b/>
          <w:color w:val="auto"/>
        </w:rPr>
        <w:t>10.分包</w:t>
      </w:r>
    </w:p>
    <w:p w14:paraId="524DD24E">
      <w:pPr>
        <w:pStyle w:val="8"/>
        <w:snapToGrid w:val="0"/>
        <w:spacing w:beforeLines="0" w:after="0" w:afterLines="0" w:line="360" w:lineRule="auto"/>
        <w:ind w:firstLine="420" w:firstLineChars="200"/>
        <w:rPr>
          <w:rFonts w:hAnsi="宋体" w:eastAsia="宋体"/>
          <w:color w:val="auto"/>
          <w:sz w:val="21"/>
        </w:rPr>
      </w:pPr>
      <w:r>
        <w:rPr>
          <w:rFonts w:hint="eastAsia" w:hAnsi="宋体" w:eastAsia="宋体"/>
          <w:color w:val="auto"/>
          <w:sz w:val="21"/>
        </w:rPr>
        <w:t>本项目不允许分包。</w:t>
      </w:r>
    </w:p>
    <w:p w14:paraId="0E89D707">
      <w:pPr>
        <w:tabs>
          <w:tab w:val="left" w:pos="426"/>
        </w:tabs>
        <w:snapToGrid w:val="0"/>
        <w:spacing w:after="0" w:line="360" w:lineRule="auto"/>
        <w:ind w:firstLine="422" w:firstLineChars="200"/>
        <w:rPr>
          <w:rFonts w:ascii="宋体" w:hAnsi="宋体" w:eastAsia="宋体" w:cs="宋体"/>
          <w:b/>
          <w:color w:val="auto"/>
          <w:kern w:val="0"/>
        </w:rPr>
      </w:pPr>
      <w:r>
        <w:rPr>
          <w:rFonts w:hint="eastAsia" w:ascii="宋体" w:hAnsi="宋体" w:eastAsia="宋体" w:cs="宋体"/>
          <w:b/>
          <w:color w:val="auto"/>
          <w:kern w:val="0"/>
        </w:rPr>
        <w:t>11.</w:t>
      </w:r>
      <w:r>
        <w:rPr>
          <w:rFonts w:ascii="宋体" w:hAnsi="宋体" w:eastAsia="宋体" w:cs="宋体"/>
          <w:b/>
          <w:color w:val="auto"/>
          <w:kern w:val="0"/>
        </w:rPr>
        <w:t>质疑和投诉</w:t>
      </w:r>
    </w:p>
    <w:p w14:paraId="590ACF1B">
      <w:pPr>
        <w:pStyle w:val="8"/>
        <w:snapToGrid w:val="0"/>
        <w:spacing w:beforeLines="0" w:after="0" w:afterLines="0" w:line="360" w:lineRule="auto"/>
        <w:ind w:firstLine="420" w:firstLineChars="200"/>
        <w:rPr>
          <w:rFonts w:hAnsi="宋体" w:eastAsia="宋体"/>
          <w:color w:val="auto"/>
          <w:sz w:val="21"/>
        </w:rPr>
      </w:pPr>
      <w:r>
        <w:rPr>
          <w:rFonts w:hint="eastAsia" w:hAnsi="宋体" w:eastAsia="宋体"/>
          <w:color w:val="auto"/>
          <w:sz w:val="21"/>
        </w:rPr>
        <w:t>11.1供应商认为招标文件、招标过程和中标结果使自己的权益受到损害的，可以根据</w:t>
      </w:r>
      <w:r>
        <w:rPr>
          <w:rFonts w:hAnsi="宋体" w:eastAsia="宋体"/>
          <w:color w:val="auto"/>
          <w:sz w:val="21"/>
        </w:rPr>
        <w:t>《</w:t>
      </w:r>
      <w:r>
        <w:rPr>
          <w:rFonts w:hint="eastAsia" w:hAnsi="宋体" w:eastAsia="宋体"/>
          <w:color w:val="auto"/>
          <w:sz w:val="21"/>
        </w:rPr>
        <w:t>中华人民共和国政府</w:t>
      </w:r>
      <w:r>
        <w:rPr>
          <w:rFonts w:hAnsi="宋体" w:eastAsia="宋体"/>
          <w:color w:val="auto"/>
          <w:sz w:val="21"/>
        </w:rPr>
        <w:t>采购法》《</w:t>
      </w:r>
      <w:r>
        <w:rPr>
          <w:rFonts w:hint="eastAsia" w:hAnsi="宋体" w:eastAsia="宋体"/>
          <w:color w:val="auto"/>
          <w:sz w:val="21"/>
        </w:rPr>
        <w:t>中华人民共和国政府</w:t>
      </w:r>
      <w:r>
        <w:rPr>
          <w:rFonts w:hAnsi="宋体" w:eastAsia="宋体"/>
          <w:color w:val="auto"/>
          <w:sz w:val="21"/>
        </w:rPr>
        <w:t>采购法实施条例》</w:t>
      </w:r>
      <w:r>
        <w:rPr>
          <w:rFonts w:hint="eastAsia" w:hAnsi="宋体" w:eastAsia="宋体"/>
          <w:color w:val="auto"/>
          <w:sz w:val="21"/>
        </w:rPr>
        <w:t>和</w:t>
      </w:r>
      <w:r>
        <w:rPr>
          <w:rFonts w:hAnsi="宋体" w:eastAsia="宋体"/>
          <w:color w:val="auto"/>
          <w:sz w:val="21"/>
        </w:rPr>
        <w:t>《</w:t>
      </w:r>
      <w:r>
        <w:rPr>
          <w:rFonts w:hint="eastAsia" w:hAnsi="宋体" w:eastAsia="宋体"/>
          <w:color w:val="auto"/>
          <w:sz w:val="21"/>
        </w:rPr>
        <w:t>政府</w:t>
      </w:r>
      <w:r>
        <w:rPr>
          <w:rFonts w:hAnsi="宋体" w:eastAsia="宋体"/>
          <w:color w:val="auto"/>
          <w:sz w:val="21"/>
        </w:rPr>
        <w:t>采购质疑和投诉办法》</w:t>
      </w:r>
      <w:r>
        <w:rPr>
          <w:rFonts w:hint="eastAsia" w:hAnsi="宋体" w:eastAsia="宋体"/>
          <w:color w:val="auto"/>
          <w:sz w:val="21"/>
        </w:rPr>
        <w:t>的</w:t>
      </w:r>
      <w:r>
        <w:rPr>
          <w:rFonts w:hAnsi="宋体" w:eastAsia="宋体"/>
          <w:color w:val="auto"/>
          <w:sz w:val="21"/>
        </w:rPr>
        <w:t>有关规定，</w:t>
      </w:r>
      <w:r>
        <w:rPr>
          <w:rFonts w:hint="eastAsia" w:hAnsi="宋体" w:eastAsia="宋体"/>
          <w:color w:val="auto"/>
          <w:sz w:val="21"/>
        </w:rPr>
        <w:t>依法向采购人或采购代理机构提出质疑。</w:t>
      </w:r>
    </w:p>
    <w:p w14:paraId="0EB8150E">
      <w:pPr>
        <w:pStyle w:val="8"/>
        <w:snapToGrid w:val="0"/>
        <w:spacing w:beforeLines="0" w:after="0" w:afterLines="0" w:line="360" w:lineRule="auto"/>
        <w:ind w:firstLine="420" w:firstLineChars="200"/>
        <w:rPr>
          <w:rFonts w:hAnsi="宋体" w:eastAsia="宋体"/>
          <w:color w:val="auto"/>
          <w:sz w:val="21"/>
        </w:rPr>
      </w:pPr>
      <w:r>
        <w:rPr>
          <w:rFonts w:hint="eastAsia" w:hAnsi="宋体" w:eastAsia="宋体"/>
          <w:color w:val="auto"/>
          <w:sz w:val="21"/>
        </w:rPr>
        <w:t>11</w:t>
      </w:r>
      <w:r>
        <w:rPr>
          <w:rFonts w:hAnsi="宋体" w:eastAsia="宋体"/>
          <w:color w:val="auto"/>
          <w:sz w:val="21"/>
        </w:rPr>
        <w:t>.2</w:t>
      </w:r>
      <w:r>
        <w:rPr>
          <w:rFonts w:hint="eastAsia" w:hAnsi="宋体" w:eastAsia="宋体"/>
          <w:color w:val="auto"/>
          <w:sz w:val="21"/>
        </w:rPr>
        <w:t>供应商</w:t>
      </w:r>
      <w:r>
        <w:rPr>
          <w:rFonts w:hAnsi="宋体" w:eastAsia="宋体"/>
          <w:color w:val="auto"/>
          <w:sz w:val="21"/>
        </w:rPr>
        <w:t>应</w:t>
      </w:r>
      <w:r>
        <w:rPr>
          <w:rFonts w:hint="eastAsia" w:hAnsi="宋体" w:eastAsia="宋体"/>
          <w:color w:val="auto"/>
          <w:sz w:val="21"/>
        </w:rPr>
        <w:t>按</w:t>
      </w:r>
      <w:r>
        <w:rPr>
          <w:rFonts w:hAnsi="宋体" w:eastAsia="宋体"/>
          <w:color w:val="auto"/>
          <w:sz w:val="21"/>
        </w:rPr>
        <w:t>《</w:t>
      </w:r>
      <w:r>
        <w:rPr>
          <w:rFonts w:hint="eastAsia" w:hAnsi="宋体" w:eastAsia="宋体"/>
          <w:color w:val="auto"/>
          <w:sz w:val="21"/>
        </w:rPr>
        <w:t>政府</w:t>
      </w:r>
      <w:r>
        <w:rPr>
          <w:rFonts w:hAnsi="宋体" w:eastAsia="宋体"/>
          <w:color w:val="auto"/>
          <w:sz w:val="21"/>
        </w:rPr>
        <w:t>采购质疑和投诉办法》的要求</w:t>
      </w:r>
      <w:r>
        <w:rPr>
          <w:rFonts w:hint="eastAsia" w:hAnsi="宋体" w:eastAsia="宋体"/>
          <w:color w:val="auto"/>
          <w:sz w:val="21"/>
        </w:rPr>
        <w:t>，</w:t>
      </w:r>
      <w:r>
        <w:rPr>
          <w:rFonts w:hAnsi="宋体" w:eastAsia="宋体"/>
          <w:color w:val="auto"/>
          <w:sz w:val="21"/>
        </w:rPr>
        <w:t>在法定质疑期内</w:t>
      </w:r>
      <w:r>
        <w:rPr>
          <w:rFonts w:hint="eastAsia" w:hAnsi="宋体" w:eastAsia="宋体"/>
          <w:color w:val="auto"/>
          <w:sz w:val="21"/>
        </w:rPr>
        <w:t>以书面形式</w:t>
      </w:r>
      <w:r>
        <w:rPr>
          <w:rFonts w:hAnsi="宋体" w:eastAsia="宋体"/>
          <w:color w:val="auto"/>
          <w:sz w:val="21"/>
        </w:rPr>
        <w:t>提出质疑</w:t>
      </w:r>
      <w:r>
        <w:rPr>
          <w:rFonts w:hint="eastAsia" w:hAnsi="宋体" w:eastAsia="宋体"/>
          <w:color w:val="auto"/>
          <w:sz w:val="21"/>
        </w:rPr>
        <w:t>，超出法定质疑期提交的质疑将被拒绝，针对同一采购程序环节的质疑应一次性提出。</w:t>
      </w:r>
    </w:p>
    <w:p w14:paraId="470C702F">
      <w:pPr>
        <w:pStyle w:val="8"/>
        <w:snapToGrid w:val="0"/>
        <w:spacing w:beforeLines="0" w:after="0" w:afterLines="0" w:line="360" w:lineRule="auto"/>
        <w:ind w:firstLine="420" w:firstLineChars="200"/>
        <w:rPr>
          <w:rFonts w:hAnsi="宋体" w:eastAsia="宋体"/>
          <w:color w:val="auto"/>
          <w:sz w:val="21"/>
        </w:rPr>
      </w:pPr>
      <w:r>
        <w:rPr>
          <w:rFonts w:hint="eastAsia" w:hAnsi="宋体" w:eastAsia="宋体"/>
          <w:color w:val="auto"/>
          <w:sz w:val="21"/>
        </w:rPr>
        <w:t>11.3采购代理机构的质疑函接收部门、联系电话和通讯地址</w:t>
      </w:r>
      <w:r>
        <w:rPr>
          <w:rFonts w:hint="eastAsia" w:hAnsi="宋体" w:eastAsia="宋体"/>
          <w:color w:val="auto"/>
          <w:sz w:val="21"/>
          <w:u w:val="single"/>
        </w:rPr>
        <w:t>详见投标人须知前附表</w:t>
      </w:r>
      <w:r>
        <w:rPr>
          <w:rFonts w:hint="eastAsia" w:hAnsi="宋体" w:eastAsia="宋体"/>
          <w:color w:val="auto"/>
          <w:sz w:val="21"/>
        </w:rPr>
        <w:t>。</w:t>
      </w:r>
    </w:p>
    <w:p w14:paraId="43389A75">
      <w:pPr>
        <w:pStyle w:val="8"/>
        <w:snapToGrid w:val="0"/>
        <w:spacing w:beforeLines="0" w:after="0" w:afterLines="0" w:line="360" w:lineRule="auto"/>
        <w:ind w:firstLine="420" w:firstLineChars="200"/>
        <w:rPr>
          <w:rFonts w:hAnsi="宋体" w:eastAsia="宋体"/>
          <w:color w:val="auto"/>
          <w:sz w:val="21"/>
        </w:rPr>
      </w:pPr>
      <w:r>
        <w:rPr>
          <w:rFonts w:hint="eastAsia" w:hAnsi="宋体" w:eastAsia="宋体"/>
          <w:color w:val="auto"/>
          <w:sz w:val="21"/>
        </w:rPr>
        <w:t>11.4质疑供应商对采购人、采购代理机构的答复不满意，或者采购人、采购代理机构未在规定时间内作出答复，可以在答复期满后15个工作日内向财政部门提起投诉，财政部门信息详见</w:t>
      </w:r>
      <w:r>
        <w:rPr>
          <w:rFonts w:hint="eastAsia" w:hAnsi="宋体" w:eastAsia="宋体"/>
          <w:color w:val="auto"/>
          <w:sz w:val="21"/>
          <w:u w:val="single"/>
        </w:rPr>
        <w:t>招标公告（投标邀请）</w:t>
      </w:r>
      <w:r>
        <w:rPr>
          <w:rFonts w:hint="eastAsia" w:hAnsi="宋体" w:eastAsia="宋体"/>
          <w:color w:val="auto"/>
          <w:sz w:val="21"/>
        </w:rPr>
        <w:t>。</w:t>
      </w:r>
    </w:p>
    <w:p w14:paraId="6D8A5D1B">
      <w:pPr>
        <w:spacing w:after="0" w:line="360" w:lineRule="auto"/>
        <w:ind w:firstLine="422" w:firstLineChars="200"/>
        <w:rPr>
          <w:rFonts w:ascii="宋体" w:hAnsi="宋体" w:eastAsia="宋体"/>
          <w:b/>
          <w:color w:val="auto"/>
        </w:rPr>
      </w:pPr>
      <w:r>
        <w:rPr>
          <w:rFonts w:hint="eastAsia" w:ascii="宋体" w:hAnsi="宋体" w:eastAsia="宋体"/>
          <w:b/>
          <w:color w:val="auto"/>
        </w:rPr>
        <w:t>12.投标人信用记录查询及使用</w:t>
      </w:r>
    </w:p>
    <w:p w14:paraId="7022D682">
      <w:pPr>
        <w:pStyle w:val="7"/>
        <w:snapToGrid w:val="0"/>
        <w:spacing w:after="0" w:line="360" w:lineRule="auto"/>
        <w:ind w:left="0" w:leftChars="0" w:firstLine="420" w:firstLineChars="200"/>
        <w:jc w:val="left"/>
        <w:rPr>
          <w:rFonts w:ascii="宋体" w:hAnsi="宋体" w:eastAsia="宋体"/>
          <w:color w:val="auto"/>
          <w:sz w:val="21"/>
        </w:rPr>
      </w:pPr>
      <w:r>
        <w:rPr>
          <w:rFonts w:hint="eastAsia" w:ascii="宋体" w:hAnsi="宋体" w:eastAsia="宋体"/>
          <w:color w:val="auto"/>
          <w:sz w:val="21"/>
        </w:rPr>
        <w:t>12.1</w:t>
      </w:r>
      <w:r>
        <w:rPr>
          <w:rFonts w:ascii="宋体" w:hAnsi="宋体" w:eastAsia="宋体"/>
          <w:color w:val="auto"/>
          <w:sz w:val="21"/>
        </w:rPr>
        <w:t>信用信息查询渠道</w:t>
      </w:r>
      <w:r>
        <w:rPr>
          <w:rFonts w:hint="eastAsia" w:ascii="宋体" w:hAnsi="宋体" w:eastAsia="宋体"/>
          <w:color w:val="auto"/>
          <w:sz w:val="21"/>
        </w:rPr>
        <w:t>：“信用中国”网站（www.creditchina.gov.cn）、中国政府采购网（www.ccgp.gov.cn）。</w:t>
      </w:r>
    </w:p>
    <w:p w14:paraId="038C2341">
      <w:pPr>
        <w:pStyle w:val="7"/>
        <w:snapToGrid w:val="0"/>
        <w:spacing w:after="0" w:line="360" w:lineRule="auto"/>
        <w:ind w:left="0" w:leftChars="0" w:firstLine="420" w:firstLineChars="200"/>
        <w:jc w:val="left"/>
        <w:rPr>
          <w:rFonts w:ascii="宋体" w:hAnsi="宋体" w:eastAsia="宋体"/>
          <w:color w:val="auto"/>
          <w:sz w:val="21"/>
        </w:rPr>
      </w:pPr>
      <w:r>
        <w:rPr>
          <w:rFonts w:hint="eastAsia" w:ascii="宋体" w:hAnsi="宋体" w:eastAsia="宋体"/>
          <w:color w:val="auto"/>
          <w:sz w:val="21"/>
        </w:rPr>
        <w:t>12.2</w:t>
      </w:r>
      <w:r>
        <w:rPr>
          <w:rFonts w:ascii="宋体" w:hAnsi="宋体" w:eastAsia="宋体"/>
          <w:color w:val="auto"/>
          <w:sz w:val="21"/>
        </w:rPr>
        <w:t>信用信息查询截止时点</w:t>
      </w:r>
      <w:r>
        <w:rPr>
          <w:rFonts w:hint="eastAsia" w:ascii="宋体" w:hAnsi="宋体" w:eastAsia="宋体"/>
          <w:color w:val="auto"/>
          <w:sz w:val="21"/>
        </w:rPr>
        <w:t>：投标截止时间后至评审结束前。</w:t>
      </w:r>
    </w:p>
    <w:p w14:paraId="323128FD">
      <w:pPr>
        <w:pStyle w:val="7"/>
        <w:snapToGrid w:val="0"/>
        <w:spacing w:after="0" w:line="360" w:lineRule="auto"/>
        <w:ind w:left="0" w:leftChars="0" w:firstLine="420" w:firstLineChars="200"/>
        <w:jc w:val="left"/>
        <w:rPr>
          <w:rFonts w:ascii="宋体" w:hAnsi="宋体" w:eastAsia="宋体"/>
          <w:color w:val="auto"/>
          <w:sz w:val="21"/>
        </w:rPr>
      </w:pPr>
      <w:r>
        <w:rPr>
          <w:rFonts w:hint="eastAsia" w:ascii="宋体" w:hAnsi="宋体" w:eastAsia="宋体"/>
          <w:color w:val="auto"/>
          <w:sz w:val="21"/>
        </w:rPr>
        <w:t>12.3</w:t>
      </w:r>
      <w:r>
        <w:rPr>
          <w:rFonts w:ascii="宋体" w:hAnsi="宋体" w:eastAsia="宋体"/>
          <w:color w:val="auto"/>
          <w:sz w:val="21"/>
        </w:rPr>
        <w:t>信用信息查询记录和证据留存的具体方式</w:t>
      </w:r>
      <w:r>
        <w:rPr>
          <w:rFonts w:hint="eastAsia" w:ascii="宋体" w:hAnsi="宋体" w:eastAsia="宋体"/>
          <w:color w:val="auto"/>
          <w:sz w:val="21"/>
        </w:rPr>
        <w:t>：由</w:t>
      </w:r>
      <w:r>
        <w:rPr>
          <w:rFonts w:ascii="宋体" w:hAnsi="宋体" w:eastAsia="宋体"/>
          <w:color w:val="auto"/>
          <w:sz w:val="21"/>
        </w:rPr>
        <w:t>采购代理机构</w:t>
      </w:r>
      <w:r>
        <w:rPr>
          <w:rFonts w:hint="eastAsia" w:ascii="宋体" w:hAnsi="宋体" w:eastAsia="宋体"/>
          <w:color w:val="auto"/>
          <w:sz w:val="21"/>
        </w:rPr>
        <w:t>工作人员将查询网页打印并与其他采购文件一并存档备查。</w:t>
      </w:r>
    </w:p>
    <w:p w14:paraId="22FE4A7A">
      <w:pPr>
        <w:pStyle w:val="7"/>
        <w:snapToGrid w:val="0"/>
        <w:spacing w:after="0" w:line="360" w:lineRule="auto"/>
        <w:ind w:left="0" w:leftChars="0" w:firstLine="420" w:firstLineChars="200"/>
        <w:jc w:val="left"/>
        <w:rPr>
          <w:rFonts w:ascii="宋体" w:hAnsi="宋体" w:eastAsia="宋体"/>
          <w:color w:val="auto"/>
          <w:sz w:val="21"/>
        </w:rPr>
      </w:pPr>
      <w:r>
        <w:rPr>
          <w:rFonts w:hint="eastAsia" w:ascii="宋体" w:hAnsi="宋体" w:eastAsia="宋体"/>
          <w:color w:val="auto"/>
          <w:sz w:val="21"/>
        </w:rPr>
        <w:t>投标人不良信用记录以</w:t>
      </w:r>
      <w:r>
        <w:rPr>
          <w:rFonts w:ascii="宋体" w:hAnsi="宋体" w:eastAsia="宋体"/>
          <w:color w:val="auto"/>
          <w:sz w:val="21"/>
        </w:rPr>
        <w:t>采购代理机构</w:t>
      </w:r>
      <w:r>
        <w:rPr>
          <w:rFonts w:hint="eastAsia" w:ascii="宋体" w:hAnsi="宋体" w:eastAsia="宋体"/>
          <w:color w:val="auto"/>
          <w:sz w:val="21"/>
        </w:rPr>
        <w:t>查询结果为准。</w:t>
      </w:r>
      <w:bookmarkStart w:id="78" w:name="_Hlk24663338"/>
      <w:r>
        <w:rPr>
          <w:rFonts w:hint="eastAsia" w:ascii="宋体" w:hAnsi="宋体" w:eastAsia="宋体"/>
          <w:color w:val="auto"/>
          <w:sz w:val="21"/>
        </w:rPr>
        <w:t>在</w:t>
      </w:r>
      <w:r>
        <w:rPr>
          <w:rFonts w:ascii="宋体" w:hAnsi="宋体" w:eastAsia="宋体"/>
          <w:color w:val="auto"/>
          <w:sz w:val="21"/>
        </w:rPr>
        <w:t>招标文件规定</w:t>
      </w:r>
      <w:r>
        <w:rPr>
          <w:rFonts w:hint="eastAsia" w:ascii="宋体" w:hAnsi="宋体" w:eastAsia="宋体"/>
          <w:color w:val="auto"/>
          <w:sz w:val="21"/>
        </w:rPr>
        <w:t>的查询时间之外，网站信息发生的任何变更均不作为资格审查依据</w:t>
      </w:r>
      <w:bookmarkEnd w:id="78"/>
      <w:r>
        <w:rPr>
          <w:rFonts w:hint="eastAsia" w:ascii="宋体" w:hAnsi="宋体" w:eastAsia="宋体"/>
          <w:color w:val="auto"/>
          <w:sz w:val="21"/>
        </w:rPr>
        <w:t>，投标人自行提供的网站查询结果材料亦不作为资格审查依据。</w:t>
      </w:r>
    </w:p>
    <w:p w14:paraId="107BF8A0">
      <w:pPr>
        <w:pStyle w:val="7"/>
        <w:snapToGrid w:val="0"/>
        <w:spacing w:after="0" w:line="360" w:lineRule="auto"/>
        <w:ind w:left="0" w:leftChars="0" w:firstLine="420" w:firstLineChars="200"/>
        <w:jc w:val="left"/>
        <w:rPr>
          <w:rFonts w:ascii="宋体" w:hAnsi="宋体" w:eastAsia="宋体"/>
          <w:color w:val="auto"/>
          <w:sz w:val="21"/>
        </w:rPr>
      </w:pPr>
      <w:r>
        <w:rPr>
          <w:rFonts w:hint="eastAsia" w:ascii="宋体" w:hAnsi="宋体" w:eastAsia="宋体"/>
          <w:color w:val="auto"/>
          <w:sz w:val="21"/>
        </w:rPr>
        <w:t>12.4</w:t>
      </w:r>
      <w:r>
        <w:rPr>
          <w:rFonts w:ascii="宋体" w:hAnsi="宋体" w:eastAsia="宋体"/>
          <w:color w:val="auto"/>
          <w:sz w:val="21"/>
        </w:rPr>
        <w:t>信用信息的使用规则</w:t>
      </w:r>
      <w:r>
        <w:rPr>
          <w:rFonts w:hint="eastAsia" w:ascii="宋体" w:hAnsi="宋体" w:eastAsia="宋体"/>
          <w:color w:val="auto"/>
          <w:sz w:val="21"/>
        </w:rPr>
        <w:t>：投标人（联合体成员）存在招标文件明确的不良信用记录的，其投标将被认定为</w:t>
      </w:r>
      <w:r>
        <w:rPr>
          <w:rFonts w:hint="eastAsia" w:ascii="宋体" w:hAnsi="宋体" w:eastAsia="宋体"/>
          <w:b/>
          <w:color w:val="auto"/>
          <w:sz w:val="21"/>
        </w:rPr>
        <w:t>投标无效</w:t>
      </w:r>
      <w:r>
        <w:rPr>
          <w:rFonts w:hint="eastAsia" w:ascii="宋体" w:hAnsi="宋体" w:eastAsia="宋体"/>
          <w:color w:val="auto"/>
          <w:sz w:val="21"/>
        </w:rPr>
        <w:t>。</w:t>
      </w:r>
    </w:p>
    <w:p w14:paraId="7EFDBE7B">
      <w:pPr>
        <w:spacing w:after="0" w:line="360" w:lineRule="auto"/>
        <w:ind w:firstLine="422" w:firstLineChars="200"/>
        <w:jc w:val="left"/>
        <w:rPr>
          <w:rFonts w:ascii="宋体" w:hAnsi="宋体" w:eastAsia="宋体"/>
          <w:color w:val="auto"/>
        </w:rPr>
      </w:pPr>
      <w:r>
        <w:rPr>
          <w:rFonts w:hint="eastAsia" w:ascii="宋体" w:hAnsi="宋体" w:eastAsia="宋体"/>
          <w:b/>
          <w:color w:val="auto"/>
        </w:rPr>
        <w:t>13.政府采购信息发布媒体</w:t>
      </w:r>
    </w:p>
    <w:p w14:paraId="678162E7">
      <w:pPr>
        <w:pStyle w:val="7"/>
        <w:snapToGrid w:val="0"/>
        <w:spacing w:after="0" w:line="360" w:lineRule="auto"/>
        <w:ind w:left="0" w:leftChars="0" w:firstLine="420" w:firstLineChars="200"/>
        <w:rPr>
          <w:rFonts w:ascii="宋体" w:hAnsi="宋体" w:eastAsia="宋体"/>
          <w:color w:val="auto"/>
          <w:sz w:val="21"/>
        </w:rPr>
      </w:pPr>
      <w:r>
        <w:rPr>
          <w:rFonts w:hint="eastAsia" w:ascii="宋体" w:hAnsi="宋体" w:eastAsia="宋体"/>
          <w:color w:val="auto"/>
          <w:sz w:val="21"/>
        </w:rPr>
        <w:t>本项目政府采购信息发布在</w:t>
      </w:r>
      <w:r>
        <w:rPr>
          <w:rFonts w:hint="eastAsia" w:ascii="宋体" w:hAnsi="宋体" w:eastAsia="宋体"/>
          <w:bCs/>
          <w:color w:val="auto"/>
          <w:sz w:val="21"/>
        </w:rPr>
        <w:t>宁波政府采购网（</w:t>
      </w:r>
      <w:r>
        <w:rPr>
          <w:rFonts w:ascii="宋体" w:hAnsi="宋体" w:eastAsia="宋体"/>
          <w:bCs/>
          <w:color w:val="auto"/>
          <w:sz w:val="21"/>
        </w:rPr>
        <w:t>http：//www.nbzfcg.cn/</w:t>
      </w:r>
      <w:r>
        <w:rPr>
          <w:rFonts w:hint="eastAsia" w:ascii="宋体" w:hAnsi="宋体" w:eastAsia="宋体"/>
          <w:bCs/>
          <w:color w:val="auto"/>
          <w:sz w:val="21"/>
        </w:rPr>
        <w:t>）、浙江政府采购网（</w:t>
      </w:r>
      <w:r>
        <w:rPr>
          <w:rFonts w:ascii="宋体" w:hAnsi="宋体" w:eastAsia="宋体"/>
          <w:bCs/>
          <w:color w:val="auto"/>
          <w:sz w:val="21"/>
        </w:rPr>
        <w:t>https：//zfcg.czt.zj.gov.cn/</w:t>
      </w:r>
      <w:r>
        <w:rPr>
          <w:rFonts w:hint="eastAsia" w:ascii="宋体" w:hAnsi="宋体" w:eastAsia="宋体"/>
          <w:bCs/>
          <w:color w:val="auto"/>
          <w:sz w:val="21"/>
        </w:rPr>
        <w:t>）。</w:t>
      </w:r>
    </w:p>
    <w:p w14:paraId="69BC193F">
      <w:pPr>
        <w:spacing w:after="0" w:line="360" w:lineRule="auto"/>
        <w:ind w:firstLine="422" w:firstLineChars="200"/>
        <w:jc w:val="left"/>
        <w:rPr>
          <w:rFonts w:ascii="宋体" w:hAnsi="宋体" w:eastAsia="宋体"/>
          <w:b/>
          <w:color w:val="auto"/>
        </w:rPr>
      </w:pPr>
      <w:r>
        <w:rPr>
          <w:rFonts w:hint="eastAsia" w:ascii="宋体" w:hAnsi="宋体" w:eastAsia="宋体"/>
          <w:b/>
          <w:color w:val="auto"/>
        </w:rPr>
        <w:t>14.</w:t>
      </w:r>
      <w:r>
        <w:rPr>
          <w:rFonts w:ascii="宋体" w:hAnsi="宋体" w:eastAsia="宋体"/>
          <w:b/>
          <w:color w:val="auto"/>
        </w:rPr>
        <w:t>采购代理</w:t>
      </w:r>
      <w:r>
        <w:rPr>
          <w:rFonts w:hint="eastAsia" w:ascii="宋体" w:hAnsi="宋体" w:eastAsia="宋体"/>
          <w:b/>
          <w:color w:val="auto"/>
        </w:rPr>
        <w:t>服务</w:t>
      </w:r>
      <w:r>
        <w:rPr>
          <w:rFonts w:ascii="宋体" w:hAnsi="宋体" w:eastAsia="宋体"/>
          <w:b/>
          <w:color w:val="auto"/>
        </w:rPr>
        <w:t>费用的收取标准和方式</w:t>
      </w:r>
    </w:p>
    <w:p w14:paraId="70218437">
      <w:pPr>
        <w:pStyle w:val="7"/>
        <w:snapToGrid w:val="0"/>
        <w:spacing w:after="0" w:line="360" w:lineRule="auto"/>
        <w:ind w:left="0" w:leftChars="0" w:firstLine="420" w:firstLineChars="200"/>
        <w:jc w:val="left"/>
        <w:rPr>
          <w:rFonts w:ascii="宋体" w:hAnsi="宋体" w:eastAsia="宋体"/>
          <w:color w:val="auto"/>
          <w:sz w:val="21"/>
        </w:rPr>
      </w:pPr>
      <w:r>
        <w:rPr>
          <w:rFonts w:hint="eastAsia" w:ascii="宋体" w:hAnsi="宋体" w:eastAsia="宋体"/>
          <w:color w:val="auto"/>
          <w:sz w:val="21"/>
        </w:rPr>
        <w:t>14.1</w:t>
      </w:r>
      <w:r>
        <w:rPr>
          <w:rFonts w:ascii="宋体" w:hAnsi="宋体" w:eastAsia="宋体"/>
          <w:color w:val="auto"/>
          <w:sz w:val="21"/>
        </w:rPr>
        <w:t>采购</w:t>
      </w:r>
      <w:r>
        <w:rPr>
          <w:rFonts w:hint="eastAsia" w:ascii="宋体" w:hAnsi="宋体" w:eastAsia="宋体"/>
          <w:color w:val="auto"/>
          <w:sz w:val="21"/>
        </w:rPr>
        <w:t>代理服务费用的收取标准：见</w:t>
      </w:r>
      <w:r>
        <w:rPr>
          <w:rFonts w:hint="eastAsia" w:ascii="宋体" w:hAnsi="宋体" w:eastAsia="宋体"/>
          <w:color w:val="auto"/>
          <w:sz w:val="21"/>
          <w:u w:val="single"/>
        </w:rPr>
        <w:t>投标人须知前附表</w:t>
      </w:r>
      <w:r>
        <w:rPr>
          <w:rFonts w:hint="eastAsia" w:ascii="宋体" w:hAnsi="宋体" w:eastAsia="宋体"/>
          <w:color w:val="auto"/>
          <w:sz w:val="21"/>
        </w:rPr>
        <w:t>。</w:t>
      </w:r>
    </w:p>
    <w:p w14:paraId="50DA1542">
      <w:pPr>
        <w:pStyle w:val="7"/>
        <w:snapToGrid w:val="0"/>
        <w:spacing w:after="0" w:line="360" w:lineRule="auto"/>
        <w:ind w:left="0" w:leftChars="0" w:firstLine="420" w:firstLineChars="200"/>
        <w:jc w:val="left"/>
        <w:rPr>
          <w:rFonts w:ascii="宋体" w:hAnsi="宋体" w:eastAsia="宋体"/>
          <w:color w:val="auto"/>
          <w:sz w:val="21"/>
        </w:rPr>
      </w:pPr>
      <w:r>
        <w:rPr>
          <w:rFonts w:hint="eastAsia" w:ascii="宋体" w:hAnsi="宋体" w:eastAsia="宋体"/>
          <w:color w:val="auto"/>
          <w:sz w:val="21"/>
        </w:rPr>
        <w:t>14.2</w:t>
      </w:r>
      <w:r>
        <w:rPr>
          <w:rFonts w:ascii="宋体" w:hAnsi="宋体" w:eastAsia="宋体"/>
          <w:color w:val="auto"/>
          <w:sz w:val="21"/>
        </w:rPr>
        <w:t>采购</w:t>
      </w:r>
      <w:r>
        <w:rPr>
          <w:rFonts w:hint="eastAsia" w:ascii="宋体" w:hAnsi="宋体" w:eastAsia="宋体"/>
          <w:color w:val="auto"/>
          <w:sz w:val="21"/>
        </w:rPr>
        <w:t>代理服务费的支付：见</w:t>
      </w:r>
      <w:r>
        <w:rPr>
          <w:rFonts w:hint="eastAsia" w:ascii="宋体" w:hAnsi="宋体" w:eastAsia="宋体"/>
          <w:color w:val="auto"/>
          <w:sz w:val="21"/>
          <w:u w:val="single"/>
        </w:rPr>
        <w:t>投标人须知前附表</w:t>
      </w:r>
      <w:r>
        <w:rPr>
          <w:rFonts w:hint="eastAsia" w:ascii="宋体" w:hAnsi="宋体" w:eastAsia="宋体"/>
          <w:color w:val="auto"/>
          <w:sz w:val="21"/>
        </w:rPr>
        <w:t>。</w:t>
      </w:r>
    </w:p>
    <w:p w14:paraId="596E78BD">
      <w:pPr>
        <w:pStyle w:val="8"/>
        <w:snapToGrid w:val="0"/>
        <w:spacing w:beforeLines="0" w:after="0" w:afterLines="0" w:line="360" w:lineRule="auto"/>
        <w:ind w:firstLine="422" w:firstLineChars="200"/>
        <w:rPr>
          <w:rFonts w:hAnsi="宋体" w:eastAsia="宋体"/>
          <w:b/>
          <w:color w:val="auto"/>
          <w:sz w:val="21"/>
        </w:rPr>
      </w:pPr>
      <w:r>
        <w:rPr>
          <w:rFonts w:hint="eastAsia" w:hAnsi="宋体" w:eastAsia="宋体"/>
          <w:b/>
          <w:color w:val="auto"/>
          <w:sz w:val="21"/>
        </w:rPr>
        <w:t>15.其他</w:t>
      </w:r>
    </w:p>
    <w:p w14:paraId="7E1ADCD9">
      <w:pPr>
        <w:pStyle w:val="8"/>
        <w:snapToGrid w:val="0"/>
        <w:spacing w:beforeLines="0" w:after="0" w:afterLines="0" w:line="360" w:lineRule="auto"/>
        <w:ind w:firstLine="420" w:firstLineChars="200"/>
        <w:rPr>
          <w:rFonts w:hAnsi="宋体" w:eastAsia="宋体"/>
          <w:color w:val="auto"/>
          <w:sz w:val="21"/>
        </w:rPr>
      </w:pPr>
      <w:bookmarkStart w:id="79" w:name="_Toc118452528"/>
      <w:r>
        <w:rPr>
          <w:rFonts w:hint="eastAsia" w:hAnsi="宋体" w:eastAsia="宋体"/>
          <w:color w:val="auto"/>
          <w:sz w:val="21"/>
        </w:rPr>
        <w:t>15.1招标文件的标题和序号只是为了查阅方便，不影响对招标文件的理解。</w:t>
      </w:r>
    </w:p>
    <w:p w14:paraId="67976A24">
      <w:pPr>
        <w:snapToGrid w:val="0"/>
        <w:spacing w:after="0" w:line="360" w:lineRule="auto"/>
        <w:ind w:firstLine="420" w:firstLineChars="200"/>
        <w:jc w:val="left"/>
        <w:rPr>
          <w:rFonts w:ascii="宋体" w:hAnsi="宋体" w:eastAsia="宋体" w:cs="Arial"/>
          <w:color w:val="auto"/>
        </w:rPr>
      </w:pPr>
      <w:r>
        <w:rPr>
          <w:rFonts w:hint="eastAsia" w:ascii="宋体" w:hAnsi="宋体" w:eastAsia="宋体" w:cs="Arial"/>
          <w:color w:val="auto"/>
        </w:rPr>
        <w:t>15.2招标文件要求携带原件备查的资料，如该资料可以通过互联网或者相关信息系统查询的，投标人能够当场提供账号、网址等进行查询、核实资料真伪及有关数据的，视同提供了原件。</w:t>
      </w:r>
    </w:p>
    <w:p w14:paraId="36CFC3EA">
      <w:pPr>
        <w:snapToGrid w:val="0"/>
        <w:spacing w:after="0" w:line="360" w:lineRule="auto"/>
        <w:ind w:firstLine="420" w:firstLineChars="200"/>
        <w:jc w:val="left"/>
        <w:rPr>
          <w:rFonts w:ascii="宋体" w:hAnsi="宋体" w:eastAsia="宋体" w:cs="Arial"/>
          <w:color w:val="auto"/>
        </w:rPr>
      </w:pPr>
      <w:r>
        <w:rPr>
          <w:rFonts w:hint="eastAsia" w:ascii="宋体" w:hAnsi="宋体" w:eastAsia="宋体" w:cs="Arial"/>
          <w:color w:val="auto"/>
        </w:rPr>
        <w:t>15.3投标人应当及时维护政采云注册信息，包含但不仅限于单位银行账户信息等。</w:t>
      </w:r>
    </w:p>
    <w:p w14:paraId="5B9BC3DE">
      <w:pPr>
        <w:pStyle w:val="23"/>
        <w:spacing w:before="0" w:beforeLines="0" w:after="0" w:afterLines="0" w:line="360" w:lineRule="auto"/>
        <w:jc w:val="center"/>
        <w:rPr>
          <w:rFonts w:ascii="宋体" w:hAnsi="宋体" w:eastAsia="宋体"/>
          <w:color w:val="auto"/>
          <w:sz w:val="21"/>
          <w:szCs w:val="21"/>
        </w:rPr>
      </w:pPr>
      <w:r>
        <w:rPr>
          <w:rFonts w:ascii="宋体" w:hAnsi="宋体" w:eastAsia="宋体"/>
          <w:color w:val="auto"/>
          <w:sz w:val="21"/>
          <w:szCs w:val="21"/>
        </w:rPr>
        <w:t>二</w:t>
      </w:r>
      <w:r>
        <w:rPr>
          <w:rFonts w:hint="eastAsia" w:ascii="宋体" w:hAnsi="宋体" w:eastAsia="宋体"/>
          <w:color w:val="auto"/>
          <w:sz w:val="21"/>
          <w:szCs w:val="21"/>
        </w:rPr>
        <w:t>、招标</w:t>
      </w:r>
      <w:r>
        <w:rPr>
          <w:rFonts w:ascii="宋体" w:hAnsi="宋体" w:eastAsia="宋体"/>
          <w:color w:val="auto"/>
          <w:sz w:val="21"/>
          <w:szCs w:val="21"/>
        </w:rPr>
        <w:t>文件</w:t>
      </w:r>
      <w:bookmarkEnd w:id="79"/>
    </w:p>
    <w:p w14:paraId="01B61004">
      <w:pPr>
        <w:pStyle w:val="8"/>
        <w:snapToGrid w:val="0"/>
        <w:spacing w:beforeLines="0" w:after="0" w:afterLines="0" w:line="360" w:lineRule="auto"/>
        <w:ind w:firstLine="422" w:firstLineChars="200"/>
        <w:rPr>
          <w:rFonts w:hAnsi="宋体" w:eastAsia="宋体"/>
          <w:b/>
          <w:color w:val="auto"/>
          <w:sz w:val="21"/>
        </w:rPr>
      </w:pPr>
      <w:r>
        <w:rPr>
          <w:rFonts w:hint="eastAsia" w:hAnsi="宋体" w:eastAsia="宋体"/>
          <w:b/>
          <w:color w:val="auto"/>
          <w:sz w:val="21"/>
        </w:rPr>
        <w:t>16.招标文件的构成</w:t>
      </w:r>
    </w:p>
    <w:p w14:paraId="4091204D">
      <w:pPr>
        <w:pStyle w:val="8"/>
        <w:snapToGrid w:val="0"/>
        <w:spacing w:beforeLines="0" w:after="0" w:afterLines="0" w:line="360" w:lineRule="auto"/>
        <w:ind w:firstLine="420" w:firstLineChars="200"/>
        <w:rPr>
          <w:rFonts w:hAnsi="宋体" w:eastAsia="宋体"/>
          <w:bCs/>
          <w:color w:val="auto"/>
          <w:sz w:val="21"/>
        </w:rPr>
      </w:pPr>
      <w:r>
        <w:rPr>
          <w:rFonts w:hint="eastAsia" w:hAnsi="宋体" w:eastAsia="宋体"/>
          <w:bCs/>
          <w:color w:val="auto"/>
          <w:sz w:val="21"/>
        </w:rPr>
        <w:t>招标文件共六章，由下列文件以及在招标过程中发出的澄清或修改文件组成，内容如下：</w:t>
      </w:r>
    </w:p>
    <w:p w14:paraId="1A910251">
      <w:pPr>
        <w:pStyle w:val="8"/>
        <w:snapToGrid w:val="0"/>
        <w:spacing w:beforeLines="0" w:after="0" w:afterLines="0" w:line="360" w:lineRule="auto"/>
        <w:ind w:firstLine="420" w:firstLineChars="200"/>
        <w:rPr>
          <w:rFonts w:hAnsi="宋体" w:eastAsia="宋体"/>
          <w:color w:val="auto"/>
          <w:sz w:val="21"/>
        </w:rPr>
      </w:pPr>
      <w:r>
        <w:rPr>
          <w:rFonts w:hint="eastAsia" w:hAnsi="宋体" w:eastAsia="宋体"/>
          <w:color w:val="auto"/>
          <w:sz w:val="21"/>
        </w:rPr>
        <w:t xml:space="preserve">第一章 </w:t>
      </w:r>
      <w:r>
        <w:rPr>
          <w:rFonts w:hAnsi="宋体" w:eastAsia="宋体"/>
          <w:color w:val="auto"/>
          <w:sz w:val="21"/>
        </w:rPr>
        <w:t xml:space="preserve"> </w:t>
      </w:r>
      <w:r>
        <w:rPr>
          <w:rFonts w:hint="eastAsia" w:hAnsi="宋体" w:eastAsia="宋体"/>
          <w:color w:val="auto"/>
          <w:sz w:val="21"/>
        </w:rPr>
        <w:t>招标公告（投标邀请）</w:t>
      </w:r>
    </w:p>
    <w:p w14:paraId="4812ADD3">
      <w:pPr>
        <w:pStyle w:val="8"/>
        <w:snapToGrid w:val="0"/>
        <w:spacing w:beforeLines="0" w:after="0" w:afterLines="0" w:line="360" w:lineRule="auto"/>
        <w:ind w:firstLine="420" w:firstLineChars="200"/>
        <w:rPr>
          <w:rFonts w:hAnsi="宋体" w:eastAsia="宋体"/>
          <w:color w:val="auto"/>
          <w:sz w:val="21"/>
        </w:rPr>
      </w:pPr>
      <w:r>
        <w:rPr>
          <w:rFonts w:hint="eastAsia" w:hAnsi="宋体" w:eastAsia="宋体"/>
          <w:color w:val="auto"/>
          <w:sz w:val="21"/>
        </w:rPr>
        <w:t xml:space="preserve">第二章 </w:t>
      </w:r>
      <w:r>
        <w:rPr>
          <w:rFonts w:hAnsi="宋体" w:eastAsia="宋体"/>
          <w:color w:val="auto"/>
          <w:sz w:val="21"/>
        </w:rPr>
        <w:t xml:space="preserve"> 采购需求</w:t>
      </w:r>
    </w:p>
    <w:p w14:paraId="0FA34DAC">
      <w:pPr>
        <w:pStyle w:val="8"/>
        <w:snapToGrid w:val="0"/>
        <w:spacing w:beforeLines="0" w:after="0" w:afterLines="0" w:line="360" w:lineRule="auto"/>
        <w:ind w:firstLine="420" w:firstLineChars="200"/>
        <w:rPr>
          <w:rFonts w:hAnsi="宋体" w:eastAsia="宋体"/>
          <w:color w:val="auto"/>
          <w:sz w:val="21"/>
        </w:rPr>
      </w:pPr>
      <w:r>
        <w:rPr>
          <w:rFonts w:hint="eastAsia" w:hAnsi="宋体" w:eastAsia="宋体"/>
          <w:color w:val="auto"/>
          <w:sz w:val="21"/>
        </w:rPr>
        <w:t xml:space="preserve">第三章 </w:t>
      </w:r>
      <w:r>
        <w:rPr>
          <w:rFonts w:hAnsi="宋体" w:eastAsia="宋体"/>
          <w:color w:val="auto"/>
          <w:sz w:val="21"/>
        </w:rPr>
        <w:t xml:space="preserve"> 投标人须知</w:t>
      </w:r>
    </w:p>
    <w:p w14:paraId="06E7870B">
      <w:pPr>
        <w:pStyle w:val="8"/>
        <w:snapToGrid w:val="0"/>
        <w:spacing w:beforeLines="0" w:after="0" w:afterLines="0" w:line="360" w:lineRule="auto"/>
        <w:ind w:firstLine="420" w:firstLineChars="200"/>
        <w:rPr>
          <w:rFonts w:hAnsi="宋体" w:eastAsia="宋体"/>
          <w:color w:val="auto"/>
          <w:sz w:val="21"/>
        </w:rPr>
      </w:pPr>
      <w:r>
        <w:rPr>
          <w:rFonts w:hint="eastAsia" w:hAnsi="宋体" w:eastAsia="宋体"/>
          <w:color w:val="auto"/>
          <w:sz w:val="21"/>
        </w:rPr>
        <w:t xml:space="preserve">第四章 </w:t>
      </w:r>
      <w:r>
        <w:rPr>
          <w:rFonts w:hAnsi="宋体" w:eastAsia="宋体"/>
          <w:color w:val="auto"/>
          <w:sz w:val="21"/>
        </w:rPr>
        <w:t xml:space="preserve"> 评标方法和标准</w:t>
      </w:r>
    </w:p>
    <w:p w14:paraId="7B347660">
      <w:pPr>
        <w:pStyle w:val="8"/>
        <w:snapToGrid w:val="0"/>
        <w:spacing w:beforeLines="0" w:after="0" w:afterLines="0" w:line="360" w:lineRule="auto"/>
        <w:ind w:firstLine="420" w:firstLineChars="200"/>
        <w:rPr>
          <w:rFonts w:hAnsi="宋体" w:eastAsia="宋体"/>
          <w:color w:val="auto"/>
          <w:sz w:val="21"/>
        </w:rPr>
      </w:pPr>
      <w:r>
        <w:rPr>
          <w:rFonts w:hint="eastAsia" w:hAnsi="宋体" w:eastAsia="宋体"/>
          <w:color w:val="auto"/>
          <w:sz w:val="21"/>
        </w:rPr>
        <w:t xml:space="preserve">第五章 </w:t>
      </w:r>
      <w:r>
        <w:rPr>
          <w:rFonts w:hAnsi="宋体" w:eastAsia="宋体"/>
          <w:color w:val="auto"/>
          <w:sz w:val="21"/>
        </w:rPr>
        <w:t xml:space="preserve"> 合同文本</w:t>
      </w:r>
    </w:p>
    <w:p w14:paraId="26AE48B9">
      <w:pPr>
        <w:pStyle w:val="8"/>
        <w:snapToGrid w:val="0"/>
        <w:spacing w:beforeLines="0" w:after="0" w:afterLines="0" w:line="360" w:lineRule="auto"/>
        <w:ind w:firstLine="420" w:firstLineChars="200"/>
        <w:rPr>
          <w:rFonts w:hAnsi="宋体" w:eastAsia="宋体"/>
          <w:color w:val="auto"/>
          <w:sz w:val="21"/>
        </w:rPr>
      </w:pPr>
      <w:r>
        <w:rPr>
          <w:rFonts w:hint="eastAsia" w:hAnsi="宋体" w:eastAsia="宋体"/>
          <w:color w:val="auto"/>
          <w:sz w:val="21"/>
        </w:rPr>
        <w:t xml:space="preserve">第六章 </w:t>
      </w:r>
      <w:r>
        <w:rPr>
          <w:rFonts w:hAnsi="宋体" w:eastAsia="宋体"/>
          <w:color w:val="auto"/>
          <w:sz w:val="21"/>
        </w:rPr>
        <w:t xml:space="preserve"> 投标文件格式</w:t>
      </w:r>
    </w:p>
    <w:p w14:paraId="0728A0D3">
      <w:pPr>
        <w:pStyle w:val="4"/>
        <w:numPr>
          <w:ilvl w:val="0"/>
          <w:numId w:val="0"/>
        </w:numPr>
        <w:tabs>
          <w:tab w:val="left" w:pos="720"/>
        </w:tabs>
        <w:snapToGrid w:val="0"/>
        <w:spacing w:after="0" w:line="360" w:lineRule="auto"/>
        <w:ind w:firstLine="422" w:firstLineChars="200"/>
        <w:rPr>
          <w:rFonts w:ascii="宋体" w:hAnsi="宋体" w:eastAsia="宋体" w:cs="宋体"/>
          <w:b/>
          <w:color w:val="auto"/>
        </w:rPr>
      </w:pPr>
      <w:r>
        <w:rPr>
          <w:rFonts w:hint="eastAsia" w:ascii="宋体" w:hAnsi="宋体" w:eastAsia="宋体" w:cs="宋体"/>
          <w:b/>
          <w:color w:val="auto"/>
        </w:rPr>
        <w:t>17.招标文件的询问、澄清和修改</w:t>
      </w:r>
    </w:p>
    <w:p w14:paraId="3CAE7A4C">
      <w:pPr>
        <w:pStyle w:val="8"/>
        <w:snapToGrid w:val="0"/>
        <w:spacing w:beforeLines="0" w:after="0" w:afterLines="0" w:line="360" w:lineRule="auto"/>
        <w:ind w:firstLine="420" w:firstLineChars="200"/>
        <w:rPr>
          <w:rFonts w:hAnsi="宋体" w:eastAsia="宋体"/>
          <w:bCs/>
          <w:color w:val="auto"/>
          <w:sz w:val="21"/>
        </w:rPr>
      </w:pPr>
      <w:r>
        <w:rPr>
          <w:rFonts w:hint="eastAsia" w:hAnsi="宋体" w:eastAsia="宋体"/>
          <w:bCs/>
          <w:color w:val="auto"/>
          <w:sz w:val="21"/>
        </w:rPr>
        <w:t>17.</w:t>
      </w:r>
      <w:r>
        <w:rPr>
          <w:rFonts w:hAnsi="宋体" w:eastAsia="宋体"/>
          <w:bCs/>
          <w:color w:val="auto"/>
          <w:sz w:val="21"/>
        </w:rPr>
        <w:t>1</w:t>
      </w:r>
      <w:r>
        <w:rPr>
          <w:rFonts w:hint="eastAsia" w:hAnsi="宋体" w:eastAsia="宋体"/>
          <w:bCs/>
          <w:color w:val="auto"/>
          <w:sz w:val="21"/>
        </w:rPr>
        <w:t>询问</w:t>
      </w:r>
    </w:p>
    <w:p w14:paraId="0C967F91">
      <w:pPr>
        <w:pStyle w:val="8"/>
        <w:snapToGrid w:val="0"/>
        <w:spacing w:beforeLines="0" w:after="0" w:afterLines="0" w:line="360" w:lineRule="auto"/>
        <w:ind w:firstLine="420" w:firstLineChars="200"/>
        <w:rPr>
          <w:rFonts w:hAnsi="宋体" w:eastAsia="宋体"/>
          <w:color w:val="auto"/>
          <w:sz w:val="21"/>
        </w:rPr>
      </w:pPr>
      <w:r>
        <w:rPr>
          <w:rFonts w:hAnsi="宋体" w:eastAsia="宋体"/>
          <w:bCs/>
          <w:color w:val="auto"/>
          <w:sz w:val="21"/>
        </w:rPr>
        <w:t>投标人</w:t>
      </w:r>
      <w:r>
        <w:rPr>
          <w:rFonts w:hint="eastAsia" w:hAnsi="宋体" w:eastAsia="宋体"/>
          <w:bCs/>
          <w:color w:val="auto"/>
          <w:sz w:val="21"/>
        </w:rPr>
        <w:t>对招标文件有疑问，可以向</w:t>
      </w:r>
      <w:r>
        <w:rPr>
          <w:rFonts w:hint="eastAsia" w:hAnsi="宋体" w:eastAsia="宋体"/>
          <w:color w:val="auto"/>
          <w:sz w:val="21"/>
        </w:rPr>
        <w:t>采购人或采购代理机构</w:t>
      </w:r>
      <w:r>
        <w:rPr>
          <w:rFonts w:hint="eastAsia" w:hAnsi="宋体" w:eastAsia="宋体"/>
          <w:bCs/>
          <w:color w:val="auto"/>
          <w:sz w:val="21"/>
        </w:rPr>
        <w:t>询问，</w:t>
      </w:r>
      <w:r>
        <w:rPr>
          <w:rFonts w:hint="eastAsia" w:hAnsi="宋体" w:eastAsia="宋体"/>
          <w:color w:val="auto"/>
          <w:sz w:val="21"/>
        </w:rPr>
        <w:t>采购人或采购代理机构将依法</w:t>
      </w:r>
      <w:r>
        <w:rPr>
          <w:rFonts w:hint="eastAsia" w:hAnsi="宋体" w:eastAsia="宋体"/>
          <w:bCs/>
          <w:color w:val="auto"/>
          <w:sz w:val="21"/>
        </w:rPr>
        <w:t>对潜在投标人</w:t>
      </w:r>
      <w:r>
        <w:rPr>
          <w:rFonts w:hint="eastAsia" w:hAnsi="宋体" w:eastAsia="宋体"/>
          <w:color w:val="auto"/>
          <w:sz w:val="21"/>
        </w:rPr>
        <w:t>的询问作出答复。</w:t>
      </w:r>
    </w:p>
    <w:p w14:paraId="04A89BDF">
      <w:pPr>
        <w:pStyle w:val="8"/>
        <w:snapToGrid w:val="0"/>
        <w:spacing w:beforeLines="0" w:after="0" w:afterLines="0" w:line="360" w:lineRule="auto"/>
        <w:ind w:firstLine="420" w:firstLineChars="200"/>
        <w:rPr>
          <w:rFonts w:hAnsi="宋体" w:eastAsia="宋体"/>
          <w:bCs/>
          <w:color w:val="auto"/>
          <w:sz w:val="21"/>
        </w:rPr>
      </w:pPr>
      <w:r>
        <w:rPr>
          <w:rFonts w:hint="eastAsia" w:hAnsi="宋体" w:eastAsia="宋体"/>
          <w:bCs/>
          <w:color w:val="auto"/>
          <w:sz w:val="21"/>
        </w:rPr>
        <w:t>17.2澄清和修改</w:t>
      </w:r>
    </w:p>
    <w:p w14:paraId="53706458">
      <w:pPr>
        <w:pStyle w:val="8"/>
        <w:snapToGrid w:val="0"/>
        <w:spacing w:beforeLines="0" w:after="0" w:afterLines="0" w:line="360" w:lineRule="auto"/>
        <w:ind w:firstLine="420" w:firstLineChars="200"/>
        <w:rPr>
          <w:rFonts w:hAnsi="宋体" w:eastAsia="宋体"/>
          <w:bCs/>
          <w:color w:val="auto"/>
          <w:sz w:val="21"/>
        </w:rPr>
      </w:pPr>
      <w:r>
        <w:rPr>
          <w:rFonts w:hint="eastAsia" w:hAnsi="宋体" w:eastAsia="宋体"/>
          <w:bCs/>
          <w:color w:val="auto"/>
          <w:sz w:val="21"/>
        </w:rPr>
        <w:t>（1）</w:t>
      </w:r>
      <w:r>
        <w:rPr>
          <w:rFonts w:hint="eastAsia" w:hAnsi="宋体" w:eastAsia="宋体"/>
          <w:color w:val="auto"/>
          <w:sz w:val="21"/>
        </w:rPr>
        <w:t>采购人或采购代理机构</w:t>
      </w:r>
      <w:r>
        <w:rPr>
          <w:rFonts w:hAnsi="宋体" w:eastAsia="宋体"/>
          <w:bCs/>
          <w:color w:val="auto"/>
          <w:sz w:val="21"/>
        </w:rPr>
        <w:t>可以</w:t>
      </w:r>
      <w:r>
        <w:rPr>
          <w:rFonts w:hint="eastAsia" w:hAnsi="宋体" w:eastAsia="宋体"/>
          <w:bCs/>
          <w:color w:val="auto"/>
          <w:sz w:val="21"/>
        </w:rPr>
        <w:t>主动地或在解答投标人提出的问题时</w:t>
      </w:r>
      <w:r>
        <w:rPr>
          <w:rFonts w:hAnsi="宋体" w:eastAsia="宋体"/>
          <w:bCs/>
          <w:color w:val="auto"/>
          <w:sz w:val="21"/>
        </w:rPr>
        <w:t>对已发出的招标文件进行必要的澄清或者修改。</w:t>
      </w:r>
    </w:p>
    <w:p w14:paraId="19C675DD">
      <w:pPr>
        <w:pStyle w:val="8"/>
        <w:snapToGrid w:val="0"/>
        <w:spacing w:beforeLines="0" w:after="0" w:afterLines="0" w:line="360" w:lineRule="auto"/>
        <w:ind w:firstLine="420" w:firstLineChars="200"/>
        <w:rPr>
          <w:rFonts w:hAnsi="宋体" w:eastAsia="宋体"/>
          <w:bCs/>
          <w:color w:val="auto"/>
          <w:sz w:val="21"/>
        </w:rPr>
      </w:pPr>
      <w:r>
        <w:rPr>
          <w:rFonts w:hint="eastAsia" w:hAnsi="宋体" w:eastAsia="宋体"/>
          <w:bCs/>
          <w:color w:val="auto"/>
          <w:sz w:val="21"/>
        </w:rPr>
        <w:t>（2）更正信息将以网上公告的方式在宁波政府采购网（</w:t>
      </w:r>
      <w:r>
        <w:rPr>
          <w:rFonts w:hAnsi="宋体" w:eastAsia="宋体"/>
          <w:bCs/>
          <w:color w:val="auto"/>
          <w:sz w:val="21"/>
        </w:rPr>
        <w:t>http：//www.nbzfcg.cn/</w:t>
      </w:r>
      <w:r>
        <w:rPr>
          <w:rFonts w:hint="eastAsia" w:hAnsi="宋体" w:eastAsia="宋体"/>
          <w:bCs/>
          <w:color w:val="auto"/>
          <w:sz w:val="21"/>
        </w:rPr>
        <w:t>）、浙江政府采购网（</w:t>
      </w:r>
      <w:r>
        <w:rPr>
          <w:rFonts w:hAnsi="宋体" w:eastAsia="宋体"/>
          <w:bCs/>
          <w:color w:val="auto"/>
          <w:sz w:val="21"/>
        </w:rPr>
        <w:t>https：//zfcg.czt.zj.gov.cn/</w:t>
      </w:r>
      <w:r>
        <w:rPr>
          <w:rFonts w:hint="eastAsia" w:hAnsi="宋体" w:eastAsia="宋体"/>
          <w:bCs/>
          <w:color w:val="auto"/>
          <w:sz w:val="21"/>
        </w:rPr>
        <w:t>）公开发布。政采云平台将发送短信通知所有获取采购文件的投标人，投标人自行登陆上述网站并浏览更正内容，并按照更正后的采购文件编制投标文件。</w:t>
      </w:r>
    </w:p>
    <w:p w14:paraId="6DA4565B">
      <w:pPr>
        <w:pStyle w:val="8"/>
        <w:snapToGrid w:val="0"/>
        <w:spacing w:beforeLines="0" w:after="0" w:afterLines="0" w:line="360" w:lineRule="auto"/>
        <w:ind w:firstLine="420" w:firstLineChars="200"/>
        <w:rPr>
          <w:rFonts w:hAnsi="宋体" w:eastAsia="宋体"/>
          <w:bCs/>
          <w:color w:val="auto"/>
          <w:sz w:val="21"/>
        </w:rPr>
      </w:pPr>
      <w:r>
        <w:rPr>
          <w:rFonts w:hint="eastAsia" w:hAnsi="宋体" w:eastAsia="宋体"/>
          <w:bCs/>
          <w:color w:val="auto"/>
          <w:sz w:val="21"/>
        </w:rPr>
        <w:t>（3）投标人</w:t>
      </w:r>
      <w:r>
        <w:rPr>
          <w:rFonts w:hAnsi="宋体" w:eastAsia="宋体"/>
          <w:bCs/>
          <w:color w:val="auto"/>
          <w:sz w:val="21"/>
        </w:rPr>
        <w:t>在收到书面通知</w:t>
      </w:r>
      <w:r>
        <w:rPr>
          <w:rFonts w:hint="eastAsia" w:hAnsi="宋体" w:eastAsia="宋体"/>
          <w:bCs/>
          <w:color w:val="auto"/>
          <w:sz w:val="21"/>
        </w:rPr>
        <w:t>（网上公告）</w:t>
      </w:r>
      <w:r>
        <w:rPr>
          <w:rFonts w:hAnsi="宋体" w:eastAsia="宋体"/>
          <w:bCs/>
          <w:color w:val="auto"/>
          <w:sz w:val="21"/>
        </w:rPr>
        <w:t>后，</w:t>
      </w:r>
      <w:r>
        <w:rPr>
          <w:rFonts w:hint="eastAsia" w:hAnsi="宋体" w:eastAsia="宋体"/>
          <w:bCs/>
          <w:color w:val="auto"/>
          <w:sz w:val="21"/>
        </w:rPr>
        <w:t>认为</w:t>
      </w:r>
      <w:r>
        <w:rPr>
          <w:rFonts w:hAnsi="宋体" w:eastAsia="宋体"/>
          <w:bCs/>
          <w:color w:val="auto"/>
          <w:sz w:val="21"/>
        </w:rPr>
        <w:t>澄清或者修改的</w:t>
      </w:r>
      <w:r>
        <w:rPr>
          <w:rFonts w:hint="eastAsia" w:hAnsi="宋体" w:eastAsia="宋体"/>
          <w:bCs/>
          <w:color w:val="auto"/>
          <w:sz w:val="21"/>
        </w:rPr>
        <w:t>内容</w:t>
      </w:r>
      <w:r>
        <w:rPr>
          <w:rFonts w:hAnsi="宋体" w:eastAsia="宋体"/>
          <w:bCs/>
          <w:color w:val="auto"/>
          <w:sz w:val="21"/>
        </w:rPr>
        <w:t>影响</w:t>
      </w:r>
      <w:r>
        <w:rPr>
          <w:rFonts w:hint="eastAsia" w:hAnsi="宋体" w:eastAsia="宋体"/>
          <w:bCs/>
          <w:color w:val="auto"/>
          <w:sz w:val="21"/>
        </w:rPr>
        <w:t>投标</w:t>
      </w:r>
      <w:r>
        <w:rPr>
          <w:rFonts w:hAnsi="宋体" w:eastAsia="宋体"/>
          <w:bCs/>
          <w:color w:val="auto"/>
          <w:sz w:val="21"/>
        </w:rPr>
        <w:t>文件编制</w:t>
      </w:r>
      <w:r>
        <w:rPr>
          <w:rFonts w:hint="eastAsia" w:hAnsi="宋体" w:eastAsia="宋体"/>
          <w:bCs/>
          <w:color w:val="auto"/>
          <w:sz w:val="21"/>
        </w:rPr>
        <w:t>的</w:t>
      </w:r>
      <w:r>
        <w:rPr>
          <w:rFonts w:hAnsi="宋体" w:eastAsia="宋体"/>
          <w:bCs/>
          <w:color w:val="auto"/>
          <w:sz w:val="21"/>
        </w:rPr>
        <w:t>，</w:t>
      </w:r>
      <w:r>
        <w:rPr>
          <w:rFonts w:hint="eastAsia" w:hAnsi="宋体" w:eastAsia="宋体"/>
          <w:bCs/>
          <w:color w:val="auto"/>
          <w:sz w:val="21"/>
        </w:rPr>
        <w:t>应当</w:t>
      </w:r>
      <w:r>
        <w:rPr>
          <w:rFonts w:hAnsi="宋体" w:eastAsia="宋体"/>
          <w:bCs/>
          <w:color w:val="auto"/>
          <w:sz w:val="21"/>
        </w:rPr>
        <w:t>在收到</w:t>
      </w:r>
      <w:r>
        <w:rPr>
          <w:rFonts w:hint="eastAsia" w:hAnsi="宋体" w:eastAsia="宋体"/>
          <w:bCs/>
          <w:color w:val="auto"/>
          <w:sz w:val="21"/>
        </w:rPr>
        <w:t>书面通知</w:t>
      </w:r>
      <w:r>
        <w:rPr>
          <w:rFonts w:hAnsi="宋体" w:eastAsia="宋体"/>
          <w:bCs/>
          <w:color w:val="auto"/>
          <w:sz w:val="21"/>
        </w:rPr>
        <w:t>后</w:t>
      </w:r>
      <w:r>
        <w:rPr>
          <w:rFonts w:hint="eastAsia" w:hAnsi="宋体" w:eastAsia="宋体"/>
          <w:bCs/>
          <w:color w:val="auto"/>
          <w:sz w:val="21"/>
        </w:rPr>
        <w:t>及时</w:t>
      </w:r>
      <w:r>
        <w:rPr>
          <w:rFonts w:hAnsi="宋体" w:eastAsia="宋体"/>
          <w:bCs/>
          <w:color w:val="auto"/>
          <w:sz w:val="21"/>
        </w:rPr>
        <w:t>将</w:t>
      </w:r>
      <w:r>
        <w:rPr>
          <w:rFonts w:hint="eastAsia" w:hAnsi="宋体" w:eastAsia="宋体"/>
          <w:bCs/>
          <w:color w:val="auto"/>
          <w:sz w:val="21"/>
        </w:rPr>
        <w:t>有关</w:t>
      </w:r>
      <w:r>
        <w:rPr>
          <w:rFonts w:hAnsi="宋体" w:eastAsia="宋体"/>
          <w:bCs/>
          <w:color w:val="auto"/>
          <w:sz w:val="21"/>
        </w:rPr>
        <w:t>意见以书面形式向</w:t>
      </w:r>
      <w:r>
        <w:rPr>
          <w:rFonts w:hint="eastAsia" w:hAnsi="宋体" w:eastAsia="宋体"/>
          <w:color w:val="auto"/>
          <w:sz w:val="21"/>
        </w:rPr>
        <w:t>采购人、采购代理机构</w:t>
      </w:r>
      <w:r>
        <w:rPr>
          <w:rFonts w:hAnsi="宋体" w:eastAsia="宋体"/>
          <w:bCs/>
          <w:color w:val="auto"/>
          <w:sz w:val="21"/>
        </w:rPr>
        <w:t>提出，否则，</w:t>
      </w:r>
      <w:r>
        <w:rPr>
          <w:rFonts w:hint="eastAsia" w:hAnsi="宋体" w:eastAsia="宋体"/>
          <w:color w:val="auto"/>
          <w:sz w:val="21"/>
        </w:rPr>
        <w:t>采购人、采购代理机构</w:t>
      </w:r>
      <w:r>
        <w:rPr>
          <w:rFonts w:hAnsi="宋体" w:eastAsia="宋体"/>
          <w:bCs/>
          <w:color w:val="auto"/>
          <w:sz w:val="21"/>
        </w:rPr>
        <w:t>视</w:t>
      </w:r>
      <w:r>
        <w:rPr>
          <w:rFonts w:hint="eastAsia" w:hAnsi="宋体" w:eastAsia="宋体"/>
          <w:bCs/>
          <w:color w:val="auto"/>
          <w:sz w:val="21"/>
        </w:rPr>
        <w:t>为投标人</w:t>
      </w:r>
      <w:r>
        <w:rPr>
          <w:rFonts w:hAnsi="宋体" w:eastAsia="宋体"/>
          <w:bCs/>
          <w:color w:val="auto"/>
          <w:sz w:val="21"/>
        </w:rPr>
        <w:t>完全接受澄清或者修改的</w:t>
      </w:r>
      <w:r>
        <w:rPr>
          <w:rFonts w:hint="eastAsia" w:hAnsi="宋体" w:eastAsia="宋体"/>
          <w:bCs/>
          <w:color w:val="auto"/>
          <w:sz w:val="21"/>
        </w:rPr>
        <w:t>内容，</w:t>
      </w:r>
      <w:r>
        <w:rPr>
          <w:rFonts w:hAnsi="宋体" w:eastAsia="宋体"/>
          <w:bCs/>
          <w:color w:val="auto"/>
          <w:sz w:val="21"/>
        </w:rPr>
        <w:t>且</w:t>
      </w:r>
      <w:r>
        <w:rPr>
          <w:rFonts w:hint="eastAsia" w:hAnsi="宋体" w:eastAsia="宋体"/>
          <w:bCs/>
          <w:color w:val="auto"/>
          <w:sz w:val="21"/>
        </w:rPr>
        <w:t>不</w:t>
      </w:r>
      <w:r>
        <w:rPr>
          <w:rFonts w:hAnsi="宋体" w:eastAsia="宋体"/>
          <w:bCs/>
          <w:color w:val="auto"/>
          <w:sz w:val="21"/>
        </w:rPr>
        <w:t>影响</w:t>
      </w:r>
      <w:r>
        <w:rPr>
          <w:rFonts w:hint="eastAsia" w:hAnsi="宋体" w:eastAsia="宋体"/>
          <w:bCs/>
          <w:color w:val="auto"/>
          <w:sz w:val="21"/>
        </w:rPr>
        <w:t>投标文件</w:t>
      </w:r>
      <w:r>
        <w:rPr>
          <w:rFonts w:hAnsi="宋体" w:eastAsia="宋体"/>
          <w:bCs/>
          <w:color w:val="auto"/>
          <w:sz w:val="21"/>
        </w:rPr>
        <w:t>编制。</w:t>
      </w:r>
    </w:p>
    <w:p w14:paraId="5491CE4E">
      <w:pPr>
        <w:pStyle w:val="8"/>
        <w:snapToGrid w:val="0"/>
        <w:spacing w:beforeLines="0" w:after="0" w:afterLines="0" w:line="360" w:lineRule="auto"/>
        <w:ind w:firstLine="420" w:firstLineChars="200"/>
        <w:rPr>
          <w:rFonts w:hAnsi="宋体" w:eastAsia="宋体"/>
          <w:bCs/>
          <w:color w:val="auto"/>
          <w:sz w:val="21"/>
        </w:rPr>
      </w:pPr>
      <w:r>
        <w:rPr>
          <w:rFonts w:hint="eastAsia" w:hAnsi="宋体" w:eastAsia="宋体"/>
          <w:bCs/>
          <w:color w:val="auto"/>
          <w:sz w:val="21"/>
        </w:rPr>
        <w:t>投标人</w:t>
      </w:r>
      <w:r>
        <w:rPr>
          <w:rFonts w:hAnsi="宋体" w:eastAsia="宋体"/>
          <w:bCs/>
          <w:color w:val="auto"/>
          <w:sz w:val="21"/>
        </w:rPr>
        <w:t>要求澄清</w:t>
      </w:r>
      <w:r>
        <w:rPr>
          <w:rFonts w:hint="eastAsia" w:hAnsi="宋体" w:eastAsia="宋体"/>
          <w:bCs/>
          <w:color w:val="auto"/>
          <w:sz w:val="21"/>
        </w:rPr>
        <w:t>和回复的书面材料</w:t>
      </w:r>
      <w:r>
        <w:rPr>
          <w:rFonts w:hAnsi="宋体" w:eastAsia="宋体"/>
          <w:bCs/>
          <w:color w:val="auto"/>
          <w:sz w:val="21"/>
        </w:rPr>
        <w:t>应</w:t>
      </w:r>
      <w:r>
        <w:rPr>
          <w:rFonts w:hint="eastAsia" w:hAnsi="宋体" w:eastAsia="宋体"/>
          <w:bCs/>
          <w:color w:val="auto"/>
          <w:sz w:val="21"/>
        </w:rPr>
        <w:t>当</w:t>
      </w:r>
      <w:r>
        <w:rPr>
          <w:rFonts w:hAnsi="宋体" w:eastAsia="宋体"/>
          <w:bCs/>
          <w:color w:val="auto"/>
          <w:sz w:val="21"/>
        </w:rPr>
        <w:t>加盖单位公章</w:t>
      </w:r>
      <w:r>
        <w:rPr>
          <w:rFonts w:hint="eastAsia" w:hAnsi="宋体" w:eastAsia="宋体"/>
          <w:bCs/>
          <w:color w:val="auto"/>
          <w:sz w:val="21"/>
        </w:rPr>
        <w:t>并注明</w:t>
      </w:r>
      <w:r>
        <w:rPr>
          <w:rFonts w:hAnsi="宋体" w:eastAsia="宋体"/>
          <w:bCs/>
          <w:color w:val="auto"/>
          <w:sz w:val="21"/>
        </w:rPr>
        <w:t>日期。</w:t>
      </w:r>
    </w:p>
    <w:p w14:paraId="78A459E1">
      <w:pPr>
        <w:pStyle w:val="8"/>
        <w:snapToGrid w:val="0"/>
        <w:spacing w:beforeLines="0" w:after="0" w:afterLines="0" w:line="360" w:lineRule="auto"/>
        <w:ind w:firstLine="420" w:firstLineChars="200"/>
        <w:rPr>
          <w:rFonts w:hAnsi="宋体" w:eastAsia="宋体"/>
          <w:bCs/>
          <w:color w:val="auto"/>
          <w:sz w:val="21"/>
        </w:rPr>
      </w:pPr>
      <w:r>
        <w:rPr>
          <w:rFonts w:hint="eastAsia" w:hAnsi="宋体" w:eastAsia="宋体"/>
          <w:bCs/>
          <w:color w:val="auto"/>
          <w:sz w:val="21"/>
        </w:rPr>
        <w:t>（4）投标人应当保证获取招标文件时所登记的项目联系人信息资料的真实和准确，并确保联系方式的畅通，否则，因此导致未及时收到通知事项造成的后果由投标人自行承担。</w:t>
      </w:r>
    </w:p>
    <w:p w14:paraId="5418FAE2">
      <w:pPr>
        <w:pStyle w:val="8"/>
        <w:snapToGrid w:val="0"/>
        <w:spacing w:beforeLines="0" w:after="0" w:afterLines="0" w:line="360" w:lineRule="auto"/>
        <w:ind w:firstLine="422" w:firstLineChars="200"/>
        <w:rPr>
          <w:rFonts w:hAnsi="宋体" w:eastAsia="宋体"/>
          <w:b/>
          <w:bCs/>
          <w:color w:val="auto"/>
          <w:sz w:val="21"/>
        </w:rPr>
      </w:pPr>
      <w:r>
        <w:rPr>
          <w:rFonts w:hint="eastAsia" w:hAnsi="宋体" w:eastAsia="宋体"/>
          <w:b/>
          <w:bCs/>
          <w:color w:val="auto"/>
          <w:sz w:val="21"/>
        </w:rPr>
        <w:t>18.现场考察及召开开标前答疑会</w:t>
      </w:r>
    </w:p>
    <w:p w14:paraId="5D5D8A8A">
      <w:pPr>
        <w:pStyle w:val="8"/>
        <w:snapToGrid w:val="0"/>
        <w:spacing w:beforeLines="0" w:after="0" w:afterLines="0" w:line="360" w:lineRule="auto"/>
        <w:ind w:firstLine="420" w:firstLineChars="200"/>
        <w:rPr>
          <w:rFonts w:hAnsi="宋体" w:eastAsia="宋体"/>
          <w:color w:val="auto"/>
          <w:sz w:val="21"/>
        </w:rPr>
      </w:pPr>
      <w:r>
        <w:rPr>
          <w:rFonts w:hint="eastAsia" w:hAnsi="宋体" w:eastAsia="宋体"/>
          <w:color w:val="auto"/>
          <w:sz w:val="21"/>
        </w:rPr>
        <w:t>18.1现场考察事项见</w:t>
      </w:r>
      <w:r>
        <w:rPr>
          <w:rFonts w:hint="eastAsia" w:hAnsi="宋体" w:eastAsia="宋体"/>
          <w:color w:val="auto"/>
          <w:sz w:val="21"/>
          <w:u w:val="single"/>
        </w:rPr>
        <w:t>投标人须知前附表</w:t>
      </w:r>
      <w:r>
        <w:rPr>
          <w:rFonts w:hint="eastAsia" w:hAnsi="宋体" w:eastAsia="宋体"/>
          <w:color w:val="auto"/>
          <w:sz w:val="21"/>
        </w:rPr>
        <w:t>。</w:t>
      </w:r>
    </w:p>
    <w:p w14:paraId="6898B330">
      <w:pPr>
        <w:pStyle w:val="8"/>
        <w:snapToGrid w:val="0"/>
        <w:spacing w:beforeLines="0" w:after="0" w:afterLines="0" w:line="360" w:lineRule="auto"/>
        <w:ind w:firstLine="420" w:firstLineChars="200"/>
        <w:rPr>
          <w:rFonts w:hAnsi="宋体" w:eastAsia="宋体"/>
          <w:color w:val="auto"/>
          <w:sz w:val="21"/>
        </w:rPr>
      </w:pPr>
      <w:r>
        <w:rPr>
          <w:rFonts w:hint="eastAsia" w:hAnsi="宋体" w:eastAsia="宋体"/>
          <w:color w:val="auto"/>
          <w:sz w:val="21"/>
        </w:rPr>
        <w:t>18.2如采购人统一组织现场考察的，</w:t>
      </w:r>
      <w:r>
        <w:rPr>
          <w:rFonts w:hAnsi="宋体" w:eastAsia="宋体"/>
          <w:color w:val="auto"/>
          <w:sz w:val="21"/>
        </w:rPr>
        <w:t>潜在投标人</w:t>
      </w:r>
      <w:r>
        <w:rPr>
          <w:rFonts w:hint="eastAsia" w:hAnsi="宋体" w:eastAsia="宋体"/>
          <w:color w:val="auto"/>
          <w:sz w:val="21"/>
        </w:rPr>
        <w:t>应当在通知的时间准时参加现场考察，否则自行承担未及时参加造成的后果。除采购人的原因外，投标人自行负责现场考察造成的自身或第三人的人身伤害、财产损失或损坏的责任。</w:t>
      </w:r>
    </w:p>
    <w:p w14:paraId="451F1739">
      <w:pPr>
        <w:pStyle w:val="8"/>
        <w:snapToGrid w:val="0"/>
        <w:spacing w:beforeLines="0" w:after="0" w:afterLines="0" w:line="360" w:lineRule="auto"/>
        <w:ind w:firstLine="420" w:firstLineChars="200"/>
        <w:rPr>
          <w:rFonts w:hAnsi="宋体" w:eastAsia="宋体"/>
          <w:color w:val="auto"/>
          <w:sz w:val="21"/>
        </w:rPr>
      </w:pPr>
      <w:r>
        <w:rPr>
          <w:rFonts w:hint="eastAsia" w:hAnsi="宋体" w:eastAsia="宋体"/>
          <w:color w:val="auto"/>
          <w:sz w:val="21"/>
        </w:rPr>
        <w:t>18.3本项目不组织召开开标前答疑会。</w:t>
      </w:r>
    </w:p>
    <w:p w14:paraId="54CAB6EE">
      <w:pPr>
        <w:pStyle w:val="23"/>
        <w:spacing w:before="0" w:beforeLines="0" w:after="0" w:afterLines="0" w:line="360" w:lineRule="auto"/>
        <w:jc w:val="center"/>
        <w:rPr>
          <w:rFonts w:ascii="宋体" w:hAnsi="宋体" w:eastAsia="宋体"/>
          <w:color w:val="auto"/>
          <w:sz w:val="21"/>
          <w:szCs w:val="21"/>
        </w:rPr>
      </w:pPr>
      <w:bookmarkStart w:id="80" w:name="_Toc118452529"/>
      <w:r>
        <w:rPr>
          <w:rFonts w:ascii="宋体" w:hAnsi="宋体" w:eastAsia="宋体"/>
          <w:color w:val="auto"/>
          <w:sz w:val="21"/>
          <w:szCs w:val="21"/>
        </w:rPr>
        <w:t>三、投标文件的编制</w:t>
      </w:r>
      <w:bookmarkEnd w:id="80"/>
    </w:p>
    <w:p w14:paraId="7FD89E66">
      <w:pPr>
        <w:spacing w:after="0" w:line="360" w:lineRule="auto"/>
        <w:ind w:firstLine="422" w:firstLineChars="200"/>
        <w:rPr>
          <w:rFonts w:ascii="宋体" w:hAnsi="宋体" w:eastAsia="宋体"/>
          <w:b/>
          <w:color w:val="auto"/>
        </w:rPr>
      </w:pPr>
      <w:r>
        <w:rPr>
          <w:rFonts w:hint="eastAsia" w:ascii="宋体" w:hAnsi="宋体" w:eastAsia="宋体"/>
          <w:b/>
          <w:color w:val="auto"/>
        </w:rPr>
        <w:t>19.投标范围</w:t>
      </w:r>
    </w:p>
    <w:p w14:paraId="3441BC5F">
      <w:pPr>
        <w:spacing w:after="0" w:line="360" w:lineRule="auto"/>
        <w:ind w:firstLine="420"/>
        <w:rPr>
          <w:rFonts w:ascii="宋体" w:hAnsi="宋体" w:eastAsia="宋体"/>
          <w:color w:val="auto"/>
        </w:rPr>
      </w:pPr>
      <w:r>
        <w:rPr>
          <w:rFonts w:ascii="宋体" w:hAnsi="宋体" w:eastAsia="宋体"/>
          <w:color w:val="auto"/>
        </w:rPr>
        <w:t>投标人应当对所投</w:t>
      </w:r>
      <w:r>
        <w:rPr>
          <w:rFonts w:hint="eastAsia" w:ascii="宋体" w:hAnsi="宋体" w:eastAsia="宋体"/>
          <w:color w:val="auto"/>
        </w:rPr>
        <w:t>标项的“采购</w:t>
      </w:r>
      <w:r>
        <w:rPr>
          <w:rFonts w:ascii="宋体" w:hAnsi="宋体" w:eastAsia="宋体"/>
          <w:color w:val="auto"/>
        </w:rPr>
        <w:t>需求</w:t>
      </w:r>
      <w:r>
        <w:rPr>
          <w:rFonts w:hint="eastAsia" w:ascii="宋体" w:hAnsi="宋体" w:eastAsia="宋体"/>
          <w:color w:val="auto"/>
        </w:rPr>
        <w:t>”</w:t>
      </w:r>
      <w:r>
        <w:rPr>
          <w:rFonts w:ascii="宋体" w:hAnsi="宋体" w:eastAsia="宋体"/>
          <w:color w:val="auto"/>
        </w:rPr>
        <w:t>所列的</w:t>
      </w:r>
      <w:r>
        <w:rPr>
          <w:rFonts w:hint="eastAsia" w:ascii="宋体" w:hAnsi="宋体" w:eastAsia="宋体"/>
          <w:color w:val="auto"/>
        </w:rPr>
        <w:t>全部采购标的</w:t>
      </w:r>
      <w:r>
        <w:rPr>
          <w:rFonts w:ascii="宋体" w:hAnsi="宋体" w:eastAsia="宋体"/>
          <w:color w:val="auto"/>
        </w:rPr>
        <w:t>进行投标，如仅响应</w:t>
      </w:r>
      <w:r>
        <w:rPr>
          <w:rFonts w:hint="eastAsia" w:ascii="宋体" w:hAnsi="宋体" w:eastAsia="宋体"/>
          <w:color w:val="auto"/>
        </w:rPr>
        <w:t>所投项目</w:t>
      </w:r>
      <w:r>
        <w:rPr>
          <w:rFonts w:ascii="宋体" w:hAnsi="宋体" w:eastAsia="宋体"/>
          <w:color w:val="auto"/>
        </w:rPr>
        <w:t>中的部分</w:t>
      </w:r>
      <w:r>
        <w:rPr>
          <w:rFonts w:hint="eastAsia" w:ascii="宋体" w:hAnsi="宋体" w:eastAsia="宋体"/>
          <w:color w:val="auto"/>
        </w:rPr>
        <w:t>采购标的</w:t>
      </w:r>
      <w:r>
        <w:rPr>
          <w:rFonts w:ascii="宋体" w:hAnsi="宋体" w:eastAsia="宋体"/>
          <w:color w:val="auto"/>
        </w:rPr>
        <w:t>，其</w:t>
      </w:r>
      <w:r>
        <w:rPr>
          <w:rFonts w:hint="eastAsia" w:ascii="宋体" w:hAnsi="宋体" w:eastAsia="宋体"/>
          <w:color w:val="auto"/>
        </w:rPr>
        <w:t>对本项目的</w:t>
      </w:r>
      <w:r>
        <w:rPr>
          <w:rFonts w:ascii="宋体" w:hAnsi="宋体" w:eastAsia="宋体"/>
          <w:color w:val="auto"/>
        </w:rPr>
        <w:t>投标将被认定为</w:t>
      </w:r>
      <w:r>
        <w:rPr>
          <w:rFonts w:ascii="宋体" w:hAnsi="宋体" w:eastAsia="宋体"/>
          <w:b/>
          <w:color w:val="auto"/>
        </w:rPr>
        <w:t>投标无效</w:t>
      </w:r>
      <w:r>
        <w:rPr>
          <w:rFonts w:ascii="宋体" w:hAnsi="宋体" w:eastAsia="宋体"/>
          <w:color w:val="auto"/>
        </w:rPr>
        <w:t>。</w:t>
      </w:r>
    </w:p>
    <w:p w14:paraId="58E4522A">
      <w:pPr>
        <w:spacing w:after="0" w:line="360" w:lineRule="auto"/>
        <w:ind w:firstLine="422" w:firstLineChars="200"/>
        <w:rPr>
          <w:rFonts w:ascii="宋体" w:hAnsi="宋体" w:eastAsia="宋体"/>
          <w:b/>
          <w:color w:val="auto"/>
        </w:rPr>
      </w:pPr>
      <w:r>
        <w:rPr>
          <w:rFonts w:hint="eastAsia" w:ascii="宋体" w:hAnsi="宋体" w:eastAsia="宋体"/>
          <w:b/>
          <w:color w:val="auto"/>
        </w:rPr>
        <w:t>20.投标文件中标准和计量单位的使用</w:t>
      </w:r>
    </w:p>
    <w:p w14:paraId="4A31044D">
      <w:pPr>
        <w:spacing w:after="0" w:line="360" w:lineRule="auto"/>
        <w:ind w:firstLine="420"/>
        <w:rPr>
          <w:rFonts w:ascii="宋体" w:hAnsi="宋体" w:eastAsia="宋体"/>
          <w:color w:val="auto"/>
        </w:rPr>
      </w:pPr>
      <w:bookmarkStart w:id="81" w:name="_Hlk16458980"/>
      <w:r>
        <w:rPr>
          <w:rFonts w:hint="eastAsia" w:ascii="宋体" w:hAnsi="宋体" w:eastAsia="宋体"/>
          <w:color w:val="auto"/>
        </w:rPr>
        <w:t>20.1</w:t>
      </w:r>
      <w:r>
        <w:rPr>
          <w:rFonts w:ascii="宋体" w:hAnsi="宋体" w:eastAsia="宋体"/>
          <w:color w:val="auto"/>
        </w:rPr>
        <w:t>无论招标文件中是否要求，</w:t>
      </w:r>
      <w:r>
        <w:rPr>
          <w:rFonts w:hint="eastAsia" w:ascii="宋体" w:hAnsi="宋体" w:eastAsia="宋体"/>
          <w:color w:val="auto"/>
        </w:rPr>
        <w:t>投标人所提供的服务均应符合国家强制性标准。</w:t>
      </w:r>
    </w:p>
    <w:bookmarkEnd w:id="81"/>
    <w:p w14:paraId="557EDF27">
      <w:pPr>
        <w:pStyle w:val="8"/>
        <w:snapToGrid w:val="0"/>
        <w:spacing w:beforeLines="0" w:after="0" w:afterLines="0" w:line="360" w:lineRule="auto"/>
        <w:ind w:firstLine="420" w:firstLineChars="200"/>
        <w:rPr>
          <w:rFonts w:hAnsi="宋体" w:eastAsia="宋体"/>
          <w:color w:val="auto"/>
          <w:sz w:val="21"/>
        </w:rPr>
      </w:pPr>
      <w:r>
        <w:rPr>
          <w:rFonts w:hint="eastAsia" w:hAnsi="宋体" w:eastAsia="宋体"/>
          <w:color w:val="auto"/>
          <w:sz w:val="21"/>
        </w:rPr>
        <w:t>20.2</w:t>
      </w:r>
      <w:r>
        <w:rPr>
          <w:rFonts w:hAnsi="宋体" w:eastAsia="宋体"/>
          <w:color w:val="auto"/>
          <w:sz w:val="21"/>
        </w:rPr>
        <w:t>投标人与</w:t>
      </w:r>
      <w:r>
        <w:rPr>
          <w:rFonts w:hint="eastAsia" w:hAnsi="宋体" w:eastAsia="宋体"/>
          <w:color w:val="auto"/>
          <w:sz w:val="21"/>
        </w:rPr>
        <w:t>采购人或</w:t>
      </w:r>
      <w:r>
        <w:rPr>
          <w:rFonts w:hAnsi="宋体" w:eastAsia="宋体"/>
          <w:color w:val="auto"/>
          <w:sz w:val="21"/>
        </w:rPr>
        <w:t>采购</w:t>
      </w:r>
      <w:r>
        <w:rPr>
          <w:rFonts w:hint="eastAsia" w:hAnsi="宋体" w:eastAsia="宋体"/>
          <w:color w:val="auto"/>
          <w:sz w:val="21"/>
        </w:rPr>
        <w:t>代理</w:t>
      </w:r>
      <w:r>
        <w:rPr>
          <w:rFonts w:hAnsi="宋体" w:eastAsia="宋体"/>
          <w:color w:val="auto"/>
          <w:sz w:val="21"/>
        </w:rPr>
        <w:t>机构之间与投标有关的所有往来通知、函件和投标文件均用中文表述。投标人随投标文件提供的证明文件和资料可以为其它语言</w:t>
      </w:r>
      <w:r>
        <w:rPr>
          <w:rFonts w:hint="eastAsia" w:hAnsi="宋体" w:eastAsia="宋体"/>
          <w:color w:val="auto"/>
          <w:sz w:val="21"/>
        </w:rPr>
        <w:t>（文字）</w:t>
      </w:r>
      <w:r>
        <w:rPr>
          <w:rFonts w:hAnsi="宋体" w:eastAsia="宋体"/>
          <w:color w:val="auto"/>
          <w:sz w:val="21"/>
        </w:rPr>
        <w:t>，但</w:t>
      </w:r>
      <w:r>
        <w:rPr>
          <w:rFonts w:hint="eastAsia" w:hAnsi="宋体" w:eastAsia="宋体"/>
          <w:color w:val="auto"/>
          <w:sz w:val="21"/>
        </w:rPr>
        <w:t>应当</w:t>
      </w:r>
      <w:r>
        <w:rPr>
          <w:rFonts w:hAnsi="宋体" w:eastAsia="宋体"/>
          <w:color w:val="auto"/>
          <w:sz w:val="21"/>
        </w:rPr>
        <w:t>附中文译文</w:t>
      </w:r>
      <w:r>
        <w:rPr>
          <w:rFonts w:hint="eastAsia" w:hAnsi="宋体" w:eastAsia="宋体"/>
          <w:color w:val="auto"/>
          <w:sz w:val="21"/>
        </w:rPr>
        <w:t>，未提供中文译文的视为未提供，</w:t>
      </w:r>
      <w:r>
        <w:rPr>
          <w:rFonts w:hAnsi="宋体" w:eastAsia="宋体"/>
          <w:color w:val="auto"/>
          <w:sz w:val="21"/>
        </w:rPr>
        <w:t>翻译的中文资料与外文资料出现差异时，以中文为准。</w:t>
      </w:r>
    </w:p>
    <w:p w14:paraId="7F43CB8F">
      <w:pPr>
        <w:spacing w:after="0" w:line="360" w:lineRule="auto"/>
        <w:ind w:firstLine="420"/>
        <w:rPr>
          <w:rFonts w:ascii="宋体" w:hAnsi="宋体" w:eastAsia="宋体"/>
          <w:color w:val="auto"/>
        </w:rPr>
      </w:pPr>
      <w:r>
        <w:rPr>
          <w:rFonts w:hint="eastAsia" w:ascii="宋体" w:hAnsi="宋体" w:eastAsia="宋体"/>
          <w:color w:val="auto"/>
        </w:rPr>
        <w:t>20.3</w:t>
      </w:r>
      <w:r>
        <w:rPr>
          <w:rFonts w:ascii="宋体" w:hAnsi="宋体" w:eastAsia="宋体"/>
          <w:color w:val="auto"/>
        </w:rPr>
        <w:t>除招标文件中有特殊要求外，投标文件中所使用的计量单位，应采用中华人民共和国法定计量单位。</w:t>
      </w:r>
    </w:p>
    <w:p w14:paraId="66E51878">
      <w:pPr>
        <w:pStyle w:val="8"/>
        <w:snapToGrid w:val="0"/>
        <w:spacing w:beforeLines="0" w:after="0" w:afterLines="0" w:line="360" w:lineRule="auto"/>
        <w:ind w:firstLine="422" w:firstLineChars="200"/>
        <w:rPr>
          <w:rFonts w:hAnsi="宋体" w:eastAsia="宋体"/>
          <w:color w:val="auto"/>
          <w:sz w:val="21"/>
        </w:rPr>
      </w:pPr>
      <w:r>
        <w:rPr>
          <w:rFonts w:hint="eastAsia" w:hAnsi="宋体" w:eastAsia="宋体"/>
          <w:b/>
          <w:color w:val="auto"/>
          <w:sz w:val="21"/>
        </w:rPr>
        <w:t>21.投标文件的形式</w:t>
      </w:r>
    </w:p>
    <w:p w14:paraId="7DE8A69B">
      <w:pPr>
        <w:pStyle w:val="8"/>
        <w:snapToGrid w:val="0"/>
        <w:spacing w:beforeLines="0" w:after="0" w:afterLines="0" w:line="360" w:lineRule="auto"/>
        <w:ind w:firstLine="422" w:firstLineChars="200"/>
        <w:rPr>
          <w:rFonts w:hAnsi="宋体" w:eastAsia="宋体"/>
          <w:color w:val="auto"/>
          <w:sz w:val="21"/>
        </w:rPr>
      </w:pPr>
      <w:r>
        <w:rPr>
          <w:rFonts w:hint="eastAsia" w:hAnsi="宋体" w:eastAsia="宋体"/>
          <w:b/>
          <w:color w:val="auto"/>
          <w:sz w:val="21"/>
        </w:rPr>
        <w:t>本项目采用电子投标文件形式，分为电子加密投标文件和备份投标文件两种。</w:t>
      </w:r>
    </w:p>
    <w:p w14:paraId="614C818A">
      <w:pPr>
        <w:pStyle w:val="8"/>
        <w:snapToGrid w:val="0"/>
        <w:spacing w:beforeLines="0" w:after="0" w:afterLines="0" w:line="360" w:lineRule="auto"/>
        <w:ind w:firstLine="420" w:firstLineChars="200"/>
        <w:rPr>
          <w:rFonts w:hAnsi="宋体" w:eastAsia="宋体"/>
          <w:color w:val="auto"/>
          <w:sz w:val="21"/>
        </w:rPr>
      </w:pPr>
      <w:r>
        <w:rPr>
          <w:rFonts w:hint="eastAsia" w:hAnsi="宋体" w:eastAsia="宋体"/>
          <w:color w:val="auto"/>
          <w:sz w:val="21"/>
        </w:rPr>
        <w:t>21.1电子加密投标文件是指通过“政采云电子投标客户端”完成投标文件编制后生成并加密的数据电文形式的加密标书，后缀名为【.jmbs】。</w:t>
      </w:r>
    </w:p>
    <w:p w14:paraId="4F128770">
      <w:pPr>
        <w:pStyle w:val="8"/>
        <w:snapToGrid w:val="0"/>
        <w:spacing w:beforeLines="0" w:after="0" w:afterLines="0" w:line="360" w:lineRule="auto"/>
        <w:ind w:firstLine="420" w:firstLineChars="200"/>
        <w:rPr>
          <w:rFonts w:hAnsi="宋体" w:eastAsia="宋体"/>
          <w:color w:val="auto"/>
          <w:sz w:val="21"/>
        </w:rPr>
      </w:pPr>
      <w:r>
        <w:rPr>
          <w:rFonts w:hint="eastAsia" w:hAnsi="宋体" w:eastAsia="宋体"/>
          <w:color w:val="auto"/>
          <w:sz w:val="21"/>
        </w:rPr>
        <w:t>21.2备份投标文件是指与电子加密投标文件同时生成的数据电文形式的备份标书，后缀名为【.bfbs】。</w:t>
      </w:r>
    </w:p>
    <w:p w14:paraId="14E2BAA4">
      <w:pPr>
        <w:spacing w:after="0" w:line="360" w:lineRule="auto"/>
        <w:ind w:firstLine="422" w:firstLineChars="200"/>
        <w:rPr>
          <w:rFonts w:ascii="宋体" w:hAnsi="宋体" w:eastAsia="宋体"/>
          <w:b/>
          <w:color w:val="auto"/>
        </w:rPr>
      </w:pPr>
      <w:r>
        <w:rPr>
          <w:rFonts w:hint="eastAsia" w:ascii="宋体" w:hAnsi="宋体" w:eastAsia="宋体"/>
          <w:b/>
          <w:color w:val="auto"/>
        </w:rPr>
        <w:t>22.投标文件内容的构成</w:t>
      </w:r>
    </w:p>
    <w:p w14:paraId="591EEF15">
      <w:pPr>
        <w:pStyle w:val="8"/>
        <w:snapToGrid w:val="0"/>
        <w:spacing w:beforeLines="0" w:after="0" w:afterLines="0" w:line="360" w:lineRule="auto"/>
        <w:ind w:firstLine="420" w:firstLineChars="200"/>
        <w:rPr>
          <w:rFonts w:hAnsi="宋体" w:eastAsia="宋体"/>
          <w:color w:val="auto"/>
          <w:sz w:val="21"/>
        </w:rPr>
      </w:pPr>
      <w:r>
        <w:rPr>
          <w:rFonts w:hint="eastAsia" w:hAnsi="宋体" w:eastAsia="宋体"/>
          <w:color w:val="auto"/>
          <w:sz w:val="21"/>
        </w:rPr>
        <w:t>22.1投标人编写的投标文件应包含资格要求响应文件、商务技术文件和报价要求响应文件。</w:t>
      </w:r>
    </w:p>
    <w:p w14:paraId="12C6D9BD">
      <w:pPr>
        <w:pStyle w:val="8"/>
        <w:snapToGrid w:val="0"/>
        <w:spacing w:beforeLines="0" w:after="0" w:afterLines="0" w:line="360" w:lineRule="auto"/>
        <w:ind w:firstLine="420" w:firstLineChars="200"/>
        <w:rPr>
          <w:rFonts w:hAnsi="宋体" w:eastAsia="宋体"/>
          <w:color w:val="auto"/>
          <w:sz w:val="21"/>
        </w:rPr>
      </w:pPr>
      <w:r>
        <w:rPr>
          <w:rFonts w:hint="eastAsia" w:hAnsi="宋体" w:eastAsia="宋体"/>
          <w:color w:val="auto"/>
          <w:sz w:val="21"/>
        </w:rPr>
        <w:t>上述各项文件的组成内容见</w:t>
      </w:r>
      <w:r>
        <w:rPr>
          <w:rFonts w:hint="eastAsia" w:hAnsi="宋体" w:eastAsia="宋体"/>
          <w:color w:val="auto"/>
          <w:sz w:val="21"/>
          <w:u w:val="single"/>
        </w:rPr>
        <w:t>投标人须知前附表</w:t>
      </w:r>
      <w:r>
        <w:rPr>
          <w:rFonts w:hint="eastAsia" w:hAnsi="宋体" w:eastAsia="宋体"/>
          <w:color w:val="auto"/>
          <w:sz w:val="21"/>
        </w:rPr>
        <w:t>，未列入其中的内容，投标人认为需要的可以自行提供相关材料。</w:t>
      </w:r>
    </w:p>
    <w:p w14:paraId="719BEAB8">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22.2招标文件明确要求在投标文件中附（提交）证明材料而投标人未在投标文件中提供的，不被认定为对具体要求作出响应。</w:t>
      </w:r>
      <w:r>
        <w:rPr>
          <w:rFonts w:hint="eastAsia" w:ascii="宋体" w:hAnsi="宋体" w:eastAsia="宋体"/>
          <w:b/>
          <w:color w:val="auto"/>
        </w:rPr>
        <w:t>因投标人提供的证明材料缺少评审所需的关键或必要的信息或因中间页码缺失导致无法有效认定造成不予认可的风险和责任由投标人自行承担。</w:t>
      </w:r>
    </w:p>
    <w:p w14:paraId="0588847E">
      <w:pPr>
        <w:spacing w:after="0" w:line="360" w:lineRule="auto"/>
        <w:ind w:firstLine="422" w:firstLineChars="200"/>
        <w:rPr>
          <w:rFonts w:ascii="宋体" w:hAnsi="宋体" w:eastAsia="宋体"/>
          <w:b/>
          <w:color w:val="auto"/>
        </w:rPr>
      </w:pPr>
      <w:r>
        <w:rPr>
          <w:rFonts w:hint="eastAsia" w:ascii="宋体" w:hAnsi="宋体" w:eastAsia="宋体"/>
          <w:b/>
          <w:color w:val="auto"/>
        </w:rPr>
        <w:t>23.投标文件的制作</w:t>
      </w:r>
    </w:p>
    <w:p w14:paraId="614F7BC3">
      <w:pPr>
        <w:spacing w:after="0" w:line="360" w:lineRule="auto"/>
        <w:ind w:firstLine="420" w:firstLineChars="200"/>
        <w:rPr>
          <w:rFonts w:ascii="宋体" w:hAnsi="宋体" w:eastAsia="宋体" w:cs="Arial"/>
          <w:color w:val="auto"/>
          <w:kern w:val="0"/>
        </w:rPr>
      </w:pPr>
      <w:r>
        <w:rPr>
          <w:rFonts w:hint="eastAsia" w:ascii="宋体" w:hAnsi="宋体" w:eastAsia="宋体" w:cs="Arial"/>
          <w:color w:val="auto"/>
          <w:kern w:val="0"/>
        </w:rPr>
        <w:t>投标人应当安装“政采云电子投标客户端”，按照招标文件和政采云平台的要求编制并加密投标文件。</w:t>
      </w:r>
      <w:r>
        <w:rPr>
          <w:rFonts w:ascii="宋体" w:hAnsi="宋体" w:eastAsia="宋体" w:cs="Arial"/>
          <w:color w:val="auto"/>
          <w:kern w:val="0"/>
        </w:rPr>
        <w:t>投标文件的制作应满足以下规定：</w:t>
      </w:r>
    </w:p>
    <w:p w14:paraId="414BC533">
      <w:pPr>
        <w:spacing w:after="0" w:line="360" w:lineRule="auto"/>
        <w:ind w:firstLine="420" w:firstLineChars="200"/>
        <w:rPr>
          <w:rFonts w:ascii="宋体" w:hAnsi="宋体" w:eastAsia="宋体" w:cs="Arial"/>
          <w:color w:val="auto"/>
          <w:kern w:val="0"/>
        </w:rPr>
      </w:pPr>
      <w:r>
        <w:rPr>
          <w:rFonts w:hint="eastAsia" w:ascii="宋体" w:hAnsi="宋体" w:eastAsia="宋体" w:cs="Arial"/>
          <w:color w:val="auto"/>
          <w:kern w:val="0"/>
        </w:rPr>
        <w:t>（1）由</w:t>
      </w:r>
      <w:r>
        <w:rPr>
          <w:rFonts w:ascii="宋体" w:hAnsi="宋体" w:eastAsia="宋体" w:cs="Arial"/>
          <w:color w:val="auto"/>
          <w:kern w:val="0"/>
        </w:rPr>
        <w:t>投标人使用电子交易系统提供的投标文件制作工具制作生成。</w:t>
      </w:r>
    </w:p>
    <w:p w14:paraId="12D91BCF">
      <w:pPr>
        <w:spacing w:after="0" w:line="360" w:lineRule="auto"/>
        <w:ind w:firstLine="420" w:firstLineChars="200"/>
        <w:rPr>
          <w:rFonts w:ascii="宋体" w:hAnsi="宋体" w:eastAsia="宋体"/>
          <w:color w:val="auto"/>
        </w:rPr>
      </w:pPr>
      <w:r>
        <w:rPr>
          <w:rFonts w:hint="eastAsia" w:ascii="宋体" w:hAnsi="宋体" w:eastAsia="宋体"/>
          <w:color w:val="auto"/>
        </w:rPr>
        <w:t>（2）投标人应完整地填写投标函、开标一览表等招标文件提供的格式文件，以及为响应招标文件的要求及项目评审必须提供的其他材料。</w:t>
      </w:r>
    </w:p>
    <w:p w14:paraId="2E0C855B">
      <w:pPr>
        <w:snapToGrid w:val="0"/>
        <w:spacing w:after="0" w:line="360" w:lineRule="auto"/>
        <w:ind w:firstLine="422" w:firstLineChars="200"/>
        <w:jc w:val="left"/>
        <w:rPr>
          <w:rFonts w:ascii="宋体" w:hAnsi="宋体" w:eastAsia="宋体"/>
          <w:b/>
          <w:color w:val="auto"/>
        </w:rPr>
      </w:pPr>
      <w:r>
        <w:rPr>
          <w:rFonts w:hint="eastAsia" w:ascii="宋体" w:hAnsi="宋体" w:eastAsia="宋体"/>
          <w:b/>
          <w:color w:val="auto"/>
        </w:rPr>
        <w:t>注：投标人应准确设置评审关联定位，避免未设置或设置错误导致投标文件被误读、漏读或者查找不到相关内容。</w:t>
      </w:r>
    </w:p>
    <w:p w14:paraId="3164AD88">
      <w:pPr>
        <w:spacing w:after="0" w:line="360" w:lineRule="auto"/>
        <w:ind w:firstLine="422" w:firstLineChars="200"/>
        <w:rPr>
          <w:rFonts w:ascii="宋体" w:hAnsi="宋体" w:eastAsia="宋体"/>
          <w:b/>
          <w:color w:val="auto"/>
        </w:rPr>
      </w:pPr>
      <w:r>
        <w:rPr>
          <w:rFonts w:hint="eastAsia" w:ascii="宋体" w:hAnsi="宋体" w:eastAsia="宋体"/>
          <w:b/>
          <w:color w:val="auto"/>
        </w:rPr>
        <w:t>24.投标文件的签署及盖章</w:t>
      </w:r>
    </w:p>
    <w:p w14:paraId="7E61FA18">
      <w:pPr>
        <w:snapToGrid w:val="0"/>
        <w:spacing w:after="0" w:line="360" w:lineRule="auto"/>
        <w:ind w:firstLine="420" w:firstLineChars="200"/>
        <w:jc w:val="left"/>
        <w:rPr>
          <w:rFonts w:ascii="宋体" w:hAnsi="宋体" w:eastAsia="宋体"/>
          <w:b/>
          <w:color w:val="auto"/>
        </w:rPr>
      </w:pPr>
      <w:r>
        <w:rPr>
          <w:rFonts w:hint="eastAsia" w:ascii="宋体" w:hAnsi="宋体" w:eastAsia="宋体"/>
          <w:color w:val="auto"/>
        </w:rPr>
        <w:t>电子签章操作指南详见《政府采购项目电子交易管理操作指南-供应商》,</w:t>
      </w:r>
      <w:r>
        <w:rPr>
          <w:rFonts w:hint="eastAsia" w:ascii="宋体" w:hAnsi="宋体" w:eastAsia="宋体"/>
          <w:b/>
          <w:color w:val="auto"/>
        </w:rPr>
        <w:t>系统要求进行电子签章的文件，按系统要求签章。</w:t>
      </w:r>
    </w:p>
    <w:p w14:paraId="0FC453B2">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（1）招标文件要求签字的应当由投标人的法定代表人或经其正式授权的代表签字或盖章，</w:t>
      </w:r>
      <w:r>
        <w:rPr>
          <w:rFonts w:hint="eastAsia" w:ascii="宋体" w:hAnsi="宋体" w:eastAsia="宋体"/>
          <w:b/>
          <w:color w:val="auto"/>
        </w:rPr>
        <w:t>因未获取电子姓名签章无法直接在系统中进行法定代表人或其授权代表电子签名操作的，可以线下签字或盖章后扫描上传。</w:t>
      </w:r>
    </w:p>
    <w:p w14:paraId="79CB9992">
      <w:pPr>
        <w:snapToGrid w:val="0"/>
        <w:spacing w:after="0" w:line="360" w:lineRule="auto"/>
        <w:ind w:firstLine="420" w:firstLineChars="200"/>
        <w:jc w:val="left"/>
        <w:rPr>
          <w:rFonts w:ascii="宋体" w:hAnsi="宋体" w:eastAsia="宋体"/>
          <w:color w:val="auto"/>
        </w:rPr>
      </w:pPr>
      <w:r>
        <w:rPr>
          <w:rFonts w:hint="eastAsia" w:ascii="宋体" w:hAnsi="宋体" w:eastAsia="宋体" w:cs="Arial"/>
          <w:color w:val="auto"/>
          <w:kern w:val="0"/>
        </w:rPr>
        <w:t>（2）《</w:t>
      </w:r>
      <w:r>
        <w:rPr>
          <w:rFonts w:ascii="宋体" w:hAnsi="宋体" w:eastAsia="宋体" w:cs="Arial"/>
          <w:color w:val="auto"/>
          <w:kern w:val="0"/>
        </w:rPr>
        <w:t>第</w:t>
      </w:r>
      <w:r>
        <w:rPr>
          <w:rFonts w:hint="eastAsia" w:ascii="宋体" w:hAnsi="宋体" w:eastAsia="宋体" w:cs="Arial"/>
          <w:color w:val="auto"/>
          <w:kern w:val="0"/>
        </w:rPr>
        <w:t>六</w:t>
      </w:r>
      <w:r>
        <w:rPr>
          <w:rFonts w:ascii="宋体" w:hAnsi="宋体" w:eastAsia="宋体" w:cs="Arial"/>
          <w:color w:val="auto"/>
          <w:kern w:val="0"/>
        </w:rPr>
        <w:t>章</w:t>
      </w:r>
      <w:r>
        <w:rPr>
          <w:rFonts w:hint="eastAsia" w:ascii="宋体" w:hAnsi="宋体" w:eastAsia="宋体" w:cs="Arial"/>
          <w:color w:val="auto"/>
          <w:kern w:val="0"/>
        </w:rPr>
        <w:t xml:space="preserve"> </w:t>
      </w:r>
      <w:r>
        <w:rPr>
          <w:rFonts w:ascii="宋体" w:hAnsi="宋体" w:eastAsia="宋体" w:cs="Arial"/>
          <w:color w:val="auto"/>
          <w:kern w:val="0"/>
        </w:rPr>
        <w:t xml:space="preserve"> 投标文件格式</w:t>
      </w:r>
      <w:r>
        <w:rPr>
          <w:rFonts w:hint="eastAsia" w:ascii="宋体" w:hAnsi="宋体" w:eastAsia="宋体" w:cs="Arial"/>
          <w:color w:val="auto"/>
          <w:kern w:val="0"/>
        </w:rPr>
        <w:t>》提供的相关文件</w:t>
      </w:r>
      <w:r>
        <w:rPr>
          <w:rFonts w:ascii="宋体" w:hAnsi="宋体" w:eastAsia="宋体" w:cs="Arial"/>
          <w:color w:val="auto"/>
          <w:kern w:val="0"/>
        </w:rPr>
        <w:t>要求</w:t>
      </w:r>
      <w:r>
        <w:rPr>
          <w:rFonts w:hint="eastAsia" w:ascii="宋体" w:hAnsi="宋体" w:eastAsia="宋体" w:cs="Arial"/>
          <w:color w:val="auto"/>
          <w:kern w:val="0"/>
        </w:rPr>
        <w:t>加盖公</w:t>
      </w:r>
      <w:r>
        <w:rPr>
          <w:rFonts w:ascii="宋体" w:hAnsi="宋体" w:eastAsia="宋体" w:cs="Arial"/>
          <w:color w:val="auto"/>
          <w:kern w:val="0"/>
        </w:rPr>
        <w:t>章处，投标人均应加盖</w:t>
      </w:r>
      <w:r>
        <w:rPr>
          <w:rFonts w:hint="eastAsia" w:ascii="宋体" w:hAnsi="宋体" w:eastAsia="宋体" w:cs="Arial"/>
          <w:color w:val="auto"/>
          <w:kern w:val="0"/>
        </w:rPr>
        <w:t>公</w:t>
      </w:r>
      <w:r>
        <w:rPr>
          <w:rFonts w:ascii="宋体" w:hAnsi="宋体" w:eastAsia="宋体" w:cs="Arial"/>
          <w:color w:val="auto"/>
          <w:kern w:val="0"/>
        </w:rPr>
        <w:t>章</w:t>
      </w:r>
      <w:r>
        <w:rPr>
          <w:rFonts w:hint="eastAsia" w:ascii="宋体" w:hAnsi="宋体" w:eastAsia="宋体" w:cs="Arial"/>
          <w:color w:val="auto"/>
          <w:kern w:val="0"/>
        </w:rPr>
        <w:t>，</w:t>
      </w:r>
      <w:r>
        <w:rPr>
          <w:rFonts w:hint="eastAsia" w:ascii="宋体" w:hAnsi="宋体" w:eastAsia="宋体"/>
          <w:color w:val="auto"/>
        </w:rPr>
        <w:t>可使用电子公章在线签章或线下加盖公章后扫描上传。</w:t>
      </w:r>
    </w:p>
    <w:p w14:paraId="12CF61F0">
      <w:pPr>
        <w:snapToGrid w:val="0"/>
        <w:spacing w:after="0" w:line="360" w:lineRule="auto"/>
        <w:ind w:firstLine="422" w:firstLineChars="200"/>
        <w:jc w:val="left"/>
        <w:rPr>
          <w:rFonts w:ascii="宋体" w:hAnsi="宋体" w:cs="Arial"/>
          <w:b/>
          <w:color w:val="auto"/>
          <w:kern w:val="0"/>
        </w:rPr>
      </w:pPr>
      <w:r>
        <w:rPr>
          <w:rFonts w:ascii="宋体" w:hAnsi="宋体" w:cs="Arial"/>
          <w:b/>
          <w:color w:val="auto"/>
          <w:kern w:val="0"/>
        </w:rPr>
        <w:t>联合体投标的，联合协议</w:t>
      </w:r>
      <w:r>
        <w:rPr>
          <w:rFonts w:hint="eastAsia" w:ascii="宋体" w:hAnsi="宋体" w:cs="Arial"/>
          <w:b/>
          <w:color w:val="auto"/>
          <w:kern w:val="0"/>
        </w:rPr>
        <w:t>及联合体各成员单位提供的本单位的供应商资格要求证明材料由各自单位盖章</w:t>
      </w:r>
      <w:r>
        <w:rPr>
          <w:rFonts w:ascii="宋体" w:hAnsi="宋体" w:cs="Arial"/>
          <w:b/>
          <w:color w:val="auto"/>
          <w:kern w:val="0"/>
        </w:rPr>
        <w:t>，</w:t>
      </w:r>
      <w:r>
        <w:rPr>
          <w:rFonts w:hint="eastAsia" w:ascii="宋体" w:hAnsi="宋体" w:cs="Arial"/>
          <w:b/>
          <w:color w:val="auto"/>
          <w:kern w:val="0"/>
        </w:rPr>
        <w:t>除特别注明要求联合体成员各自盖章的资料外，其余</w:t>
      </w:r>
      <w:r>
        <w:rPr>
          <w:rFonts w:ascii="宋体" w:hAnsi="宋体" w:cs="Arial"/>
          <w:b/>
          <w:color w:val="auto"/>
          <w:kern w:val="0"/>
        </w:rPr>
        <w:t>投标文件</w:t>
      </w:r>
      <w:r>
        <w:rPr>
          <w:rFonts w:hint="eastAsia" w:ascii="宋体" w:hAnsi="宋体" w:cs="Arial"/>
          <w:b/>
          <w:color w:val="auto"/>
          <w:kern w:val="0"/>
        </w:rPr>
        <w:t>资料</w:t>
      </w:r>
      <w:r>
        <w:rPr>
          <w:rFonts w:ascii="宋体" w:hAnsi="宋体" w:cs="Arial"/>
          <w:b/>
          <w:color w:val="auto"/>
          <w:kern w:val="0"/>
        </w:rPr>
        <w:t>由联合体牵头人按规定加盖联合体牵头人单位</w:t>
      </w:r>
      <w:r>
        <w:rPr>
          <w:rFonts w:hint="eastAsia" w:ascii="宋体" w:hAnsi="宋体" w:cs="Arial"/>
          <w:b/>
          <w:color w:val="auto"/>
          <w:kern w:val="0"/>
        </w:rPr>
        <w:t>公</w:t>
      </w:r>
      <w:r>
        <w:rPr>
          <w:rFonts w:ascii="宋体" w:hAnsi="宋体" w:cs="Arial"/>
          <w:b/>
          <w:color w:val="auto"/>
          <w:kern w:val="0"/>
        </w:rPr>
        <w:t>章。</w:t>
      </w:r>
    </w:p>
    <w:p w14:paraId="38ECFD3E">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（3）投标</w:t>
      </w:r>
      <w:r>
        <w:rPr>
          <w:rFonts w:ascii="宋体" w:hAnsi="宋体" w:eastAsia="宋体"/>
          <w:color w:val="auto"/>
        </w:rPr>
        <w:t>文件若有错</w:t>
      </w:r>
      <w:r>
        <w:rPr>
          <w:rFonts w:hint="eastAsia" w:ascii="宋体" w:hAnsi="宋体" w:eastAsia="宋体"/>
          <w:color w:val="auto"/>
        </w:rPr>
        <w:t>、</w:t>
      </w:r>
      <w:r>
        <w:rPr>
          <w:rFonts w:ascii="宋体" w:hAnsi="宋体" w:eastAsia="宋体"/>
          <w:color w:val="auto"/>
        </w:rPr>
        <w:t>漏处</w:t>
      </w:r>
      <w:r>
        <w:rPr>
          <w:rFonts w:hint="eastAsia" w:ascii="宋体" w:hAnsi="宋体" w:eastAsia="宋体"/>
          <w:color w:val="auto"/>
        </w:rPr>
        <w:t>等必须修改的，修改处应当</w:t>
      </w:r>
      <w:r>
        <w:rPr>
          <w:rFonts w:ascii="宋体" w:hAnsi="宋体" w:eastAsia="宋体"/>
          <w:color w:val="auto"/>
        </w:rPr>
        <w:t>加盖</w:t>
      </w:r>
      <w:r>
        <w:rPr>
          <w:rFonts w:hint="eastAsia" w:ascii="宋体" w:hAnsi="宋体" w:eastAsia="宋体"/>
          <w:color w:val="auto"/>
        </w:rPr>
        <w:t>投标人</w:t>
      </w:r>
      <w:r>
        <w:rPr>
          <w:rFonts w:ascii="宋体" w:hAnsi="宋体" w:eastAsia="宋体"/>
          <w:color w:val="auto"/>
        </w:rPr>
        <w:t>公章或者</w:t>
      </w:r>
      <w:r>
        <w:rPr>
          <w:rFonts w:hint="eastAsia" w:ascii="宋体" w:hAnsi="宋体" w:eastAsia="宋体"/>
          <w:color w:val="auto"/>
        </w:rPr>
        <w:t>由投标人的</w:t>
      </w:r>
      <w:r>
        <w:rPr>
          <w:rFonts w:ascii="宋体" w:hAnsi="宋体" w:eastAsia="宋体"/>
          <w:color w:val="auto"/>
        </w:rPr>
        <w:t>法定代表人</w:t>
      </w:r>
      <w:r>
        <w:rPr>
          <w:rFonts w:hint="eastAsia" w:ascii="宋体" w:hAnsi="宋体" w:eastAsia="宋体"/>
          <w:color w:val="auto"/>
        </w:rPr>
        <w:t>或其</w:t>
      </w:r>
      <w:r>
        <w:rPr>
          <w:rFonts w:ascii="宋体" w:hAnsi="宋体" w:eastAsia="宋体"/>
          <w:color w:val="auto"/>
        </w:rPr>
        <w:t>授权</w:t>
      </w:r>
      <w:r>
        <w:rPr>
          <w:rFonts w:hint="eastAsia" w:ascii="宋体" w:hAnsi="宋体" w:eastAsia="宋体"/>
          <w:color w:val="auto"/>
        </w:rPr>
        <w:t>代表</w:t>
      </w:r>
      <w:r>
        <w:rPr>
          <w:rFonts w:ascii="宋体" w:hAnsi="宋体" w:eastAsia="宋体"/>
          <w:color w:val="auto"/>
        </w:rPr>
        <w:t>签字</w:t>
      </w:r>
      <w:r>
        <w:rPr>
          <w:rFonts w:hint="eastAsia" w:ascii="宋体" w:hAnsi="宋体" w:eastAsia="宋体"/>
          <w:color w:val="auto"/>
        </w:rPr>
        <w:t>或盖章</w:t>
      </w:r>
      <w:r>
        <w:rPr>
          <w:rFonts w:ascii="宋体" w:hAnsi="宋体" w:eastAsia="宋体"/>
          <w:color w:val="auto"/>
        </w:rPr>
        <w:t>。</w:t>
      </w:r>
    </w:p>
    <w:p w14:paraId="76BC112E">
      <w:pPr>
        <w:spacing w:after="0" w:line="360" w:lineRule="auto"/>
        <w:ind w:firstLine="422" w:firstLineChars="200"/>
        <w:rPr>
          <w:rFonts w:ascii="宋体" w:hAnsi="宋体" w:eastAsia="宋体"/>
          <w:b/>
          <w:color w:val="auto"/>
        </w:rPr>
      </w:pPr>
      <w:r>
        <w:rPr>
          <w:rFonts w:ascii="宋体" w:hAnsi="宋体" w:eastAsia="宋体"/>
          <w:b/>
          <w:color w:val="auto"/>
        </w:rPr>
        <w:t>2</w:t>
      </w:r>
      <w:r>
        <w:rPr>
          <w:rFonts w:hint="eastAsia" w:ascii="宋体" w:hAnsi="宋体" w:eastAsia="宋体"/>
          <w:b/>
          <w:color w:val="auto"/>
        </w:rPr>
        <w:t>5</w:t>
      </w:r>
      <w:r>
        <w:rPr>
          <w:rFonts w:ascii="宋体" w:hAnsi="宋体" w:eastAsia="宋体"/>
          <w:b/>
          <w:color w:val="auto"/>
        </w:rPr>
        <w:t>.投标报价要求</w:t>
      </w:r>
    </w:p>
    <w:p w14:paraId="27EC13DD">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2</w:t>
      </w:r>
      <w:r>
        <w:rPr>
          <w:rFonts w:ascii="宋体" w:hAnsi="宋体" w:eastAsia="宋体"/>
          <w:color w:val="auto"/>
        </w:rPr>
        <w:t>5.1</w:t>
      </w:r>
      <w:r>
        <w:rPr>
          <w:rFonts w:hint="eastAsia" w:ascii="宋体" w:hAnsi="宋体" w:eastAsia="宋体"/>
          <w:color w:val="auto"/>
        </w:rPr>
        <w:t>报价要求：投标报价组成</w:t>
      </w:r>
      <w:r>
        <w:rPr>
          <w:rFonts w:hint="eastAsia" w:ascii="宋体" w:hAnsi="宋体" w:eastAsia="宋体"/>
          <w:color w:val="auto"/>
          <w:u w:val="single"/>
        </w:rPr>
        <w:t>详见投标人须知前附表</w:t>
      </w:r>
      <w:r>
        <w:rPr>
          <w:rFonts w:hint="eastAsia" w:ascii="宋体" w:hAnsi="宋体" w:eastAsia="宋体"/>
          <w:color w:val="auto"/>
        </w:rPr>
        <w:t>。</w:t>
      </w:r>
    </w:p>
    <w:p w14:paraId="26C2CC65">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25.2投标人应在分项报价文件中标明分项服务的价格，未标明的视同包含在投标报价中。</w:t>
      </w:r>
    </w:p>
    <w:p w14:paraId="1A2800A2">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25.3投标报价及结算货币均为人民币，针对本项目的投标报价（包含分项报价）</w:t>
      </w:r>
      <w:r>
        <w:rPr>
          <w:rFonts w:ascii="宋体" w:hAnsi="宋体" w:eastAsia="宋体"/>
          <w:color w:val="auto"/>
        </w:rPr>
        <w:t>只允许有一个，</w:t>
      </w:r>
      <w:r>
        <w:rPr>
          <w:rFonts w:hint="eastAsia" w:ascii="宋体" w:hAnsi="宋体" w:eastAsia="宋体"/>
          <w:color w:val="auto"/>
        </w:rPr>
        <w:t>不接受</w:t>
      </w:r>
      <w:r>
        <w:rPr>
          <w:rFonts w:ascii="宋体" w:hAnsi="宋体" w:eastAsia="宋体"/>
          <w:color w:val="auto"/>
        </w:rPr>
        <w:t>有选择的</w:t>
      </w:r>
      <w:r>
        <w:rPr>
          <w:rFonts w:hint="eastAsia" w:ascii="宋体" w:hAnsi="宋体" w:eastAsia="宋体"/>
          <w:color w:val="auto"/>
        </w:rPr>
        <w:t>或有附加条件的投标</w:t>
      </w:r>
      <w:r>
        <w:rPr>
          <w:rFonts w:ascii="宋体" w:hAnsi="宋体" w:eastAsia="宋体"/>
          <w:color w:val="auto"/>
        </w:rPr>
        <w:t>报价</w:t>
      </w:r>
      <w:r>
        <w:rPr>
          <w:rFonts w:hint="eastAsia" w:ascii="宋体" w:hAnsi="宋体" w:eastAsia="宋体"/>
          <w:color w:val="auto"/>
        </w:rPr>
        <w:t>（包含分项报价）</w:t>
      </w:r>
      <w:r>
        <w:rPr>
          <w:rFonts w:ascii="宋体" w:hAnsi="宋体" w:eastAsia="宋体"/>
          <w:color w:val="auto"/>
        </w:rPr>
        <w:t>。</w:t>
      </w:r>
    </w:p>
    <w:p w14:paraId="0BACF456">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25.4</w:t>
      </w:r>
      <w:r>
        <w:rPr>
          <w:rFonts w:hint="eastAsia" w:ascii="宋体" w:hAnsi="宋体" w:eastAsia="宋体"/>
          <w:b/>
          <w:color w:val="auto"/>
        </w:rPr>
        <w:t>投标报价不允许为0元（即赠送），采购人不予接受，其投标文件按照投标无效处理。</w:t>
      </w:r>
    </w:p>
    <w:p w14:paraId="0526448A">
      <w:pPr>
        <w:spacing w:after="0" w:line="360" w:lineRule="auto"/>
        <w:ind w:firstLine="422" w:firstLineChars="200"/>
        <w:rPr>
          <w:rFonts w:ascii="宋体" w:hAnsi="宋体" w:eastAsia="宋体"/>
          <w:b/>
          <w:color w:val="auto"/>
        </w:rPr>
      </w:pPr>
      <w:r>
        <w:rPr>
          <w:rFonts w:hint="eastAsia" w:ascii="宋体" w:hAnsi="宋体" w:eastAsia="宋体"/>
          <w:b/>
          <w:color w:val="auto"/>
        </w:rPr>
        <w:t>26.投标保证金</w:t>
      </w:r>
    </w:p>
    <w:p w14:paraId="28200593">
      <w:pPr>
        <w:spacing w:after="0" w:line="360" w:lineRule="auto"/>
        <w:ind w:firstLine="420" w:firstLineChars="200"/>
        <w:rPr>
          <w:rFonts w:ascii="宋体" w:hAnsi="宋体" w:eastAsia="宋体"/>
          <w:color w:val="auto"/>
        </w:rPr>
      </w:pPr>
      <w:r>
        <w:rPr>
          <w:rFonts w:hint="eastAsia" w:ascii="宋体" w:hAnsi="宋体" w:eastAsia="宋体"/>
          <w:color w:val="auto"/>
        </w:rPr>
        <w:t>本项目无须投标人缴纳投标保证金。</w:t>
      </w:r>
    </w:p>
    <w:p w14:paraId="6F82AF04">
      <w:pPr>
        <w:spacing w:after="0" w:line="360" w:lineRule="auto"/>
        <w:ind w:firstLine="422" w:firstLineChars="200"/>
        <w:rPr>
          <w:rFonts w:ascii="宋体" w:hAnsi="宋体" w:eastAsia="宋体"/>
          <w:b/>
          <w:color w:val="auto"/>
        </w:rPr>
      </w:pPr>
      <w:r>
        <w:rPr>
          <w:rFonts w:hint="eastAsia" w:ascii="宋体" w:hAnsi="宋体" w:eastAsia="宋体"/>
          <w:b/>
          <w:color w:val="auto"/>
        </w:rPr>
        <w:t>27.投标有效期</w:t>
      </w:r>
    </w:p>
    <w:p w14:paraId="03812BC3">
      <w:pPr>
        <w:pStyle w:val="8"/>
        <w:snapToGrid w:val="0"/>
        <w:spacing w:beforeLines="0" w:after="0" w:afterLines="0" w:line="360" w:lineRule="auto"/>
        <w:ind w:firstLine="420" w:firstLineChars="200"/>
        <w:jc w:val="left"/>
        <w:rPr>
          <w:rFonts w:hAnsi="宋体" w:eastAsia="宋体"/>
          <w:color w:val="auto"/>
          <w:sz w:val="21"/>
        </w:rPr>
      </w:pPr>
      <w:r>
        <w:rPr>
          <w:rFonts w:hint="eastAsia" w:hAnsi="宋体" w:eastAsia="宋体"/>
          <w:color w:val="auto"/>
          <w:sz w:val="21"/>
        </w:rPr>
        <w:t>27.1投标有效期为从投标截止之日算起的日历天数，投标有效期</w:t>
      </w:r>
      <w:r>
        <w:rPr>
          <w:rFonts w:hint="eastAsia" w:hAnsi="宋体" w:eastAsia="宋体"/>
          <w:color w:val="auto"/>
          <w:sz w:val="21"/>
          <w:u w:val="single"/>
        </w:rPr>
        <w:t>详见投标人须知前附表</w:t>
      </w:r>
      <w:r>
        <w:rPr>
          <w:rFonts w:hint="eastAsia" w:hAnsi="宋体" w:eastAsia="宋体"/>
          <w:color w:val="auto"/>
          <w:sz w:val="21"/>
        </w:rPr>
        <w:t>。</w:t>
      </w:r>
    </w:p>
    <w:p w14:paraId="0D787C55">
      <w:pPr>
        <w:spacing w:after="0" w:line="360" w:lineRule="auto"/>
        <w:ind w:firstLine="420"/>
        <w:rPr>
          <w:rFonts w:ascii="宋体" w:hAnsi="宋体" w:eastAsia="宋体"/>
          <w:color w:val="auto"/>
          <w:kern w:val="0"/>
        </w:rPr>
      </w:pPr>
      <w:r>
        <w:rPr>
          <w:rFonts w:hint="eastAsia" w:ascii="宋体" w:hAnsi="宋体" w:eastAsia="宋体"/>
          <w:color w:val="auto"/>
          <w:kern w:val="0"/>
        </w:rPr>
        <w:t>27.2在投标有效期内，投标人的投标保持有效，投标人不得要求撤销或修改其投标文件。投标有效期不满足要求的投标，其投标将被认定为</w:t>
      </w:r>
      <w:r>
        <w:rPr>
          <w:rFonts w:hint="eastAsia" w:ascii="宋体" w:hAnsi="宋体" w:eastAsia="宋体"/>
          <w:b/>
          <w:color w:val="auto"/>
          <w:kern w:val="0"/>
        </w:rPr>
        <w:t>投标无效</w:t>
      </w:r>
      <w:r>
        <w:rPr>
          <w:rFonts w:hint="eastAsia" w:ascii="宋体" w:hAnsi="宋体" w:eastAsia="宋体"/>
          <w:color w:val="auto"/>
          <w:kern w:val="0"/>
        </w:rPr>
        <w:t>。</w:t>
      </w:r>
    </w:p>
    <w:p w14:paraId="62468DF6">
      <w:pPr>
        <w:pStyle w:val="23"/>
        <w:spacing w:before="0" w:beforeLines="0" w:after="0" w:afterLines="0" w:line="360" w:lineRule="auto"/>
        <w:jc w:val="center"/>
        <w:rPr>
          <w:rFonts w:ascii="宋体" w:hAnsi="宋体" w:eastAsia="宋体"/>
          <w:color w:val="auto"/>
          <w:sz w:val="21"/>
          <w:szCs w:val="21"/>
        </w:rPr>
      </w:pPr>
      <w:bookmarkStart w:id="82" w:name="_Toc118452530"/>
      <w:r>
        <w:rPr>
          <w:rFonts w:hint="eastAsia" w:ascii="宋体" w:hAnsi="宋体" w:eastAsia="宋体"/>
          <w:color w:val="auto"/>
          <w:sz w:val="21"/>
          <w:szCs w:val="21"/>
        </w:rPr>
        <w:t>四、投标文件的提交</w:t>
      </w:r>
      <w:bookmarkEnd w:id="82"/>
    </w:p>
    <w:p w14:paraId="47C10257">
      <w:pPr>
        <w:pStyle w:val="8"/>
        <w:snapToGrid w:val="0"/>
        <w:spacing w:beforeLines="0" w:after="0" w:afterLines="0" w:line="360" w:lineRule="auto"/>
        <w:ind w:firstLine="422" w:firstLineChars="200"/>
        <w:jc w:val="left"/>
        <w:rPr>
          <w:rFonts w:hAnsi="宋体" w:eastAsia="宋体" w:cs="宋体"/>
          <w:b/>
          <w:color w:val="auto"/>
          <w:sz w:val="21"/>
        </w:rPr>
      </w:pPr>
      <w:r>
        <w:rPr>
          <w:rFonts w:hint="eastAsia" w:hAnsi="宋体" w:eastAsia="宋体" w:cs="宋体"/>
          <w:b/>
          <w:color w:val="auto"/>
          <w:sz w:val="21"/>
        </w:rPr>
        <w:t>28.电子加密投标文件的提交</w:t>
      </w:r>
    </w:p>
    <w:p w14:paraId="528393A1">
      <w:pPr>
        <w:pStyle w:val="8"/>
        <w:snapToGrid w:val="0"/>
        <w:spacing w:beforeLines="0" w:after="0" w:afterLines="0" w:line="360" w:lineRule="auto"/>
        <w:ind w:firstLine="420" w:firstLineChars="200"/>
        <w:jc w:val="left"/>
        <w:rPr>
          <w:rFonts w:hAnsi="宋体" w:eastAsia="宋体" w:cs="宋体"/>
          <w:color w:val="auto"/>
          <w:sz w:val="21"/>
        </w:rPr>
      </w:pPr>
      <w:r>
        <w:rPr>
          <w:rFonts w:hint="eastAsia" w:hAnsi="宋体" w:eastAsia="宋体" w:cs="宋体"/>
          <w:color w:val="auto"/>
          <w:sz w:val="21"/>
        </w:rPr>
        <w:t>投标人应当在投标截止时间前将电子加密投标文件上传至政采云平台（https：//www.zcygov.cn/），成功上传后，投标人可自行打印投标文件接收回执。</w:t>
      </w:r>
    </w:p>
    <w:p w14:paraId="1CC36108">
      <w:pPr>
        <w:pStyle w:val="8"/>
        <w:snapToGrid w:val="0"/>
        <w:spacing w:beforeLines="0" w:after="0" w:afterLines="0" w:line="360" w:lineRule="auto"/>
        <w:ind w:firstLine="422" w:firstLineChars="200"/>
        <w:jc w:val="left"/>
        <w:rPr>
          <w:rFonts w:hAnsi="宋体" w:eastAsia="宋体" w:cs="宋体"/>
          <w:b/>
          <w:color w:val="auto"/>
          <w:sz w:val="21"/>
        </w:rPr>
      </w:pPr>
      <w:r>
        <w:rPr>
          <w:rFonts w:hint="eastAsia" w:hAnsi="宋体" w:eastAsia="宋体"/>
          <w:b/>
          <w:color w:val="auto"/>
          <w:sz w:val="21"/>
        </w:rPr>
        <w:t>29.</w:t>
      </w:r>
      <w:r>
        <w:rPr>
          <w:rFonts w:hint="eastAsia" w:hAnsi="宋体" w:eastAsia="宋体" w:cs="宋体"/>
          <w:b/>
          <w:color w:val="auto"/>
          <w:sz w:val="21"/>
        </w:rPr>
        <w:t>备份投标文件的提交</w:t>
      </w:r>
    </w:p>
    <w:p w14:paraId="0E6E25B5">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投标人可以在投标截止时间前提交备份投标文件。备份投标文件的载体必须密封包装，密封包装应当清楚的标明项目名称、项目编号、投标人名称并加盖公章。采购人或采购代理机构有权拒绝接收未按照规定密封、标注、盖章的备份投标文件。</w:t>
      </w:r>
    </w:p>
    <w:p w14:paraId="32A95444">
      <w:pPr>
        <w:spacing w:after="0" w:line="360" w:lineRule="auto"/>
        <w:ind w:firstLine="422" w:firstLineChars="200"/>
        <w:rPr>
          <w:rFonts w:ascii="宋体" w:hAnsi="宋体" w:eastAsia="宋体"/>
          <w:b/>
          <w:color w:val="auto"/>
        </w:rPr>
      </w:pPr>
      <w:r>
        <w:rPr>
          <w:rFonts w:hint="eastAsia" w:ascii="宋体" w:hAnsi="宋体" w:eastAsia="宋体"/>
          <w:b/>
          <w:color w:val="auto"/>
        </w:rPr>
        <w:t>30.投标截止时间及地点</w:t>
      </w:r>
    </w:p>
    <w:p w14:paraId="2512816F">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30.1投标截止时间及地点见</w:t>
      </w:r>
      <w:r>
        <w:rPr>
          <w:rFonts w:hint="eastAsia" w:ascii="宋体" w:hAnsi="宋体" w:eastAsia="宋体"/>
          <w:color w:val="auto"/>
          <w:u w:val="single"/>
        </w:rPr>
        <w:t>招标公告（投标邀请）</w:t>
      </w:r>
      <w:r>
        <w:rPr>
          <w:rFonts w:hint="eastAsia" w:ascii="宋体" w:hAnsi="宋体" w:eastAsia="宋体"/>
          <w:color w:val="auto"/>
        </w:rPr>
        <w:t>。</w:t>
      </w:r>
    </w:p>
    <w:p w14:paraId="51FC32CD">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30.2采购人或采购代理机构可以根据项目情况</w:t>
      </w:r>
      <w:r>
        <w:rPr>
          <w:rFonts w:ascii="宋体" w:hAnsi="宋体" w:eastAsia="宋体"/>
          <w:color w:val="auto"/>
        </w:rPr>
        <w:t>，</w:t>
      </w:r>
      <w:r>
        <w:rPr>
          <w:rFonts w:hint="eastAsia" w:ascii="宋体" w:hAnsi="宋体" w:eastAsia="宋体"/>
          <w:color w:val="auto"/>
        </w:rPr>
        <w:t>推迟投标截止时间。在此情况下，采购人、采购代理机构和投标人受投标截止时间约束的所有权利和义务均延长至新的截止时间。</w:t>
      </w:r>
    </w:p>
    <w:p w14:paraId="5335B425">
      <w:pPr>
        <w:snapToGrid w:val="0"/>
        <w:spacing w:after="0" w:line="360" w:lineRule="auto"/>
        <w:ind w:firstLine="422" w:firstLineChars="200"/>
        <w:jc w:val="left"/>
        <w:rPr>
          <w:rFonts w:ascii="宋体" w:hAnsi="宋体" w:eastAsia="宋体"/>
          <w:color w:val="auto"/>
        </w:rPr>
      </w:pPr>
      <w:r>
        <w:rPr>
          <w:rFonts w:hint="eastAsia" w:ascii="宋体" w:hAnsi="宋体" w:eastAsia="宋体"/>
          <w:b/>
          <w:color w:val="auto"/>
        </w:rPr>
        <w:t>31.投标文件的修改和撤回</w:t>
      </w:r>
    </w:p>
    <w:p w14:paraId="4E4CC8D5">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31.1</w:t>
      </w:r>
      <w:r>
        <w:rPr>
          <w:rFonts w:ascii="宋体" w:hAnsi="宋体" w:eastAsia="宋体"/>
          <w:color w:val="auto"/>
        </w:rPr>
        <w:t>投标人在投标截止时间前，可以对</w:t>
      </w:r>
      <w:r>
        <w:rPr>
          <w:rFonts w:hint="eastAsia" w:ascii="宋体" w:hAnsi="宋体" w:eastAsia="宋体"/>
          <w:color w:val="auto"/>
        </w:rPr>
        <w:t>已经提交</w:t>
      </w:r>
      <w:r>
        <w:rPr>
          <w:rFonts w:ascii="宋体" w:hAnsi="宋体" w:eastAsia="宋体"/>
          <w:color w:val="auto"/>
        </w:rPr>
        <w:t>的投标文件进行补充、修改或者撤回。</w:t>
      </w:r>
    </w:p>
    <w:p w14:paraId="72C1619A">
      <w:pPr>
        <w:snapToGrid w:val="0"/>
        <w:spacing w:after="0" w:line="360" w:lineRule="auto"/>
        <w:ind w:firstLine="420" w:firstLineChars="200"/>
        <w:jc w:val="left"/>
        <w:rPr>
          <w:rFonts w:ascii="宋体" w:hAnsi="宋体" w:eastAsia="宋体" w:cs="Helvetica"/>
          <w:color w:val="auto"/>
          <w:kern w:val="0"/>
        </w:rPr>
      </w:pPr>
      <w:r>
        <w:rPr>
          <w:rFonts w:hint="eastAsia" w:ascii="宋体" w:hAnsi="宋体" w:eastAsia="宋体"/>
          <w:color w:val="auto"/>
        </w:rPr>
        <w:t>对已经完成传输递交的</w:t>
      </w:r>
      <w:r>
        <w:rPr>
          <w:rFonts w:hint="eastAsia" w:ascii="宋体" w:hAnsi="宋体" w:eastAsia="宋体" w:cs="宋体"/>
          <w:color w:val="auto"/>
        </w:rPr>
        <w:t>电子加密投标文件进行</w:t>
      </w:r>
      <w:r>
        <w:rPr>
          <w:rFonts w:hint="eastAsia" w:ascii="宋体" w:hAnsi="宋体" w:eastAsia="宋体" w:cs="Helvetica"/>
          <w:color w:val="auto"/>
          <w:kern w:val="0"/>
        </w:rPr>
        <w:t>补充或者修改的，应当先行撤回原文件，补充、修改后重新传输递交。投标人在投标截止时间前未重新完成传输递交的，</w:t>
      </w:r>
      <w:r>
        <w:rPr>
          <w:rFonts w:hint="eastAsia" w:ascii="宋体" w:hAnsi="宋体" w:eastAsia="宋体" w:cs="Helvetica"/>
          <w:b/>
          <w:color w:val="auto"/>
          <w:kern w:val="0"/>
        </w:rPr>
        <w:t>视为撤回投标文件</w:t>
      </w:r>
      <w:r>
        <w:rPr>
          <w:rFonts w:hint="eastAsia" w:ascii="宋体" w:hAnsi="宋体" w:eastAsia="宋体" w:cs="Helvetica"/>
          <w:color w:val="auto"/>
          <w:kern w:val="0"/>
        </w:rPr>
        <w:t>。投标截止时间后递交的电子加密投标文件，电子交易平台将拒收。</w:t>
      </w:r>
    </w:p>
    <w:p w14:paraId="7FCA430F">
      <w:pPr>
        <w:snapToGrid w:val="0"/>
        <w:spacing w:after="0" w:line="360" w:lineRule="auto"/>
        <w:ind w:firstLine="420" w:firstLineChars="200"/>
        <w:jc w:val="left"/>
        <w:rPr>
          <w:rFonts w:ascii="宋体" w:hAnsi="宋体" w:eastAsia="宋体" w:cs="Helvetica"/>
          <w:color w:val="auto"/>
          <w:kern w:val="0"/>
        </w:rPr>
      </w:pPr>
      <w:r>
        <w:rPr>
          <w:rFonts w:hint="eastAsia" w:ascii="宋体" w:hAnsi="宋体" w:eastAsia="宋体" w:cs="Arial"/>
          <w:color w:val="auto"/>
        </w:rPr>
        <w:t>31.2投标人在投标截止时间前</w:t>
      </w:r>
      <w:r>
        <w:rPr>
          <w:rFonts w:ascii="宋体" w:hAnsi="宋体" w:eastAsia="宋体" w:cs="Arial"/>
          <w:color w:val="auto"/>
        </w:rPr>
        <w:t>递交</w:t>
      </w:r>
      <w:r>
        <w:rPr>
          <w:rFonts w:hint="eastAsia" w:ascii="宋体" w:hAnsi="宋体" w:eastAsia="宋体" w:cs="Arial"/>
          <w:color w:val="auto"/>
        </w:rPr>
        <w:t>了需要补充或修改的</w:t>
      </w:r>
      <w:r>
        <w:rPr>
          <w:rFonts w:hint="eastAsia" w:ascii="宋体" w:hAnsi="宋体" w:eastAsia="宋体" w:cs="宋体"/>
          <w:color w:val="auto"/>
        </w:rPr>
        <w:t>电子加密投标文件的</w:t>
      </w:r>
      <w:r>
        <w:rPr>
          <w:rFonts w:ascii="宋体" w:hAnsi="宋体" w:eastAsia="宋体" w:cs="Arial"/>
          <w:color w:val="auto"/>
        </w:rPr>
        <w:t>备份投标文件</w:t>
      </w:r>
      <w:r>
        <w:rPr>
          <w:rFonts w:hint="eastAsia" w:ascii="宋体" w:hAnsi="宋体" w:eastAsia="宋体" w:cs="Arial"/>
          <w:color w:val="auto"/>
        </w:rPr>
        <w:t>的，可以</w:t>
      </w:r>
      <w:r>
        <w:rPr>
          <w:rFonts w:ascii="宋体" w:hAnsi="宋体" w:eastAsia="宋体" w:cs="Arial"/>
          <w:color w:val="auto"/>
        </w:rPr>
        <w:t>重新</w:t>
      </w:r>
      <w:r>
        <w:rPr>
          <w:rFonts w:hint="eastAsia" w:ascii="宋体" w:hAnsi="宋体" w:eastAsia="宋体" w:cs="Arial"/>
          <w:color w:val="auto"/>
        </w:rPr>
        <w:t>提交补充或修改后的</w:t>
      </w:r>
      <w:r>
        <w:rPr>
          <w:rFonts w:ascii="宋体" w:hAnsi="宋体" w:eastAsia="宋体" w:cs="Arial"/>
          <w:color w:val="auto"/>
        </w:rPr>
        <w:t>备份投标文件</w:t>
      </w:r>
      <w:r>
        <w:rPr>
          <w:rFonts w:hint="eastAsia" w:ascii="宋体" w:hAnsi="宋体" w:eastAsia="宋体" w:cs="Arial"/>
          <w:color w:val="auto"/>
        </w:rPr>
        <w:t>。</w:t>
      </w:r>
    </w:p>
    <w:p w14:paraId="0D7B88DE">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31.3</w:t>
      </w:r>
      <w:r>
        <w:rPr>
          <w:rFonts w:ascii="宋体" w:hAnsi="宋体" w:eastAsia="宋体"/>
          <w:color w:val="auto"/>
        </w:rPr>
        <w:t>投标截止时间后</w:t>
      </w:r>
      <w:r>
        <w:rPr>
          <w:rFonts w:hint="eastAsia" w:ascii="宋体" w:hAnsi="宋体" w:eastAsia="宋体"/>
          <w:color w:val="auto"/>
        </w:rPr>
        <w:t>，投标人不得对其投标文件进行补充、修改</w:t>
      </w:r>
      <w:r>
        <w:rPr>
          <w:rFonts w:ascii="宋体" w:hAnsi="宋体" w:eastAsia="宋体"/>
          <w:color w:val="auto"/>
        </w:rPr>
        <w:t>。</w:t>
      </w:r>
    </w:p>
    <w:p w14:paraId="573E6E36">
      <w:pPr>
        <w:pStyle w:val="23"/>
        <w:spacing w:before="0" w:beforeLines="0" w:after="0" w:afterLines="0" w:line="360" w:lineRule="auto"/>
        <w:jc w:val="center"/>
        <w:rPr>
          <w:rFonts w:ascii="宋体" w:hAnsi="宋体" w:eastAsia="宋体"/>
          <w:color w:val="auto"/>
          <w:sz w:val="21"/>
          <w:szCs w:val="21"/>
        </w:rPr>
      </w:pPr>
      <w:bookmarkStart w:id="83" w:name="_Toc118452531"/>
      <w:r>
        <w:rPr>
          <w:rFonts w:hint="eastAsia" w:ascii="宋体" w:hAnsi="宋体" w:eastAsia="宋体"/>
          <w:color w:val="auto"/>
          <w:sz w:val="21"/>
          <w:szCs w:val="21"/>
        </w:rPr>
        <w:t>五、开标与评标</w:t>
      </w:r>
      <w:bookmarkEnd w:id="83"/>
    </w:p>
    <w:p w14:paraId="1116E4FD">
      <w:pPr>
        <w:snapToGrid w:val="0"/>
        <w:spacing w:after="0" w:line="360" w:lineRule="auto"/>
        <w:ind w:firstLine="422" w:firstLineChars="200"/>
        <w:jc w:val="left"/>
        <w:rPr>
          <w:rFonts w:ascii="宋体" w:hAnsi="宋体" w:eastAsia="宋体"/>
          <w:b/>
          <w:color w:val="auto"/>
        </w:rPr>
      </w:pPr>
      <w:r>
        <w:rPr>
          <w:rFonts w:hint="eastAsia" w:ascii="宋体" w:hAnsi="宋体" w:eastAsia="宋体"/>
          <w:b/>
          <w:color w:val="auto"/>
        </w:rPr>
        <w:t>32.开标</w:t>
      </w:r>
    </w:p>
    <w:p w14:paraId="365B6972">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32.1采购代理机构按招标文件规定的时间通过电子交易平台组织公开开标，所有投标人均应当准时在线参加</w:t>
      </w:r>
      <w:r>
        <w:rPr>
          <w:rFonts w:ascii="宋体" w:hAnsi="宋体" w:eastAsia="宋体"/>
          <w:color w:val="auto"/>
        </w:rPr>
        <w:t>。</w:t>
      </w:r>
    </w:p>
    <w:p w14:paraId="6BE90258">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32.2开标时，采购代理机构依托电子交易平台发起开始解密指令，</w:t>
      </w:r>
      <w:r>
        <w:rPr>
          <w:rFonts w:ascii="宋体" w:hAnsi="宋体" w:eastAsia="宋体"/>
          <w:color w:val="auto"/>
        </w:rPr>
        <w:t>投标</w:t>
      </w:r>
      <w:r>
        <w:rPr>
          <w:rFonts w:hint="eastAsia" w:ascii="宋体" w:hAnsi="宋体" w:eastAsia="宋体"/>
          <w:color w:val="auto"/>
        </w:rPr>
        <w:t>人</w:t>
      </w:r>
      <w:r>
        <w:rPr>
          <w:rFonts w:ascii="宋体" w:hAnsi="宋体" w:eastAsia="宋体"/>
          <w:color w:val="auto"/>
        </w:rPr>
        <w:t>应</w:t>
      </w:r>
      <w:r>
        <w:rPr>
          <w:rFonts w:hint="eastAsia" w:ascii="宋体" w:hAnsi="宋体" w:eastAsia="宋体"/>
          <w:color w:val="auto"/>
        </w:rPr>
        <w:t>在30分钟内</w:t>
      </w:r>
      <w:r>
        <w:rPr>
          <w:rFonts w:ascii="宋体" w:hAnsi="宋体" w:eastAsia="宋体"/>
          <w:color w:val="auto"/>
        </w:rPr>
        <w:t>（</w:t>
      </w:r>
      <w:r>
        <w:rPr>
          <w:rFonts w:hint="eastAsia" w:ascii="宋体" w:hAnsi="宋体" w:eastAsia="宋体"/>
          <w:color w:val="auto"/>
        </w:rPr>
        <w:t>以电子交易系统解密倒计时为准</w:t>
      </w:r>
      <w:r>
        <w:rPr>
          <w:rFonts w:ascii="宋体" w:hAnsi="宋体" w:eastAsia="宋体"/>
          <w:color w:val="auto"/>
        </w:rPr>
        <w:t>）对本单位的投标文件</w:t>
      </w:r>
      <w:r>
        <w:rPr>
          <w:rFonts w:hint="eastAsia" w:ascii="宋体" w:hAnsi="宋体" w:eastAsia="宋体"/>
          <w:color w:val="auto"/>
        </w:rPr>
        <w:t>进行</w:t>
      </w:r>
      <w:r>
        <w:rPr>
          <w:rFonts w:ascii="宋体" w:hAnsi="宋体" w:eastAsia="宋体"/>
          <w:color w:val="auto"/>
        </w:rPr>
        <w:t>解密。</w:t>
      </w:r>
    </w:p>
    <w:p w14:paraId="650BD231">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32.3</w:t>
      </w:r>
      <w:r>
        <w:rPr>
          <w:rFonts w:ascii="宋体" w:hAnsi="宋体" w:eastAsia="宋体"/>
          <w:color w:val="auto"/>
        </w:rPr>
        <w:t>开标时，采购代理机构将通过网上开标系统公布</w:t>
      </w:r>
      <w:r>
        <w:rPr>
          <w:rFonts w:hint="eastAsia" w:ascii="宋体" w:hAnsi="宋体" w:eastAsia="宋体"/>
          <w:color w:val="auto"/>
        </w:rPr>
        <w:t>开标结果，公布内容包括投标人名称、投标报价及招标文件规定的其他内容。</w:t>
      </w:r>
    </w:p>
    <w:p w14:paraId="118B951E">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32.4投标人如未在线参加开标的，视同认可开标结果，事后不得对开标结果提出异议。同时，投标人因未在线参加开标而导致电子加密投标文件无法按时解密等一切后果由投标人自行承担。</w:t>
      </w:r>
    </w:p>
    <w:p w14:paraId="32E46848">
      <w:pPr>
        <w:snapToGrid w:val="0"/>
        <w:spacing w:after="0" w:line="360" w:lineRule="auto"/>
        <w:ind w:firstLine="420" w:firstLineChars="200"/>
        <w:jc w:val="left"/>
        <w:rPr>
          <w:rFonts w:ascii="宋体" w:hAnsi="宋体" w:eastAsia="宋体" w:cs="Arial"/>
          <w:color w:val="auto"/>
          <w:kern w:val="0"/>
        </w:rPr>
      </w:pPr>
      <w:r>
        <w:rPr>
          <w:rFonts w:hint="eastAsia" w:ascii="宋体" w:hAnsi="宋体" w:eastAsia="宋体"/>
          <w:color w:val="auto"/>
        </w:rPr>
        <w:t>32.5发生电子加密投标文件解密失败的情形，如投标人已按招标文件规定提交了备份投标文件的，将由采购代理机构按政采云平台操作规范将备份投标文件上传至政采云平台异常端口处理，上传成功后，电子加密投标文件自动失效；使用备份投标文件仍无法成功或投标人</w:t>
      </w:r>
      <w:r>
        <w:rPr>
          <w:rFonts w:hint="eastAsia" w:ascii="宋体" w:hAnsi="宋体" w:eastAsia="宋体" w:cs="Arial"/>
          <w:color w:val="auto"/>
          <w:kern w:val="0"/>
        </w:rPr>
        <w:t>未按规定提交备份投标文件的</w:t>
      </w:r>
      <w:r>
        <w:rPr>
          <w:rFonts w:hint="eastAsia" w:ascii="宋体" w:hAnsi="宋体" w:eastAsia="宋体"/>
          <w:color w:val="auto"/>
        </w:rPr>
        <w:t>，</w:t>
      </w:r>
      <w:r>
        <w:rPr>
          <w:rFonts w:hint="eastAsia" w:ascii="宋体" w:hAnsi="宋体" w:eastAsia="宋体"/>
          <w:b/>
          <w:color w:val="auto"/>
        </w:rPr>
        <w:t>视为撤回投标文件</w:t>
      </w:r>
      <w:r>
        <w:rPr>
          <w:rFonts w:hint="eastAsia" w:ascii="宋体" w:hAnsi="宋体" w:eastAsia="宋体"/>
          <w:color w:val="auto"/>
        </w:rPr>
        <w:t>。</w:t>
      </w:r>
    </w:p>
    <w:p w14:paraId="7F815776">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电子加密投标文件已按时解密的，备份投标文件自动失效。</w:t>
      </w:r>
    </w:p>
    <w:p w14:paraId="20054ABF">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32.6</w:t>
      </w:r>
      <w:r>
        <w:rPr>
          <w:rFonts w:ascii="宋体" w:hAnsi="宋体" w:eastAsia="宋体"/>
          <w:color w:val="auto"/>
        </w:rPr>
        <w:t>开标过程由采购代理机构负责记录，由参加开标的投标人代表和相关工作人员签字确认后随采购文件一并存档。</w:t>
      </w:r>
    </w:p>
    <w:p w14:paraId="0611450D">
      <w:pPr>
        <w:snapToGrid w:val="0"/>
        <w:spacing w:after="0" w:line="360" w:lineRule="auto"/>
        <w:ind w:firstLine="420" w:firstLineChars="200"/>
        <w:jc w:val="left"/>
        <w:rPr>
          <w:rFonts w:ascii="宋体" w:hAnsi="宋体" w:eastAsia="宋体"/>
          <w:color w:val="auto"/>
        </w:rPr>
      </w:pPr>
      <w:r>
        <w:rPr>
          <w:rFonts w:ascii="宋体" w:hAnsi="宋体" w:eastAsia="宋体"/>
          <w:color w:val="auto"/>
        </w:rPr>
        <w:t>投标人代表对开标过程和开标记录有疑义，以及认为</w:t>
      </w:r>
      <w:r>
        <w:rPr>
          <w:rFonts w:hint="eastAsia" w:ascii="宋体" w:hAnsi="宋体" w:eastAsia="宋体"/>
          <w:color w:val="auto"/>
        </w:rPr>
        <w:t>采购人或采购代理机构</w:t>
      </w:r>
      <w:r>
        <w:rPr>
          <w:rFonts w:ascii="宋体" w:hAnsi="宋体" w:eastAsia="宋体"/>
          <w:color w:val="auto"/>
        </w:rPr>
        <w:t>相关工作人员有需要回避的情形的，应当场提出询问或者回避申请。</w:t>
      </w:r>
    </w:p>
    <w:p w14:paraId="5F92B805">
      <w:pPr>
        <w:snapToGrid w:val="0"/>
        <w:spacing w:after="0" w:line="360" w:lineRule="auto"/>
        <w:ind w:firstLine="422" w:firstLineChars="200"/>
        <w:jc w:val="left"/>
        <w:rPr>
          <w:rFonts w:ascii="宋体" w:hAnsi="宋体" w:eastAsia="宋体"/>
          <w:b/>
          <w:color w:val="auto"/>
        </w:rPr>
      </w:pPr>
      <w:r>
        <w:rPr>
          <w:rFonts w:hint="eastAsia" w:ascii="宋体" w:hAnsi="宋体" w:eastAsia="宋体"/>
          <w:b/>
          <w:color w:val="auto"/>
        </w:rPr>
        <w:t>33.资格审查及组建评标委员会</w:t>
      </w:r>
    </w:p>
    <w:p w14:paraId="1AAA8FC7">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33.1开标结束后，采购人或采购代理机构依据法律法规和招标文件中规定的内容对投标人的资格进行审查，未通过资格审查的投标人不进入评标，通过资格审查的投标人不足3家的不进行评标。</w:t>
      </w:r>
    </w:p>
    <w:p w14:paraId="1C5A97B7">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33.2评标委员会依法组建，成员由5人及以上单数组成。</w:t>
      </w:r>
    </w:p>
    <w:p w14:paraId="5A7B19D3">
      <w:pPr>
        <w:snapToGrid w:val="0"/>
        <w:spacing w:after="0" w:line="360" w:lineRule="auto"/>
        <w:ind w:firstLine="422" w:firstLineChars="200"/>
        <w:jc w:val="left"/>
        <w:rPr>
          <w:rFonts w:ascii="宋体" w:hAnsi="宋体" w:eastAsia="宋体"/>
          <w:b/>
          <w:color w:val="auto"/>
        </w:rPr>
      </w:pPr>
      <w:r>
        <w:rPr>
          <w:rFonts w:hint="eastAsia" w:ascii="宋体" w:hAnsi="宋体" w:eastAsia="宋体"/>
          <w:b/>
          <w:color w:val="auto"/>
        </w:rPr>
        <w:t>34.投标文件符合性审查与澄清</w:t>
      </w:r>
    </w:p>
    <w:p w14:paraId="3F9AA565">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34.1评标委员会负责对符合资格要求的投标人的投标文件进行符合性审查，以确定其是否满足招标文件的实质性要求。</w:t>
      </w:r>
    </w:p>
    <w:p w14:paraId="2AC7E331">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34.2对于投标文件中含义不明确、同类问题表述不一致或者有明显文字和计算错误的内容，</w:t>
      </w:r>
      <w:r>
        <w:rPr>
          <w:rFonts w:ascii="宋体" w:hAnsi="宋体" w:eastAsia="宋体"/>
          <w:color w:val="auto"/>
        </w:rPr>
        <w:t>以及评标委员会认为投标人的报价明显低于其他通过符合性</w:t>
      </w:r>
      <w:r>
        <w:rPr>
          <w:rFonts w:hint="eastAsia" w:ascii="宋体" w:hAnsi="宋体" w:eastAsia="宋体"/>
          <w:color w:val="auto"/>
        </w:rPr>
        <w:t>审</w:t>
      </w:r>
      <w:r>
        <w:rPr>
          <w:rFonts w:ascii="宋体" w:hAnsi="宋体" w:eastAsia="宋体"/>
          <w:color w:val="auto"/>
        </w:rPr>
        <w:t>查投标人的报价，有可能</w:t>
      </w:r>
      <w:r>
        <w:rPr>
          <w:rFonts w:ascii="宋体" w:hAnsi="宋体" w:eastAsia="宋体"/>
          <w:color w:val="auto"/>
          <w:shd w:val="clear" w:color="auto" w:fill="FFFFFF"/>
        </w:rPr>
        <w:t>影响</w:t>
      </w:r>
      <w:r>
        <w:rPr>
          <w:rFonts w:hint="eastAsia" w:ascii="宋体" w:hAnsi="宋体" w:eastAsia="宋体"/>
          <w:color w:val="auto"/>
          <w:shd w:val="clear" w:color="auto" w:fill="FFFFFF"/>
        </w:rPr>
        <w:t>服务</w:t>
      </w:r>
      <w:r>
        <w:rPr>
          <w:rFonts w:ascii="宋体" w:hAnsi="宋体" w:eastAsia="宋体"/>
          <w:color w:val="auto"/>
          <w:shd w:val="clear" w:color="auto" w:fill="FFFFFF"/>
        </w:rPr>
        <w:t>质量或者不能诚信履约的</w:t>
      </w:r>
      <w:r>
        <w:rPr>
          <w:rFonts w:hint="eastAsia" w:ascii="宋体" w:hAnsi="宋体" w:eastAsia="宋体"/>
          <w:color w:val="auto"/>
        </w:rPr>
        <w:t>，评标委员会以书面形式要求投标人作出必要的澄清、说明或者补正。</w:t>
      </w:r>
    </w:p>
    <w:p w14:paraId="51639DED">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投标人的澄清、说明或者补正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投标人的澄清、说明或者补正不得超出投标文件的范围或者改变投标文件的实质性内容。</w:t>
      </w:r>
    </w:p>
    <w:p w14:paraId="75AE5FBE">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34.3投标人的澄清、说明或补正将作为投标文件的一部分。</w:t>
      </w:r>
    </w:p>
    <w:p w14:paraId="3D9BE346">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34.4报价修正</w:t>
      </w:r>
    </w:p>
    <w:p w14:paraId="206AD9F6">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投标文件报价出现不一致的，按照下列规定修正：</w:t>
      </w:r>
    </w:p>
    <w:p w14:paraId="3E386A90">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（1）电子交易平台客户端里开标一览表录入的投标报价与报价要求响应文件中的开标一览表投标报价不一致的，以报价要求响应文件中的投标报价为准。</w:t>
      </w:r>
    </w:p>
    <w:p w14:paraId="155CF8FF">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（2）投标文件中开标一览表（报价表）内容与投标文件中相应内容不一致的，以开标一览表（报价表）为准；</w:t>
      </w:r>
    </w:p>
    <w:p w14:paraId="2AC90A95">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（3）大写金额和小写金额不一致的，以大写金额为准；</w:t>
      </w:r>
    </w:p>
    <w:p w14:paraId="7DA7B597">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（4）单价金额小数点或者百分比有明显错位的，以开标一览表的总价为准，并修改单价；</w:t>
      </w:r>
    </w:p>
    <w:p w14:paraId="25EE5C4A">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（5）总价金额与按单价汇总金额不一致的，以单价金额计算结果为准。</w:t>
      </w:r>
    </w:p>
    <w:p w14:paraId="4457553B">
      <w:pPr>
        <w:snapToGrid w:val="0"/>
        <w:spacing w:after="0" w:line="360" w:lineRule="auto"/>
        <w:ind w:firstLine="420" w:firstLineChars="200"/>
        <w:jc w:val="left"/>
        <w:rPr>
          <w:rFonts w:ascii="宋体" w:hAnsi="宋体" w:eastAsia="宋体"/>
          <w:color w:val="auto"/>
        </w:rPr>
      </w:pPr>
      <w:r>
        <w:rPr>
          <w:rFonts w:ascii="宋体" w:hAnsi="宋体" w:eastAsia="宋体"/>
          <w:color w:val="auto"/>
        </w:rPr>
        <w:t>同时出现两种以上不一致的，按照前款规定的顺序修正。修正后的报价由投标人确认，经投标人确认后产生约束力，投标人不确认的，</w:t>
      </w:r>
      <w:r>
        <w:rPr>
          <w:rFonts w:ascii="宋体" w:hAnsi="宋体" w:eastAsia="宋体"/>
          <w:b/>
          <w:color w:val="auto"/>
        </w:rPr>
        <w:t>其投标无效</w:t>
      </w:r>
      <w:r>
        <w:rPr>
          <w:rFonts w:ascii="宋体" w:hAnsi="宋体" w:eastAsia="宋体"/>
          <w:color w:val="auto"/>
        </w:rPr>
        <w:t>。</w:t>
      </w:r>
    </w:p>
    <w:p w14:paraId="656D83CF">
      <w:pPr>
        <w:snapToGrid w:val="0"/>
        <w:spacing w:after="0" w:line="360" w:lineRule="auto"/>
        <w:ind w:firstLine="422" w:firstLineChars="200"/>
        <w:jc w:val="left"/>
        <w:rPr>
          <w:rFonts w:ascii="宋体" w:hAnsi="宋体" w:eastAsia="宋体"/>
          <w:b/>
          <w:color w:val="auto"/>
        </w:rPr>
      </w:pPr>
      <w:r>
        <w:rPr>
          <w:rFonts w:hint="eastAsia" w:ascii="宋体" w:hAnsi="宋体" w:eastAsia="宋体"/>
          <w:b/>
          <w:color w:val="auto"/>
        </w:rPr>
        <w:t>35.投标无效</w:t>
      </w:r>
    </w:p>
    <w:p w14:paraId="35669210">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35.1</w:t>
      </w:r>
      <w:r>
        <w:rPr>
          <w:rFonts w:ascii="宋体" w:hAnsi="宋体" w:eastAsia="宋体"/>
          <w:color w:val="auto"/>
        </w:rPr>
        <w:t>根据</w:t>
      </w:r>
      <w:r>
        <w:rPr>
          <w:rFonts w:hint="eastAsia" w:ascii="宋体" w:hAnsi="宋体" w:eastAsia="宋体"/>
          <w:color w:val="auto"/>
        </w:rPr>
        <w:t>招标文件</w:t>
      </w:r>
      <w:r>
        <w:rPr>
          <w:rFonts w:ascii="宋体" w:hAnsi="宋体" w:eastAsia="宋体"/>
          <w:color w:val="auto"/>
        </w:rPr>
        <w:t>的规定，评标委员会审查每份投标文件</w:t>
      </w:r>
      <w:r>
        <w:rPr>
          <w:rFonts w:hint="eastAsia" w:ascii="宋体" w:hAnsi="宋体" w:eastAsia="宋体"/>
          <w:color w:val="auto"/>
        </w:rPr>
        <w:t>，以确定其是否满足招标文件的实质性要求。</w:t>
      </w:r>
      <w:r>
        <w:rPr>
          <w:rFonts w:ascii="宋体" w:hAnsi="宋体" w:eastAsia="宋体"/>
          <w:color w:val="auto"/>
        </w:rPr>
        <w:t>投标人不得通过修正或撤销不符合要求的偏离，从而使其投标实质上响应</w:t>
      </w:r>
      <w:r>
        <w:rPr>
          <w:rFonts w:hint="eastAsia" w:ascii="宋体" w:hAnsi="宋体" w:eastAsia="宋体"/>
          <w:color w:val="auto"/>
        </w:rPr>
        <w:t>招标文件要求</w:t>
      </w:r>
      <w:r>
        <w:rPr>
          <w:rFonts w:ascii="宋体" w:hAnsi="宋体" w:eastAsia="宋体"/>
          <w:color w:val="auto"/>
        </w:rPr>
        <w:t>。</w:t>
      </w:r>
    </w:p>
    <w:p w14:paraId="3AFE3EF0">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35.2投标人存在下列情况之一的，投标无效：</w:t>
      </w:r>
    </w:p>
    <w:p w14:paraId="46C14FD5">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（1）投标文件未按招标文件要求签署、盖章而影响投标文件法律效力的；</w:t>
      </w:r>
    </w:p>
    <w:p w14:paraId="012085A2">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（2）不具备招标文件中规定的资格要求的（包括未提交合法有效的资格证明文件）；</w:t>
      </w:r>
    </w:p>
    <w:p w14:paraId="57B356DD">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（3）未对招标文件的实质性条款作出响应（包括未按要求提交证明文件）的；</w:t>
      </w:r>
    </w:p>
    <w:p w14:paraId="16185346">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（4）报价超过招标文件中规定的预算金额或最高限价的；</w:t>
      </w:r>
    </w:p>
    <w:p w14:paraId="3E3F7474">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（5）投标文件含有采购人不能接受的附加条件的；</w:t>
      </w:r>
    </w:p>
    <w:p w14:paraId="23635FAF">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（6）投标文件中含有虚假材料的；</w:t>
      </w:r>
    </w:p>
    <w:p w14:paraId="365A7260">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（7）投标人违背诚实信用原则的；</w:t>
      </w:r>
    </w:p>
    <w:p w14:paraId="46E29063">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（8）仅提交备份投标文件的；</w:t>
      </w:r>
    </w:p>
    <w:p w14:paraId="7CC9F2B0">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（9）同一标项的投标人存在下列情形之一且无法合理解释的，其投标文件无效：</w:t>
      </w:r>
      <w:r>
        <w:rPr>
          <w:rFonts w:ascii="宋体" w:hAnsi="宋体" w:eastAsia="宋体"/>
          <w:color w:val="auto"/>
        </w:rPr>
        <w:fldChar w:fldCharType="begin"/>
      </w:r>
      <w:r>
        <w:rPr>
          <w:rFonts w:hint="eastAsia" w:ascii="宋体" w:hAnsi="宋体" w:eastAsia="宋体"/>
          <w:color w:val="auto"/>
        </w:rPr>
        <w:instrText xml:space="preserve">= 1 \* GB3</w:instrText>
      </w:r>
      <w:r>
        <w:rPr>
          <w:rFonts w:ascii="宋体" w:hAnsi="宋体" w:eastAsia="宋体"/>
          <w:color w:val="auto"/>
        </w:rPr>
        <w:fldChar w:fldCharType="separate"/>
      </w:r>
      <w:r>
        <w:rPr>
          <w:rFonts w:hint="eastAsia" w:ascii="宋体" w:hAnsi="宋体" w:eastAsia="宋体"/>
          <w:color w:val="auto"/>
        </w:rPr>
        <w:t>①</w:t>
      </w:r>
      <w:r>
        <w:rPr>
          <w:rFonts w:ascii="宋体" w:hAnsi="宋体" w:eastAsia="宋体"/>
          <w:color w:val="auto"/>
        </w:rPr>
        <w:fldChar w:fldCharType="end"/>
      </w:r>
      <w:r>
        <w:rPr>
          <w:rFonts w:hint="eastAsia" w:ascii="宋体" w:hAnsi="宋体" w:eastAsia="宋体"/>
          <w:color w:val="auto"/>
        </w:rPr>
        <w:t>不同投标人的电子投标文件上传计算机的网卡MAC地址或硬盘序列号等硬件信息相同的；②上传的电子投标文件出现使用同一标项其他投标人的数字证书加密的，或者加盖同一标项其他投标人的电子印章的；③不同投标人的电子投标文件的内容存在3处（含）以上错误一致的；④不同投标人的联系人为同一人或不同联系人的联系电话一致的；</w:t>
      </w:r>
      <w:r>
        <w:rPr>
          <w:rFonts w:ascii="宋体" w:hAnsi="宋体" w:eastAsia="宋体"/>
          <w:color w:val="auto"/>
        </w:rPr>
        <w:fldChar w:fldCharType="begin"/>
      </w:r>
      <w:r>
        <w:rPr>
          <w:rFonts w:hint="eastAsia" w:ascii="宋体" w:hAnsi="宋体" w:eastAsia="宋体"/>
          <w:color w:val="auto"/>
        </w:rPr>
        <w:instrText xml:space="preserve">= 5 \* GB3</w:instrText>
      </w:r>
      <w:r>
        <w:rPr>
          <w:rFonts w:ascii="宋体" w:hAnsi="宋体" w:eastAsia="宋体"/>
          <w:color w:val="auto"/>
        </w:rPr>
        <w:fldChar w:fldCharType="separate"/>
      </w:r>
      <w:r>
        <w:rPr>
          <w:rFonts w:hint="eastAsia" w:ascii="宋体" w:hAnsi="宋体" w:eastAsia="宋体"/>
          <w:color w:val="auto"/>
        </w:rPr>
        <w:t>⑤</w:t>
      </w:r>
      <w:r>
        <w:rPr>
          <w:rFonts w:ascii="宋体" w:hAnsi="宋体" w:eastAsia="宋体"/>
          <w:color w:val="auto"/>
        </w:rPr>
        <w:fldChar w:fldCharType="end"/>
      </w:r>
      <w:r>
        <w:rPr>
          <w:rFonts w:hint="eastAsia" w:ascii="宋体" w:hAnsi="宋体" w:eastAsia="宋体"/>
          <w:color w:val="auto"/>
        </w:rPr>
        <w:t>不同投标人的电子投标文件属性显示作者为同一人的。</w:t>
      </w:r>
    </w:p>
    <w:p w14:paraId="6A704A23">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（10）法律、法规和招标文件规定的其他无效情形。</w:t>
      </w:r>
    </w:p>
    <w:p w14:paraId="70D918D2">
      <w:pPr>
        <w:snapToGrid w:val="0"/>
        <w:spacing w:after="0" w:line="360" w:lineRule="auto"/>
        <w:ind w:firstLine="422" w:firstLineChars="200"/>
        <w:jc w:val="left"/>
        <w:rPr>
          <w:rFonts w:ascii="宋体" w:hAnsi="宋体" w:eastAsia="宋体"/>
          <w:b/>
          <w:color w:val="auto"/>
        </w:rPr>
      </w:pPr>
      <w:r>
        <w:rPr>
          <w:rFonts w:hint="eastAsia" w:ascii="宋体" w:hAnsi="宋体" w:eastAsia="宋体"/>
          <w:b/>
          <w:color w:val="auto"/>
        </w:rPr>
        <w:t>36</w:t>
      </w:r>
      <w:r>
        <w:rPr>
          <w:rFonts w:ascii="宋体" w:hAnsi="宋体" w:eastAsia="宋体"/>
          <w:b/>
          <w:color w:val="auto"/>
        </w:rPr>
        <w:t>.</w:t>
      </w:r>
      <w:r>
        <w:rPr>
          <w:rFonts w:hint="eastAsia" w:ascii="宋体" w:hAnsi="宋体" w:eastAsia="宋体"/>
          <w:b/>
          <w:color w:val="auto"/>
        </w:rPr>
        <w:t>比较与评价</w:t>
      </w:r>
    </w:p>
    <w:p w14:paraId="539A3702">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36.1评标委员会按照招标文件规定的评标方法和标准，对符合性审查合格的投标文件进行商务和技术评估，综合比较与评价。</w:t>
      </w:r>
    </w:p>
    <w:p w14:paraId="5E3D3858">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36.2本项目采用综合评分法，评标严格按照招标文件的要求和条件进行，详细评标标准见招标文件第四章。</w:t>
      </w:r>
      <w:bookmarkStart w:id="84" w:name="_Hlk60581117"/>
    </w:p>
    <w:p w14:paraId="6DA76208">
      <w:pPr>
        <w:snapToGrid w:val="0"/>
        <w:spacing w:after="0" w:line="360" w:lineRule="auto"/>
        <w:ind w:firstLine="420" w:firstLineChars="200"/>
        <w:jc w:val="left"/>
        <w:rPr>
          <w:rFonts w:ascii="宋体" w:hAnsi="宋体" w:eastAsia="宋体"/>
          <w:color w:val="auto"/>
        </w:rPr>
      </w:pPr>
      <w:r>
        <w:rPr>
          <w:rFonts w:ascii="宋体" w:hAnsi="宋体" w:eastAsia="宋体"/>
          <w:color w:val="auto"/>
        </w:rPr>
        <w:t>36.3根据《政府采购促进中小企业发展管理办法》（财库〔2020〕46号）、《财政部</w:t>
      </w:r>
      <w:r>
        <w:rPr>
          <w:rFonts w:hint="eastAsia" w:ascii="宋体" w:hAnsi="宋体" w:eastAsia="宋体"/>
          <w:color w:val="auto"/>
        </w:rPr>
        <w:t xml:space="preserve"> </w:t>
      </w:r>
      <w:r>
        <w:rPr>
          <w:rFonts w:ascii="宋体" w:hAnsi="宋体" w:eastAsia="宋体"/>
          <w:color w:val="auto"/>
        </w:rPr>
        <w:t>司法部关于政府采购支持监狱企业发展有关问题的通知》（财库〔2014〕68号）和《三部门联合发布关于促进残疾人就业政府采购政策的通知》（财库〔2017〕141号）及财政部门的规定，对满足价格扣除条件且在投标文件中提交了《中小企业声明函》《残疾人福利性单位声明函》或省级以上监狱管理局、戒毒管理局（含新疆生产建设兵团）出具的属于监狱企业的证明文件的投标人，其投标报价按照规定予以扣除后参与评审，具体扣除办法详见第</w:t>
      </w:r>
      <w:r>
        <w:rPr>
          <w:rFonts w:hint="eastAsia" w:ascii="宋体" w:hAnsi="宋体" w:eastAsia="宋体"/>
          <w:color w:val="auto"/>
        </w:rPr>
        <w:t>四</w:t>
      </w:r>
      <w:r>
        <w:rPr>
          <w:rFonts w:ascii="宋体" w:hAnsi="宋体" w:eastAsia="宋体"/>
          <w:color w:val="auto"/>
        </w:rPr>
        <w:t>章。对于同时属于小微企业、监狱企业或残疾人福利性单位的，不重复进行投标报价扣除。</w:t>
      </w:r>
    </w:p>
    <w:p w14:paraId="4968B37C">
      <w:pPr>
        <w:snapToGrid w:val="0"/>
        <w:spacing w:after="0" w:line="360" w:lineRule="auto"/>
        <w:ind w:firstLine="420" w:firstLineChars="200"/>
        <w:jc w:val="left"/>
        <w:rPr>
          <w:rFonts w:ascii="宋体" w:hAnsi="宋体"/>
          <w:color w:val="auto"/>
        </w:rPr>
      </w:pPr>
      <w:r>
        <w:rPr>
          <w:rFonts w:hint="eastAsia" w:ascii="宋体" w:hAnsi="宋体"/>
          <w:color w:val="auto"/>
        </w:rPr>
        <w:t>对于联合协议约定小微企业的合同份额占到合同总金额</w:t>
      </w:r>
      <w:r>
        <w:rPr>
          <w:rFonts w:ascii="宋体" w:hAnsi="宋体"/>
          <w:color w:val="auto"/>
        </w:rPr>
        <w:t>30%以上的，可给予联合体的</w:t>
      </w:r>
      <w:r>
        <w:rPr>
          <w:rFonts w:hint="eastAsia" w:ascii="宋体" w:hAnsi="宋体"/>
          <w:color w:val="auto"/>
        </w:rPr>
        <w:t>投标报价按照第五章中规定的标准扣除后的价格参与评审</w:t>
      </w:r>
      <w:r>
        <w:rPr>
          <w:rFonts w:ascii="宋体" w:hAnsi="宋体"/>
          <w:color w:val="auto"/>
        </w:rPr>
        <w:t>。</w:t>
      </w:r>
      <w:r>
        <w:rPr>
          <w:rFonts w:hint="eastAsia" w:ascii="宋体" w:hAnsi="宋体"/>
          <w:color w:val="auto"/>
        </w:rPr>
        <w:t>组成联合体的小微企业与联合体内其他企业、存在直接控股、管理关系的，不享受价格扣除优惠政策。</w:t>
      </w:r>
    </w:p>
    <w:p w14:paraId="50BA6926">
      <w:pPr>
        <w:snapToGrid w:val="0"/>
        <w:spacing w:after="0" w:line="360" w:lineRule="auto"/>
        <w:ind w:firstLine="420" w:firstLineChars="200"/>
        <w:jc w:val="left"/>
        <w:rPr>
          <w:rFonts w:ascii="宋体" w:hAnsi="宋体"/>
          <w:color w:val="auto"/>
        </w:rPr>
      </w:pPr>
      <w:r>
        <w:rPr>
          <w:rFonts w:hint="eastAsia" w:ascii="宋体" w:hAnsi="宋体"/>
          <w:color w:val="auto"/>
        </w:rPr>
        <w:t>以联合体形式参加政府采购活动，联合体各方均为中小企业的，联合体视同中小企业。其中，联合体各方均为小微企业的，联合体视同小微企业。</w:t>
      </w:r>
    </w:p>
    <w:bookmarkEnd w:id="84"/>
    <w:p w14:paraId="1A60AD20">
      <w:pPr>
        <w:pStyle w:val="8"/>
        <w:snapToGrid w:val="0"/>
        <w:spacing w:beforeLines="0" w:after="0" w:afterLines="0" w:line="360" w:lineRule="auto"/>
        <w:ind w:firstLine="422" w:firstLineChars="200"/>
        <w:rPr>
          <w:rFonts w:hAnsi="宋体" w:eastAsia="宋体"/>
          <w:b/>
          <w:color w:val="auto"/>
          <w:sz w:val="21"/>
        </w:rPr>
      </w:pPr>
      <w:r>
        <w:rPr>
          <w:rFonts w:hint="eastAsia" w:hAnsi="宋体" w:eastAsia="宋体"/>
          <w:b/>
          <w:color w:val="auto"/>
          <w:sz w:val="21"/>
        </w:rPr>
        <w:t>37.废标的情形</w:t>
      </w:r>
    </w:p>
    <w:p w14:paraId="09DE61B2">
      <w:pPr>
        <w:spacing w:after="0" w:line="360" w:lineRule="auto"/>
        <w:ind w:firstLine="420" w:firstLineChars="200"/>
        <w:rPr>
          <w:rFonts w:ascii="宋体" w:hAnsi="宋体" w:eastAsia="宋体"/>
          <w:color w:val="auto"/>
        </w:rPr>
      </w:pPr>
      <w:r>
        <w:rPr>
          <w:rFonts w:hint="eastAsia" w:ascii="宋体" w:hAnsi="宋体" w:eastAsia="宋体"/>
          <w:color w:val="auto"/>
        </w:rPr>
        <w:t>在本项目招标采购中，出现下列情形之一的，予以废标：</w:t>
      </w:r>
    </w:p>
    <w:p w14:paraId="33569E91">
      <w:pPr>
        <w:spacing w:after="0" w:line="360" w:lineRule="auto"/>
        <w:ind w:firstLine="420" w:firstLineChars="200"/>
        <w:rPr>
          <w:rFonts w:ascii="宋体" w:hAnsi="宋体" w:eastAsia="宋体"/>
          <w:color w:val="auto"/>
        </w:rPr>
      </w:pPr>
      <w:r>
        <w:rPr>
          <w:rFonts w:hint="eastAsia" w:ascii="宋体" w:hAnsi="宋体" w:eastAsia="宋体"/>
          <w:color w:val="auto"/>
        </w:rPr>
        <w:t>（1）符合资格要求的投标人或者对招标文件作实质响应的投标人不足三家的；</w:t>
      </w:r>
    </w:p>
    <w:p w14:paraId="1D0DDD4C">
      <w:pPr>
        <w:spacing w:after="0" w:line="360" w:lineRule="auto"/>
        <w:ind w:firstLine="420" w:firstLineChars="200"/>
        <w:rPr>
          <w:rFonts w:ascii="宋体" w:hAnsi="宋体" w:eastAsia="宋体"/>
          <w:color w:val="auto"/>
        </w:rPr>
      </w:pPr>
      <w:r>
        <w:rPr>
          <w:rFonts w:hint="eastAsia" w:ascii="宋体" w:hAnsi="宋体" w:eastAsia="宋体"/>
          <w:color w:val="auto"/>
        </w:rPr>
        <w:t>（2）出现影响采购公正的违法、违规行为的；</w:t>
      </w:r>
    </w:p>
    <w:p w14:paraId="37EF5E10">
      <w:pPr>
        <w:spacing w:after="0" w:line="360" w:lineRule="auto"/>
        <w:ind w:firstLine="420" w:firstLineChars="200"/>
        <w:rPr>
          <w:rFonts w:ascii="宋体" w:hAnsi="宋体" w:eastAsia="宋体"/>
          <w:color w:val="auto"/>
        </w:rPr>
      </w:pPr>
      <w:r>
        <w:rPr>
          <w:rFonts w:hint="eastAsia" w:ascii="宋体" w:hAnsi="宋体" w:eastAsia="宋体"/>
          <w:color w:val="auto"/>
        </w:rPr>
        <w:t>（3）投标人的报价均超过了采购预算，采购人不能支付的；</w:t>
      </w:r>
    </w:p>
    <w:p w14:paraId="74F86127">
      <w:pPr>
        <w:spacing w:after="0" w:line="360" w:lineRule="auto"/>
        <w:ind w:firstLine="420" w:firstLineChars="200"/>
        <w:rPr>
          <w:rFonts w:ascii="宋体" w:hAnsi="宋体" w:eastAsia="宋体"/>
          <w:color w:val="auto"/>
        </w:rPr>
      </w:pPr>
      <w:r>
        <w:rPr>
          <w:rFonts w:hint="eastAsia" w:ascii="宋体" w:hAnsi="宋体" w:eastAsia="宋体"/>
          <w:color w:val="auto"/>
        </w:rPr>
        <w:t>（4）因重大变故，采购任务取消的。</w:t>
      </w:r>
    </w:p>
    <w:p w14:paraId="77B41119">
      <w:pPr>
        <w:spacing w:after="0" w:line="360" w:lineRule="auto"/>
        <w:ind w:firstLine="420" w:firstLineChars="200"/>
        <w:rPr>
          <w:rFonts w:ascii="宋体" w:hAnsi="宋体" w:eastAsia="宋体"/>
          <w:color w:val="auto"/>
        </w:rPr>
      </w:pPr>
      <w:r>
        <w:rPr>
          <w:rFonts w:hint="eastAsia" w:ascii="宋体" w:hAnsi="宋体" w:eastAsia="宋体"/>
          <w:color w:val="auto"/>
        </w:rPr>
        <w:t>（5）电子交易平台无法正常运行，无法保证电子交易的公平、公正和安全的情况。</w:t>
      </w:r>
    </w:p>
    <w:p w14:paraId="5200D6B4">
      <w:pPr>
        <w:pStyle w:val="8"/>
        <w:snapToGrid w:val="0"/>
        <w:spacing w:beforeLines="0" w:after="0" w:afterLines="0" w:line="360" w:lineRule="auto"/>
        <w:ind w:firstLine="422" w:firstLineChars="200"/>
        <w:rPr>
          <w:rFonts w:hAnsi="宋体" w:eastAsia="宋体"/>
          <w:b/>
          <w:color w:val="auto"/>
          <w:sz w:val="21"/>
        </w:rPr>
      </w:pPr>
      <w:r>
        <w:rPr>
          <w:rFonts w:hint="eastAsia" w:hAnsi="宋体" w:eastAsia="宋体"/>
          <w:b/>
          <w:color w:val="auto"/>
          <w:sz w:val="21"/>
        </w:rPr>
        <w:t>38.中止电子交易活动的情形</w:t>
      </w:r>
    </w:p>
    <w:p w14:paraId="0539A384">
      <w:pPr>
        <w:spacing w:after="0" w:line="360" w:lineRule="auto"/>
        <w:ind w:firstLine="420" w:firstLineChars="200"/>
        <w:rPr>
          <w:rFonts w:ascii="宋体" w:hAnsi="宋体" w:eastAsia="宋体"/>
          <w:color w:val="auto"/>
        </w:rPr>
      </w:pPr>
      <w:r>
        <w:rPr>
          <w:rFonts w:hint="eastAsia" w:ascii="宋体" w:hAnsi="宋体" w:eastAsia="宋体"/>
          <w:color w:val="auto"/>
        </w:rPr>
        <w:t>采购过程中出现以下情形，导致电子交易平台无法正常运行，或者无法保证电子交易的公平、公正和安全时，采购组织机构可中止电子交易活动：</w:t>
      </w:r>
    </w:p>
    <w:p w14:paraId="0F42B68E">
      <w:pPr>
        <w:spacing w:after="0" w:line="360" w:lineRule="auto"/>
        <w:ind w:firstLine="420" w:firstLineChars="200"/>
        <w:rPr>
          <w:rFonts w:ascii="宋体" w:hAnsi="宋体" w:eastAsia="宋体"/>
          <w:color w:val="auto"/>
        </w:rPr>
      </w:pPr>
      <w:r>
        <w:rPr>
          <w:rFonts w:hint="eastAsia" w:ascii="宋体" w:hAnsi="宋体" w:eastAsia="宋体"/>
          <w:color w:val="auto"/>
        </w:rPr>
        <w:t>（1）电子交易平台发生故障而无法登录访问的；</w:t>
      </w:r>
    </w:p>
    <w:p w14:paraId="0D621086">
      <w:pPr>
        <w:spacing w:after="0" w:line="360" w:lineRule="auto"/>
        <w:ind w:firstLine="420" w:firstLineChars="200"/>
        <w:rPr>
          <w:rFonts w:ascii="宋体" w:hAnsi="宋体" w:eastAsia="宋体"/>
          <w:color w:val="auto"/>
        </w:rPr>
      </w:pPr>
      <w:r>
        <w:rPr>
          <w:rFonts w:hint="eastAsia" w:ascii="宋体" w:hAnsi="宋体" w:eastAsia="宋体"/>
          <w:color w:val="auto"/>
        </w:rPr>
        <w:t>（2）电子交易平台应用或数据库出现错误，不能进行正常操作的；</w:t>
      </w:r>
    </w:p>
    <w:p w14:paraId="06209B3B">
      <w:pPr>
        <w:spacing w:after="0" w:line="360" w:lineRule="auto"/>
        <w:ind w:firstLine="420" w:firstLineChars="200"/>
        <w:rPr>
          <w:rFonts w:ascii="宋体" w:hAnsi="宋体" w:eastAsia="宋体"/>
          <w:color w:val="auto"/>
        </w:rPr>
      </w:pPr>
      <w:r>
        <w:rPr>
          <w:rFonts w:hint="eastAsia" w:ascii="宋体" w:hAnsi="宋体" w:eastAsia="宋体"/>
          <w:color w:val="auto"/>
        </w:rPr>
        <w:t>（3）电子交易平台发现严重安全漏洞，有潜在泄密危险的；</w:t>
      </w:r>
    </w:p>
    <w:p w14:paraId="2BEFE2E7">
      <w:pPr>
        <w:spacing w:after="0" w:line="360" w:lineRule="auto"/>
        <w:ind w:firstLine="420" w:firstLineChars="200"/>
        <w:rPr>
          <w:rFonts w:ascii="宋体" w:hAnsi="宋体" w:eastAsia="宋体"/>
          <w:color w:val="auto"/>
        </w:rPr>
      </w:pPr>
      <w:r>
        <w:rPr>
          <w:rFonts w:hint="eastAsia" w:ascii="宋体" w:hAnsi="宋体" w:eastAsia="宋体"/>
          <w:color w:val="auto"/>
        </w:rPr>
        <w:t>（4）病毒发作导致不能进行正常操作的；</w:t>
      </w:r>
    </w:p>
    <w:p w14:paraId="2CE081CC">
      <w:pPr>
        <w:spacing w:after="0" w:line="360" w:lineRule="auto"/>
        <w:ind w:firstLine="420" w:firstLineChars="200"/>
        <w:rPr>
          <w:rFonts w:ascii="宋体" w:hAnsi="宋体" w:eastAsia="宋体"/>
          <w:color w:val="auto"/>
        </w:rPr>
      </w:pPr>
      <w:r>
        <w:rPr>
          <w:rFonts w:hint="eastAsia" w:ascii="宋体" w:hAnsi="宋体" w:eastAsia="宋体"/>
          <w:color w:val="auto"/>
        </w:rPr>
        <w:t>（5）其他无法保证电子交易的公平、公正和安全的情况。</w:t>
      </w:r>
    </w:p>
    <w:p w14:paraId="3BE04CB2">
      <w:pPr>
        <w:spacing w:after="0" w:line="360" w:lineRule="auto"/>
        <w:ind w:firstLine="420" w:firstLineChars="200"/>
        <w:rPr>
          <w:rFonts w:ascii="宋体" w:hAnsi="宋体" w:eastAsia="宋体"/>
          <w:color w:val="auto"/>
        </w:rPr>
      </w:pPr>
      <w:r>
        <w:rPr>
          <w:rFonts w:hint="eastAsia" w:ascii="宋体" w:hAnsi="宋体" w:eastAsia="宋体"/>
          <w:color w:val="auto"/>
        </w:rPr>
        <w:t>出现前款规定情形，不影响采购公平、公正性的，采购组织机构可以待上述情形消除后继续组织电子交易活动；影响或可能影响采购公平、公正性的，将重新采购。</w:t>
      </w:r>
    </w:p>
    <w:p w14:paraId="26EB1D7C">
      <w:pPr>
        <w:pStyle w:val="8"/>
        <w:snapToGrid w:val="0"/>
        <w:spacing w:beforeLines="0" w:after="0" w:afterLines="0" w:line="360" w:lineRule="auto"/>
        <w:ind w:firstLine="422" w:firstLineChars="200"/>
        <w:rPr>
          <w:rFonts w:hAnsi="宋体" w:eastAsia="宋体"/>
          <w:b/>
          <w:color w:val="auto"/>
          <w:sz w:val="21"/>
        </w:rPr>
      </w:pPr>
      <w:r>
        <w:rPr>
          <w:rFonts w:hint="eastAsia" w:hAnsi="宋体" w:eastAsia="宋体"/>
          <w:b/>
          <w:color w:val="auto"/>
          <w:sz w:val="21"/>
        </w:rPr>
        <w:t>39</w:t>
      </w:r>
      <w:r>
        <w:rPr>
          <w:rFonts w:hAnsi="宋体" w:eastAsia="宋体"/>
          <w:b/>
          <w:color w:val="auto"/>
          <w:sz w:val="21"/>
        </w:rPr>
        <w:t>.</w:t>
      </w:r>
      <w:r>
        <w:rPr>
          <w:rFonts w:hint="eastAsia" w:hAnsi="宋体" w:eastAsia="宋体"/>
          <w:b/>
          <w:color w:val="auto"/>
          <w:sz w:val="21"/>
        </w:rPr>
        <w:t>中标候选人的确定原则及标准</w:t>
      </w:r>
    </w:p>
    <w:p w14:paraId="24D6E934">
      <w:pPr>
        <w:spacing w:after="0" w:line="360" w:lineRule="auto"/>
        <w:ind w:firstLine="420" w:firstLineChars="200"/>
        <w:rPr>
          <w:rFonts w:ascii="宋体" w:hAnsi="宋体" w:eastAsia="宋体"/>
          <w:color w:val="auto"/>
        </w:rPr>
      </w:pPr>
      <w:r>
        <w:rPr>
          <w:rFonts w:ascii="宋体" w:hAnsi="宋体" w:eastAsia="宋体"/>
          <w:color w:val="auto"/>
        </w:rPr>
        <w:t>本项目</w:t>
      </w:r>
      <w:r>
        <w:rPr>
          <w:rFonts w:hint="eastAsia" w:ascii="宋体" w:hAnsi="宋体" w:eastAsia="宋体"/>
          <w:color w:val="auto"/>
        </w:rPr>
        <w:t>所有有效投标人均推荐为中标候选人，评标结果按评审后得分由高到低顺序排列。得分相同的，按投标报价由低到高顺序排列。得分且投标报价相同的并列。</w:t>
      </w:r>
    </w:p>
    <w:p w14:paraId="63BD2A7C">
      <w:pPr>
        <w:snapToGrid w:val="0"/>
        <w:spacing w:after="0" w:line="360" w:lineRule="auto"/>
        <w:ind w:firstLine="422" w:firstLineChars="200"/>
        <w:jc w:val="left"/>
        <w:rPr>
          <w:rFonts w:ascii="宋体" w:hAnsi="宋体" w:eastAsia="宋体"/>
          <w:b/>
          <w:color w:val="auto"/>
        </w:rPr>
      </w:pPr>
      <w:r>
        <w:rPr>
          <w:rFonts w:hint="eastAsia" w:ascii="宋体" w:hAnsi="宋体" w:eastAsia="宋体"/>
          <w:b/>
          <w:color w:val="auto"/>
        </w:rPr>
        <w:t>40.编写评标报告</w:t>
      </w:r>
    </w:p>
    <w:p w14:paraId="6B13B288">
      <w:pPr>
        <w:snapToGrid w:val="0"/>
        <w:spacing w:after="0" w:line="360" w:lineRule="auto"/>
        <w:ind w:firstLine="420" w:firstLineChars="200"/>
        <w:jc w:val="left"/>
        <w:rPr>
          <w:rFonts w:ascii="宋体" w:hAnsi="宋体" w:eastAsia="宋体"/>
          <w:color w:val="auto"/>
        </w:rPr>
      </w:pPr>
      <w:r>
        <w:rPr>
          <w:rFonts w:hint="eastAsia" w:ascii="宋体" w:hAnsi="宋体" w:eastAsia="宋体"/>
          <w:color w:val="auto"/>
        </w:rPr>
        <w:t>根据全体评标委员会成员签字的原始评标记录和评标结果编写评标报告，评标报告由评标委员会全体成员签字。</w:t>
      </w:r>
      <w:r>
        <w:rPr>
          <w:rFonts w:ascii="宋体" w:hAnsi="宋体" w:eastAsia="宋体"/>
          <w:color w:val="auto"/>
        </w:rPr>
        <w:t>评标委员会成员对需要共同认定的事项存在争议的，应当按照少数服从多数的原则作出结论。持不同意见的评标委员会成员应当在评标报告上签署不同意见及理由，否则视为同意评标报告。</w:t>
      </w:r>
    </w:p>
    <w:p w14:paraId="6DB5034A">
      <w:pPr>
        <w:pStyle w:val="23"/>
        <w:spacing w:before="0" w:beforeLines="0" w:after="0" w:afterLines="0" w:line="360" w:lineRule="auto"/>
        <w:jc w:val="center"/>
        <w:rPr>
          <w:rFonts w:ascii="宋体" w:hAnsi="宋体" w:eastAsia="宋体"/>
          <w:color w:val="auto"/>
          <w:sz w:val="21"/>
          <w:szCs w:val="21"/>
        </w:rPr>
      </w:pPr>
      <w:bookmarkStart w:id="85" w:name="_Toc118452532"/>
      <w:r>
        <w:rPr>
          <w:rFonts w:hint="eastAsia" w:ascii="宋体" w:hAnsi="宋体" w:eastAsia="宋体"/>
          <w:color w:val="auto"/>
          <w:sz w:val="21"/>
          <w:szCs w:val="21"/>
        </w:rPr>
        <w:t>六、授予合同</w:t>
      </w:r>
      <w:bookmarkEnd w:id="85"/>
    </w:p>
    <w:p w14:paraId="544C1FB3">
      <w:pPr>
        <w:spacing w:after="0" w:line="360" w:lineRule="auto"/>
        <w:ind w:firstLine="422" w:firstLineChars="200"/>
        <w:rPr>
          <w:rFonts w:ascii="宋体" w:hAnsi="宋体" w:eastAsia="宋体"/>
          <w:b/>
          <w:color w:val="auto"/>
        </w:rPr>
      </w:pPr>
      <w:r>
        <w:rPr>
          <w:rFonts w:hint="eastAsia" w:ascii="宋体" w:hAnsi="宋体" w:eastAsia="宋体"/>
          <w:b/>
          <w:color w:val="auto"/>
        </w:rPr>
        <w:t>41.中标人的确定</w:t>
      </w:r>
    </w:p>
    <w:p w14:paraId="0768EC93">
      <w:pPr>
        <w:spacing w:after="0" w:line="360" w:lineRule="auto"/>
        <w:ind w:firstLine="420" w:firstLineChars="200"/>
        <w:rPr>
          <w:rFonts w:ascii="宋体" w:hAnsi="宋体" w:eastAsia="宋体"/>
          <w:color w:val="auto"/>
          <w:shd w:val="clear" w:color="auto" w:fill="FFFFFF"/>
        </w:rPr>
      </w:pPr>
      <w:r>
        <w:rPr>
          <w:rFonts w:hint="eastAsia" w:ascii="宋体" w:hAnsi="宋体" w:eastAsia="宋体"/>
          <w:color w:val="auto"/>
          <w:shd w:val="clear" w:color="auto" w:fill="FFFFFF"/>
        </w:rPr>
        <w:t>41.1中标人确定主体为采购人，确定排名第一位的中标候选人为中标人。</w:t>
      </w:r>
    </w:p>
    <w:p w14:paraId="5F486F02">
      <w:pPr>
        <w:spacing w:after="0" w:line="360" w:lineRule="auto"/>
        <w:ind w:firstLine="420" w:firstLineChars="200"/>
        <w:rPr>
          <w:rFonts w:ascii="宋体" w:hAnsi="宋体" w:eastAsia="宋体"/>
          <w:color w:val="auto"/>
          <w:shd w:val="clear" w:color="auto" w:fill="FFFFFF"/>
        </w:rPr>
      </w:pPr>
      <w:r>
        <w:rPr>
          <w:rFonts w:hint="eastAsia" w:ascii="宋体" w:hAnsi="宋体" w:eastAsia="宋体"/>
          <w:color w:val="auto"/>
          <w:shd w:val="clear" w:color="auto" w:fill="FFFFFF"/>
        </w:rPr>
        <w:t>41.2</w:t>
      </w:r>
      <w:r>
        <w:rPr>
          <w:rFonts w:ascii="宋体" w:hAnsi="宋体" w:eastAsia="宋体"/>
          <w:color w:val="auto"/>
          <w:shd w:val="clear" w:color="auto" w:fill="FFFFFF"/>
        </w:rPr>
        <w:t>中标候选人并列的</w:t>
      </w:r>
      <w:r>
        <w:rPr>
          <w:rFonts w:hint="eastAsia" w:ascii="宋体" w:hAnsi="宋体" w:eastAsia="宋体"/>
          <w:color w:val="auto"/>
          <w:shd w:val="clear" w:color="auto" w:fill="FFFFFF"/>
        </w:rPr>
        <w:t>，项目服务人员总得分高的确定为中标人；均相同的由采购人采用随机抽取的方式确定。</w:t>
      </w:r>
    </w:p>
    <w:p w14:paraId="78D794FC">
      <w:pPr>
        <w:spacing w:after="0" w:line="360" w:lineRule="auto"/>
        <w:ind w:firstLine="422" w:firstLineChars="200"/>
        <w:rPr>
          <w:rFonts w:ascii="宋体" w:hAnsi="宋体" w:eastAsia="宋体"/>
          <w:b/>
          <w:color w:val="auto"/>
        </w:rPr>
      </w:pPr>
      <w:r>
        <w:rPr>
          <w:rFonts w:hint="eastAsia" w:ascii="宋体" w:hAnsi="宋体" w:eastAsia="宋体"/>
          <w:b/>
          <w:color w:val="auto"/>
        </w:rPr>
        <w:t>42.中标结果公告</w:t>
      </w:r>
    </w:p>
    <w:p w14:paraId="017B9205">
      <w:pPr>
        <w:spacing w:after="0" w:line="360" w:lineRule="auto"/>
        <w:ind w:firstLine="420" w:firstLineChars="200"/>
        <w:rPr>
          <w:rFonts w:ascii="宋体" w:hAnsi="宋体" w:eastAsia="宋体"/>
          <w:color w:val="auto"/>
        </w:rPr>
      </w:pPr>
      <w:r>
        <w:rPr>
          <w:rFonts w:hint="eastAsia" w:ascii="宋体" w:hAnsi="宋体" w:eastAsia="宋体"/>
          <w:color w:val="auto"/>
        </w:rPr>
        <w:t>自中标人确定之日起2个工作日内，采购代理机构在招标公告发布媒体上公告中标结果。</w:t>
      </w:r>
    </w:p>
    <w:p w14:paraId="7C9D70B3">
      <w:pPr>
        <w:spacing w:after="0" w:line="360" w:lineRule="auto"/>
        <w:ind w:firstLine="422" w:firstLineChars="200"/>
        <w:rPr>
          <w:rFonts w:ascii="宋体" w:hAnsi="宋体" w:eastAsia="宋体"/>
          <w:b/>
          <w:color w:val="auto"/>
        </w:rPr>
      </w:pPr>
      <w:r>
        <w:rPr>
          <w:rFonts w:hint="eastAsia" w:ascii="宋体" w:hAnsi="宋体" w:eastAsia="宋体"/>
          <w:b/>
          <w:color w:val="auto"/>
        </w:rPr>
        <w:t>43.中标通知书和招标结果通知书</w:t>
      </w:r>
    </w:p>
    <w:p w14:paraId="3EF98DA5">
      <w:pPr>
        <w:spacing w:after="0" w:line="360" w:lineRule="auto"/>
        <w:ind w:firstLine="420" w:firstLineChars="200"/>
        <w:rPr>
          <w:rFonts w:ascii="宋体" w:hAnsi="宋体" w:eastAsia="宋体"/>
          <w:color w:val="auto"/>
        </w:rPr>
      </w:pPr>
      <w:r>
        <w:rPr>
          <w:rFonts w:hint="eastAsia" w:ascii="宋体" w:hAnsi="宋体" w:eastAsia="宋体"/>
          <w:color w:val="auto"/>
        </w:rPr>
        <w:t>43.1在公告中标结果的同时，采购代理机构向中标人发出中标通知书，向未中标的投标人发出招标结果通知书。</w:t>
      </w:r>
    </w:p>
    <w:p w14:paraId="06BBD9AC">
      <w:pPr>
        <w:spacing w:after="0" w:line="360" w:lineRule="auto"/>
        <w:ind w:firstLine="420"/>
        <w:rPr>
          <w:rFonts w:ascii="宋体" w:hAnsi="宋体" w:eastAsia="宋体"/>
          <w:color w:val="auto"/>
        </w:rPr>
      </w:pPr>
      <w:r>
        <w:rPr>
          <w:rFonts w:hint="eastAsia" w:ascii="宋体" w:hAnsi="宋体" w:eastAsia="宋体"/>
          <w:color w:val="auto"/>
        </w:rPr>
        <w:t>43.2因重大变故采购任务取消时，采购人有权拒绝任何投标人中标，且对受影响的投标人不承担任何责任。</w:t>
      </w:r>
    </w:p>
    <w:p w14:paraId="6F9A5015">
      <w:pPr>
        <w:spacing w:after="0" w:line="360" w:lineRule="auto"/>
        <w:ind w:firstLine="422" w:firstLineChars="200"/>
        <w:rPr>
          <w:rFonts w:ascii="宋体" w:hAnsi="宋体" w:eastAsia="宋体"/>
          <w:b/>
          <w:color w:val="auto"/>
        </w:rPr>
      </w:pPr>
      <w:r>
        <w:rPr>
          <w:rFonts w:hint="eastAsia" w:ascii="宋体" w:hAnsi="宋体" w:eastAsia="宋体"/>
          <w:b/>
          <w:color w:val="auto"/>
        </w:rPr>
        <w:t>44.签订合同</w:t>
      </w:r>
    </w:p>
    <w:p w14:paraId="0DFF231A">
      <w:pPr>
        <w:spacing w:after="0" w:line="360" w:lineRule="auto"/>
        <w:ind w:firstLine="420" w:firstLineChars="200"/>
        <w:rPr>
          <w:rFonts w:ascii="宋体" w:hAnsi="宋体" w:eastAsia="宋体"/>
          <w:color w:val="auto"/>
        </w:rPr>
      </w:pPr>
      <w:r>
        <w:rPr>
          <w:rFonts w:hint="eastAsia" w:ascii="宋体" w:hAnsi="宋体" w:eastAsia="宋体"/>
          <w:color w:val="auto"/>
        </w:rPr>
        <w:t>采购人按照法律法规的规定与中标人签订书面合同。</w:t>
      </w:r>
    </w:p>
    <w:p w14:paraId="0FF25E76">
      <w:pPr>
        <w:spacing w:line="360" w:lineRule="auto"/>
        <w:ind w:firstLine="420" w:firstLineChars="200"/>
        <w:rPr>
          <w:rFonts w:ascii="宋体" w:hAnsi="宋体" w:eastAsia="宋体"/>
          <w:color w:val="auto"/>
        </w:rPr>
      </w:pPr>
      <w:r>
        <w:rPr>
          <w:rFonts w:ascii="宋体" w:hAnsi="宋体" w:eastAsia="宋体"/>
          <w:color w:val="auto"/>
        </w:rPr>
        <w:br w:type="page"/>
      </w:r>
    </w:p>
    <w:p w14:paraId="601E8951">
      <w:pPr>
        <w:pStyle w:val="2"/>
        <w:spacing w:before="0" w:after="0"/>
        <w:ind w:firstLine="482"/>
        <w:rPr>
          <w:rFonts w:ascii="宋体" w:hAnsi="宋体" w:eastAsia="宋体"/>
          <w:color w:val="auto"/>
          <w:szCs w:val="21"/>
        </w:rPr>
      </w:pPr>
      <w:bookmarkStart w:id="86" w:name="_Toc34844744"/>
      <w:bookmarkStart w:id="87" w:name="_Toc118452533"/>
      <w:r>
        <w:rPr>
          <w:rFonts w:hint="eastAsia" w:ascii="宋体" w:hAnsi="宋体" w:eastAsia="宋体"/>
          <w:color w:val="auto"/>
        </w:rPr>
        <w:t xml:space="preserve">第四章 </w:t>
      </w:r>
      <w:r>
        <w:rPr>
          <w:rFonts w:ascii="宋体" w:hAnsi="宋体" w:eastAsia="宋体"/>
          <w:color w:val="auto"/>
        </w:rPr>
        <w:t xml:space="preserve"> 评标方法和标准</w:t>
      </w:r>
      <w:bookmarkEnd w:id="86"/>
      <w:bookmarkEnd w:id="87"/>
    </w:p>
    <w:p w14:paraId="0E86C7F6">
      <w:pPr>
        <w:pStyle w:val="23"/>
        <w:spacing w:before="0" w:beforeLines="0" w:after="0" w:afterLines="0" w:line="360" w:lineRule="auto"/>
        <w:jc w:val="center"/>
        <w:rPr>
          <w:rFonts w:ascii="宋体" w:hAnsi="宋体" w:eastAsia="宋体"/>
          <w:color w:val="auto"/>
          <w:sz w:val="21"/>
          <w:szCs w:val="21"/>
        </w:rPr>
      </w:pPr>
      <w:bookmarkStart w:id="88" w:name="_Toc118452534"/>
      <w:r>
        <w:rPr>
          <w:rFonts w:hint="eastAsia" w:ascii="宋体" w:hAnsi="宋体" w:eastAsia="宋体"/>
          <w:color w:val="auto"/>
          <w:sz w:val="21"/>
          <w:szCs w:val="21"/>
        </w:rPr>
        <w:t>一、总则</w:t>
      </w:r>
      <w:bookmarkEnd w:id="88"/>
    </w:p>
    <w:p w14:paraId="63B1F28B">
      <w:pPr>
        <w:spacing w:after="0" w:line="360" w:lineRule="auto"/>
        <w:ind w:firstLine="420" w:firstLineChars="200"/>
        <w:rPr>
          <w:rFonts w:ascii="宋体" w:hAnsi="宋体" w:eastAsia="宋体"/>
          <w:color w:val="auto"/>
        </w:rPr>
      </w:pPr>
      <w:r>
        <w:rPr>
          <w:rFonts w:ascii="宋体" w:hAnsi="宋体" w:eastAsia="宋体"/>
          <w:color w:val="auto"/>
        </w:rPr>
        <w:t>遵循公开、公正、公平、择优和诚实信用的原则，评标人员应本着认真、公正、诚实、廉洁的精神进行评标工作，择优推荐中标候选人。</w:t>
      </w:r>
      <w:r>
        <w:rPr>
          <w:rFonts w:hint="eastAsia" w:ascii="宋体" w:hAnsi="宋体" w:eastAsia="宋体"/>
          <w:color w:val="auto"/>
        </w:rPr>
        <w:t>评标委员会成员</w:t>
      </w:r>
      <w:r>
        <w:rPr>
          <w:rFonts w:ascii="宋体" w:hAnsi="宋体" w:eastAsia="宋体"/>
          <w:color w:val="auto"/>
        </w:rPr>
        <w:t>必须严格遵守保密规定，不得泄露评标的有关情况。</w:t>
      </w:r>
    </w:p>
    <w:p w14:paraId="3CB2B7F5">
      <w:pPr>
        <w:pStyle w:val="23"/>
        <w:spacing w:before="0" w:beforeLines="0" w:after="0" w:afterLines="0" w:line="360" w:lineRule="auto"/>
        <w:jc w:val="center"/>
        <w:rPr>
          <w:rFonts w:ascii="宋体" w:hAnsi="宋体" w:eastAsia="宋体"/>
          <w:color w:val="auto"/>
          <w:sz w:val="21"/>
          <w:szCs w:val="21"/>
        </w:rPr>
      </w:pPr>
      <w:bookmarkStart w:id="89" w:name="_Toc118452535"/>
      <w:r>
        <w:rPr>
          <w:rFonts w:hint="eastAsia" w:ascii="宋体" w:hAnsi="宋体" w:eastAsia="宋体"/>
          <w:color w:val="auto"/>
          <w:sz w:val="21"/>
          <w:szCs w:val="21"/>
        </w:rPr>
        <w:t>二、评标方法</w:t>
      </w:r>
      <w:bookmarkEnd w:id="89"/>
    </w:p>
    <w:p w14:paraId="2F47F657">
      <w:pPr>
        <w:spacing w:after="0" w:line="360" w:lineRule="auto"/>
        <w:ind w:firstLine="420" w:firstLineChars="200"/>
        <w:rPr>
          <w:rFonts w:ascii="宋体" w:hAnsi="宋体" w:eastAsia="宋体"/>
          <w:color w:val="auto"/>
        </w:rPr>
      </w:pPr>
      <w:bookmarkStart w:id="90" w:name="_Toc118452536"/>
      <w:r>
        <w:rPr>
          <w:rFonts w:ascii="宋体" w:hAnsi="宋体" w:eastAsia="宋体"/>
          <w:color w:val="auto"/>
        </w:rPr>
        <w:t>本项目采用综合评分法进行评审</w:t>
      </w:r>
    </w:p>
    <w:p w14:paraId="76C23441">
      <w:pPr>
        <w:spacing w:after="0" w:line="360" w:lineRule="auto"/>
        <w:ind w:firstLine="420" w:firstLineChars="200"/>
        <w:rPr>
          <w:rFonts w:ascii="宋体" w:hAnsi="宋体" w:eastAsia="宋体"/>
          <w:color w:val="auto"/>
        </w:rPr>
      </w:pPr>
      <w:r>
        <w:rPr>
          <w:rFonts w:ascii="宋体" w:hAnsi="宋体" w:eastAsia="宋体"/>
          <w:color w:val="auto"/>
        </w:rPr>
        <w:t>1.评标时，评标委员会各成员独立对每个投标人的投标文件进行评价，根据评委打分表的评分标准和评分范围，逐栏打分并汇总。投标人的最终评标得分为所有评委评分的算术平均数，小数点后四舍五入保留二位小数。</w:t>
      </w:r>
    </w:p>
    <w:p w14:paraId="135B9ADA">
      <w:pPr>
        <w:spacing w:after="0" w:line="360" w:lineRule="auto"/>
        <w:ind w:firstLine="420" w:firstLineChars="200"/>
        <w:rPr>
          <w:rFonts w:ascii="宋体" w:hAnsi="宋体" w:eastAsia="宋体"/>
          <w:color w:val="auto"/>
        </w:rPr>
      </w:pPr>
      <w:r>
        <w:rPr>
          <w:rFonts w:ascii="宋体" w:hAnsi="宋体" w:eastAsia="宋体"/>
          <w:color w:val="auto"/>
        </w:rPr>
        <w:t>2.价格扣除（价格优惠）</w:t>
      </w:r>
    </w:p>
    <w:p w14:paraId="3C504CC6">
      <w:pPr>
        <w:spacing w:after="0" w:line="360" w:lineRule="auto"/>
        <w:ind w:firstLine="420" w:firstLineChars="200"/>
        <w:rPr>
          <w:rFonts w:ascii="宋体" w:hAnsi="宋体" w:eastAsia="宋体"/>
          <w:color w:val="auto"/>
        </w:rPr>
      </w:pPr>
      <w:r>
        <w:rPr>
          <w:rFonts w:ascii="宋体" w:hAnsi="宋体" w:eastAsia="宋体"/>
          <w:color w:val="auto"/>
        </w:rPr>
        <w:t>（1）对满足价格扣除条件且在投标文件中提交了《中小企业声明函》《残疾人福利性单位声明函》或省级以上监狱管理局、戒毒管理局（含新疆生产建设兵团）出具的属于监狱企业的证明文件的投标人，对其投标报价给予</w:t>
      </w:r>
      <w:r>
        <w:rPr>
          <w:rFonts w:ascii="宋体" w:hAnsi="宋体" w:eastAsia="宋体"/>
          <w:color w:val="auto"/>
          <w:u w:val="single"/>
        </w:rPr>
        <w:t xml:space="preserve"> 10 </w:t>
      </w:r>
      <w:r>
        <w:rPr>
          <w:rFonts w:ascii="宋体" w:hAnsi="宋体" w:eastAsia="宋体"/>
          <w:color w:val="auto"/>
        </w:rPr>
        <w:t>%的扣除。</w:t>
      </w:r>
    </w:p>
    <w:p w14:paraId="6F9E2EE1">
      <w:pPr>
        <w:spacing w:after="0" w:line="360" w:lineRule="auto"/>
        <w:ind w:firstLine="420" w:firstLineChars="200"/>
        <w:rPr>
          <w:rFonts w:ascii="宋体" w:hAnsi="宋体" w:cs="Arial"/>
          <w:color w:val="auto"/>
        </w:rPr>
      </w:pPr>
      <w:r>
        <w:rPr>
          <w:rFonts w:hint="eastAsia" w:ascii="宋体" w:hAnsi="宋体" w:cs="Arial"/>
          <w:color w:val="auto"/>
        </w:rPr>
        <w:t>（2）</w:t>
      </w:r>
      <w:r>
        <w:rPr>
          <w:rFonts w:ascii="宋体" w:hAnsi="宋体"/>
          <w:color w:val="auto"/>
        </w:rPr>
        <w:t>对于联合协议约定小微企业的合同份额占到合同总金额30%以上的，对联合体的报价给予</w:t>
      </w:r>
      <w:r>
        <w:rPr>
          <w:rFonts w:hint="eastAsia" w:ascii="宋体" w:hAnsi="宋体" w:cs="Arial"/>
          <w:color w:val="auto"/>
          <w:u w:val="single"/>
        </w:rPr>
        <w:t xml:space="preserve"> </w:t>
      </w:r>
      <w:r>
        <w:rPr>
          <w:rFonts w:ascii="宋体" w:hAnsi="宋体" w:cs="Arial"/>
          <w:color w:val="auto"/>
          <w:u w:val="single"/>
        </w:rPr>
        <w:t>4</w:t>
      </w:r>
      <w:r>
        <w:rPr>
          <w:rFonts w:hint="eastAsia" w:ascii="宋体" w:hAnsi="宋体" w:cs="Arial"/>
          <w:color w:val="auto"/>
          <w:u w:val="single"/>
        </w:rPr>
        <w:t xml:space="preserve"> </w:t>
      </w:r>
      <w:r>
        <w:rPr>
          <w:rFonts w:hint="eastAsia" w:ascii="宋体" w:hAnsi="宋体" w:cs="Arial"/>
          <w:color w:val="auto"/>
        </w:rPr>
        <w:t>%</w:t>
      </w:r>
      <w:r>
        <w:rPr>
          <w:rFonts w:ascii="宋体" w:hAnsi="宋体"/>
          <w:color w:val="auto"/>
        </w:rPr>
        <w:t>的扣除。</w:t>
      </w:r>
    </w:p>
    <w:p w14:paraId="22795D9C">
      <w:pPr>
        <w:spacing w:after="0" w:line="360" w:lineRule="auto"/>
        <w:ind w:firstLine="420" w:firstLineChars="200"/>
        <w:rPr>
          <w:rFonts w:ascii="宋体" w:hAnsi="宋体" w:eastAsia="宋体"/>
          <w:color w:val="auto"/>
        </w:rPr>
      </w:pPr>
      <w:r>
        <w:rPr>
          <w:rFonts w:hint="eastAsia" w:ascii="宋体" w:hAnsi="宋体" w:eastAsia="宋体"/>
          <w:color w:val="auto"/>
        </w:rPr>
        <w:t>（3）</w:t>
      </w:r>
      <w:r>
        <w:rPr>
          <w:rFonts w:ascii="宋体" w:hAnsi="宋体" w:eastAsia="宋体"/>
          <w:color w:val="auto"/>
        </w:rPr>
        <w:t>符合采购标的对应的中小企业划分标准所属行业：</w:t>
      </w:r>
      <w:r>
        <w:rPr>
          <w:rFonts w:hint="eastAsia" w:ascii="宋体" w:hAnsi="宋体" w:eastAsia="宋体"/>
          <w:color w:val="auto"/>
          <w:u w:val="single"/>
        </w:rPr>
        <w:t xml:space="preserve"> 邱隘南-环城融合区域前期研究 </w:t>
      </w:r>
      <w:r>
        <w:rPr>
          <w:rFonts w:ascii="宋体" w:hAnsi="宋体" w:eastAsia="宋体"/>
          <w:color w:val="auto"/>
        </w:rPr>
        <w:t>属于</w:t>
      </w:r>
      <w:r>
        <w:rPr>
          <w:rFonts w:hint="eastAsia" w:ascii="宋体" w:hAnsi="宋体" w:eastAsia="宋体"/>
          <w:color w:val="auto"/>
          <w:u w:val="single"/>
        </w:rPr>
        <w:t>其他未列明行业</w:t>
      </w:r>
      <w:r>
        <w:rPr>
          <w:rFonts w:hint="eastAsia" w:ascii="宋体" w:hAnsi="宋体" w:eastAsia="宋体"/>
          <w:color w:val="auto"/>
        </w:rPr>
        <w:t>。</w:t>
      </w:r>
    </w:p>
    <w:p w14:paraId="2508E47E">
      <w:pPr>
        <w:spacing w:after="0" w:line="360" w:lineRule="auto"/>
        <w:ind w:firstLine="420" w:firstLineChars="200"/>
        <w:rPr>
          <w:rFonts w:ascii="宋体" w:hAnsi="宋体" w:eastAsia="宋体"/>
          <w:color w:val="auto"/>
        </w:rPr>
      </w:pPr>
      <w:r>
        <w:rPr>
          <w:rFonts w:ascii="宋体" w:hAnsi="宋体" w:eastAsia="宋体"/>
          <w:color w:val="auto"/>
        </w:rPr>
        <w:t>中小企业划分标准以《工业和信息化部、国家统计局、国家发展和改革委员会、财政部关于印发中小企业划型标准规定的通知》（工信部联企业[2011]300号）规定的划分标准为准。</w:t>
      </w:r>
    </w:p>
    <w:p w14:paraId="61327FCD">
      <w:pPr>
        <w:pStyle w:val="23"/>
        <w:spacing w:before="0" w:beforeLines="0" w:after="0" w:afterLines="0" w:line="360" w:lineRule="auto"/>
        <w:jc w:val="center"/>
        <w:rPr>
          <w:rFonts w:ascii="宋体" w:hAnsi="宋体" w:eastAsia="宋体"/>
          <w:color w:val="auto"/>
          <w:sz w:val="21"/>
          <w:szCs w:val="21"/>
        </w:rPr>
      </w:pPr>
      <w:r>
        <w:rPr>
          <w:rFonts w:hint="eastAsia" w:ascii="宋体" w:hAnsi="宋体" w:eastAsia="宋体"/>
          <w:color w:val="auto"/>
          <w:sz w:val="21"/>
          <w:szCs w:val="21"/>
        </w:rPr>
        <w:t>三、评审程序</w:t>
      </w:r>
      <w:bookmarkEnd w:id="90"/>
    </w:p>
    <w:p w14:paraId="695DC6FE">
      <w:pPr>
        <w:spacing w:after="0" w:line="360" w:lineRule="auto"/>
        <w:ind w:firstLine="422"/>
        <w:rPr>
          <w:rFonts w:ascii="宋体" w:hAnsi="宋体" w:eastAsia="宋体"/>
          <w:b/>
          <w:color w:val="auto"/>
        </w:rPr>
      </w:pPr>
      <w:r>
        <w:rPr>
          <w:rFonts w:hint="eastAsia" w:ascii="宋体" w:hAnsi="宋体" w:eastAsia="宋体"/>
          <w:b/>
          <w:color w:val="auto"/>
        </w:rPr>
        <w:t>1.资格审查</w:t>
      </w:r>
    </w:p>
    <w:p w14:paraId="4DA7F137">
      <w:pPr>
        <w:spacing w:after="0" w:line="360" w:lineRule="auto"/>
        <w:ind w:firstLine="420"/>
        <w:rPr>
          <w:rFonts w:ascii="宋体" w:hAnsi="宋体" w:eastAsia="宋体"/>
          <w:color w:val="auto"/>
        </w:rPr>
      </w:pPr>
      <w:r>
        <w:rPr>
          <w:rFonts w:ascii="宋体" w:hAnsi="宋体" w:eastAsia="宋体"/>
          <w:color w:val="auto"/>
        </w:rPr>
        <w:t>由采购人或采购代理机构对</w:t>
      </w:r>
      <w:r>
        <w:rPr>
          <w:rFonts w:hint="eastAsia" w:ascii="宋体" w:hAnsi="宋体" w:eastAsia="宋体"/>
          <w:color w:val="auto"/>
        </w:rPr>
        <w:t>投标人进行资格审查</w:t>
      </w:r>
      <w:r>
        <w:rPr>
          <w:rFonts w:ascii="宋体" w:hAnsi="宋体" w:eastAsia="宋体"/>
          <w:color w:val="auto"/>
        </w:rPr>
        <w:t>。资格审查</w:t>
      </w:r>
      <w:r>
        <w:rPr>
          <w:rFonts w:hint="eastAsia" w:ascii="宋体" w:hAnsi="宋体" w:eastAsia="宋体"/>
          <w:color w:val="auto"/>
        </w:rPr>
        <w:t>内容</w:t>
      </w:r>
      <w:r>
        <w:rPr>
          <w:rFonts w:ascii="宋体" w:hAnsi="宋体" w:eastAsia="宋体"/>
          <w:color w:val="auto"/>
        </w:rPr>
        <w:t>如下：</w:t>
      </w:r>
    </w:p>
    <w:tbl>
      <w:tblPr>
        <w:tblStyle w:val="15"/>
        <w:tblW w:w="86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3006"/>
        <w:gridCol w:w="3827"/>
      </w:tblGrid>
      <w:tr w14:paraId="02FB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3EDD96E2">
            <w:pPr>
              <w:adjustRightInd w:val="0"/>
              <w:snapToGrid w:val="0"/>
              <w:spacing w:after="0" w:line="240" w:lineRule="auto"/>
              <w:ind w:right="-10"/>
              <w:jc w:val="center"/>
              <w:rPr>
                <w:rFonts w:ascii="宋体" w:hAnsi="宋体" w:eastAsia="宋体"/>
                <w:color w:val="auto"/>
              </w:rPr>
            </w:pPr>
            <w:r>
              <w:rPr>
                <w:rFonts w:hint="eastAsia" w:ascii="宋体" w:hAnsi="宋体" w:eastAsia="宋体"/>
                <w:color w:val="auto"/>
              </w:rPr>
              <w:t>序号</w:t>
            </w:r>
          </w:p>
        </w:tc>
        <w:tc>
          <w:tcPr>
            <w:tcW w:w="1134" w:type="dxa"/>
            <w:tcBorders>
              <w:bottom w:val="single" w:color="auto" w:sz="4" w:space="0"/>
            </w:tcBorders>
            <w:vAlign w:val="center"/>
          </w:tcPr>
          <w:p w14:paraId="55F23604">
            <w:pPr>
              <w:pStyle w:val="26"/>
              <w:pBdr>
                <w:bottom w:val="none" w:color="auto" w:sz="0" w:space="0"/>
              </w:pBdr>
              <w:tabs>
                <w:tab w:val="clear" w:pos="4153"/>
                <w:tab w:val="clear" w:pos="8306"/>
              </w:tabs>
              <w:snapToGrid w:val="0"/>
              <w:spacing w:after="0" w:line="240" w:lineRule="auto"/>
              <w:ind w:right="-10"/>
              <w:textAlignment w:val="auto"/>
              <w:rPr>
                <w:rFonts w:ascii="宋体" w:hAnsi="宋体" w:eastAsia="宋体"/>
                <w:color w:val="auto"/>
                <w:kern w:val="2"/>
                <w:sz w:val="21"/>
                <w:szCs w:val="21"/>
              </w:rPr>
            </w:pPr>
            <w:r>
              <w:rPr>
                <w:rFonts w:hint="eastAsia" w:ascii="宋体" w:hAnsi="宋体" w:eastAsia="宋体"/>
                <w:color w:val="auto"/>
                <w:kern w:val="2"/>
                <w:sz w:val="21"/>
                <w:szCs w:val="21"/>
              </w:rPr>
              <w:t>评审内容</w:t>
            </w:r>
          </w:p>
        </w:tc>
        <w:tc>
          <w:tcPr>
            <w:tcW w:w="3006" w:type="dxa"/>
            <w:tcBorders>
              <w:bottom w:val="single" w:color="auto" w:sz="4" w:space="0"/>
            </w:tcBorders>
            <w:vAlign w:val="center"/>
          </w:tcPr>
          <w:p w14:paraId="480F1018">
            <w:pPr>
              <w:adjustRightInd w:val="0"/>
              <w:snapToGrid w:val="0"/>
              <w:spacing w:after="0" w:line="240" w:lineRule="auto"/>
              <w:ind w:right="-10"/>
              <w:jc w:val="center"/>
              <w:rPr>
                <w:rFonts w:ascii="宋体" w:hAnsi="宋体" w:eastAsia="宋体"/>
                <w:color w:val="auto"/>
              </w:rPr>
            </w:pPr>
            <w:r>
              <w:rPr>
                <w:rFonts w:hint="eastAsia" w:ascii="宋体" w:hAnsi="宋体" w:eastAsia="宋体"/>
                <w:color w:val="auto"/>
              </w:rPr>
              <w:t>审查要求</w:t>
            </w:r>
          </w:p>
        </w:tc>
        <w:tc>
          <w:tcPr>
            <w:tcW w:w="3827" w:type="dxa"/>
            <w:tcBorders>
              <w:bottom w:val="single" w:color="auto" w:sz="4" w:space="0"/>
            </w:tcBorders>
            <w:vAlign w:val="center"/>
          </w:tcPr>
          <w:p w14:paraId="04E93DFE">
            <w:pPr>
              <w:adjustRightInd w:val="0"/>
              <w:snapToGrid w:val="0"/>
              <w:spacing w:after="0" w:line="240" w:lineRule="auto"/>
              <w:ind w:right="-10"/>
              <w:jc w:val="center"/>
              <w:rPr>
                <w:rFonts w:ascii="宋体" w:hAnsi="宋体" w:eastAsia="宋体"/>
                <w:color w:val="auto"/>
              </w:rPr>
            </w:pPr>
            <w:r>
              <w:rPr>
                <w:rFonts w:hint="eastAsia" w:ascii="宋体" w:hAnsi="宋体" w:eastAsia="宋体"/>
                <w:color w:val="auto"/>
              </w:rPr>
              <w:t>要求说明</w:t>
            </w:r>
          </w:p>
        </w:tc>
      </w:tr>
      <w:tr w14:paraId="1F7B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9" w:type="dxa"/>
            <w:vAlign w:val="center"/>
          </w:tcPr>
          <w:p w14:paraId="140726D3">
            <w:pPr>
              <w:adjustRightInd w:val="0"/>
              <w:snapToGrid w:val="0"/>
              <w:spacing w:after="0" w:line="240" w:lineRule="auto"/>
              <w:ind w:right="-10"/>
              <w:jc w:val="center"/>
              <w:rPr>
                <w:rFonts w:ascii="宋体" w:hAnsi="宋体" w:eastAsia="宋体"/>
                <w:color w:val="auto"/>
              </w:rPr>
            </w:pPr>
            <w:r>
              <w:rPr>
                <w:rFonts w:hint="eastAsia" w:ascii="宋体" w:hAnsi="宋体" w:eastAsia="宋体"/>
                <w:color w:val="auto"/>
              </w:rPr>
              <w:t>1</w:t>
            </w:r>
          </w:p>
        </w:tc>
        <w:tc>
          <w:tcPr>
            <w:tcW w:w="1134" w:type="dxa"/>
            <w:vAlign w:val="center"/>
          </w:tcPr>
          <w:p w14:paraId="71692406">
            <w:pPr>
              <w:spacing w:after="0" w:line="240" w:lineRule="auto"/>
              <w:ind w:right="-10"/>
              <w:jc w:val="left"/>
              <w:rPr>
                <w:rFonts w:ascii="宋体" w:hAnsi="宋体" w:eastAsia="宋体"/>
                <w:color w:val="auto"/>
              </w:rPr>
            </w:pPr>
            <w:r>
              <w:rPr>
                <w:rFonts w:hint="eastAsia" w:ascii="宋体" w:hAnsi="宋体" w:eastAsia="宋体"/>
                <w:color w:val="auto"/>
              </w:rPr>
              <w:t>基本资质</w:t>
            </w:r>
          </w:p>
        </w:tc>
        <w:tc>
          <w:tcPr>
            <w:tcW w:w="3006" w:type="dxa"/>
            <w:vAlign w:val="center"/>
          </w:tcPr>
          <w:p w14:paraId="6997F3F0">
            <w:pPr>
              <w:spacing w:after="0" w:line="240" w:lineRule="auto"/>
              <w:ind w:right="-10"/>
              <w:jc w:val="left"/>
              <w:rPr>
                <w:rFonts w:ascii="宋体" w:hAnsi="宋体" w:eastAsia="宋体"/>
                <w:color w:val="auto"/>
              </w:rPr>
            </w:pPr>
            <w:r>
              <w:rPr>
                <w:rFonts w:hint="eastAsia" w:ascii="宋体" w:hAnsi="宋体" w:eastAsia="宋体"/>
                <w:color w:val="auto"/>
              </w:rPr>
              <w:t>满足《中华人民共和国政府采购法》第二十二条第一款规定</w:t>
            </w:r>
          </w:p>
        </w:tc>
        <w:tc>
          <w:tcPr>
            <w:tcW w:w="3827" w:type="dxa"/>
            <w:vAlign w:val="center"/>
          </w:tcPr>
          <w:p w14:paraId="05761E79">
            <w:pPr>
              <w:spacing w:after="0" w:line="240" w:lineRule="auto"/>
              <w:jc w:val="left"/>
              <w:rPr>
                <w:rFonts w:ascii="宋体" w:hAnsi="宋体" w:eastAsia="宋体"/>
                <w:color w:val="auto"/>
              </w:rPr>
            </w:pPr>
            <w:r>
              <w:rPr>
                <w:rFonts w:hint="eastAsia" w:ascii="宋体" w:hAnsi="宋体" w:eastAsia="宋体"/>
                <w:color w:val="auto"/>
              </w:rPr>
              <w:t>资格要求响应文件内提供《投标人资格声明函》</w:t>
            </w:r>
            <w:r>
              <w:rPr>
                <w:rFonts w:hint="eastAsia" w:ascii="宋体" w:hAnsi="宋体" w:eastAsia="宋体" w:cs="宋体"/>
                <w:color w:val="auto"/>
              </w:rPr>
              <w:t>（联合体投标的，联合体各方均须提供）</w:t>
            </w:r>
          </w:p>
        </w:tc>
      </w:tr>
      <w:tr w14:paraId="6D0C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9" w:type="dxa"/>
            <w:vAlign w:val="center"/>
          </w:tcPr>
          <w:p w14:paraId="6B2B27F7">
            <w:pPr>
              <w:adjustRightInd w:val="0"/>
              <w:snapToGrid w:val="0"/>
              <w:spacing w:after="0" w:line="240" w:lineRule="auto"/>
              <w:ind w:right="-10"/>
              <w:jc w:val="center"/>
              <w:rPr>
                <w:rFonts w:ascii="宋体" w:hAnsi="宋体" w:eastAsia="宋体"/>
                <w:color w:val="auto"/>
              </w:rPr>
            </w:pPr>
            <w:r>
              <w:rPr>
                <w:rFonts w:hint="eastAsia" w:ascii="宋体" w:hAnsi="宋体" w:eastAsia="宋体"/>
                <w:color w:val="auto"/>
              </w:rPr>
              <w:t>2</w:t>
            </w:r>
          </w:p>
        </w:tc>
        <w:tc>
          <w:tcPr>
            <w:tcW w:w="1134" w:type="dxa"/>
            <w:vAlign w:val="center"/>
          </w:tcPr>
          <w:p w14:paraId="71A91D2C">
            <w:pPr>
              <w:spacing w:after="0" w:line="240" w:lineRule="auto"/>
              <w:ind w:right="-10"/>
              <w:jc w:val="left"/>
              <w:rPr>
                <w:rFonts w:ascii="宋体" w:hAnsi="宋体" w:eastAsia="宋体"/>
                <w:color w:val="auto"/>
              </w:rPr>
            </w:pPr>
            <w:r>
              <w:rPr>
                <w:rFonts w:hint="eastAsia" w:ascii="宋体" w:hAnsi="宋体" w:eastAsia="宋体"/>
                <w:color w:val="auto"/>
              </w:rPr>
              <w:t>营业执照</w:t>
            </w:r>
          </w:p>
        </w:tc>
        <w:tc>
          <w:tcPr>
            <w:tcW w:w="3006" w:type="dxa"/>
            <w:vAlign w:val="center"/>
          </w:tcPr>
          <w:p w14:paraId="7FD1174B">
            <w:pPr>
              <w:spacing w:after="0" w:line="240" w:lineRule="auto"/>
              <w:ind w:right="-10"/>
              <w:jc w:val="left"/>
              <w:rPr>
                <w:rFonts w:ascii="宋体" w:hAnsi="宋体" w:eastAsia="宋体"/>
                <w:color w:val="auto"/>
              </w:rPr>
            </w:pPr>
            <w:r>
              <w:rPr>
                <w:rFonts w:hint="eastAsia" w:ascii="宋体" w:hAnsi="宋体" w:eastAsia="宋体"/>
                <w:color w:val="auto"/>
              </w:rPr>
              <w:t>有效的营业执照或事业单位法人证书或社会团体法人登记证书或民办非企业单位登记证书等机构登记证明复印件</w:t>
            </w:r>
          </w:p>
        </w:tc>
        <w:tc>
          <w:tcPr>
            <w:tcW w:w="3827" w:type="dxa"/>
            <w:vAlign w:val="center"/>
          </w:tcPr>
          <w:p w14:paraId="13779142">
            <w:pPr>
              <w:spacing w:after="0" w:line="240" w:lineRule="auto"/>
              <w:jc w:val="left"/>
              <w:rPr>
                <w:rFonts w:ascii="宋体" w:hAnsi="宋体" w:eastAsia="宋体"/>
                <w:color w:val="auto"/>
              </w:rPr>
            </w:pPr>
            <w:r>
              <w:rPr>
                <w:rFonts w:hint="eastAsia" w:ascii="宋体" w:hAnsi="宋体" w:eastAsia="宋体"/>
                <w:color w:val="auto"/>
              </w:rPr>
              <w:t>资格要求响应文件内提供有效</w:t>
            </w:r>
            <w:r>
              <w:rPr>
                <w:rFonts w:hint="eastAsia" w:ascii="宋体" w:hAnsi="宋体" w:eastAsia="宋体" w:cs="宋体"/>
                <w:color w:val="auto"/>
                <w:kern w:val="1"/>
              </w:rPr>
              <w:t>的营业执照或事业单位法人证书或社会团体法人登记证书或民办非企业单位登记证书等机构登记证明，</w:t>
            </w:r>
            <w:r>
              <w:rPr>
                <w:rFonts w:hint="eastAsia" w:ascii="宋体" w:hAnsi="宋体" w:eastAsia="宋体"/>
                <w:color w:val="auto"/>
              </w:rPr>
              <w:t>应完整清晰的体现出证明材料的全部内容。</w:t>
            </w:r>
            <w:r>
              <w:rPr>
                <w:rFonts w:hint="eastAsia" w:ascii="宋体" w:hAnsi="宋体" w:eastAsia="宋体" w:cs="宋体"/>
                <w:color w:val="auto"/>
              </w:rPr>
              <w:t>（联合体投标的，联合体各方均须提供）</w:t>
            </w:r>
          </w:p>
        </w:tc>
      </w:tr>
      <w:tr w14:paraId="3D54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9" w:type="dxa"/>
            <w:vAlign w:val="center"/>
          </w:tcPr>
          <w:p w14:paraId="0CB0508A">
            <w:pPr>
              <w:adjustRightInd w:val="0"/>
              <w:snapToGrid w:val="0"/>
              <w:spacing w:after="0" w:line="240" w:lineRule="auto"/>
              <w:ind w:right="-10"/>
              <w:jc w:val="center"/>
              <w:rPr>
                <w:rFonts w:ascii="宋体" w:hAnsi="宋体" w:eastAsia="宋体"/>
                <w:color w:val="auto"/>
              </w:rPr>
            </w:pPr>
            <w:r>
              <w:rPr>
                <w:rFonts w:hint="eastAsia" w:ascii="宋体" w:hAnsi="宋体" w:eastAsia="宋体"/>
                <w:color w:val="auto"/>
              </w:rPr>
              <w:t>3</w:t>
            </w:r>
          </w:p>
        </w:tc>
        <w:tc>
          <w:tcPr>
            <w:tcW w:w="1134" w:type="dxa"/>
            <w:vAlign w:val="center"/>
          </w:tcPr>
          <w:p w14:paraId="630E646B">
            <w:pPr>
              <w:spacing w:after="0" w:line="240" w:lineRule="auto"/>
              <w:ind w:right="-10"/>
              <w:jc w:val="left"/>
              <w:rPr>
                <w:rFonts w:ascii="宋体" w:hAnsi="宋体" w:eastAsia="宋体"/>
                <w:color w:val="auto"/>
              </w:rPr>
            </w:pPr>
            <w:r>
              <w:rPr>
                <w:rFonts w:hint="eastAsia" w:ascii="宋体" w:hAnsi="宋体" w:eastAsia="宋体"/>
                <w:color w:val="auto"/>
              </w:rPr>
              <w:t>特定资格要求</w:t>
            </w:r>
          </w:p>
        </w:tc>
        <w:tc>
          <w:tcPr>
            <w:tcW w:w="3006" w:type="dxa"/>
            <w:vAlign w:val="center"/>
          </w:tcPr>
          <w:p w14:paraId="3A2F561B">
            <w:pPr>
              <w:spacing w:after="0" w:line="240" w:lineRule="auto"/>
              <w:ind w:right="-10"/>
              <w:jc w:val="left"/>
              <w:rPr>
                <w:rFonts w:ascii="宋体" w:hAnsi="宋体" w:eastAsia="宋体"/>
                <w:color w:val="auto"/>
              </w:rPr>
            </w:pPr>
            <w:r>
              <w:rPr>
                <w:rFonts w:hint="eastAsia" w:ascii="宋体" w:hAnsi="宋体" w:eastAsia="宋体"/>
                <w:color w:val="auto"/>
              </w:rPr>
              <w:t>投标人具有城乡规划（国土空间规划）编制单位乙级及以上资质</w:t>
            </w:r>
          </w:p>
        </w:tc>
        <w:tc>
          <w:tcPr>
            <w:tcW w:w="3827" w:type="dxa"/>
            <w:vAlign w:val="center"/>
          </w:tcPr>
          <w:p w14:paraId="45071F9A">
            <w:pPr>
              <w:spacing w:after="0" w:line="240" w:lineRule="auto"/>
              <w:jc w:val="left"/>
              <w:rPr>
                <w:rFonts w:ascii="宋体" w:hAnsi="宋体" w:eastAsia="宋体"/>
                <w:color w:val="auto"/>
              </w:rPr>
            </w:pPr>
            <w:r>
              <w:rPr>
                <w:rFonts w:hint="eastAsia" w:ascii="宋体" w:hAnsi="宋体" w:eastAsia="宋体"/>
                <w:color w:val="auto"/>
              </w:rPr>
              <w:t>资格要求响应文件内提供资质证书复印件</w:t>
            </w:r>
            <w:r>
              <w:rPr>
                <w:rFonts w:hint="eastAsia" w:ascii="宋体" w:hAnsi="宋体"/>
                <w:color w:val="auto"/>
              </w:rPr>
              <w:t>（联合体参加投标的，联合体内部承担对应项目工作的单位必须具备相应的资质并提供）</w:t>
            </w:r>
          </w:p>
        </w:tc>
      </w:tr>
      <w:tr w14:paraId="0D59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9" w:type="dxa"/>
            <w:vAlign w:val="center"/>
          </w:tcPr>
          <w:p w14:paraId="61C0C21D">
            <w:pPr>
              <w:adjustRightInd w:val="0"/>
              <w:snapToGrid w:val="0"/>
              <w:spacing w:after="0" w:line="240" w:lineRule="auto"/>
              <w:ind w:right="-10"/>
              <w:jc w:val="center"/>
              <w:rPr>
                <w:rFonts w:ascii="宋体" w:hAnsi="宋体" w:eastAsia="宋体"/>
                <w:color w:val="auto"/>
              </w:rPr>
            </w:pPr>
            <w:r>
              <w:rPr>
                <w:rFonts w:hint="eastAsia" w:ascii="宋体" w:hAnsi="宋体" w:eastAsia="宋体"/>
                <w:color w:val="auto"/>
              </w:rPr>
              <w:t>4</w:t>
            </w:r>
          </w:p>
        </w:tc>
        <w:tc>
          <w:tcPr>
            <w:tcW w:w="1134" w:type="dxa"/>
            <w:vAlign w:val="center"/>
          </w:tcPr>
          <w:p w14:paraId="3AE3B2E5">
            <w:pPr>
              <w:spacing w:after="0" w:line="240" w:lineRule="auto"/>
              <w:ind w:right="-10"/>
              <w:jc w:val="left"/>
              <w:rPr>
                <w:rFonts w:ascii="宋体" w:hAnsi="宋体" w:eastAsia="宋体" w:cs="宋体"/>
                <w:color w:val="auto"/>
              </w:rPr>
            </w:pPr>
            <w:r>
              <w:rPr>
                <w:rFonts w:hint="eastAsia" w:ascii="宋体" w:hAnsi="宋体" w:eastAsia="宋体" w:cs="宋体"/>
                <w:color w:val="auto"/>
              </w:rPr>
              <w:t>联合协议</w:t>
            </w:r>
          </w:p>
        </w:tc>
        <w:tc>
          <w:tcPr>
            <w:tcW w:w="3006" w:type="dxa"/>
            <w:vAlign w:val="center"/>
          </w:tcPr>
          <w:p w14:paraId="4C52C54C">
            <w:pPr>
              <w:spacing w:after="0" w:line="240" w:lineRule="auto"/>
              <w:ind w:right="-10"/>
              <w:jc w:val="left"/>
              <w:rPr>
                <w:rFonts w:ascii="宋体" w:hAnsi="宋体" w:eastAsia="宋体" w:cs="宋体"/>
                <w:color w:val="auto"/>
              </w:rPr>
            </w:pPr>
            <w:r>
              <w:rPr>
                <w:rFonts w:hint="eastAsia" w:ascii="宋体" w:hAnsi="宋体" w:eastAsia="宋体" w:cs="宋体"/>
                <w:color w:val="auto"/>
              </w:rPr>
              <w:t>格式、填写、签署及盖章符合招标文件要求</w:t>
            </w:r>
          </w:p>
        </w:tc>
        <w:tc>
          <w:tcPr>
            <w:tcW w:w="3827" w:type="dxa"/>
            <w:vAlign w:val="center"/>
          </w:tcPr>
          <w:p w14:paraId="1E67C0BD">
            <w:pPr>
              <w:spacing w:after="0" w:line="240" w:lineRule="auto"/>
              <w:jc w:val="left"/>
              <w:rPr>
                <w:rFonts w:ascii="宋体" w:hAnsi="宋体" w:eastAsia="宋体" w:cs="宋体"/>
                <w:color w:val="auto"/>
              </w:rPr>
            </w:pPr>
            <w:r>
              <w:rPr>
                <w:rFonts w:hint="eastAsia" w:ascii="宋体" w:hAnsi="宋体" w:eastAsia="宋体" w:cs="宋体"/>
                <w:color w:val="auto"/>
              </w:rPr>
              <w:t>资格要求响应文件内提供有效</w:t>
            </w:r>
            <w:r>
              <w:rPr>
                <w:rFonts w:hint="eastAsia" w:ascii="宋体" w:hAnsi="宋体" w:eastAsia="宋体" w:cs="宋体"/>
                <w:color w:val="auto"/>
                <w:kern w:val="1"/>
              </w:rPr>
              <w:t>的</w:t>
            </w:r>
            <w:r>
              <w:rPr>
                <w:rFonts w:hint="eastAsia" w:ascii="宋体" w:hAnsi="宋体" w:eastAsia="宋体" w:cs="宋体"/>
                <w:color w:val="auto"/>
              </w:rPr>
              <w:t>联合协议（未组成联合体投标的无须提供，否则必须提供）</w:t>
            </w:r>
          </w:p>
        </w:tc>
      </w:tr>
      <w:tr w14:paraId="659D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14:paraId="4B37DA2D">
            <w:pPr>
              <w:adjustRightInd w:val="0"/>
              <w:snapToGrid w:val="0"/>
              <w:spacing w:after="0" w:line="240" w:lineRule="auto"/>
              <w:ind w:right="-10"/>
              <w:jc w:val="center"/>
              <w:rPr>
                <w:rFonts w:ascii="宋体" w:hAnsi="宋体" w:eastAsia="宋体"/>
                <w:color w:val="auto"/>
              </w:rPr>
            </w:pPr>
            <w:r>
              <w:rPr>
                <w:rFonts w:hint="eastAsia" w:ascii="宋体" w:hAnsi="宋体" w:eastAsia="宋体"/>
                <w:color w:val="auto"/>
              </w:rPr>
              <w:t>5</w:t>
            </w:r>
          </w:p>
        </w:tc>
        <w:tc>
          <w:tcPr>
            <w:tcW w:w="1134" w:type="dxa"/>
            <w:vAlign w:val="center"/>
          </w:tcPr>
          <w:p w14:paraId="38B9C6BE">
            <w:pPr>
              <w:spacing w:after="0" w:line="240" w:lineRule="auto"/>
              <w:ind w:right="-10"/>
              <w:jc w:val="left"/>
              <w:rPr>
                <w:rFonts w:ascii="宋体" w:hAnsi="宋体" w:eastAsia="宋体"/>
                <w:color w:val="auto"/>
              </w:rPr>
            </w:pPr>
            <w:r>
              <w:rPr>
                <w:rFonts w:hint="eastAsia" w:ascii="宋体" w:hAnsi="宋体" w:eastAsia="宋体"/>
                <w:color w:val="auto"/>
              </w:rPr>
              <w:t>信用情况</w:t>
            </w:r>
          </w:p>
        </w:tc>
        <w:tc>
          <w:tcPr>
            <w:tcW w:w="3006" w:type="dxa"/>
            <w:vAlign w:val="center"/>
          </w:tcPr>
          <w:p w14:paraId="4A0A2B0F">
            <w:pPr>
              <w:spacing w:after="0" w:line="240" w:lineRule="auto"/>
              <w:ind w:right="-10"/>
              <w:jc w:val="left"/>
              <w:rPr>
                <w:rFonts w:ascii="宋体" w:hAnsi="宋体" w:eastAsia="宋体"/>
                <w:color w:val="auto"/>
              </w:rPr>
            </w:pPr>
            <w:r>
              <w:rPr>
                <w:rFonts w:hint="eastAsia" w:ascii="宋体" w:hAnsi="宋体" w:eastAsia="宋体"/>
                <w:color w:val="auto"/>
              </w:rPr>
              <w:t>未被“信用中国”（www.creditchina.gov.cn)、中国政府采购网（www.ccgp.gov.cn）列入失信被执行人、重大税收违法失信主体、政府采购严重违法失信行为记录名单</w:t>
            </w:r>
          </w:p>
        </w:tc>
        <w:tc>
          <w:tcPr>
            <w:tcW w:w="3827" w:type="dxa"/>
            <w:vAlign w:val="center"/>
          </w:tcPr>
          <w:p w14:paraId="0322B598">
            <w:pPr>
              <w:adjustRightInd w:val="0"/>
              <w:snapToGrid w:val="0"/>
              <w:spacing w:after="0" w:line="240" w:lineRule="auto"/>
              <w:ind w:right="-10"/>
              <w:jc w:val="left"/>
              <w:rPr>
                <w:rFonts w:ascii="宋体" w:hAnsi="宋体" w:eastAsia="宋体"/>
                <w:color w:val="auto"/>
              </w:rPr>
            </w:pPr>
            <w:r>
              <w:rPr>
                <w:rFonts w:hint="eastAsia" w:ascii="宋体" w:hAnsi="宋体" w:eastAsia="宋体"/>
                <w:color w:val="auto"/>
              </w:rPr>
              <w:t>无需提供材料。</w:t>
            </w:r>
          </w:p>
        </w:tc>
      </w:tr>
    </w:tbl>
    <w:p w14:paraId="5D74FCEA">
      <w:pPr>
        <w:spacing w:after="0" w:line="360" w:lineRule="auto"/>
        <w:ind w:firstLine="422"/>
        <w:rPr>
          <w:rFonts w:ascii="宋体" w:hAnsi="宋体" w:eastAsia="宋体"/>
          <w:color w:val="auto"/>
        </w:rPr>
      </w:pPr>
      <w:r>
        <w:rPr>
          <w:rFonts w:hint="eastAsia" w:ascii="宋体" w:hAnsi="宋体" w:eastAsia="宋体"/>
          <w:b/>
          <w:bCs/>
          <w:color w:val="auto"/>
        </w:rPr>
        <w:t>资格审查指标通过标准：</w:t>
      </w:r>
      <w:r>
        <w:rPr>
          <w:rFonts w:hint="eastAsia" w:ascii="宋体" w:hAnsi="宋体" w:eastAsia="宋体"/>
          <w:color w:val="auto"/>
        </w:rPr>
        <w:t>投标人必须通过资格审查表中的全部评审指标。</w:t>
      </w:r>
    </w:p>
    <w:p w14:paraId="6C1774BF">
      <w:pPr>
        <w:spacing w:after="0" w:line="360" w:lineRule="auto"/>
        <w:ind w:firstLine="422"/>
        <w:rPr>
          <w:rFonts w:ascii="宋体" w:hAnsi="宋体" w:eastAsia="宋体"/>
          <w:b/>
          <w:color w:val="auto"/>
        </w:rPr>
      </w:pPr>
      <w:r>
        <w:rPr>
          <w:rFonts w:hint="eastAsia" w:ascii="宋体" w:hAnsi="宋体" w:eastAsia="宋体"/>
          <w:b/>
          <w:color w:val="auto"/>
        </w:rPr>
        <w:t>2.符合性审查</w:t>
      </w:r>
    </w:p>
    <w:p w14:paraId="5AE6B820">
      <w:pPr>
        <w:spacing w:after="0" w:line="360" w:lineRule="auto"/>
        <w:ind w:firstLine="420"/>
        <w:rPr>
          <w:rFonts w:ascii="宋体" w:hAnsi="宋体" w:eastAsia="宋体"/>
          <w:color w:val="auto"/>
        </w:rPr>
      </w:pPr>
      <w:r>
        <w:rPr>
          <w:rFonts w:hint="eastAsia" w:ascii="宋体" w:hAnsi="宋体" w:eastAsia="宋体"/>
          <w:color w:val="auto"/>
        </w:rPr>
        <w:t>评标委员会对通过资格审查的投标人的投标文件进行符合性审查，以确定其是否满足招标文件的实质性要求。符合性</w:t>
      </w:r>
      <w:r>
        <w:rPr>
          <w:rFonts w:ascii="宋体" w:hAnsi="宋体" w:eastAsia="宋体"/>
          <w:color w:val="auto"/>
        </w:rPr>
        <w:t>审查</w:t>
      </w:r>
      <w:r>
        <w:rPr>
          <w:rFonts w:hint="eastAsia" w:ascii="宋体" w:hAnsi="宋体" w:eastAsia="宋体"/>
          <w:color w:val="auto"/>
        </w:rPr>
        <w:t>内容</w:t>
      </w:r>
      <w:r>
        <w:rPr>
          <w:rFonts w:ascii="宋体" w:hAnsi="宋体" w:eastAsia="宋体"/>
          <w:color w:val="auto"/>
        </w:rPr>
        <w:t>如下</w:t>
      </w:r>
      <w:r>
        <w:rPr>
          <w:rFonts w:hint="eastAsia" w:ascii="宋体" w:hAnsi="宋体" w:eastAsia="宋体"/>
          <w:color w:val="auto"/>
        </w:rPr>
        <w:t>：</w:t>
      </w:r>
    </w:p>
    <w:tbl>
      <w:tblPr>
        <w:tblStyle w:val="1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35"/>
        <w:gridCol w:w="2694"/>
        <w:gridCol w:w="3940"/>
      </w:tblGrid>
      <w:tr w14:paraId="0C67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14:paraId="60327D76">
            <w:pPr>
              <w:adjustRightInd w:val="0"/>
              <w:snapToGrid w:val="0"/>
              <w:spacing w:after="0" w:line="240" w:lineRule="auto"/>
              <w:ind w:right="-11"/>
              <w:jc w:val="center"/>
              <w:rPr>
                <w:rFonts w:ascii="宋体" w:hAnsi="宋体" w:eastAsia="宋体"/>
                <w:color w:val="auto"/>
              </w:rPr>
            </w:pPr>
            <w:r>
              <w:rPr>
                <w:rFonts w:hint="eastAsia" w:ascii="宋体" w:hAnsi="宋体" w:eastAsia="宋体"/>
                <w:color w:val="auto"/>
              </w:rPr>
              <w:t>序号</w:t>
            </w:r>
          </w:p>
        </w:tc>
        <w:tc>
          <w:tcPr>
            <w:tcW w:w="1435" w:type="dxa"/>
            <w:tcBorders>
              <w:bottom w:val="single" w:color="auto" w:sz="4" w:space="0"/>
            </w:tcBorders>
            <w:vAlign w:val="center"/>
          </w:tcPr>
          <w:p w14:paraId="0C040FE8">
            <w:pPr>
              <w:pStyle w:val="26"/>
              <w:pBdr>
                <w:bottom w:val="none" w:color="auto" w:sz="0" w:space="0"/>
              </w:pBdr>
              <w:tabs>
                <w:tab w:val="clear" w:pos="4153"/>
                <w:tab w:val="clear" w:pos="8306"/>
              </w:tabs>
              <w:snapToGrid w:val="0"/>
              <w:spacing w:after="0" w:line="240" w:lineRule="auto"/>
              <w:ind w:right="-11"/>
              <w:textAlignment w:val="auto"/>
              <w:rPr>
                <w:rFonts w:ascii="宋体" w:hAnsi="宋体" w:eastAsia="宋体"/>
                <w:color w:val="auto"/>
                <w:kern w:val="2"/>
                <w:sz w:val="21"/>
                <w:szCs w:val="21"/>
              </w:rPr>
            </w:pPr>
            <w:r>
              <w:rPr>
                <w:rFonts w:hint="eastAsia" w:ascii="宋体" w:hAnsi="宋体" w:eastAsia="宋体"/>
                <w:color w:val="auto"/>
                <w:kern w:val="2"/>
                <w:sz w:val="21"/>
                <w:szCs w:val="21"/>
              </w:rPr>
              <w:t>评审内容</w:t>
            </w:r>
          </w:p>
        </w:tc>
        <w:tc>
          <w:tcPr>
            <w:tcW w:w="2694" w:type="dxa"/>
            <w:tcBorders>
              <w:bottom w:val="single" w:color="auto" w:sz="4" w:space="0"/>
            </w:tcBorders>
            <w:vAlign w:val="center"/>
          </w:tcPr>
          <w:p w14:paraId="12E2EA4F">
            <w:pPr>
              <w:adjustRightInd w:val="0"/>
              <w:snapToGrid w:val="0"/>
              <w:spacing w:after="0" w:line="240" w:lineRule="auto"/>
              <w:ind w:right="-11"/>
              <w:jc w:val="center"/>
              <w:rPr>
                <w:rFonts w:ascii="宋体" w:hAnsi="宋体" w:eastAsia="宋体"/>
                <w:color w:val="auto"/>
              </w:rPr>
            </w:pPr>
            <w:r>
              <w:rPr>
                <w:rFonts w:hint="eastAsia" w:ascii="宋体" w:hAnsi="宋体" w:eastAsia="宋体"/>
                <w:color w:val="auto"/>
              </w:rPr>
              <w:t>要求</w:t>
            </w:r>
          </w:p>
        </w:tc>
        <w:tc>
          <w:tcPr>
            <w:tcW w:w="3940" w:type="dxa"/>
            <w:tcBorders>
              <w:bottom w:val="single" w:color="auto" w:sz="4" w:space="0"/>
            </w:tcBorders>
            <w:vAlign w:val="center"/>
          </w:tcPr>
          <w:p w14:paraId="2643A6ED">
            <w:pPr>
              <w:adjustRightInd w:val="0"/>
              <w:snapToGrid w:val="0"/>
              <w:spacing w:after="0" w:line="240" w:lineRule="auto"/>
              <w:ind w:right="-11"/>
              <w:jc w:val="center"/>
              <w:rPr>
                <w:rFonts w:ascii="宋体" w:hAnsi="宋体" w:eastAsia="宋体"/>
                <w:color w:val="auto"/>
              </w:rPr>
            </w:pPr>
            <w:r>
              <w:rPr>
                <w:rFonts w:hint="eastAsia" w:ascii="宋体" w:hAnsi="宋体" w:eastAsia="宋体"/>
                <w:color w:val="auto"/>
              </w:rPr>
              <w:t>要求说明</w:t>
            </w:r>
          </w:p>
        </w:tc>
      </w:tr>
      <w:tr w14:paraId="0BE7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E1F802B">
            <w:pPr>
              <w:adjustRightInd w:val="0"/>
              <w:snapToGrid w:val="0"/>
              <w:spacing w:after="0" w:line="240" w:lineRule="auto"/>
              <w:ind w:right="-11"/>
              <w:jc w:val="center"/>
              <w:rPr>
                <w:rFonts w:ascii="宋体" w:hAnsi="宋体" w:eastAsia="宋体"/>
                <w:color w:val="auto"/>
              </w:rPr>
            </w:pPr>
            <w:r>
              <w:rPr>
                <w:rFonts w:hint="eastAsia" w:ascii="宋体" w:hAnsi="宋体" w:eastAsia="宋体"/>
                <w:color w:val="auto"/>
              </w:rPr>
              <w:t>1</w:t>
            </w:r>
          </w:p>
        </w:tc>
        <w:tc>
          <w:tcPr>
            <w:tcW w:w="1435" w:type="dxa"/>
            <w:vAlign w:val="center"/>
          </w:tcPr>
          <w:p w14:paraId="1984F8DF">
            <w:pPr>
              <w:spacing w:after="0" w:line="240" w:lineRule="auto"/>
              <w:ind w:right="-11"/>
              <w:jc w:val="left"/>
              <w:rPr>
                <w:rFonts w:ascii="宋体" w:hAnsi="宋体" w:eastAsia="宋体"/>
                <w:color w:val="auto"/>
              </w:rPr>
            </w:pPr>
            <w:r>
              <w:rPr>
                <w:rFonts w:hint="eastAsia" w:ascii="宋体" w:hAnsi="宋体" w:eastAsia="宋体"/>
                <w:color w:val="auto"/>
              </w:rPr>
              <w:t>投标报价</w:t>
            </w:r>
          </w:p>
        </w:tc>
        <w:tc>
          <w:tcPr>
            <w:tcW w:w="2694" w:type="dxa"/>
            <w:vAlign w:val="center"/>
          </w:tcPr>
          <w:p w14:paraId="1D4C313F">
            <w:pPr>
              <w:spacing w:after="0" w:line="240" w:lineRule="auto"/>
              <w:ind w:right="-11"/>
              <w:jc w:val="left"/>
              <w:rPr>
                <w:rFonts w:ascii="宋体" w:hAnsi="宋体" w:eastAsia="宋体"/>
                <w:color w:val="auto"/>
              </w:rPr>
            </w:pPr>
            <w:r>
              <w:rPr>
                <w:rFonts w:hint="eastAsia" w:ascii="宋体" w:hAnsi="宋体" w:eastAsia="宋体"/>
                <w:color w:val="auto"/>
              </w:rPr>
              <w:t>格式、金额符合招标文件要求并加盖公章</w:t>
            </w:r>
          </w:p>
        </w:tc>
        <w:tc>
          <w:tcPr>
            <w:tcW w:w="3940" w:type="dxa"/>
            <w:vAlign w:val="center"/>
          </w:tcPr>
          <w:p w14:paraId="0F09F423">
            <w:pPr>
              <w:adjustRightInd w:val="0"/>
              <w:snapToGrid w:val="0"/>
              <w:spacing w:after="0" w:line="240" w:lineRule="auto"/>
              <w:ind w:right="-11"/>
              <w:jc w:val="left"/>
              <w:rPr>
                <w:rFonts w:ascii="宋体" w:hAnsi="宋体" w:eastAsia="宋体"/>
                <w:color w:val="auto"/>
              </w:rPr>
            </w:pPr>
            <w:r>
              <w:rPr>
                <w:rFonts w:hint="eastAsia" w:ascii="宋体" w:hAnsi="宋体" w:eastAsia="宋体"/>
                <w:color w:val="auto"/>
              </w:rPr>
              <w:t>投标文件内提供《开标一览表》</w:t>
            </w:r>
          </w:p>
        </w:tc>
      </w:tr>
      <w:tr w14:paraId="0337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16505D9">
            <w:pPr>
              <w:adjustRightInd w:val="0"/>
              <w:snapToGrid w:val="0"/>
              <w:spacing w:after="0" w:line="240" w:lineRule="auto"/>
              <w:ind w:right="-11"/>
              <w:jc w:val="center"/>
              <w:rPr>
                <w:rFonts w:ascii="宋体" w:hAnsi="宋体" w:eastAsia="宋体"/>
                <w:color w:val="auto"/>
              </w:rPr>
            </w:pPr>
            <w:r>
              <w:rPr>
                <w:rFonts w:hint="eastAsia" w:ascii="宋体" w:hAnsi="宋体" w:eastAsia="宋体"/>
                <w:color w:val="auto"/>
              </w:rPr>
              <w:t>2</w:t>
            </w:r>
          </w:p>
        </w:tc>
        <w:tc>
          <w:tcPr>
            <w:tcW w:w="1435" w:type="dxa"/>
            <w:vAlign w:val="center"/>
          </w:tcPr>
          <w:p w14:paraId="2B9E31EC">
            <w:pPr>
              <w:spacing w:after="0" w:line="240" w:lineRule="auto"/>
              <w:ind w:right="-11"/>
              <w:jc w:val="left"/>
              <w:rPr>
                <w:rFonts w:ascii="宋体" w:hAnsi="宋体" w:eastAsia="宋体"/>
                <w:color w:val="auto"/>
              </w:rPr>
            </w:pPr>
            <w:r>
              <w:rPr>
                <w:rFonts w:hint="eastAsia" w:ascii="宋体" w:hAnsi="宋体" w:eastAsia="宋体"/>
                <w:color w:val="auto"/>
              </w:rPr>
              <w:t>投标函</w:t>
            </w:r>
          </w:p>
        </w:tc>
        <w:tc>
          <w:tcPr>
            <w:tcW w:w="2694" w:type="dxa"/>
            <w:vAlign w:val="center"/>
          </w:tcPr>
          <w:p w14:paraId="6EEDE746">
            <w:pPr>
              <w:spacing w:after="0" w:line="240" w:lineRule="auto"/>
              <w:ind w:right="-11"/>
              <w:jc w:val="left"/>
              <w:rPr>
                <w:rFonts w:ascii="宋体" w:hAnsi="宋体" w:eastAsia="宋体"/>
                <w:color w:val="auto"/>
              </w:rPr>
            </w:pPr>
            <w:r>
              <w:rPr>
                <w:rFonts w:hint="eastAsia" w:ascii="宋体" w:hAnsi="宋体" w:eastAsia="宋体"/>
                <w:color w:val="auto"/>
              </w:rPr>
              <w:t>投标函格式、填写符合招标文件要求并加盖公章</w:t>
            </w:r>
          </w:p>
        </w:tc>
        <w:tc>
          <w:tcPr>
            <w:tcW w:w="3940" w:type="dxa"/>
            <w:vAlign w:val="center"/>
          </w:tcPr>
          <w:p w14:paraId="37CE5FA4">
            <w:pPr>
              <w:adjustRightInd w:val="0"/>
              <w:snapToGrid w:val="0"/>
              <w:spacing w:after="0" w:line="240" w:lineRule="auto"/>
              <w:ind w:right="-11"/>
              <w:jc w:val="left"/>
              <w:rPr>
                <w:rFonts w:ascii="宋体" w:hAnsi="宋体" w:eastAsia="宋体"/>
                <w:color w:val="auto"/>
              </w:rPr>
            </w:pPr>
            <w:r>
              <w:rPr>
                <w:rFonts w:hint="eastAsia" w:ascii="宋体" w:hAnsi="宋体" w:eastAsia="宋体"/>
                <w:color w:val="auto"/>
              </w:rPr>
              <w:t>投标文件内提供《投标函》</w:t>
            </w:r>
          </w:p>
        </w:tc>
      </w:tr>
      <w:tr w14:paraId="1D46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vAlign w:val="center"/>
          </w:tcPr>
          <w:p w14:paraId="14038B10">
            <w:pPr>
              <w:adjustRightInd w:val="0"/>
              <w:snapToGrid w:val="0"/>
              <w:spacing w:after="0" w:line="240" w:lineRule="auto"/>
              <w:ind w:right="-11"/>
              <w:jc w:val="center"/>
              <w:rPr>
                <w:rFonts w:ascii="宋体" w:hAnsi="宋体" w:eastAsia="宋体"/>
                <w:color w:val="auto"/>
              </w:rPr>
            </w:pPr>
            <w:r>
              <w:rPr>
                <w:rFonts w:hint="eastAsia" w:ascii="宋体" w:hAnsi="宋体" w:eastAsia="宋体"/>
                <w:color w:val="auto"/>
              </w:rPr>
              <w:t>3</w:t>
            </w:r>
          </w:p>
        </w:tc>
        <w:tc>
          <w:tcPr>
            <w:tcW w:w="1435" w:type="dxa"/>
            <w:vAlign w:val="center"/>
          </w:tcPr>
          <w:p w14:paraId="66FAA853">
            <w:pPr>
              <w:spacing w:after="0" w:line="240" w:lineRule="auto"/>
              <w:ind w:right="-11"/>
              <w:jc w:val="left"/>
              <w:rPr>
                <w:rFonts w:ascii="宋体" w:hAnsi="宋体" w:eastAsia="宋体"/>
                <w:color w:val="auto"/>
              </w:rPr>
            </w:pPr>
            <w:r>
              <w:rPr>
                <w:rFonts w:hint="eastAsia" w:ascii="宋体" w:hAnsi="宋体" w:eastAsia="宋体"/>
                <w:color w:val="auto"/>
              </w:rPr>
              <w:t>投标文件盖章</w:t>
            </w:r>
          </w:p>
        </w:tc>
        <w:tc>
          <w:tcPr>
            <w:tcW w:w="2694" w:type="dxa"/>
            <w:vAlign w:val="center"/>
          </w:tcPr>
          <w:p w14:paraId="39185BE2">
            <w:pPr>
              <w:spacing w:after="0" w:line="240" w:lineRule="auto"/>
              <w:ind w:right="-11"/>
              <w:jc w:val="left"/>
              <w:rPr>
                <w:rFonts w:ascii="宋体" w:hAnsi="宋体" w:eastAsia="宋体"/>
                <w:color w:val="auto"/>
              </w:rPr>
            </w:pPr>
            <w:r>
              <w:rPr>
                <w:rFonts w:hint="eastAsia" w:ascii="宋体" w:hAnsi="宋体" w:eastAsia="宋体"/>
                <w:color w:val="auto"/>
              </w:rPr>
              <w:t>投标文件按照招标文件要求进行盖章</w:t>
            </w:r>
          </w:p>
        </w:tc>
        <w:tc>
          <w:tcPr>
            <w:tcW w:w="3940" w:type="dxa"/>
            <w:vAlign w:val="center"/>
          </w:tcPr>
          <w:p w14:paraId="7689BDDF">
            <w:pPr>
              <w:adjustRightInd w:val="0"/>
              <w:snapToGrid w:val="0"/>
              <w:spacing w:after="0" w:line="240" w:lineRule="auto"/>
              <w:ind w:right="-11"/>
              <w:jc w:val="left"/>
              <w:rPr>
                <w:rFonts w:ascii="宋体" w:hAnsi="宋体" w:eastAsia="宋体"/>
                <w:color w:val="auto"/>
              </w:rPr>
            </w:pPr>
            <w:r>
              <w:rPr>
                <w:rFonts w:hint="eastAsia" w:ascii="宋体" w:hAnsi="宋体" w:eastAsia="宋体"/>
                <w:color w:val="auto"/>
              </w:rPr>
              <w:t>投标文件相关资料盖章满足招标文件要求</w:t>
            </w:r>
          </w:p>
        </w:tc>
      </w:tr>
      <w:tr w14:paraId="71F5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368A067">
            <w:pPr>
              <w:adjustRightInd w:val="0"/>
              <w:snapToGrid w:val="0"/>
              <w:spacing w:after="0" w:line="240" w:lineRule="auto"/>
              <w:ind w:right="-11"/>
              <w:jc w:val="center"/>
              <w:rPr>
                <w:rFonts w:ascii="宋体" w:hAnsi="宋体" w:eastAsia="宋体"/>
                <w:color w:val="auto"/>
              </w:rPr>
            </w:pPr>
            <w:r>
              <w:rPr>
                <w:rFonts w:hint="eastAsia" w:ascii="宋体" w:hAnsi="宋体" w:eastAsia="宋体"/>
                <w:color w:val="auto"/>
              </w:rPr>
              <w:t>4</w:t>
            </w:r>
          </w:p>
        </w:tc>
        <w:tc>
          <w:tcPr>
            <w:tcW w:w="1435" w:type="dxa"/>
            <w:vAlign w:val="center"/>
          </w:tcPr>
          <w:p w14:paraId="7FDE5DA4">
            <w:pPr>
              <w:spacing w:after="0" w:line="240" w:lineRule="auto"/>
              <w:ind w:right="-11"/>
              <w:jc w:val="left"/>
              <w:rPr>
                <w:rFonts w:ascii="宋体" w:hAnsi="宋体" w:eastAsia="宋体"/>
                <w:color w:val="auto"/>
              </w:rPr>
            </w:pPr>
            <w:r>
              <w:rPr>
                <w:rFonts w:hint="eastAsia" w:ascii="宋体" w:hAnsi="宋体" w:eastAsia="宋体"/>
                <w:color w:val="auto"/>
              </w:rPr>
              <w:t>采购需求要求响应</w:t>
            </w:r>
          </w:p>
        </w:tc>
        <w:tc>
          <w:tcPr>
            <w:tcW w:w="2694" w:type="dxa"/>
            <w:vAlign w:val="center"/>
          </w:tcPr>
          <w:p w14:paraId="10BB4EB2">
            <w:pPr>
              <w:spacing w:after="0" w:line="240" w:lineRule="auto"/>
              <w:ind w:right="-11"/>
              <w:jc w:val="left"/>
              <w:rPr>
                <w:rFonts w:ascii="宋体" w:hAnsi="宋体" w:eastAsia="宋体"/>
                <w:color w:val="auto"/>
              </w:rPr>
            </w:pPr>
            <w:r>
              <w:rPr>
                <w:rFonts w:hint="eastAsia" w:ascii="宋体" w:hAnsi="宋体" w:eastAsia="宋体"/>
                <w:color w:val="auto"/>
              </w:rPr>
              <w:t>符合招标文件采购需求中明确的实质性要求</w:t>
            </w:r>
          </w:p>
        </w:tc>
        <w:tc>
          <w:tcPr>
            <w:tcW w:w="3940" w:type="dxa"/>
            <w:vAlign w:val="center"/>
          </w:tcPr>
          <w:p w14:paraId="7CC6CEB7">
            <w:pPr>
              <w:adjustRightInd w:val="0"/>
              <w:snapToGrid w:val="0"/>
              <w:spacing w:after="0" w:line="240" w:lineRule="auto"/>
              <w:ind w:right="-11"/>
              <w:jc w:val="left"/>
              <w:rPr>
                <w:rFonts w:ascii="宋体" w:hAnsi="宋体" w:eastAsia="宋体"/>
                <w:color w:val="auto"/>
              </w:rPr>
            </w:pPr>
            <w:r>
              <w:rPr>
                <w:rFonts w:hint="eastAsia" w:ascii="宋体" w:hAnsi="宋体" w:eastAsia="宋体"/>
                <w:color w:val="auto"/>
              </w:rPr>
              <w:t>投标文件内提供商务要求响应表、技术/服务要求响应表</w:t>
            </w:r>
          </w:p>
        </w:tc>
      </w:tr>
      <w:tr w14:paraId="6310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vAlign w:val="center"/>
          </w:tcPr>
          <w:p w14:paraId="6565CF6D">
            <w:pPr>
              <w:adjustRightInd w:val="0"/>
              <w:snapToGrid w:val="0"/>
              <w:spacing w:after="0" w:line="240" w:lineRule="auto"/>
              <w:ind w:right="-11"/>
              <w:jc w:val="center"/>
              <w:rPr>
                <w:rFonts w:ascii="宋体" w:hAnsi="宋体" w:eastAsia="宋体"/>
                <w:color w:val="auto"/>
              </w:rPr>
            </w:pPr>
            <w:r>
              <w:rPr>
                <w:rFonts w:hint="eastAsia" w:ascii="宋体" w:hAnsi="宋体" w:eastAsia="宋体"/>
                <w:color w:val="auto"/>
              </w:rPr>
              <w:t>5</w:t>
            </w:r>
          </w:p>
        </w:tc>
        <w:tc>
          <w:tcPr>
            <w:tcW w:w="1435" w:type="dxa"/>
            <w:vAlign w:val="center"/>
          </w:tcPr>
          <w:p w14:paraId="0DD36CA1">
            <w:pPr>
              <w:spacing w:after="0" w:line="240" w:lineRule="auto"/>
              <w:ind w:right="-11"/>
              <w:jc w:val="left"/>
              <w:rPr>
                <w:rFonts w:ascii="宋体" w:hAnsi="宋体" w:eastAsia="宋体"/>
                <w:color w:val="auto"/>
              </w:rPr>
            </w:pPr>
            <w:r>
              <w:rPr>
                <w:rFonts w:hint="eastAsia" w:ascii="宋体" w:hAnsi="宋体" w:eastAsia="宋体"/>
                <w:color w:val="auto"/>
              </w:rPr>
              <w:t>其他要求</w:t>
            </w:r>
          </w:p>
        </w:tc>
        <w:tc>
          <w:tcPr>
            <w:tcW w:w="2694" w:type="dxa"/>
            <w:vAlign w:val="center"/>
          </w:tcPr>
          <w:p w14:paraId="02FB22C6">
            <w:pPr>
              <w:spacing w:after="0" w:line="240" w:lineRule="auto"/>
              <w:ind w:right="-11"/>
              <w:jc w:val="left"/>
              <w:rPr>
                <w:rFonts w:ascii="宋体" w:hAnsi="宋体" w:eastAsia="宋体"/>
                <w:color w:val="auto"/>
              </w:rPr>
            </w:pPr>
            <w:r>
              <w:rPr>
                <w:rFonts w:hint="eastAsia" w:ascii="宋体" w:hAnsi="宋体" w:eastAsia="宋体"/>
                <w:color w:val="auto"/>
              </w:rPr>
              <w:t>符合法律、行政法规规定的其他条件或不存在招标文件列明的拒绝投标、投标无效情形</w:t>
            </w:r>
          </w:p>
        </w:tc>
        <w:tc>
          <w:tcPr>
            <w:tcW w:w="3940" w:type="dxa"/>
            <w:vAlign w:val="center"/>
          </w:tcPr>
          <w:p w14:paraId="7771C7F0">
            <w:pPr>
              <w:adjustRightInd w:val="0"/>
              <w:snapToGrid w:val="0"/>
              <w:spacing w:after="0" w:line="240" w:lineRule="auto"/>
              <w:ind w:right="-11"/>
              <w:jc w:val="left"/>
              <w:rPr>
                <w:rFonts w:ascii="宋体" w:hAnsi="宋体" w:eastAsia="宋体"/>
                <w:color w:val="auto"/>
              </w:rPr>
            </w:pPr>
            <w:r>
              <w:rPr>
                <w:rFonts w:hint="eastAsia" w:ascii="宋体" w:hAnsi="宋体" w:eastAsia="宋体"/>
                <w:color w:val="auto"/>
              </w:rPr>
              <w:t>招标文件无明确要求的无需提供材料</w:t>
            </w:r>
          </w:p>
        </w:tc>
      </w:tr>
    </w:tbl>
    <w:p w14:paraId="01F53D67">
      <w:pPr>
        <w:spacing w:after="0" w:line="360" w:lineRule="auto"/>
        <w:ind w:firstLine="420"/>
        <w:rPr>
          <w:rFonts w:ascii="宋体" w:hAnsi="宋体" w:eastAsia="宋体"/>
          <w:color w:val="auto"/>
        </w:rPr>
      </w:pPr>
      <w:r>
        <w:rPr>
          <w:rFonts w:hint="eastAsia" w:ascii="宋体" w:hAnsi="宋体" w:eastAsia="宋体"/>
          <w:b/>
          <w:bCs/>
          <w:color w:val="auto"/>
        </w:rPr>
        <w:t>符合性审查指标通过标准：</w:t>
      </w:r>
      <w:r>
        <w:rPr>
          <w:rFonts w:hint="eastAsia" w:ascii="宋体" w:hAnsi="宋体" w:eastAsia="宋体"/>
          <w:color w:val="auto"/>
        </w:rPr>
        <w:t>投标人必须通过符合性审查表中的全部评审指标。</w:t>
      </w:r>
    </w:p>
    <w:p w14:paraId="38413A23">
      <w:pPr>
        <w:spacing w:after="0" w:line="360" w:lineRule="auto"/>
        <w:ind w:firstLine="420"/>
        <w:rPr>
          <w:rFonts w:ascii="宋体" w:hAnsi="宋体" w:eastAsia="宋体"/>
          <w:b/>
          <w:color w:val="auto"/>
        </w:rPr>
      </w:pPr>
      <w:bookmarkStart w:id="91" w:name="_Hlk173502886"/>
      <w:r>
        <w:rPr>
          <w:rFonts w:hint="eastAsia" w:ascii="宋体" w:hAnsi="宋体" w:eastAsia="宋体"/>
          <w:b/>
          <w:color w:val="auto"/>
        </w:rPr>
        <w:t>3</w:t>
      </w:r>
      <w:r>
        <w:rPr>
          <w:rFonts w:ascii="宋体" w:hAnsi="宋体" w:eastAsia="宋体"/>
          <w:b/>
          <w:color w:val="auto"/>
        </w:rPr>
        <w:t>.</w:t>
      </w:r>
      <w:r>
        <w:rPr>
          <w:rFonts w:hint="eastAsia" w:ascii="宋体" w:hAnsi="宋体" w:eastAsia="宋体"/>
          <w:b/>
          <w:color w:val="auto"/>
        </w:rPr>
        <w:t>详细审查和评分（评标标准兼评委打分表）</w:t>
      </w:r>
    </w:p>
    <w:tbl>
      <w:tblPr>
        <w:tblStyle w:val="15"/>
        <w:tblW w:w="87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315"/>
        <w:gridCol w:w="5260"/>
        <w:gridCol w:w="850"/>
      </w:tblGrid>
      <w:tr w14:paraId="0E09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9" w:type="dxa"/>
            <w:tcBorders>
              <w:top w:val="single" w:color="auto" w:sz="4" w:space="0"/>
              <w:left w:val="single" w:color="auto" w:sz="4" w:space="0"/>
              <w:bottom w:val="single" w:color="auto" w:sz="4" w:space="0"/>
              <w:right w:val="single" w:color="auto" w:sz="4" w:space="0"/>
            </w:tcBorders>
            <w:vAlign w:val="center"/>
          </w:tcPr>
          <w:p w14:paraId="39602084">
            <w:pPr>
              <w:spacing w:after="0" w:line="240" w:lineRule="auto"/>
              <w:jc w:val="center"/>
              <w:rPr>
                <w:rFonts w:ascii="宋体" w:hAnsi="宋体" w:eastAsia="宋体" w:cs="宋体"/>
                <w:b/>
                <w:bCs/>
                <w:color w:val="auto"/>
              </w:rPr>
            </w:pPr>
            <w:r>
              <w:rPr>
                <w:rFonts w:hint="eastAsia" w:ascii="宋体" w:hAnsi="宋体" w:eastAsia="宋体" w:cs="宋体"/>
                <w:b/>
                <w:bCs/>
                <w:color w:val="auto"/>
              </w:rPr>
              <w:t>类别</w:t>
            </w:r>
          </w:p>
        </w:tc>
        <w:tc>
          <w:tcPr>
            <w:tcW w:w="1315" w:type="dxa"/>
            <w:tcBorders>
              <w:top w:val="single" w:color="auto" w:sz="4" w:space="0"/>
              <w:left w:val="single" w:color="auto" w:sz="4" w:space="0"/>
              <w:bottom w:val="single" w:color="auto" w:sz="4" w:space="0"/>
              <w:right w:val="single" w:color="auto" w:sz="4" w:space="0"/>
            </w:tcBorders>
            <w:vAlign w:val="center"/>
          </w:tcPr>
          <w:p w14:paraId="37CC4397">
            <w:pPr>
              <w:spacing w:after="0" w:line="240" w:lineRule="auto"/>
              <w:jc w:val="center"/>
              <w:rPr>
                <w:rFonts w:ascii="宋体" w:hAnsi="宋体" w:eastAsia="宋体" w:cs="宋体"/>
                <w:b/>
                <w:bCs/>
                <w:color w:val="auto"/>
              </w:rPr>
            </w:pPr>
            <w:r>
              <w:rPr>
                <w:rFonts w:hint="eastAsia" w:ascii="宋体" w:hAnsi="宋体" w:eastAsia="宋体" w:cs="宋体"/>
                <w:b/>
                <w:bCs/>
                <w:color w:val="auto"/>
              </w:rPr>
              <w:t>评分内容</w:t>
            </w:r>
          </w:p>
        </w:tc>
        <w:tc>
          <w:tcPr>
            <w:tcW w:w="5260" w:type="dxa"/>
            <w:tcBorders>
              <w:top w:val="single" w:color="auto" w:sz="4" w:space="0"/>
              <w:left w:val="single" w:color="auto" w:sz="4" w:space="0"/>
              <w:bottom w:val="single" w:color="auto" w:sz="4" w:space="0"/>
              <w:right w:val="single" w:color="auto" w:sz="4" w:space="0"/>
            </w:tcBorders>
            <w:vAlign w:val="center"/>
          </w:tcPr>
          <w:p w14:paraId="3249D751">
            <w:pPr>
              <w:spacing w:after="0" w:line="240" w:lineRule="auto"/>
              <w:ind w:firstLine="422"/>
              <w:jc w:val="center"/>
              <w:rPr>
                <w:rFonts w:ascii="宋体" w:hAnsi="宋体" w:eastAsia="宋体" w:cs="宋体"/>
                <w:b/>
                <w:bCs/>
                <w:color w:val="auto"/>
              </w:rPr>
            </w:pPr>
            <w:r>
              <w:rPr>
                <w:rFonts w:hint="eastAsia" w:ascii="宋体" w:hAnsi="宋体" w:eastAsia="宋体" w:cs="宋体"/>
                <w:b/>
                <w:bCs/>
                <w:color w:val="auto"/>
              </w:rPr>
              <w:t>评分标准</w:t>
            </w:r>
          </w:p>
        </w:tc>
        <w:tc>
          <w:tcPr>
            <w:tcW w:w="850" w:type="dxa"/>
            <w:tcBorders>
              <w:top w:val="single" w:color="auto" w:sz="4" w:space="0"/>
              <w:left w:val="single" w:color="auto" w:sz="4" w:space="0"/>
              <w:bottom w:val="single" w:color="auto" w:sz="4" w:space="0"/>
              <w:right w:val="single" w:color="auto" w:sz="4" w:space="0"/>
            </w:tcBorders>
            <w:vAlign w:val="center"/>
          </w:tcPr>
          <w:p w14:paraId="55D601A3">
            <w:pPr>
              <w:spacing w:after="0" w:line="240" w:lineRule="auto"/>
              <w:jc w:val="center"/>
              <w:rPr>
                <w:rFonts w:ascii="宋体" w:hAnsi="宋体" w:eastAsia="宋体" w:cs="宋体"/>
                <w:b/>
                <w:bCs/>
                <w:color w:val="auto"/>
              </w:rPr>
            </w:pPr>
            <w:r>
              <w:rPr>
                <w:rFonts w:hint="eastAsia" w:ascii="宋体" w:hAnsi="宋体" w:eastAsia="宋体" w:cs="宋体"/>
                <w:b/>
                <w:bCs/>
                <w:color w:val="auto"/>
              </w:rPr>
              <w:t>分值</w:t>
            </w:r>
          </w:p>
        </w:tc>
      </w:tr>
      <w:tr w14:paraId="104B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9" w:type="dxa"/>
            <w:vMerge w:val="restart"/>
            <w:tcBorders>
              <w:top w:val="single" w:color="auto" w:sz="4" w:space="0"/>
              <w:left w:val="single" w:color="auto" w:sz="4" w:space="0"/>
              <w:bottom w:val="single" w:color="auto" w:sz="4" w:space="0"/>
              <w:right w:val="single" w:color="auto" w:sz="4" w:space="0"/>
            </w:tcBorders>
            <w:vAlign w:val="center"/>
          </w:tcPr>
          <w:p w14:paraId="2282E349">
            <w:pPr>
              <w:spacing w:after="0" w:line="240" w:lineRule="auto"/>
              <w:ind w:right="-105" w:rightChars="-50"/>
              <w:rPr>
                <w:rFonts w:ascii="宋体" w:hAnsi="宋体" w:eastAsia="宋体" w:cs="宋体"/>
                <w:color w:val="auto"/>
                <w:kern w:val="0"/>
              </w:rPr>
            </w:pPr>
            <w:r>
              <w:rPr>
                <w:rFonts w:hint="eastAsia" w:ascii="宋体" w:hAnsi="宋体" w:eastAsia="宋体" w:cs="宋体"/>
                <w:color w:val="auto"/>
                <w:kern w:val="0"/>
              </w:rPr>
              <w:t>商务技术</w:t>
            </w:r>
          </w:p>
        </w:tc>
        <w:tc>
          <w:tcPr>
            <w:tcW w:w="1315" w:type="dxa"/>
            <w:tcBorders>
              <w:top w:val="single" w:color="auto" w:sz="4" w:space="0"/>
              <w:left w:val="single" w:color="auto" w:sz="4" w:space="0"/>
              <w:bottom w:val="single" w:color="auto" w:sz="4" w:space="0"/>
              <w:right w:val="single" w:color="auto" w:sz="4" w:space="0"/>
            </w:tcBorders>
            <w:vAlign w:val="center"/>
          </w:tcPr>
          <w:p w14:paraId="125637B2">
            <w:pPr>
              <w:snapToGrid w:val="0"/>
              <w:spacing w:after="0" w:line="240" w:lineRule="auto"/>
              <w:jc w:val="center"/>
              <w:rPr>
                <w:rFonts w:ascii="宋体" w:hAnsi="宋体" w:eastAsia="宋体" w:cs="宋体"/>
                <w:color w:val="auto"/>
              </w:rPr>
            </w:pPr>
            <w:r>
              <w:rPr>
                <w:rFonts w:hint="eastAsia" w:ascii="宋体" w:hAnsi="宋体" w:eastAsia="宋体" w:cs="宋体"/>
                <w:color w:val="auto"/>
              </w:rPr>
              <w:t>项目背景总体理解</w:t>
            </w:r>
          </w:p>
        </w:tc>
        <w:tc>
          <w:tcPr>
            <w:tcW w:w="5260" w:type="dxa"/>
            <w:tcBorders>
              <w:top w:val="single" w:color="auto" w:sz="4" w:space="0"/>
              <w:left w:val="single" w:color="auto" w:sz="4" w:space="0"/>
              <w:bottom w:val="single" w:color="auto" w:sz="4" w:space="0"/>
              <w:right w:val="single" w:color="auto" w:sz="4" w:space="0"/>
            </w:tcBorders>
            <w:vAlign w:val="center"/>
          </w:tcPr>
          <w:p w14:paraId="10A368C8">
            <w:pPr>
              <w:spacing w:after="0" w:line="240" w:lineRule="auto"/>
              <w:rPr>
                <w:rFonts w:ascii="宋体" w:hAnsi="宋体" w:eastAsia="宋体" w:cs="宋体"/>
                <w:color w:val="auto"/>
              </w:rPr>
            </w:pPr>
            <w:r>
              <w:rPr>
                <w:rFonts w:hint="eastAsia" w:ascii="宋体" w:hAnsi="宋体" w:eastAsia="宋体" w:cs="宋体"/>
                <w:color w:val="auto"/>
              </w:rPr>
              <w:t>根据投标人对本研究区域的总体理解情况进行评议，涵盖项目位置、项目认知及技术框架方面。</w:t>
            </w:r>
          </w:p>
          <w:p w14:paraId="67F76E36">
            <w:pPr>
              <w:spacing w:after="0" w:line="240" w:lineRule="auto"/>
              <w:rPr>
                <w:rFonts w:ascii="宋体" w:hAnsi="宋体" w:eastAsia="宋体" w:cs="宋体"/>
                <w:color w:val="auto"/>
              </w:rPr>
            </w:pPr>
            <w:r>
              <w:rPr>
                <w:rFonts w:hint="eastAsia" w:ascii="宋体" w:hAnsi="宋体" w:eastAsia="宋体" w:cs="宋体"/>
                <w:color w:val="auto"/>
              </w:rPr>
              <w:t>①</w:t>
            </w:r>
            <w:r>
              <w:rPr>
                <w:rFonts w:ascii="宋体" w:hAnsi="宋体" w:eastAsia="宋体" w:cs="宋体"/>
                <w:color w:val="auto"/>
              </w:rPr>
              <w:t>对项目总体理解深入，分析透彻，能够紧密结合实际，准确把握服务需求与项目服务目标的，得6分；</w:t>
            </w:r>
          </w:p>
          <w:p w14:paraId="1A4BF83E">
            <w:pPr>
              <w:spacing w:after="0" w:line="240" w:lineRule="auto"/>
              <w:rPr>
                <w:rFonts w:ascii="宋体" w:hAnsi="宋体" w:eastAsia="宋体" w:cs="宋体"/>
                <w:color w:val="auto"/>
              </w:rPr>
            </w:pPr>
            <w:r>
              <w:rPr>
                <w:rFonts w:hint="eastAsia" w:ascii="宋体" w:hAnsi="宋体" w:eastAsia="宋体" w:cs="宋体"/>
                <w:color w:val="auto"/>
              </w:rPr>
              <w:t>②</w:t>
            </w:r>
            <w:r>
              <w:rPr>
                <w:rFonts w:ascii="宋体" w:hAnsi="宋体" w:eastAsia="宋体" w:cs="宋体"/>
                <w:color w:val="auto"/>
              </w:rPr>
              <w:t>对项目具备一定理解，分析较为完整，能够体现对服务需求与服务目标的基本认知，但部分分析</w:t>
            </w:r>
            <w:r>
              <w:rPr>
                <w:rFonts w:hint="eastAsia" w:ascii="宋体" w:hAnsi="宋体" w:eastAsia="宋体" w:cs="宋体"/>
                <w:color w:val="auto"/>
              </w:rPr>
              <w:t>内容</w:t>
            </w:r>
            <w:r>
              <w:rPr>
                <w:rFonts w:ascii="宋体" w:hAnsi="宋体" w:eastAsia="宋体" w:cs="宋体"/>
                <w:color w:val="auto"/>
              </w:rPr>
              <w:t>深度不足的，得4分；</w:t>
            </w:r>
          </w:p>
          <w:p w14:paraId="6F7F2834">
            <w:pPr>
              <w:spacing w:after="0" w:line="240" w:lineRule="auto"/>
              <w:rPr>
                <w:rFonts w:ascii="宋体" w:hAnsi="宋体" w:eastAsia="宋体" w:cs="宋体"/>
                <w:color w:val="auto"/>
              </w:rPr>
            </w:pPr>
            <w:r>
              <w:rPr>
                <w:rFonts w:hint="eastAsia" w:ascii="宋体" w:hAnsi="宋体" w:eastAsia="宋体" w:cs="宋体"/>
                <w:color w:val="auto"/>
              </w:rPr>
              <w:t>③</w:t>
            </w:r>
            <w:r>
              <w:rPr>
                <w:rFonts w:ascii="宋体" w:hAnsi="宋体" w:eastAsia="宋体" w:cs="宋体"/>
                <w:color w:val="auto"/>
              </w:rPr>
              <w:t>对项目理解存在偏差，分析不够具体，未能体现对服务需求与服务目标的有效认知的，得2分；</w:t>
            </w:r>
          </w:p>
          <w:p w14:paraId="7C36503E">
            <w:pPr>
              <w:spacing w:after="0" w:line="240" w:lineRule="auto"/>
              <w:rPr>
                <w:rFonts w:ascii="宋体" w:hAnsi="宋体" w:eastAsia="宋体" w:cs="宋体"/>
                <w:color w:val="auto"/>
              </w:rPr>
            </w:pPr>
            <w:r>
              <w:rPr>
                <w:rFonts w:hint="eastAsia" w:ascii="宋体" w:hAnsi="宋体" w:eastAsia="宋体" w:cs="宋体"/>
                <w:color w:val="auto"/>
              </w:rPr>
              <w:t>④</w:t>
            </w:r>
            <w:r>
              <w:rPr>
                <w:rFonts w:ascii="宋体" w:hAnsi="宋体" w:eastAsia="宋体" w:cs="宋体"/>
                <w:color w:val="auto"/>
              </w:rPr>
              <w:t>未提供相关内容的，不得分。</w:t>
            </w:r>
          </w:p>
        </w:tc>
        <w:tc>
          <w:tcPr>
            <w:tcW w:w="850" w:type="dxa"/>
            <w:tcBorders>
              <w:top w:val="single" w:color="auto" w:sz="4" w:space="0"/>
              <w:left w:val="single" w:color="auto" w:sz="4" w:space="0"/>
              <w:bottom w:val="single" w:color="auto" w:sz="4" w:space="0"/>
              <w:right w:val="single" w:color="auto" w:sz="4" w:space="0"/>
            </w:tcBorders>
            <w:vAlign w:val="center"/>
          </w:tcPr>
          <w:p w14:paraId="4AB15661">
            <w:pPr>
              <w:spacing w:after="0" w:line="240" w:lineRule="auto"/>
              <w:jc w:val="center"/>
              <w:rPr>
                <w:rFonts w:ascii="宋体" w:hAnsi="宋体" w:eastAsia="宋体" w:cs="宋体"/>
                <w:b/>
                <w:bCs/>
                <w:color w:val="auto"/>
              </w:rPr>
            </w:pPr>
            <w:r>
              <w:rPr>
                <w:rFonts w:ascii="宋体" w:hAnsi="宋体" w:eastAsia="宋体" w:cs="宋体"/>
                <w:color w:val="auto"/>
              </w:rPr>
              <w:t>6</w:t>
            </w:r>
          </w:p>
        </w:tc>
      </w:tr>
      <w:tr w14:paraId="6F29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9" w:type="dxa"/>
            <w:vMerge w:val="continue"/>
            <w:tcBorders>
              <w:top w:val="single" w:color="auto" w:sz="4" w:space="0"/>
              <w:left w:val="single" w:color="auto" w:sz="4" w:space="0"/>
              <w:bottom w:val="single" w:color="auto" w:sz="4" w:space="0"/>
              <w:right w:val="single" w:color="auto" w:sz="4" w:space="0"/>
            </w:tcBorders>
            <w:vAlign w:val="center"/>
          </w:tcPr>
          <w:p w14:paraId="41E4FD20">
            <w:pPr>
              <w:spacing w:after="0" w:line="240" w:lineRule="auto"/>
              <w:ind w:right="-105" w:rightChars="-50"/>
              <w:rPr>
                <w:rFonts w:ascii="宋体" w:hAnsi="宋体" w:eastAsia="宋体" w:cs="宋体"/>
                <w:color w:val="auto"/>
                <w:kern w:val="0"/>
              </w:rPr>
            </w:pPr>
          </w:p>
        </w:tc>
        <w:tc>
          <w:tcPr>
            <w:tcW w:w="1315" w:type="dxa"/>
            <w:vMerge w:val="restart"/>
            <w:tcBorders>
              <w:top w:val="single" w:color="auto" w:sz="4" w:space="0"/>
              <w:left w:val="single" w:color="auto" w:sz="4" w:space="0"/>
              <w:right w:val="single" w:color="auto" w:sz="4" w:space="0"/>
            </w:tcBorders>
            <w:vAlign w:val="center"/>
          </w:tcPr>
          <w:p w14:paraId="08CF8F5E">
            <w:pPr>
              <w:snapToGrid w:val="0"/>
              <w:spacing w:after="0" w:line="240" w:lineRule="auto"/>
              <w:rPr>
                <w:rFonts w:ascii="宋体" w:hAnsi="宋体" w:eastAsia="宋体" w:cs="宋体"/>
                <w:color w:val="auto"/>
              </w:rPr>
            </w:pPr>
            <w:r>
              <w:rPr>
                <w:color w:val="auto"/>
              </w:rPr>
              <w:t>区域总体研究</w:t>
            </w:r>
          </w:p>
        </w:tc>
        <w:tc>
          <w:tcPr>
            <w:tcW w:w="5260" w:type="dxa"/>
            <w:tcBorders>
              <w:top w:val="single" w:color="auto" w:sz="4" w:space="0"/>
              <w:left w:val="single" w:color="auto" w:sz="4" w:space="0"/>
              <w:bottom w:val="single" w:color="auto" w:sz="4" w:space="0"/>
              <w:right w:val="single" w:color="auto" w:sz="4" w:space="0"/>
            </w:tcBorders>
            <w:vAlign w:val="center"/>
          </w:tcPr>
          <w:p w14:paraId="1DBBBB5A">
            <w:pPr>
              <w:spacing w:after="0" w:line="240" w:lineRule="auto"/>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1）根据投标人对总体区域的发展情况、现状情况、相关规划要求及发展制约问题的分析情况进行评议。</w:t>
            </w:r>
          </w:p>
          <w:p w14:paraId="460F39FF">
            <w:pPr>
              <w:spacing w:after="0" w:line="240" w:lineRule="auto"/>
              <w:rPr>
                <w:rFonts w:ascii="宋体" w:hAnsi="宋体" w:eastAsia="宋体" w:cs="宋体"/>
                <w:color w:val="auto"/>
              </w:rPr>
            </w:pPr>
            <w:r>
              <w:rPr>
                <w:rFonts w:hint="eastAsia" w:ascii="宋体" w:hAnsi="宋体" w:eastAsia="宋体" w:cs="宋体"/>
                <w:color w:val="auto"/>
              </w:rPr>
              <w:t>①</w:t>
            </w:r>
            <w:r>
              <w:rPr>
                <w:rFonts w:ascii="宋体" w:hAnsi="宋体" w:eastAsia="宋体" w:cs="宋体"/>
                <w:color w:val="auto"/>
              </w:rPr>
              <w:t>投标人能够全面、准确把握总体区域的发展情况、现状、相关规划要求及主要制约因素，分析深入透彻，体现高度专业性与针对性的，得6分；</w:t>
            </w:r>
          </w:p>
          <w:p w14:paraId="5130BE5B">
            <w:pPr>
              <w:spacing w:after="0" w:line="240" w:lineRule="auto"/>
              <w:rPr>
                <w:rFonts w:ascii="宋体" w:hAnsi="宋体" w:eastAsia="宋体" w:cs="宋体"/>
                <w:color w:val="auto"/>
              </w:rPr>
            </w:pPr>
            <w:r>
              <w:rPr>
                <w:rFonts w:hint="eastAsia" w:ascii="宋体" w:hAnsi="宋体" w:eastAsia="宋体" w:cs="宋体"/>
                <w:color w:val="auto"/>
              </w:rPr>
              <w:t>②</w:t>
            </w:r>
            <w:r>
              <w:rPr>
                <w:rFonts w:ascii="宋体" w:hAnsi="宋体" w:eastAsia="宋体" w:cs="宋体"/>
                <w:color w:val="auto"/>
              </w:rPr>
              <w:t>投标人基本掌握总体区域的发展情况、现状、相关规划要求及制约因素，分析内容较为完整，但在个别方面理解不够深入或表述存在偏差的，得4分；</w:t>
            </w:r>
          </w:p>
          <w:p w14:paraId="56039747">
            <w:pPr>
              <w:spacing w:after="0" w:line="240" w:lineRule="auto"/>
              <w:rPr>
                <w:rFonts w:ascii="宋体" w:hAnsi="宋体" w:eastAsia="宋体" w:cs="宋体"/>
                <w:color w:val="auto"/>
              </w:rPr>
            </w:pPr>
            <w:r>
              <w:rPr>
                <w:rFonts w:hint="eastAsia" w:ascii="宋体" w:hAnsi="宋体" w:eastAsia="宋体" w:cs="宋体"/>
                <w:color w:val="auto"/>
              </w:rPr>
              <w:t>③</w:t>
            </w:r>
            <w:r>
              <w:rPr>
                <w:rFonts w:ascii="宋体" w:hAnsi="宋体" w:eastAsia="宋体" w:cs="宋体"/>
                <w:color w:val="auto"/>
              </w:rPr>
              <w:t>投标人对总体区域的发展情况、现状及相关规划要求了解不足，分析内容空泛，缺乏对关键制约因素的识别和判断的，得2分；</w:t>
            </w:r>
          </w:p>
          <w:p w14:paraId="62CF600C">
            <w:pPr>
              <w:spacing w:after="0" w:line="240" w:lineRule="auto"/>
              <w:rPr>
                <w:rFonts w:ascii="宋体" w:hAnsi="宋体" w:eastAsia="宋体" w:cs="宋体"/>
                <w:color w:val="auto"/>
              </w:rPr>
            </w:pPr>
            <w:r>
              <w:rPr>
                <w:rFonts w:hint="eastAsia" w:ascii="宋体" w:hAnsi="宋体" w:eastAsia="宋体" w:cs="宋体"/>
                <w:color w:val="auto"/>
              </w:rPr>
              <w:t>④</w:t>
            </w:r>
            <w:r>
              <w:rPr>
                <w:rFonts w:ascii="宋体" w:hAnsi="宋体" w:eastAsia="宋体" w:cs="宋体"/>
                <w:color w:val="auto"/>
              </w:rPr>
              <w:t>未提供相关内容的，不得分。</w:t>
            </w:r>
          </w:p>
        </w:tc>
        <w:tc>
          <w:tcPr>
            <w:tcW w:w="850" w:type="dxa"/>
            <w:tcBorders>
              <w:top w:val="single" w:color="auto" w:sz="4" w:space="0"/>
              <w:left w:val="single" w:color="auto" w:sz="4" w:space="0"/>
              <w:bottom w:val="single" w:color="auto" w:sz="4" w:space="0"/>
              <w:right w:val="single" w:color="auto" w:sz="4" w:space="0"/>
            </w:tcBorders>
            <w:vAlign w:val="center"/>
          </w:tcPr>
          <w:p w14:paraId="48A4A3B8">
            <w:pPr>
              <w:spacing w:after="0" w:line="240" w:lineRule="auto"/>
              <w:jc w:val="center"/>
              <w:rPr>
                <w:rFonts w:ascii="宋体" w:hAnsi="宋体" w:eastAsia="宋体" w:cs="宋体"/>
                <w:color w:val="auto"/>
              </w:rPr>
            </w:pPr>
            <w:r>
              <w:rPr>
                <w:rFonts w:ascii="宋体" w:hAnsi="宋体" w:eastAsia="宋体" w:cs="宋体"/>
                <w:color w:val="auto"/>
              </w:rPr>
              <w:t>6</w:t>
            </w:r>
          </w:p>
        </w:tc>
      </w:tr>
      <w:tr w14:paraId="20CC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9" w:type="dxa"/>
            <w:vMerge w:val="continue"/>
            <w:tcBorders>
              <w:top w:val="single" w:color="auto" w:sz="4" w:space="0"/>
              <w:left w:val="single" w:color="auto" w:sz="4" w:space="0"/>
              <w:bottom w:val="single" w:color="auto" w:sz="4" w:space="0"/>
              <w:right w:val="single" w:color="auto" w:sz="4" w:space="0"/>
            </w:tcBorders>
            <w:vAlign w:val="center"/>
          </w:tcPr>
          <w:p w14:paraId="2D818AD7">
            <w:pPr>
              <w:spacing w:after="0" w:line="240" w:lineRule="auto"/>
              <w:ind w:right="-105" w:rightChars="-50"/>
              <w:rPr>
                <w:rFonts w:ascii="宋体" w:hAnsi="宋体" w:eastAsia="宋体" w:cs="宋体"/>
                <w:color w:val="auto"/>
                <w:kern w:val="0"/>
              </w:rPr>
            </w:pPr>
          </w:p>
        </w:tc>
        <w:tc>
          <w:tcPr>
            <w:tcW w:w="1315" w:type="dxa"/>
            <w:vMerge w:val="continue"/>
            <w:tcBorders>
              <w:left w:val="single" w:color="auto" w:sz="4" w:space="0"/>
              <w:right w:val="single" w:color="auto" w:sz="4" w:space="0"/>
            </w:tcBorders>
            <w:vAlign w:val="center"/>
          </w:tcPr>
          <w:p w14:paraId="5DB8228F">
            <w:pPr>
              <w:snapToGrid w:val="0"/>
              <w:spacing w:after="0" w:line="240" w:lineRule="auto"/>
              <w:jc w:val="center"/>
              <w:rPr>
                <w:rFonts w:ascii="宋体" w:hAnsi="宋体" w:eastAsia="宋体" w:cs="宋体"/>
                <w:color w:val="auto"/>
              </w:rPr>
            </w:pPr>
          </w:p>
        </w:tc>
        <w:tc>
          <w:tcPr>
            <w:tcW w:w="5260" w:type="dxa"/>
            <w:tcBorders>
              <w:top w:val="single" w:color="auto" w:sz="4" w:space="0"/>
              <w:left w:val="single" w:color="auto" w:sz="4" w:space="0"/>
              <w:bottom w:val="single" w:color="auto" w:sz="4" w:space="0"/>
              <w:right w:val="single" w:color="auto" w:sz="4" w:space="0"/>
            </w:tcBorders>
            <w:vAlign w:val="center"/>
          </w:tcPr>
          <w:p w14:paraId="7C12BA96">
            <w:pPr>
              <w:spacing w:after="0" w:line="240" w:lineRule="auto"/>
              <w:rPr>
                <w:rFonts w:ascii="宋体" w:hAnsi="宋体" w:eastAsia="宋体" w:cs="仿宋_GB2312"/>
                <w:color w:val="auto"/>
              </w:rPr>
            </w:pPr>
            <w:r>
              <w:rPr>
                <w:rFonts w:hint="eastAsia" w:ascii="宋体" w:hAnsi="宋体" w:eastAsia="宋体" w:cs="仿宋_GB2312"/>
                <w:color w:val="auto"/>
              </w:rPr>
              <w:t>（</w:t>
            </w:r>
            <w:r>
              <w:rPr>
                <w:rFonts w:ascii="宋体" w:hAnsi="宋体" w:eastAsia="宋体" w:cs="仿宋_GB2312"/>
                <w:color w:val="auto"/>
              </w:rPr>
              <w:t>2）根据投标人对总体区域内潜力用地的分析及重点潜力区块谋划情况进行评议。</w:t>
            </w:r>
          </w:p>
          <w:p w14:paraId="758D093F">
            <w:pPr>
              <w:spacing w:after="0" w:line="240" w:lineRule="auto"/>
              <w:rPr>
                <w:rFonts w:ascii="宋体" w:hAnsi="宋体" w:eastAsia="宋体" w:cs="仿宋_GB2312"/>
                <w:color w:val="auto"/>
              </w:rPr>
            </w:pPr>
            <w:r>
              <w:rPr>
                <w:rFonts w:hint="eastAsia" w:ascii="宋体" w:hAnsi="宋体" w:eastAsia="宋体" w:cs="仿宋_GB2312"/>
                <w:color w:val="auto"/>
              </w:rPr>
              <w:t>①</w:t>
            </w:r>
            <w:r>
              <w:rPr>
                <w:rFonts w:ascii="宋体" w:hAnsi="宋体" w:eastAsia="宋体" w:cs="仿宋_GB2312"/>
                <w:color w:val="auto"/>
              </w:rPr>
              <w:t>分析全面深入，逻辑严密，能够准确识别重点潜力空间，提出清晰可行的发展路径，具备较强可操作性的，得6分；</w:t>
            </w:r>
          </w:p>
          <w:p w14:paraId="3EA8A05C">
            <w:pPr>
              <w:spacing w:after="0" w:line="240" w:lineRule="auto"/>
              <w:rPr>
                <w:rFonts w:ascii="宋体" w:hAnsi="宋体" w:eastAsia="宋体" w:cs="仿宋_GB2312"/>
                <w:color w:val="auto"/>
              </w:rPr>
            </w:pPr>
            <w:r>
              <w:rPr>
                <w:rFonts w:hint="eastAsia" w:ascii="宋体" w:hAnsi="宋体" w:eastAsia="宋体" w:cs="仿宋_GB2312"/>
                <w:color w:val="auto"/>
              </w:rPr>
              <w:t>②</w:t>
            </w:r>
            <w:r>
              <w:rPr>
                <w:rFonts w:ascii="宋体" w:hAnsi="宋体" w:eastAsia="宋体" w:cs="仿宋_GB2312"/>
                <w:color w:val="auto"/>
              </w:rPr>
              <w:t>具备一定的分析基础，潜力空间判断方向合理，但部分内容不够细化，实施路径不够明确，整体落地性一般的，得4分；</w:t>
            </w:r>
          </w:p>
          <w:p w14:paraId="661CC79B">
            <w:pPr>
              <w:spacing w:after="0" w:line="240" w:lineRule="auto"/>
              <w:rPr>
                <w:rFonts w:ascii="宋体" w:hAnsi="宋体" w:eastAsia="宋体" w:cs="仿宋_GB2312"/>
                <w:color w:val="auto"/>
              </w:rPr>
            </w:pPr>
            <w:r>
              <w:rPr>
                <w:rFonts w:hint="eastAsia" w:ascii="宋体" w:hAnsi="宋体" w:eastAsia="宋体" w:cs="仿宋_GB2312"/>
                <w:color w:val="auto"/>
              </w:rPr>
              <w:t>③</w:t>
            </w:r>
            <w:r>
              <w:rPr>
                <w:rFonts w:ascii="宋体" w:hAnsi="宋体" w:eastAsia="宋体" w:cs="仿宋_GB2312"/>
                <w:color w:val="auto"/>
              </w:rPr>
              <w:t>缺乏对重点潜力空间的有效识别，分析浮于表面，方案空泛，不具备明显可行性或实用价值的，得2分；</w:t>
            </w:r>
          </w:p>
          <w:p w14:paraId="79226B82">
            <w:pPr>
              <w:spacing w:after="0" w:line="240" w:lineRule="auto"/>
              <w:rPr>
                <w:rFonts w:ascii="宋体" w:hAnsi="宋体" w:eastAsia="宋体" w:cs="宋体"/>
                <w:color w:val="auto"/>
              </w:rPr>
            </w:pPr>
            <w:r>
              <w:rPr>
                <w:rFonts w:hint="eastAsia" w:ascii="宋体" w:hAnsi="宋体" w:eastAsia="宋体" w:cs="仿宋_GB2312"/>
                <w:color w:val="auto"/>
              </w:rPr>
              <w:t>④</w:t>
            </w:r>
            <w:r>
              <w:rPr>
                <w:rFonts w:ascii="宋体" w:hAnsi="宋体" w:eastAsia="宋体" w:cs="仿宋_GB2312"/>
                <w:color w:val="auto"/>
              </w:rPr>
              <w:t>未提供相关内容的，不得分。</w:t>
            </w:r>
          </w:p>
        </w:tc>
        <w:tc>
          <w:tcPr>
            <w:tcW w:w="850" w:type="dxa"/>
            <w:tcBorders>
              <w:top w:val="single" w:color="auto" w:sz="4" w:space="0"/>
              <w:left w:val="single" w:color="auto" w:sz="4" w:space="0"/>
              <w:bottom w:val="single" w:color="auto" w:sz="4" w:space="0"/>
              <w:right w:val="single" w:color="auto" w:sz="4" w:space="0"/>
            </w:tcBorders>
            <w:vAlign w:val="center"/>
          </w:tcPr>
          <w:p w14:paraId="38835123">
            <w:pPr>
              <w:spacing w:after="0" w:line="240" w:lineRule="auto"/>
              <w:jc w:val="center"/>
              <w:rPr>
                <w:rFonts w:ascii="宋体" w:hAnsi="宋体" w:eastAsia="宋体" w:cs="宋体"/>
                <w:color w:val="auto"/>
              </w:rPr>
            </w:pPr>
            <w:r>
              <w:rPr>
                <w:rFonts w:hint="eastAsia" w:ascii="宋体" w:hAnsi="宋体" w:eastAsia="宋体" w:cs="宋体"/>
                <w:color w:val="auto"/>
              </w:rPr>
              <w:t>6</w:t>
            </w:r>
          </w:p>
        </w:tc>
      </w:tr>
      <w:tr w14:paraId="3A44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9" w:type="dxa"/>
            <w:vMerge w:val="continue"/>
            <w:tcBorders>
              <w:top w:val="single" w:color="auto" w:sz="4" w:space="0"/>
              <w:left w:val="single" w:color="auto" w:sz="4" w:space="0"/>
              <w:bottom w:val="single" w:color="auto" w:sz="4" w:space="0"/>
              <w:right w:val="single" w:color="auto" w:sz="4" w:space="0"/>
            </w:tcBorders>
            <w:vAlign w:val="center"/>
          </w:tcPr>
          <w:p w14:paraId="62B358AB">
            <w:pPr>
              <w:spacing w:after="0" w:line="240" w:lineRule="auto"/>
              <w:ind w:right="-105" w:rightChars="-50"/>
              <w:rPr>
                <w:rFonts w:ascii="宋体" w:hAnsi="宋体" w:eastAsia="宋体" w:cs="宋体"/>
                <w:color w:val="auto"/>
                <w:kern w:val="0"/>
              </w:rPr>
            </w:pPr>
          </w:p>
        </w:tc>
        <w:tc>
          <w:tcPr>
            <w:tcW w:w="1315" w:type="dxa"/>
            <w:vMerge w:val="continue"/>
            <w:tcBorders>
              <w:left w:val="single" w:color="auto" w:sz="4" w:space="0"/>
              <w:right w:val="single" w:color="auto" w:sz="4" w:space="0"/>
            </w:tcBorders>
            <w:vAlign w:val="center"/>
          </w:tcPr>
          <w:p w14:paraId="155D8080">
            <w:pPr>
              <w:snapToGrid w:val="0"/>
              <w:spacing w:after="0" w:line="240" w:lineRule="auto"/>
              <w:jc w:val="center"/>
              <w:rPr>
                <w:rFonts w:ascii="宋体" w:hAnsi="宋体" w:eastAsia="宋体" w:cs="宋体"/>
                <w:color w:val="auto"/>
              </w:rPr>
            </w:pPr>
          </w:p>
        </w:tc>
        <w:tc>
          <w:tcPr>
            <w:tcW w:w="5260" w:type="dxa"/>
            <w:tcBorders>
              <w:top w:val="single" w:color="auto" w:sz="4" w:space="0"/>
              <w:left w:val="single" w:color="auto" w:sz="4" w:space="0"/>
              <w:bottom w:val="single" w:color="auto" w:sz="4" w:space="0"/>
              <w:right w:val="single" w:color="auto" w:sz="4" w:space="0"/>
            </w:tcBorders>
            <w:vAlign w:val="center"/>
          </w:tcPr>
          <w:p w14:paraId="3F1762F3">
            <w:pPr>
              <w:spacing w:after="0" w:line="240" w:lineRule="auto"/>
              <w:rPr>
                <w:rFonts w:ascii="宋体" w:hAnsi="宋体" w:eastAsia="宋体" w:cs="仿宋_GB2312"/>
                <w:color w:val="auto"/>
              </w:rPr>
            </w:pPr>
            <w:r>
              <w:rPr>
                <w:rFonts w:hint="eastAsia" w:ascii="宋体" w:hAnsi="宋体" w:eastAsia="宋体" w:cs="仿宋_GB2312"/>
                <w:color w:val="auto"/>
              </w:rPr>
              <w:t>（</w:t>
            </w:r>
            <w:r>
              <w:rPr>
                <w:rFonts w:ascii="宋体" w:hAnsi="宋体" w:eastAsia="宋体" w:cs="仿宋_GB2312"/>
                <w:color w:val="auto"/>
              </w:rPr>
              <w:t>3）根据投标人针对总体区域下一步开发所提建议的科学性与可行性进行评议。</w:t>
            </w:r>
          </w:p>
          <w:p w14:paraId="7F3BE3CF">
            <w:pPr>
              <w:spacing w:after="0" w:line="240" w:lineRule="auto"/>
              <w:rPr>
                <w:rFonts w:ascii="宋体" w:hAnsi="宋体" w:eastAsia="宋体" w:cs="仿宋_GB2312"/>
                <w:color w:val="auto"/>
              </w:rPr>
            </w:pPr>
            <w:r>
              <w:rPr>
                <w:rFonts w:hint="eastAsia" w:ascii="宋体" w:hAnsi="宋体" w:eastAsia="宋体" w:cs="仿宋_GB2312"/>
                <w:color w:val="auto"/>
              </w:rPr>
              <w:t>①</w:t>
            </w:r>
            <w:r>
              <w:rPr>
                <w:rFonts w:ascii="宋体" w:hAnsi="宋体" w:eastAsia="宋体" w:cs="仿宋_GB2312"/>
                <w:color w:val="auto"/>
              </w:rPr>
              <w:t>开发建议逻辑清晰，步骤明确，具备较强的可执行性和系统性，能够有效支撑项目目标实现的，得6分；</w:t>
            </w:r>
          </w:p>
          <w:p w14:paraId="379F6CBE">
            <w:pPr>
              <w:spacing w:after="0" w:line="240" w:lineRule="auto"/>
              <w:rPr>
                <w:rFonts w:ascii="宋体" w:hAnsi="宋体" w:eastAsia="宋体" w:cs="仿宋_GB2312"/>
                <w:color w:val="auto"/>
              </w:rPr>
            </w:pPr>
            <w:r>
              <w:rPr>
                <w:rFonts w:hint="eastAsia" w:ascii="宋体" w:hAnsi="宋体" w:eastAsia="宋体" w:cs="仿宋_GB2312"/>
                <w:color w:val="auto"/>
              </w:rPr>
              <w:t>②</w:t>
            </w:r>
            <w:r>
              <w:rPr>
                <w:rFonts w:ascii="宋体" w:hAnsi="宋体" w:eastAsia="宋体" w:cs="仿宋_GB2312"/>
                <w:color w:val="auto"/>
              </w:rPr>
              <w:t>开发建议覆盖主要内容，方向基本正确，但部分建议不够深入或表述不够具体，</w:t>
            </w:r>
            <w:r>
              <w:rPr>
                <w:rFonts w:hint="eastAsia" w:ascii="宋体" w:hAnsi="宋体" w:eastAsia="宋体" w:cs="仿宋_GB2312"/>
                <w:color w:val="auto"/>
              </w:rPr>
              <w:t>可</w:t>
            </w:r>
            <w:r>
              <w:rPr>
                <w:rFonts w:ascii="宋体" w:hAnsi="宋体" w:eastAsia="宋体" w:cs="仿宋_GB2312"/>
                <w:color w:val="auto"/>
              </w:rPr>
              <w:t>行性存在不足的，得4分；</w:t>
            </w:r>
          </w:p>
          <w:p w14:paraId="7A1B8844">
            <w:pPr>
              <w:spacing w:after="0" w:line="240" w:lineRule="auto"/>
              <w:rPr>
                <w:rFonts w:ascii="宋体" w:hAnsi="宋体" w:eastAsia="宋体" w:cs="仿宋_GB2312"/>
                <w:color w:val="auto"/>
              </w:rPr>
            </w:pPr>
            <w:r>
              <w:rPr>
                <w:rFonts w:hint="eastAsia" w:ascii="宋体" w:hAnsi="宋体" w:eastAsia="宋体" w:cs="仿宋_GB2312"/>
                <w:color w:val="auto"/>
              </w:rPr>
              <w:t>③</w:t>
            </w:r>
            <w:r>
              <w:rPr>
                <w:rFonts w:ascii="宋体" w:hAnsi="宋体" w:eastAsia="宋体" w:cs="仿宋_GB2312"/>
                <w:color w:val="auto"/>
              </w:rPr>
              <w:t>开发建议内容模糊、结构混乱，缺乏合理性与可行性，难以支撑项目任务推进的，得2分；</w:t>
            </w:r>
          </w:p>
          <w:p w14:paraId="0D479157">
            <w:pPr>
              <w:spacing w:after="0" w:line="240" w:lineRule="auto"/>
              <w:rPr>
                <w:rFonts w:ascii="宋体" w:hAnsi="宋体" w:eastAsia="宋体" w:cs="仿宋_GB2312"/>
                <w:color w:val="auto"/>
              </w:rPr>
            </w:pPr>
            <w:r>
              <w:rPr>
                <w:rFonts w:hint="eastAsia" w:ascii="宋体" w:hAnsi="宋体" w:eastAsia="宋体" w:cs="仿宋_GB2312"/>
                <w:color w:val="auto"/>
              </w:rPr>
              <w:t>④</w:t>
            </w:r>
            <w:r>
              <w:rPr>
                <w:rFonts w:ascii="宋体" w:hAnsi="宋体" w:eastAsia="宋体" w:cs="仿宋_GB2312"/>
                <w:color w:val="auto"/>
              </w:rPr>
              <w:t>未提供相关内容的，不得分。</w:t>
            </w:r>
          </w:p>
        </w:tc>
        <w:tc>
          <w:tcPr>
            <w:tcW w:w="850" w:type="dxa"/>
            <w:tcBorders>
              <w:top w:val="single" w:color="auto" w:sz="4" w:space="0"/>
              <w:left w:val="single" w:color="auto" w:sz="4" w:space="0"/>
              <w:bottom w:val="single" w:color="auto" w:sz="4" w:space="0"/>
              <w:right w:val="single" w:color="auto" w:sz="4" w:space="0"/>
            </w:tcBorders>
            <w:vAlign w:val="center"/>
          </w:tcPr>
          <w:p w14:paraId="0D9F7B2B">
            <w:pPr>
              <w:spacing w:after="0" w:line="240" w:lineRule="auto"/>
              <w:jc w:val="center"/>
              <w:rPr>
                <w:rFonts w:ascii="宋体" w:hAnsi="宋体" w:eastAsia="宋体" w:cs="宋体"/>
                <w:color w:val="auto"/>
              </w:rPr>
            </w:pPr>
            <w:r>
              <w:rPr>
                <w:rFonts w:hint="eastAsia" w:ascii="宋体" w:hAnsi="宋体" w:eastAsia="宋体" w:cs="宋体"/>
                <w:color w:val="auto"/>
              </w:rPr>
              <w:t>6</w:t>
            </w:r>
          </w:p>
        </w:tc>
      </w:tr>
      <w:tr w14:paraId="5A97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9" w:type="dxa"/>
            <w:vMerge w:val="continue"/>
            <w:tcBorders>
              <w:top w:val="single" w:color="auto" w:sz="4" w:space="0"/>
              <w:left w:val="single" w:color="auto" w:sz="4" w:space="0"/>
              <w:bottom w:val="single" w:color="auto" w:sz="4" w:space="0"/>
              <w:right w:val="single" w:color="auto" w:sz="4" w:space="0"/>
            </w:tcBorders>
            <w:vAlign w:val="center"/>
          </w:tcPr>
          <w:p w14:paraId="7EB1A76E">
            <w:pPr>
              <w:widowControl/>
              <w:spacing w:after="0" w:line="240" w:lineRule="auto"/>
              <w:jc w:val="left"/>
              <w:rPr>
                <w:rFonts w:ascii="宋体" w:hAnsi="宋体" w:eastAsia="宋体" w:cs="宋体"/>
                <w:b/>
                <w:bCs/>
                <w:color w:val="auto"/>
              </w:rPr>
            </w:pPr>
          </w:p>
        </w:tc>
        <w:tc>
          <w:tcPr>
            <w:tcW w:w="1315" w:type="dxa"/>
            <w:vMerge w:val="restart"/>
            <w:tcBorders>
              <w:top w:val="single" w:color="auto" w:sz="4" w:space="0"/>
              <w:left w:val="single" w:color="auto" w:sz="4" w:space="0"/>
              <w:right w:val="single" w:color="auto" w:sz="4" w:space="0"/>
            </w:tcBorders>
            <w:vAlign w:val="center"/>
          </w:tcPr>
          <w:p w14:paraId="0071243F">
            <w:pPr>
              <w:spacing w:after="0" w:line="240" w:lineRule="auto"/>
              <w:ind w:right="-69" w:rightChars="-33"/>
              <w:jc w:val="center"/>
              <w:rPr>
                <w:rFonts w:ascii="宋体" w:hAnsi="宋体" w:eastAsia="宋体" w:cs="宋体"/>
                <w:color w:val="auto"/>
              </w:rPr>
            </w:pPr>
            <w:r>
              <w:rPr>
                <w:rFonts w:hint="eastAsia" w:ascii="宋体" w:hAnsi="宋体" w:eastAsia="宋体" w:cs="宋体"/>
                <w:color w:val="auto"/>
              </w:rPr>
              <w:t>邱隘南区块可研编制</w:t>
            </w:r>
          </w:p>
        </w:tc>
        <w:tc>
          <w:tcPr>
            <w:tcW w:w="5260" w:type="dxa"/>
            <w:tcBorders>
              <w:top w:val="single" w:color="auto" w:sz="4" w:space="0"/>
              <w:left w:val="single" w:color="auto" w:sz="4" w:space="0"/>
              <w:bottom w:val="single" w:color="auto" w:sz="4" w:space="0"/>
              <w:right w:val="single" w:color="auto" w:sz="4" w:space="0"/>
            </w:tcBorders>
            <w:vAlign w:val="center"/>
          </w:tcPr>
          <w:p w14:paraId="0F882CFA">
            <w:pPr>
              <w:spacing w:after="0" w:line="240" w:lineRule="auto"/>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1）根据投标人对邱隘南区块的印象认知、现状情况、发展制约因素及相关规划要求</w:t>
            </w:r>
            <w:r>
              <w:rPr>
                <w:rFonts w:hint="eastAsia" w:ascii="宋体" w:hAnsi="宋体" w:eastAsia="宋体" w:cs="宋体"/>
                <w:color w:val="auto"/>
              </w:rPr>
              <w:t>的</w:t>
            </w:r>
            <w:r>
              <w:rPr>
                <w:rFonts w:ascii="宋体" w:hAnsi="宋体" w:eastAsia="宋体" w:cs="宋体"/>
                <w:color w:val="auto"/>
              </w:rPr>
              <w:t>问题分析进行评议。</w:t>
            </w:r>
          </w:p>
          <w:p w14:paraId="76322D1D">
            <w:pPr>
              <w:spacing w:after="0" w:line="240" w:lineRule="auto"/>
              <w:rPr>
                <w:rFonts w:ascii="宋体" w:hAnsi="宋体" w:eastAsia="宋体" w:cs="宋体"/>
                <w:color w:val="auto"/>
              </w:rPr>
            </w:pPr>
            <w:r>
              <w:rPr>
                <w:rFonts w:hint="eastAsia" w:ascii="宋体" w:hAnsi="宋体" w:eastAsia="宋体" w:cs="宋体"/>
                <w:color w:val="auto"/>
              </w:rPr>
              <w:t>①</w:t>
            </w:r>
            <w:r>
              <w:rPr>
                <w:rFonts w:ascii="宋体" w:hAnsi="宋体" w:eastAsia="宋体" w:cs="宋体"/>
                <w:color w:val="auto"/>
              </w:rPr>
              <w:t>投标人对邱隘南区块的现状特征、规划要求及主要制约因素认识全面准确，问题分析深入透彻，体现高度专业性与针对性的，得6分；</w:t>
            </w:r>
          </w:p>
          <w:p w14:paraId="7DF9A303">
            <w:pPr>
              <w:spacing w:after="0" w:line="240" w:lineRule="auto"/>
              <w:rPr>
                <w:rFonts w:ascii="宋体" w:hAnsi="宋体" w:eastAsia="宋体" w:cs="宋体"/>
                <w:color w:val="auto"/>
              </w:rPr>
            </w:pPr>
            <w:r>
              <w:rPr>
                <w:rFonts w:hint="eastAsia" w:ascii="宋体" w:hAnsi="宋体" w:eastAsia="宋体" w:cs="宋体"/>
                <w:color w:val="auto"/>
              </w:rPr>
              <w:t>②</w:t>
            </w:r>
            <w:r>
              <w:rPr>
                <w:rFonts w:ascii="宋体" w:hAnsi="宋体" w:eastAsia="宋体" w:cs="宋体"/>
                <w:color w:val="auto"/>
              </w:rPr>
              <w:t>投标人对邱隘南区块的现状与规划有一定了解，问题分析基本完整，方向正确，但部分内容理解不够深入或表达不够清晰的，得4分；</w:t>
            </w:r>
          </w:p>
          <w:p w14:paraId="6CEF9ADB">
            <w:pPr>
              <w:spacing w:after="0" w:line="240" w:lineRule="auto"/>
              <w:rPr>
                <w:rFonts w:ascii="宋体" w:hAnsi="宋体" w:eastAsia="宋体" w:cs="宋体"/>
                <w:color w:val="auto"/>
              </w:rPr>
            </w:pPr>
            <w:r>
              <w:rPr>
                <w:rFonts w:hint="eastAsia" w:ascii="宋体" w:hAnsi="宋体" w:eastAsia="宋体" w:cs="宋体"/>
                <w:color w:val="auto"/>
              </w:rPr>
              <w:t>③</w:t>
            </w:r>
            <w:r>
              <w:rPr>
                <w:rFonts w:ascii="宋体" w:hAnsi="宋体" w:eastAsia="宋体" w:cs="宋体"/>
                <w:color w:val="auto"/>
              </w:rPr>
              <w:t>投标人对邱隘南区块的现状特征与规划要求把握不清，分析内容空泛，缺乏对关键问题的识别和判断，针对性不足的，得2分；</w:t>
            </w:r>
          </w:p>
          <w:p w14:paraId="3F14ABA2">
            <w:pPr>
              <w:spacing w:after="0" w:line="240" w:lineRule="auto"/>
              <w:rPr>
                <w:rFonts w:ascii="宋体" w:hAnsi="宋体" w:eastAsia="宋体" w:cs="宋体"/>
                <w:color w:val="auto"/>
              </w:rPr>
            </w:pPr>
            <w:r>
              <w:rPr>
                <w:rFonts w:hint="eastAsia" w:ascii="宋体" w:hAnsi="宋体" w:eastAsia="宋体" w:cs="宋体"/>
                <w:color w:val="auto"/>
              </w:rPr>
              <w:t>④</w:t>
            </w:r>
            <w:r>
              <w:rPr>
                <w:rFonts w:ascii="宋体" w:hAnsi="宋体" w:eastAsia="宋体" w:cs="宋体"/>
                <w:color w:val="auto"/>
              </w:rPr>
              <w:t>未提供相关内容的，不得分。</w:t>
            </w:r>
          </w:p>
        </w:tc>
        <w:tc>
          <w:tcPr>
            <w:tcW w:w="850" w:type="dxa"/>
            <w:tcBorders>
              <w:top w:val="single" w:color="auto" w:sz="4" w:space="0"/>
              <w:left w:val="single" w:color="auto" w:sz="4" w:space="0"/>
              <w:bottom w:val="single" w:color="auto" w:sz="4" w:space="0"/>
              <w:right w:val="single" w:color="auto" w:sz="4" w:space="0"/>
            </w:tcBorders>
            <w:vAlign w:val="center"/>
          </w:tcPr>
          <w:p w14:paraId="17094B3B">
            <w:pPr>
              <w:spacing w:after="0" w:line="240" w:lineRule="auto"/>
              <w:jc w:val="center"/>
              <w:rPr>
                <w:rFonts w:ascii="宋体" w:hAnsi="宋体" w:eastAsia="宋体" w:cs="宋体"/>
                <w:color w:val="auto"/>
              </w:rPr>
            </w:pPr>
            <w:r>
              <w:rPr>
                <w:rFonts w:hint="eastAsia" w:ascii="宋体" w:hAnsi="宋体" w:eastAsia="宋体" w:cs="宋体"/>
                <w:color w:val="auto"/>
              </w:rPr>
              <w:t>6</w:t>
            </w:r>
          </w:p>
        </w:tc>
      </w:tr>
      <w:tr w14:paraId="03E1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9" w:type="dxa"/>
            <w:vMerge w:val="continue"/>
            <w:tcBorders>
              <w:top w:val="single" w:color="auto" w:sz="4" w:space="0"/>
              <w:left w:val="single" w:color="auto" w:sz="4" w:space="0"/>
              <w:bottom w:val="single" w:color="auto" w:sz="4" w:space="0"/>
              <w:right w:val="single" w:color="auto" w:sz="4" w:space="0"/>
            </w:tcBorders>
            <w:vAlign w:val="center"/>
          </w:tcPr>
          <w:p w14:paraId="1087EF03">
            <w:pPr>
              <w:widowControl/>
              <w:spacing w:after="0" w:line="240" w:lineRule="auto"/>
              <w:jc w:val="left"/>
              <w:rPr>
                <w:rFonts w:ascii="宋体" w:hAnsi="宋体" w:eastAsia="宋体" w:cs="宋体"/>
                <w:b/>
                <w:bCs/>
                <w:color w:val="auto"/>
              </w:rPr>
            </w:pPr>
          </w:p>
        </w:tc>
        <w:tc>
          <w:tcPr>
            <w:tcW w:w="1315" w:type="dxa"/>
            <w:vMerge w:val="continue"/>
            <w:tcBorders>
              <w:left w:val="single" w:color="auto" w:sz="4" w:space="0"/>
              <w:right w:val="single" w:color="auto" w:sz="4" w:space="0"/>
            </w:tcBorders>
            <w:vAlign w:val="center"/>
          </w:tcPr>
          <w:p w14:paraId="49E90148">
            <w:pPr>
              <w:widowControl/>
              <w:spacing w:after="0" w:line="240" w:lineRule="auto"/>
              <w:jc w:val="left"/>
              <w:rPr>
                <w:rFonts w:ascii="宋体" w:hAnsi="宋体" w:eastAsia="宋体" w:cs="宋体"/>
                <w:color w:val="auto"/>
              </w:rPr>
            </w:pPr>
          </w:p>
        </w:tc>
        <w:tc>
          <w:tcPr>
            <w:tcW w:w="5260" w:type="dxa"/>
            <w:tcBorders>
              <w:top w:val="single" w:color="auto" w:sz="4" w:space="0"/>
              <w:left w:val="single" w:color="auto" w:sz="4" w:space="0"/>
              <w:bottom w:val="single" w:color="auto" w:sz="4" w:space="0"/>
              <w:right w:val="single" w:color="auto" w:sz="4" w:space="0"/>
            </w:tcBorders>
            <w:vAlign w:val="center"/>
          </w:tcPr>
          <w:p w14:paraId="0AE31408">
            <w:pPr>
              <w:spacing w:after="0" w:line="240" w:lineRule="auto"/>
              <w:rPr>
                <w:rFonts w:ascii="宋体" w:hAnsi="宋体" w:eastAsia="宋体" w:cs="仿宋_GB2312"/>
                <w:color w:val="auto"/>
              </w:rPr>
            </w:pPr>
            <w:r>
              <w:rPr>
                <w:rFonts w:hint="eastAsia" w:ascii="宋体" w:hAnsi="宋体" w:eastAsia="宋体" w:cs="仿宋_GB2312"/>
                <w:color w:val="auto"/>
              </w:rPr>
              <w:t>（</w:t>
            </w:r>
            <w:r>
              <w:rPr>
                <w:rFonts w:ascii="宋体" w:hAnsi="宋体" w:eastAsia="宋体" w:cs="仿宋_GB2312"/>
                <w:color w:val="auto"/>
              </w:rPr>
              <w:t>2）根据投标人对邱隘南区块的发展设想、目标定位及愿景的可行性进行评议。</w:t>
            </w:r>
          </w:p>
          <w:p w14:paraId="44842776">
            <w:pPr>
              <w:spacing w:after="0" w:line="240" w:lineRule="auto"/>
              <w:rPr>
                <w:rFonts w:ascii="宋体" w:hAnsi="宋体" w:eastAsia="宋体" w:cs="仿宋_GB2312"/>
                <w:color w:val="auto"/>
              </w:rPr>
            </w:pPr>
            <w:r>
              <w:rPr>
                <w:rFonts w:hint="eastAsia" w:ascii="宋体" w:hAnsi="宋体" w:eastAsia="宋体" w:cs="仿宋_GB2312"/>
                <w:color w:val="auto"/>
              </w:rPr>
              <w:t>①</w:t>
            </w:r>
            <w:r>
              <w:rPr>
                <w:rFonts w:ascii="宋体" w:hAnsi="宋体" w:eastAsia="宋体" w:cs="仿宋_GB2312"/>
                <w:color w:val="auto"/>
              </w:rPr>
              <w:t>发展设想科学合理，目标定位准确，愿景清晰明确，整体逻辑严密，实施路径可行，能够有效支撑项目总体目标实现的，得6分；</w:t>
            </w:r>
          </w:p>
          <w:p w14:paraId="1CEAA852">
            <w:pPr>
              <w:spacing w:after="0" w:line="240" w:lineRule="auto"/>
              <w:rPr>
                <w:rFonts w:ascii="宋体" w:hAnsi="宋体" w:eastAsia="宋体" w:cs="仿宋_GB2312"/>
                <w:color w:val="auto"/>
              </w:rPr>
            </w:pPr>
            <w:r>
              <w:rPr>
                <w:rFonts w:hint="eastAsia" w:ascii="宋体" w:hAnsi="宋体" w:eastAsia="宋体" w:cs="仿宋_GB2312"/>
                <w:color w:val="auto"/>
              </w:rPr>
              <w:t>②</w:t>
            </w:r>
            <w:r>
              <w:rPr>
                <w:rFonts w:ascii="宋体" w:hAnsi="宋体" w:eastAsia="宋体" w:cs="仿宋_GB2312"/>
                <w:color w:val="auto"/>
              </w:rPr>
              <w:t>发展设想方向基本正确，目标定位较为明确，具备一定可行性，但部分内容不够深入或表述不够具体，</w:t>
            </w:r>
            <w:r>
              <w:rPr>
                <w:rFonts w:hint="eastAsia" w:ascii="宋体" w:hAnsi="宋体" w:eastAsia="宋体" w:cs="仿宋_GB2312"/>
                <w:color w:val="auto"/>
              </w:rPr>
              <w:t>可</w:t>
            </w:r>
            <w:r>
              <w:rPr>
                <w:rFonts w:ascii="宋体" w:hAnsi="宋体" w:eastAsia="宋体" w:cs="仿宋_GB2312"/>
                <w:color w:val="auto"/>
              </w:rPr>
              <w:t>行性存在不足的，得4分；</w:t>
            </w:r>
          </w:p>
          <w:p w14:paraId="71480C15">
            <w:pPr>
              <w:spacing w:after="0" w:line="240" w:lineRule="auto"/>
              <w:rPr>
                <w:rFonts w:ascii="宋体" w:hAnsi="宋体" w:eastAsia="宋体" w:cs="仿宋_GB2312"/>
                <w:color w:val="auto"/>
              </w:rPr>
            </w:pPr>
            <w:r>
              <w:rPr>
                <w:rFonts w:hint="eastAsia" w:ascii="宋体" w:hAnsi="宋体" w:eastAsia="宋体" w:cs="仿宋_GB2312"/>
                <w:color w:val="auto"/>
              </w:rPr>
              <w:t>③</w:t>
            </w:r>
            <w:r>
              <w:rPr>
                <w:rFonts w:ascii="宋体" w:hAnsi="宋体" w:eastAsia="宋体" w:cs="仿宋_GB2312"/>
                <w:color w:val="auto"/>
              </w:rPr>
              <w:t>发展设想不清，目标定位模糊或不合理，缺乏可行性与系统性，难以支撑项目任务推进的，得2分；</w:t>
            </w:r>
          </w:p>
          <w:p w14:paraId="7404679A">
            <w:pPr>
              <w:spacing w:after="0" w:line="240" w:lineRule="auto"/>
              <w:rPr>
                <w:rFonts w:ascii="宋体" w:hAnsi="宋体" w:eastAsia="宋体" w:cs="仿宋_GB2312"/>
                <w:color w:val="auto"/>
              </w:rPr>
            </w:pPr>
            <w:r>
              <w:rPr>
                <w:rFonts w:hint="eastAsia" w:ascii="宋体" w:hAnsi="宋体" w:eastAsia="宋体" w:cs="仿宋_GB2312"/>
                <w:color w:val="auto"/>
              </w:rPr>
              <w:t>④</w:t>
            </w:r>
            <w:r>
              <w:rPr>
                <w:rFonts w:ascii="宋体" w:hAnsi="宋体" w:eastAsia="宋体" w:cs="仿宋_GB2312"/>
                <w:color w:val="auto"/>
              </w:rPr>
              <w:t>未提供相关内容的，不得分。</w:t>
            </w:r>
          </w:p>
        </w:tc>
        <w:tc>
          <w:tcPr>
            <w:tcW w:w="850" w:type="dxa"/>
            <w:tcBorders>
              <w:top w:val="single" w:color="auto" w:sz="4" w:space="0"/>
              <w:left w:val="single" w:color="auto" w:sz="4" w:space="0"/>
              <w:bottom w:val="single" w:color="auto" w:sz="4" w:space="0"/>
              <w:right w:val="single" w:color="auto" w:sz="4" w:space="0"/>
            </w:tcBorders>
            <w:vAlign w:val="center"/>
          </w:tcPr>
          <w:p w14:paraId="68078763">
            <w:pPr>
              <w:spacing w:after="0" w:line="240" w:lineRule="auto"/>
              <w:jc w:val="center"/>
              <w:rPr>
                <w:rFonts w:ascii="宋体" w:hAnsi="宋体" w:eastAsia="宋体" w:cs="宋体"/>
                <w:color w:val="auto"/>
              </w:rPr>
            </w:pPr>
            <w:r>
              <w:rPr>
                <w:rFonts w:hint="eastAsia" w:ascii="宋体" w:hAnsi="宋体" w:eastAsia="宋体" w:cs="宋体"/>
                <w:color w:val="auto"/>
              </w:rPr>
              <w:t>6</w:t>
            </w:r>
          </w:p>
        </w:tc>
      </w:tr>
      <w:tr w14:paraId="5084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9" w:type="dxa"/>
            <w:vMerge w:val="continue"/>
            <w:tcBorders>
              <w:top w:val="single" w:color="auto" w:sz="4" w:space="0"/>
              <w:left w:val="single" w:color="auto" w:sz="4" w:space="0"/>
              <w:bottom w:val="single" w:color="auto" w:sz="4" w:space="0"/>
              <w:right w:val="single" w:color="auto" w:sz="4" w:space="0"/>
            </w:tcBorders>
            <w:vAlign w:val="center"/>
          </w:tcPr>
          <w:p w14:paraId="0A34CF8F">
            <w:pPr>
              <w:widowControl/>
              <w:spacing w:after="0" w:line="240" w:lineRule="auto"/>
              <w:jc w:val="left"/>
              <w:rPr>
                <w:rFonts w:ascii="宋体" w:hAnsi="宋体" w:eastAsia="宋体" w:cs="宋体"/>
                <w:b/>
                <w:bCs/>
                <w:color w:val="auto"/>
              </w:rPr>
            </w:pPr>
          </w:p>
        </w:tc>
        <w:tc>
          <w:tcPr>
            <w:tcW w:w="1315" w:type="dxa"/>
            <w:vMerge w:val="continue"/>
            <w:tcBorders>
              <w:left w:val="single" w:color="auto" w:sz="4" w:space="0"/>
              <w:right w:val="single" w:color="auto" w:sz="4" w:space="0"/>
            </w:tcBorders>
            <w:vAlign w:val="center"/>
          </w:tcPr>
          <w:p w14:paraId="270B478A">
            <w:pPr>
              <w:widowControl/>
              <w:spacing w:after="0" w:line="240" w:lineRule="auto"/>
              <w:jc w:val="left"/>
              <w:rPr>
                <w:rFonts w:ascii="宋体" w:hAnsi="宋体" w:eastAsia="宋体" w:cs="宋体"/>
                <w:color w:val="auto"/>
              </w:rPr>
            </w:pPr>
          </w:p>
        </w:tc>
        <w:tc>
          <w:tcPr>
            <w:tcW w:w="5260" w:type="dxa"/>
            <w:tcBorders>
              <w:top w:val="single" w:color="auto" w:sz="4" w:space="0"/>
              <w:left w:val="single" w:color="auto" w:sz="4" w:space="0"/>
              <w:bottom w:val="single" w:color="auto" w:sz="4" w:space="0"/>
              <w:right w:val="single" w:color="auto" w:sz="4" w:space="0"/>
            </w:tcBorders>
            <w:vAlign w:val="center"/>
          </w:tcPr>
          <w:p w14:paraId="76C44183">
            <w:pPr>
              <w:spacing w:after="0" w:line="240" w:lineRule="auto"/>
              <w:rPr>
                <w:rFonts w:ascii="宋体" w:hAnsi="宋体" w:eastAsia="宋体" w:cs="仿宋_GB2312"/>
                <w:color w:val="auto"/>
              </w:rPr>
            </w:pPr>
            <w:r>
              <w:rPr>
                <w:rFonts w:hint="eastAsia" w:ascii="宋体" w:hAnsi="宋体" w:eastAsia="宋体" w:cs="仿宋_GB2312"/>
                <w:color w:val="auto"/>
              </w:rPr>
              <w:t>（</w:t>
            </w:r>
            <w:r>
              <w:rPr>
                <w:rFonts w:ascii="宋体" w:hAnsi="宋体" w:eastAsia="宋体" w:cs="仿宋_GB2312"/>
                <w:color w:val="auto"/>
              </w:rPr>
              <w:t>3）根据投标人提供的邱隘南区块总体规划结构、用地布局及重点区域发展策略进行评议。</w:t>
            </w:r>
          </w:p>
          <w:p w14:paraId="62122A43">
            <w:pPr>
              <w:spacing w:after="0" w:line="240" w:lineRule="auto"/>
              <w:rPr>
                <w:rFonts w:ascii="宋体" w:hAnsi="宋体" w:eastAsia="宋体" w:cs="仿宋_GB2312"/>
                <w:color w:val="auto"/>
              </w:rPr>
            </w:pPr>
            <w:r>
              <w:rPr>
                <w:rFonts w:hint="eastAsia" w:ascii="宋体" w:hAnsi="宋体" w:eastAsia="宋体" w:cs="仿宋_GB2312"/>
                <w:color w:val="auto"/>
              </w:rPr>
              <w:t>①</w:t>
            </w:r>
            <w:r>
              <w:rPr>
                <w:rFonts w:ascii="宋体" w:hAnsi="宋体" w:eastAsia="宋体" w:cs="仿宋_GB2312"/>
                <w:color w:val="auto"/>
              </w:rPr>
              <w:t>规划结构合理，用地布局统筹得当，重点区域发展策略清晰可行，具备较强的操作性与系统性，能够有效支撑项目有序推进的，得7分；</w:t>
            </w:r>
          </w:p>
          <w:p w14:paraId="6DEC26ED">
            <w:pPr>
              <w:spacing w:after="0" w:line="240" w:lineRule="auto"/>
              <w:rPr>
                <w:rFonts w:ascii="宋体" w:hAnsi="宋体" w:eastAsia="宋体" w:cs="仿宋_GB2312"/>
                <w:color w:val="auto"/>
              </w:rPr>
            </w:pPr>
            <w:r>
              <w:rPr>
                <w:rFonts w:hint="eastAsia" w:ascii="宋体" w:hAnsi="宋体" w:eastAsia="宋体" w:cs="仿宋_GB2312"/>
                <w:color w:val="auto"/>
              </w:rPr>
              <w:t>②</w:t>
            </w:r>
            <w:r>
              <w:rPr>
                <w:rFonts w:ascii="宋体" w:hAnsi="宋体" w:eastAsia="宋体" w:cs="仿宋_GB2312"/>
                <w:color w:val="auto"/>
              </w:rPr>
              <w:t>规划结构与用地布局基本明确，发展策略方向合理，但部分内容细化不足，实施安排不够周全，整体可行性有限的，得5分；</w:t>
            </w:r>
          </w:p>
          <w:p w14:paraId="179E4318">
            <w:pPr>
              <w:spacing w:after="0" w:line="240" w:lineRule="auto"/>
              <w:rPr>
                <w:rFonts w:ascii="宋体" w:hAnsi="宋体" w:eastAsia="宋体" w:cs="仿宋_GB2312"/>
                <w:color w:val="auto"/>
              </w:rPr>
            </w:pPr>
            <w:r>
              <w:rPr>
                <w:rFonts w:hint="eastAsia" w:ascii="宋体" w:hAnsi="宋体" w:eastAsia="宋体" w:cs="仿宋_GB2312"/>
                <w:color w:val="auto"/>
              </w:rPr>
              <w:t>③</w:t>
            </w:r>
            <w:r>
              <w:rPr>
                <w:rFonts w:ascii="宋体" w:hAnsi="宋体" w:eastAsia="宋体" w:cs="仿宋_GB2312"/>
                <w:color w:val="auto"/>
              </w:rPr>
              <w:t>规划结构不清，用地布局混乱，发展策略缺乏逻辑或明显不切实际，难以保障项目顺利推进的，得3分；</w:t>
            </w:r>
          </w:p>
          <w:p w14:paraId="2D809FE6">
            <w:pPr>
              <w:spacing w:after="0" w:line="240" w:lineRule="auto"/>
              <w:rPr>
                <w:rFonts w:ascii="宋体" w:hAnsi="宋体" w:eastAsia="宋体" w:cs="仿宋_GB2312"/>
                <w:color w:val="auto"/>
              </w:rPr>
            </w:pPr>
            <w:r>
              <w:rPr>
                <w:rFonts w:hint="eastAsia" w:ascii="宋体" w:hAnsi="宋体" w:eastAsia="宋体" w:cs="仿宋_GB2312"/>
                <w:color w:val="auto"/>
              </w:rPr>
              <w:t>④</w:t>
            </w:r>
            <w:r>
              <w:rPr>
                <w:rFonts w:ascii="宋体" w:hAnsi="宋体" w:eastAsia="宋体" w:cs="仿宋_GB2312"/>
                <w:color w:val="auto"/>
              </w:rPr>
              <w:t>未提供相关内容的，不得分。</w:t>
            </w:r>
          </w:p>
        </w:tc>
        <w:tc>
          <w:tcPr>
            <w:tcW w:w="850" w:type="dxa"/>
            <w:tcBorders>
              <w:top w:val="single" w:color="auto" w:sz="4" w:space="0"/>
              <w:left w:val="single" w:color="auto" w:sz="4" w:space="0"/>
              <w:bottom w:val="single" w:color="auto" w:sz="4" w:space="0"/>
              <w:right w:val="single" w:color="auto" w:sz="4" w:space="0"/>
            </w:tcBorders>
            <w:vAlign w:val="center"/>
          </w:tcPr>
          <w:p w14:paraId="3A830C87">
            <w:pPr>
              <w:spacing w:after="0" w:line="240" w:lineRule="auto"/>
              <w:jc w:val="center"/>
              <w:rPr>
                <w:rFonts w:ascii="宋体" w:hAnsi="宋体" w:eastAsia="宋体" w:cs="宋体"/>
                <w:color w:val="auto"/>
              </w:rPr>
            </w:pPr>
            <w:r>
              <w:rPr>
                <w:rFonts w:ascii="宋体" w:hAnsi="宋体" w:eastAsia="宋体" w:cs="宋体"/>
                <w:color w:val="auto"/>
              </w:rPr>
              <w:t>7</w:t>
            </w:r>
          </w:p>
        </w:tc>
      </w:tr>
      <w:tr w14:paraId="32DC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1359" w:type="dxa"/>
            <w:vMerge w:val="continue"/>
            <w:tcBorders>
              <w:top w:val="single" w:color="auto" w:sz="4" w:space="0"/>
              <w:left w:val="single" w:color="auto" w:sz="4" w:space="0"/>
              <w:bottom w:val="single" w:color="auto" w:sz="4" w:space="0"/>
              <w:right w:val="single" w:color="auto" w:sz="4" w:space="0"/>
            </w:tcBorders>
            <w:vAlign w:val="center"/>
          </w:tcPr>
          <w:p w14:paraId="0247B2A9">
            <w:pPr>
              <w:widowControl/>
              <w:spacing w:after="0" w:line="240" w:lineRule="auto"/>
              <w:jc w:val="left"/>
              <w:rPr>
                <w:rFonts w:ascii="宋体" w:hAnsi="宋体" w:eastAsia="宋体" w:cs="宋体"/>
                <w:b/>
                <w:bCs/>
                <w:color w:val="auto"/>
              </w:rPr>
            </w:pPr>
          </w:p>
        </w:tc>
        <w:tc>
          <w:tcPr>
            <w:tcW w:w="1315" w:type="dxa"/>
            <w:vMerge w:val="continue"/>
            <w:tcBorders>
              <w:left w:val="single" w:color="auto" w:sz="4" w:space="0"/>
              <w:right w:val="single" w:color="auto" w:sz="4" w:space="0"/>
            </w:tcBorders>
            <w:vAlign w:val="center"/>
          </w:tcPr>
          <w:p w14:paraId="139DA449">
            <w:pPr>
              <w:widowControl/>
              <w:spacing w:after="0" w:line="240" w:lineRule="auto"/>
              <w:jc w:val="left"/>
              <w:rPr>
                <w:rFonts w:ascii="宋体" w:hAnsi="宋体" w:eastAsia="宋体" w:cs="宋体"/>
                <w:color w:val="auto"/>
              </w:rPr>
            </w:pPr>
          </w:p>
        </w:tc>
        <w:tc>
          <w:tcPr>
            <w:tcW w:w="5260" w:type="dxa"/>
            <w:tcBorders>
              <w:top w:val="single" w:color="auto" w:sz="4" w:space="0"/>
              <w:left w:val="single" w:color="auto" w:sz="4" w:space="0"/>
              <w:right w:val="single" w:color="auto" w:sz="4" w:space="0"/>
            </w:tcBorders>
            <w:vAlign w:val="center"/>
          </w:tcPr>
          <w:p w14:paraId="21B4426A">
            <w:pPr>
              <w:spacing w:after="0" w:line="240" w:lineRule="auto"/>
              <w:rPr>
                <w:rFonts w:ascii="宋体" w:hAnsi="宋体" w:eastAsia="宋体" w:cs="仿宋_GB2312"/>
                <w:color w:val="auto"/>
              </w:rPr>
            </w:pPr>
            <w:r>
              <w:rPr>
                <w:rFonts w:hint="eastAsia" w:ascii="宋体" w:hAnsi="宋体" w:eastAsia="宋体" w:cs="仿宋_GB2312"/>
                <w:color w:val="auto"/>
              </w:rPr>
              <w:t>（</w:t>
            </w:r>
            <w:r>
              <w:rPr>
                <w:rFonts w:ascii="宋体" w:hAnsi="宋体" w:eastAsia="宋体" w:cs="仿宋_GB2312"/>
                <w:color w:val="auto"/>
              </w:rPr>
              <w:t>4）根据投标人提供的邱隘南区块分期安排、资金测算及下一步工作计划进行评议。</w:t>
            </w:r>
          </w:p>
          <w:p w14:paraId="1B64A856">
            <w:pPr>
              <w:spacing w:after="0" w:line="240" w:lineRule="auto"/>
              <w:rPr>
                <w:rFonts w:ascii="宋体" w:hAnsi="宋体" w:eastAsia="宋体" w:cs="仿宋_GB2312"/>
                <w:color w:val="auto"/>
              </w:rPr>
            </w:pPr>
            <w:r>
              <w:rPr>
                <w:rFonts w:hint="eastAsia" w:ascii="宋体" w:hAnsi="宋体" w:eastAsia="宋体" w:cs="仿宋_GB2312"/>
                <w:color w:val="auto"/>
              </w:rPr>
              <w:t>①</w:t>
            </w:r>
            <w:r>
              <w:rPr>
                <w:rFonts w:ascii="宋体" w:hAnsi="宋体" w:eastAsia="宋体" w:cs="仿宋_GB2312"/>
                <w:color w:val="auto"/>
              </w:rPr>
              <w:t>分期安排合理，阶段目标明确，实施路径清晰，资金测算依据充分，整体计划具有较强可操作性，能够有效保障项目有序推进的，得6分；</w:t>
            </w:r>
          </w:p>
          <w:p w14:paraId="7F9ABE2F">
            <w:pPr>
              <w:spacing w:after="0" w:line="240" w:lineRule="auto"/>
              <w:rPr>
                <w:rFonts w:ascii="宋体" w:hAnsi="宋体" w:eastAsia="宋体" w:cs="仿宋_GB2312"/>
                <w:color w:val="auto"/>
              </w:rPr>
            </w:pPr>
            <w:r>
              <w:rPr>
                <w:rFonts w:hint="eastAsia" w:ascii="宋体" w:hAnsi="宋体" w:eastAsia="宋体" w:cs="仿宋_GB2312"/>
                <w:color w:val="auto"/>
              </w:rPr>
              <w:t>②</w:t>
            </w:r>
            <w:r>
              <w:rPr>
                <w:rFonts w:ascii="宋体" w:hAnsi="宋体" w:eastAsia="宋体" w:cs="仿宋_GB2312"/>
                <w:color w:val="auto"/>
              </w:rPr>
              <w:t>分期安排基本明确，资金测算合理，但部分内容细化不足，时间节点或资源配置不够周全，</w:t>
            </w:r>
            <w:r>
              <w:rPr>
                <w:rFonts w:hint="eastAsia" w:ascii="宋体" w:hAnsi="宋体" w:eastAsia="宋体" w:cs="仿宋_GB2312"/>
                <w:color w:val="auto"/>
              </w:rPr>
              <w:t>可</w:t>
            </w:r>
            <w:r>
              <w:rPr>
                <w:rFonts w:ascii="宋体" w:hAnsi="宋体" w:eastAsia="宋体" w:cs="仿宋_GB2312"/>
                <w:color w:val="auto"/>
              </w:rPr>
              <w:t>行性存在不足的，得4分；</w:t>
            </w:r>
          </w:p>
          <w:p w14:paraId="6E7F1432">
            <w:pPr>
              <w:spacing w:after="0" w:line="240" w:lineRule="auto"/>
              <w:rPr>
                <w:rFonts w:ascii="宋体" w:hAnsi="宋体" w:eastAsia="宋体" w:cs="仿宋_GB2312"/>
                <w:color w:val="auto"/>
              </w:rPr>
            </w:pPr>
            <w:r>
              <w:rPr>
                <w:rFonts w:hint="eastAsia" w:ascii="宋体" w:hAnsi="宋体" w:eastAsia="宋体" w:cs="仿宋_GB2312"/>
                <w:color w:val="auto"/>
              </w:rPr>
              <w:t>③</w:t>
            </w:r>
            <w:r>
              <w:rPr>
                <w:rFonts w:ascii="宋体" w:hAnsi="宋体" w:eastAsia="宋体" w:cs="仿宋_GB2312"/>
                <w:color w:val="auto"/>
              </w:rPr>
              <w:t>分期安排混乱或缺失，缺乏系统性的资金测算和实施计划，难以支撑项目按期推进的，得2分；</w:t>
            </w:r>
          </w:p>
          <w:p w14:paraId="1C36BD93">
            <w:pPr>
              <w:spacing w:after="0" w:line="240" w:lineRule="auto"/>
              <w:rPr>
                <w:rFonts w:ascii="宋体" w:hAnsi="宋体" w:eastAsia="宋体" w:cs="仿宋_GB2312"/>
                <w:color w:val="auto"/>
              </w:rPr>
            </w:pPr>
            <w:r>
              <w:rPr>
                <w:rFonts w:hint="eastAsia" w:ascii="宋体" w:hAnsi="宋体" w:eastAsia="宋体" w:cs="仿宋_GB2312"/>
                <w:color w:val="auto"/>
              </w:rPr>
              <w:t>④</w:t>
            </w:r>
            <w:r>
              <w:rPr>
                <w:rFonts w:ascii="宋体" w:hAnsi="宋体" w:eastAsia="宋体" w:cs="仿宋_GB2312"/>
                <w:color w:val="auto"/>
              </w:rPr>
              <w:t>未提供相关内容的，不得分。</w:t>
            </w:r>
          </w:p>
        </w:tc>
        <w:tc>
          <w:tcPr>
            <w:tcW w:w="850" w:type="dxa"/>
            <w:tcBorders>
              <w:top w:val="single" w:color="auto" w:sz="4" w:space="0"/>
              <w:left w:val="single" w:color="auto" w:sz="4" w:space="0"/>
              <w:right w:val="single" w:color="auto" w:sz="4" w:space="0"/>
            </w:tcBorders>
            <w:vAlign w:val="center"/>
          </w:tcPr>
          <w:p w14:paraId="7B136A2B">
            <w:pPr>
              <w:spacing w:after="0" w:line="240" w:lineRule="auto"/>
              <w:jc w:val="center"/>
              <w:rPr>
                <w:rFonts w:ascii="宋体" w:hAnsi="宋体" w:eastAsia="宋体" w:cs="宋体"/>
                <w:color w:val="auto"/>
              </w:rPr>
            </w:pPr>
            <w:r>
              <w:rPr>
                <w:rFonts w:ascii="宋体" w:hAnsi="宋体" w:eastAsia="宋体" w:cs="宋体"/>
                <w:color w:val="auto"/>
              </w:rPr>
              <w:t>6</w:t>
            </w:r>
          </w:p>
        </w:tc>
      </w:tr>
      <w:tr w14:paraId="7190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359" w:type="dxa"/>
            <w:vMerge w:val="continue"/>
            <w:tcBorders>
              <w:top w:val="single" w:color="auto" w:sz="4" w:space="0"/>
              <w:left w:val="single" w:color="auto" w:sz="4" w:space="0"/>
              <w:bottom w:val="single" w:color="auto" w:sz="4" w:space="0"/>
              <w:right w:val="single" w:color="auto" w:sz="4" w:space="0"/>
            </w:tcBorders>
            <w:vAlign w:val="center"/>
          </w:tcPr>
          <w:p w14:paraId="61C4D47F">
            <w:pPr>
              <w:widowControl/>
              <w:spacing w:after="0" w:line="240" w:lineRule="auto"/>
              <w:jc w:val="left"/>
              <w:rPr>
                <w:rFonts w:ascii="宋体" w:hAnsi="宋体" w:eastAsia="宋体" w:cs="宋体"/>
                <w:b/>
                <w:bCs/>
                <w:color w:val="auto"/>
              </w:rPr>
            </w:pPr>
          </w:p>
        </w:tc>
        <w:tc>
          <w:tcPr>
            <w:tcW w:w="1315" w:type="dxa"/>
            <w:tcBorders>
              <w:top w:val="single" w:color="auto" w:sz="4" w:space="0"/>
              <w:left w:val="single" w:color="auto" w:sz="4" w:space="0"/>
              <w:bottom w:val="single" w:color="auto" w:sz="4" w:space="0"/>
              <w:right w:val="single" w:color="auto" w:sz="4" w:space="0"/>
            </w:tcBorders>
            <w:vAlign w:val="center"/>
          </w:tcPr>
          <w:p w14:paraId="571907C4">
            <w:pPr>
              <w:snapToGrid w:val="0"/>
              <w:spacing w:after="0" w:line="240" w:lineRule="auto"/>
              <w:jc w:val="center"/>
              <w:rPr>
                <w:rFonts w:ascii="宋体" w:hAnsi="宋体" w:eastAsia="宋体" w:cs="宋体"/>
                <w:color w:val="auto"/>
              </w:rPr>
            </w:pPr>
            <w:r>
              <w:rPr>
                <w:rFonts w:hint="eastAsia" w:ascii="宋体" w:hAnsi="宋体" w:eastAsia="宋体" w:cs="宋体"/>
                <w:color w:val="auto"/>
              </w:rPr>
              <w:t>项目进度计划保障</w:t>
            </w:r>
          </w:p>
        </w:tc>
        <w:tc>
          <w:tcPr>
            <w:tcW w:w="5260" w:type="dxa"/>
            <w:tcBorders>
              <w:top w:val="single" w:color="auto" w:sz="4" w:space="0"/>
              <w:left w:val="single" w:color="auto" w:sz="4" w:space="0"/>
              <w:right w:val="single" w:color="auto" w:sz="4" w:space="0"/>
            </w:tcBorders>
            <w:vAlign w:val="center"/>
          </w:tcPr>
          <w:p w14:paraId="764BDF2A">
            <w:pPr>
              <w:spacing w:after="0" w:line="240" w:lineRule="auto"/>
              <w:rPr>
                <w:rFonts w:ascii="宋体" w:hAnsi="宋体" w:eastAsia="宋体" w:cs="宋体"/>
                <w:color w:val="auto"/>
              </w:rPr>
            </w:pPr>
            <w:r>
              <w:rPr>
                <w:rFonts w:hint="eastAsia" w:ascii="宋体" w:hAnsi="宋体" w:eastAsia="宋体" w:cs="宋体"/>
                <w:color w:val="auto"/>
              </w:rPr>
              <w:t>根据投标人提供的项目进度计划进行评议，包括方案时间安排、详细工作计划进行。</w:t>
            </w:r>
          </w:p>
          <w:p w14:paraId="57BD3CDA">
            <w:pPr>
              <w:spacing w:after="0" w:line="240" w:lineRule="auto"/>
              <w:jc w:val="left"/>
              <w:rPr>
                <w:rFonts w:ascii="宋体" w:hAnsi="宋体" w:eastAsia="宋体" w:cs="宋体"/>
                <w:color w:val="auto"/>
              </w:rPr>
            </w:pPr>
            <w:r>
              <w:rPr>
                <w:color w:val="auto"/>
              </w:rPr>
              <w:fldChar w:fldCharType="begin"/>
            </w:r>
            <w:r>
              <w:rPr>
                <w:rFonts w:hint="eastAsia" w:ascii="宋体" w:hAnsi="宋体" w:eastAsia="宋体" w:cs="宋体"/>
                <w:color w:val="auto"/>
              </w:rPr>
              <w:instrText xml:space="preserve"> = 1 \* GB3 \* MERGEFORMAT </w:instrText>
            </w:r>
            <w:r>
              <w:rPr>
                <w:color w:val="auto"/>
              </w:rPr>
              <w:fldChar w:fldCharType="separate"/>
            </w:r>
            <w:r>
              <w:rPr>
                <w:rFonts w:hint="eastAsia" w:ascii="宋体" w:hAnsi="宋体" w:eastAsia="宋体" w:cs="宋体"/>
                <w:color w:val="auto"/>
              </w:rPr>
              <w:t>①</w:t>
            </w:r>
            <w:r>
              <w:rPr>
                <w:color w:val="auto"/>
              </w:rPr>
              <w:fldChar w:fldCharType="end"/>
            </w:r>
            <w:r>
              <w:rPr>
                <w:rFonts w:hint="eastAsia" w:ascii="宋体" w:hAnsi="宋体" w:eastAsia="宋体" w:cs="宋体"/>
                <w:color w:val="auto"/>
              </w:rPr>
              <w:t>工作计划安排和工作量具体明确，进度保证措施内容充实，思路清晰，任务划分准确，时间节点把握精准的，得</w:t>
            </w:r>
            <w:r>
              <w:rPr>
                <w:rFonts w:ascii="宋体" w:hAnsi="宋体" w:eastAsia="宋体" w:cs="宋体"/>
                <w:color w:val="auto"/>
              </w:rPr>
              <w:t>6</w:t>
            </w:r>
            <w:r>
              <w:rPr>
                <w:rFonts w:hint="eastAsia" w:ascii="宋体" w:hAnsi="宋体" w:eastAsia="宋体" w:cs="宋体"/>
                <w:color w:val="auto"/>
              </w:rPr>
              <w:t>分；</w:t>
            </w:r>
          </w:p>
          <w:p w14:paraId="11D454EF">
            <w:pPr>
              <w:spacing w:after="0" w:line="240" w:lineRule="auto"/>
              <w:jc w:val="left"/>
              <w:rPr>
                <w:rFonts w:ascii="宋体" w:hAnsi="宋体" w:eastAsia="宋体" w:cs="宋体"/>
                <w:color w:val="auto"/>
              </w:rPr>
            </w:pPr>
            <w:r>
              <w:rPr>
                <w:rFonts w:ascii="宋体" w:hAnsi="宋体" w:eastAsia="宋体" w:cs="宋体"/>
                <w:color w:val="auto"/>
              </w:rPr>
              <w:fldChar w:fldCharType="begin"/>
            </w:r>
            <w:r>
              <w:rPr>
                <w:rFonts w:hint="eastAsia" w:ascii="宋体" w:hAnsi="宋体" w:eastAsia="宋体" w:cs="宋体"/>
                <w:color w:val="auto"/>
              </w:rPr>
              <w:instrText xml:space="preserve"> = 2 \* GB3 \* MERGEFORMAT </w:instrText>
            </w:r>
            <w:r>
              <w:rPr>
                <w:rFonts w:ascii="宋体" w:hAnsi="宋体" w:eastAsia="宋体" w:cs="宋体"/>
                <w:color w:val="auto"/>
              </w:rPr>
              <w:fldChar w:fldCharType="separate"/>
            </w:r>
            <w:r>
              <w:rPr>
                <w:rFonts w:hint="eastAsia" w:ascii="宋体" w:hAnsi="宋体" w:eastAsia="宋体" w:cs="宋体"/>
                <w:color w:val="auto"/>
              </w:rPr>
              <w:t>②</w:t>
            </w:r>
            <w:r>
              <w:rPr>
                <w:rFonts w:ascii="宋体" w:hAnsi="宋体" w:eastAsia="宋体" w:cs="宋体"/>
                <w:color w:val="auto"/>
              </w:rPr>
              <w:fldChar w:fldCharType="end"/>
            </w:r>
            <w:r>
              <w:rPr>
                <w:rFonts w:hint="eastAsia" w:ascii="宋体" w:hAnsi="宋体" w:eastAsia="宋体" w:cs="宋体"/>
                <w:color w:val="auto"/>
              </w:rPr>
              <w:t>工作计划安排和工作量基本明确，进度保证措施内容基本完善，实施思路不够清晰，任务划分不够具体的，得</w:t>
            </w:r>
            <w:r>
              <w:rPr>
                <w:rFonts w:ascii="宋体" w:hAnsi="宋体" w:eastAsia="宋体" w:cs="宋体"/>
                <w:color w:val="auto"/>
              </w:rPr>
              <w:t>4</w:t>
            </w:r>
            <w:r>
              <w:rPr>
                <w:rFonts w:hint="eastAsia" w:ascii="宋体" w:hAnsi="宋体" w:eastAsia="宋体" w:cs="宋体"/>
                <w:color w:val="auto"/>
              </w:rPr>
              <w:t>分；</w:t>
            </w:r>
          </w:p>
          <w:p w14:paraId="19CB1138">
            <w:pPr>
              <w:spacing w:after="0" w:line="240" w:lineRule="auto"/>
              <w:jc w:val="left"/>
              <w:rPr>
                <w:color w:val="auto"/>
              </w:rPr>
            </w:pPr>
            <w:r>
              <w:rPr>
                <w:color w:val="auto"/>
              </w:rPr>
              <w:fldChar w:fldCharType="begin"/>
            </w:r>
            <w:r>
              <w:rPr>
                <w:rFonts w:hint="eastAsia" w:ascii="宋体" w:hAnsi="宋体" w:eastAsia="宋体" w:cs="宋体"/>
                <w:color w:val="auto"/>
              </w:rPr>
              <w:instrText xml:space="preserve"> = 3 \* GB3 \* MERGEFORMAT </w:instrText>
            </w:r>
            <w:r>
              <w:rPr>
                <w:color w:val="auto"/>
              </w:rPr>
              <w:fldChar w:fldCharType="separate"/>
            </w:r>
            <w:r>
              <w:rPr>
                <w:rFonts w:hint="eastAsia" w:ascii="宋体" w:hAnsi="宋体" w:eastAsia="宋体" w:cs="宋体"/>
                <w:color w:val="auto"/>
              </w:rPr>
              <w:t>③</w:t>
            </w:r>
            <w:r>
              <w:rPr>
                <w:color w:val="auto"/>
              </w:rPr>
              <w:fldChar w:fldCharType="end"/>
            </w:r>
            <w:r>
              <w:rPr>
                <w:rFonts w:hint="eastAsia"/>
                <w:color w:val="auto"/>
              </w:rPr>
              <w:t>进度安排缺乏系统性，保障措施不完善，未体现关键节点与执行路径，对项目推进缺乏实际支撑作用</w:t>
            </w:r>
            <w:r>
              <w:rPr>
                <w:rFonts w:hint="eastAsia" w:ascii="宋体" w:hAnsi="宋体" w:eastAsia="宋体" w:cs="宋体"/>
                <w:color w:val="auto"/>
              </w:rPr>
              <w:t>的，得</w:t>
            </w:r>
            <w:r>
              <w:rPr>
                <w:rFonts w:ascii="宋体" w:hAnsi="宋体" w:eastAsia="宋体" w:cs="宋体"/>
                <w:color w:val="auto"/>
              </w:rPr>
              <w:t>2</w:t>
            </w:r>
            <w:r>
              <w:rPr>
                <w:rFonts w:hint="eastAsia" w:ascii="宋体" w:hAnsi="宋体" w:eastAsia="宋体" w:cs="宋体"/>
                <w:color w:val="auto"/>
              </w:rPr>
              <w:t>分；</w:t>
            </w:r>
          </w:p>
          <w:p w14:paraId="1E605442">
            <w:pPr>
              <w:spacing w:after="0" w:line="240" w:lineRule="auto"/>
              <w:rPr>
                <w:rFonts w:ascii="宋体" w:hAnsi="宋体" w:eastAsia="宋体" w:cs="宋体"/>
                <w:color w:val="auto"/>
              </w:rPr>
            </w:pPr>
            <w:r>
              <w:rPr>
                <w:color w:val="auto"/>
              </w:rPr>
              <w:fldChar w:fldCharType="begin"/>
            </w:r>
            <w:r>
              <w:rPr>
                <w:rFonts w:hint="eastAsia" w:ascii="宋体" w:hAnsi="宋体" w:eastAsia="宋体" w:cs="宋体"/>
                <w:color w:val="auto"/>
              </w:rPr>
              <w:instrText xml:space="preserve"> = 4 \* GB3 \* MERGEFORMAT </w:instrText>
            </w:r>
            <w:r>
              <w:rPr>
                <w:color w:val="auto"/>
              </w:rPr>
              <w:fldChar w:fldCharType="separate"/>
            </w:r>
            <w:r>
              <w:rPr>
                <w:rFonts w:hint="eastAsia" w:ascii="宋体" w:hAnsi="宋体" w:eastAsia="宋体" w:cs="宋体"/>
                <w:color w:val="auto"/>
              </w:rPr>
              <w:t>④</w:t>
            </w:r>
            <w:r>
              <w:rPr>
                <w:color w:val="auto"/>
              </w:rPr>
              <w:fldChar w:fldCharType="end"/>
            </w:r>
            <w:r>
              <w:rPr>
                <w:rFonts w:ascii="宋体" w:hAnsi="宋体" w:eastAsia="宋体" w:cs="仿宋_GB2312"/>
                <w:color w:val="auto"/>
              </w:rPr>
              <w:t>未提供相关内容的，不得分。</w:t>
            </w:r>
          </w:p>
        </w:tc>
        <w:tc>
          <w:tcPr>
            <w:tcW w:w="850" w:type="dxa"/>
            <w:tcBorders>
              <w:top w:val="single" w:color="auto" w:sz="4" w:space="0"/>
              <w:left w:val="single" w:color="auto" w:sz="4" w:space="0"/>
              <w:right w:val="single" w:color="auto" w:sz="4" w:space="0"/>
            </w:tcBorders>
            <w:vAlign w:val="center"/>
          </w:tcPr>
          <w:p w14:paraId="708D2351">
            <w:pPr>
              <w:spacing w:after="0" w:line="240" w:lineRule="auto"/>
              <w:jc w:val="center"/>
              <w:rPr>
                <w:rFonts w:ascii="宋体" w:hAnsi="宋体" w:eastAsia="宋体" w:cs="宋体"/>
                <w:color w:val="auto"/>
              </w:rPr>
            </w:pPr>
            <w:r>
              <w:rPr>
                <w:rFonts w:ascii="宋体" w:hAnsi="宋体" w:eastAsia="宋体" w:cs="宋体"/>
                <w:color w:val="auto"/>
              </w:rPr>
              <w:t>6</w:t>
            </w:r>
          </w:p>
        </w:tc>
      </w:tr>
      <w:tr w14:paraId="31DB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359" w:type="dxa"/>
            <w:vMerge w:val="continue"/>
            <w:tcBorders>
              <w:top w:val="single" w:color="auto" w:sz="4" w:space="0"/>
              <w:left w:val="single" w:color="auto" w:sz="4" w:space="0"/>
              <w:bottom w:val="single" w:color="auto" w:sz="4" w:space="0"/>
              <w:right w:val="single" w:color="auto" w:sz="4" w:space="0"/>
            </w:tcBorders>
            <w:vAlign w:val="center"/>
          </w:tcPr>
          <w:p w14:paraId="5C512D8C">
            <w:pPr>
              <w:widowControl/>
              <w:spacing w:after="0" w:line="240" w:lineRule="auto"/>
              <w:jc w:val="left"/>
              <w:rPr>
                <w:rFonts w:ascii="宋体" w:hAnsi="宋体" w:eastAsia="宋体" w:cs="宋体"/>
                <w:b/>
                <w:bCs/>
                <w:color w:val="auto"/>
              </w:rPr>
            </w:pPr>
          </w:p>
        </w:tc>
        <w:tc>
          <w:tcPr>
            <w:tcW w:w="1315" w:type="dxa"/>
            <w:tcBorders>
              <w:top w:val="single" w:color="auto" w:sz="4" w:space="0"/>
              <w:left w:val="single" w:color="auto" w:sz="4" w:space="0"/>
              <w:bottom w:val="single" w:color="auto" w:sz="4" w:space="0"/>
              <w:right w:val="single" w:color="auto" w:sz="4" w:space="0"/>
            </w:tcBorders>
            <w:vAlign w:val="center"/>
          </w:tcPr>
          <w:p w14:paraId="314D2A1A">
            <w:pPr>
              <w:snapToGrid w:val="0"/>
              <w:spacing w:after="0" w:line="240" w:lineRule="auto"/>
              <w:jc w:val="center"/>
              <w:rPr>
                <w:rFonts w:ascii="宋体" w:hAnsi="宋体" w:eastAsia="宋体" w:cs="宋体"/>
                <w:color w:val="auto"/>
              </w:rPr>
            </w:pPr>
            <w:r>
              <w:rPr>
                <w:rFonts w:hint="eastAsia" w:ascii="宋体" w:hAnsi="宋体" w:eastAsia="宋体" w:cs="宋体"/>
                <w:color w:val="auto"/>
              </w:rPr>
              <w:t>质量控制</w:t>
            </w:r>
          </w:p>
        </w:tc>
        <w:tc>
          <w:tcPr>
            <w:tcW w:w="5260" w:type="dxa"/>
            <w:tcBorders>
              <w:top w:val="single" w:color="auto" w:sz="4" w:space="0"/>
              <w:left w:val="single" w:color="auto" w:sz="4" w:space="0"/>
              <w:right w:val="single" w:color="auto" w:sz="4" w:space="0"/>
            </w:tcBorders>
            <w:vAlign w:val="center"/>
          </w:tcPr>
          <w:p w14:paraId="785503E7">
            <w:pPr>
              <w:spacing w:after="0" w:line="240" w:lineRule="auto"/>
              <w:rPr>
                <w:rFonts w:ascii="宋体" w:hAnsi="宋体" w:eastAsia="宋体" w:cs="宋体"/>
                <w:color w:val="auto"/>
              </w:rPr>
            </w:pPr>
            <w:bookmarkStart w:id="92" w:name="OLE_LINK6"/>
            <w:bookmarkStart w:id="93" w:name="OLE_LINK5"/>
            <w:r>
              <w:rPr>
                <w:rFonts w:hint="eastAsia" w:ascii="宋体" w:hAnsi="宋体" w:eastAsia="宋体" w:cs="宋体"/>
                <w:color w:val="auto"/>
              </w:rPr>
              <w:t>根据投标人提供的项目质量控制保证方案进行评议，包括方案是否全面，措施是否适当。</w:t>
            </w:r>
          </w:p>
          <w:p w14:paraId="7083BAAA">
            <w:pPr>
              <w:spacing w:after="0" w:line="240" w:lineRule="auto"/>
              <w:jc w:val="left"/>
              <w:rPr>
                <w:rFonts w:ascii="宋体" w:hAnsi="宋体" w:eastAsia="宋体" w:cs="宋体"/>
                <w:color w:val="auto"/>
              </w:rPr>
            </w:pPr>
            <w:r>
              <w:rPr>
                <w:rFonts w:ascii="宋体" w:hAnsi="宋体" w:eastAsia="宋体" w:cs="宋体"/>
                <w:color w:val="auto"/>
              </w:rPr>
              <w:fldChar w:fldCharType="begin"/>
            </w:r>
            <w:r>
              <w:rPr>
                <w:rFonts w:hint="eastAsia" w:ascii="宋体" w:hAnsi="宋体" w:eastAsia="宋体" w:cs="宋体"/>
                <w:color w:val="auto"/>
              </w:rPr>
              <w:instrText xml:space="preserve"> = 1 \* GB3 \* MERGEFORMAT </w:instrText>
            </w:r>
            <w:r>
              <w:rPr>
                <w:rFonts w:ascii="宋体" w:hAnsi="宋体" w:eastAsia="宋体" w:cs="宋体"/>
                <w:color w:val="auto"/>
              </w:rPr>
              <w:fldChar w:fldCharType="separate"/>
            </w:r>
            <w:r>
              <w:rPr>
                <w:rFonts w:hint="eastAsia" w:ascii="宋体" w:hAnsi="宋体" w:eastAsia="宋体" w:cs="宋体"/>
                <w:color w:val="auto"/>
              </w:rPr>
              <w:t>①</w:t>
            </w:r>
            <w:r>
              <w:rPr>
                <w:rFonts w:ascii="宋体" w:hAnsi="宋体" w:eastAsia="宋体" w:cs="宋体"/>
                <w:color w:val="auto"/>
              </w:rPr>
              <w:fldChar w:fldCharType="end"/>
            </w:r>
            <w:r>
              <w:rPr>
                <w:rFonts w:hint="eastAsia" w:ascii="宋体" w:hAnsi="宋体" w:eastAsia="宋体" w:cs="宋体"/>
                <w:color w:val="auto"/>
              </w:rPr>
              <w:t>投标人具有完善的质量管理体系和质量控制方法，对项目成果采用有效的校验和审核方法，全面保障项目成果达到质量标准的，得</w:t>
            </w:r>
            <w:r>
              <w:rPr>
                <w:rFonts w:ascii="宋体" w:hAnsi="宋体" w:eastAsia="宋体" w:cs="宋体"/>
                <w:color w:val="auto"/>
              </w:rPr>
              <w:t>6</w:t>
            </w:r>
            <w:r>
              <w:rPr>
                <w:rFonts w:hint="eastAsia" w:ascii="宋体" w:hAnsi="宋体" w:eastAsia="宋体" w:cs="宋体"/>
                <w:color w:val="auto"/>
              </w:rPr>
              <w:t>分；</w:t>
            </w:r>
          </w:p>
          <w:p w14:paraId="089CEE71">
            <w:pPr>
              <w:spacing w:after="0" w:line="240" w:lineRule="auto"/>
              <w:jc w:val="left"/>
              <w:rPr>
                <w:rFonts w:ascii="宋体" w:hAnsi="宋体" w:eastAsia="宋体" w:cs="宋体"/>
                <w:color w:val="auto"/>
              </w:rPr>
            </w:pPr>
            <w:r>
              <w:rPr>
                <w:color w:val="auto"/>
              </w:rPr>
              <w:fldChar w:fldCharType="begin"/>
            </w:r>
            <w:r>
              <w:rPr>
                <w:rFonts w:hint="eastAsia" w:ascii="宋体" w:hAnsi="宋体" w:eastAsia="宋体" w:cs="宋体"/>
                <w:color w:val="auto"/>
              </w:rPr>
              <w:instrText xml:space="preserve"> = 2 \* GB3 \* MERGEFORMAT </w:instrText>
            </w:r>
            <w:r>
              <w:rPr>
                <w:color w:val="auto"/>
              </w:rPr>
              <w:fldChar w:fldCharType="separate"/>
            </w:r>
            <w:r>
              <w:rPr>
                <w:rFonts w:hint="eastAsia" w:ascii="宋体" w:hAnsi="宋体" w:eastAsia="宋体" w:cs="宋体"/>
                <w:color w:val="auto"/>
              </w:rPr>
              <w:t>②</w:t>
            </w:r>
            <w:r>
              <w:rPr>
                <w:color w:val="auto"/>
              </w:rPr>
              <w:fldChar w:fldCharType="end"/>
            </w:r>
            <w:r>
              <w:rPr>
                <w:rFonts w:hint="eastAsia" w:ascii="宋体" w:hAnsi="宋体" w:eastAsia="宋体" w:cs="宋体"/>
                <w:color w:val="auto"/>
              </w:rPr>
              <w:t>具有较为完善的质量管理体系和质量控制方法，涵盖了大多数必要的质量管理要素。对项目成果的校验和审核方法基本合理有效，但在某些细节上缺乏深度或具体的实施步骤的，得</w:t>
            </w:r>
            <w:r>
              <w:rPr>
                <w:rFonts w:ascii="宋体" w:hAnsi="宋体" w:eastAsia="宋体" w:cs="宋体"/>
                <w:color w:val="auto"/>
              </w:rPr>
              <w:t>4</w:t>
            </w:r>
            <w:r>
              <w:rPr>
                <w:rFonts w:hint="eastAsia" w:ascii="宋体" w:hAnsi="宋体" w:eastAsia="宋体" w:cs="宋体"/>
                <w:color w:val="auto"/>
              </w:rPr>
              <w:t>分；</w:t>
            </w:r>
          </w:p>
          <w:p w14:paraId="07742112">
            <w:pPr>
              <w:spacing w:after="0" w:line="240" w:lineRule="auto"/>
              <w:jc w:val="left"/>
              <w:rPr>
                <w:rFonts w:ascii="宋体" w:hAnsi="宋体" w:eastAsia="宋体" w:cs="宋体"/>
                <w:color w:val="auto"/>
              </w:rPr>
            </w:pPr>
            <w:r>
              <w:rPr>
                <w:color w:val="auto"/>
              </w:rPr>
              <w:fldChar w:fldCharType="begin"/>
            </w:r>
            <w:r>
              <w:rPr>
                <w:rFonts w:hint="eastAsia" w:ascii="宋体" w:hAnsi="宋体" w:eastAsia="宋体" w:cs="宋体"/>
                <w:color w:val="auto"/>
              </w:rPr>
              <w:instrText xml:space="preserve"> = 3 \* GB3 \* MERGEFORMAT </w:instrText>
            </w:r>
            <w:r>
              <w:rPr>
                <w:color w:val="auto"/>
              </w:rPr>
              <w:fldChar w:fldCharType="separate"/>
            </w:r>
            <w:r>
              <w:rPr>
                <w:rFonts w:hint="eastAsia" w:ascii="宋体" w:hAnsi="宋体" w:eastAsia="宋体" w:cs="宋体"/>
                <w:color w:val="auto"/>
              </w:rPr>
              <w:t>③</w:t>
            </w:r>
            <w:r>
              <w:rPr>
                <w:color w:val="auto"/>
              </w:rPr>
              <w:fldChar w:fldCharType="end"/>
            </w:r>
            <w:r>
              <w:rPr>
                <w:rFonts w:hint="eastAsia" w:ascii="宋体" w:hAnsi="宋体" w:eastAsia="宋体" w:cs="宋体"/>
                <w:color w:val="auto"/>
              </w:rPr>
              <w:t>建立了基本的质量管理体系，但在个别关键的质量控制步骤或对某些重要方面的覆盖不够。对项目成果的校验和审核措施能提供一定程度的质量控制保障，但不足以确保提交的项目成果能达到符合项目标准要求的，得</w:t>
            </w:r>
            <w:r>
              <w:rPr>
                <w:rFonts w:ascii="宋体" w:hAnsi="宋体" w:eastAsia="宋体" w:cs="宋体"/>
                <w:color w:val="auto"/>
              </w:rPr>
              <w:t>2</w:t>
            </w:r>
            <w:r>
              <w:rPr>
                <w:rFonts w:hint="eastAsia" w:ascii="宋体" w:hAnsi="宋体" w:eastAsia="宋体" w:cs="宋体"/>
                <w:color w:val="auto"/>
              </w:rPr>
              <w:t>分；</w:t>
            </w:r>
          </w:p>
          <w:p w14:paraId="0D2575FA">
            <w:pPr>
              <w:snapToGrid w:val="0"/>
              <w:spacing w:after="0" w:line="240" w:lineRule="auto"/>
              <w:rPr>
                <w:rFonts w:ascii="宋体" w:hAnsi="宋体" w:eastAsia="宋体" w:cs="宋体"/>
                <w:color w:val="auto"/>
              </w:rPr>
            </w:pPr>
            <w:r>
              <w:rPr>
                <w:color w:val="auto"/>
              </w:rPr>
              <w:fldChar w:fldCharType="begin"/>
            </w:r>
            <w:r>
              <w:rPr>
                <w:rFonts w:hint="eastAsia" w:ascii="宋体" w:hAnsi="宋体" w:eastAsia="宋体" w:cs="宋体"/>
                <w:color w:val="auto"/>
              </w:rPr>
              <w:instrText xml:space="preserve"> = 4 \* GB3 \* MERGEFORMAT </w:instrText>
            </w:r>
            <w:r>
              <w:rPr>
                <w:color w:val="auto"/>
              </w:rPr>
              <w:fldChar w:fldCharType="separate"/>
            </w:r>
            <w:r>
              <w:rPr>
                <w:rFonts w:hint="eastAsia" w:ascii="宋体" w:hAnsi="宋体" w:eastAsia="宋体" w:cs="宋体"/>
                <w:color w:val="auto"/>
              </w:rPr>
              <w:t>④</w:t>
            </w:r>
            <w:r>
              <w:rPr>
                <w:color w:val="auto"/>
              </w:rPr>
              <w:fldChar w:fldCharType="end"/>
            </w:r>
            <w:r>
              <w:rPr>
                <w:rFonts w:hint="eastAsia" w:ascii="宋体" w:hAnsi="宋体" w:eastAsia="宋体" w:cs="宋体"/>
                <w:color w:val="auto"/>
              </w:rPr>
              <w:t>未提供的不得分。</w:t>
            </w:r>
            <w:bookmarkEnd w:id="92"/>
            <w:bookmarkEnd w:id="93"/>
          </w:p>
        </w:tc>
        <w:tc>
          <w:tcPr>
            <w:tcW w:w="850" w:type="dxa"/>
            <w:tcBorders>
              <w:top w:val="single" w:color="auto" w:sz="4" w:space="0"/>
              <w:left w:val="single" w:color="auto" w:sz="4" w:space="0"/>
              <w:right w:val="single" w:color="auto" w:sz="4" w:space="0"/>
            </w:tcBorders>
            <w:vAlign w:val="center"/>
          </w:tcPr>
          <w:p w14:paraId="712BA167">
            <w:pPr>
              <w:spacing w:after="0" w:line="240" w:lineRule="auto"/>
              <w:jc w:val="center"/>
              <w:rPr>
                <w:rFonts w:ascii="宋体" w:hAnsi="宋体" w:eastAsia="宋体" w:cs="宋体"/>
                <w:color w:val="auto"/>
              </w:rPr>
            </w:pPr>
            <w:r>
              <w:rPr>
                <w:rFonts w:ascii="宋体" w:hAnsi="宋体" w:eastAsia="宋体" w:cs="宋体"/>
                <w:color w:val="auto"/>
              </w:rPr>
              <w:t>6</w:t>
            </w:r>
          </w:p>
        </w:tc>
      </w:tr>
      <w:tr w14:paraId="3E85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9" w:type="dxa"/>
            <w:vMerge w:val="continue"/>
            <w:tcBorders>
              <w:top w:val="single" w:color="auto" w:sz="4" w:space="0"/>
              <w:left w:val="single" w:color="auto" w:sz="4" w:space="0"/>
              <w:bottom w:val="single" w:color="auto" w:sz="4" w:space="0"/>
              <w:right w:val="single" w:color="auto" w:sz="4" w:space="0"/>
            </w:tcBorders>
            <w:vAlign w:val="center"/>
          </w:tcPr>
          <w:p w14:paraId="5BFA8E20">
            <w:pPr>
              <w:widowControl/>
              <w:spacing w:after="0" w:line="240" w:lineRule="auto"/>
              <w:jc w:val="left"/>
              <w:rPr>
                <w:rFonts w:ascii="宋体" w:hAnsi="宋体" w:eastAsia="宋体" w:cs="宋体"/>
                <w:b/>
                <w:bCs/>
                <w:color w:val="auto"/>
              </w:rPr>
            </w:pPr>
          </w:p>
        </w:tc>
        <w:tc>
          <w:tcPr>
            <w:tcW w:w="1315" w:type="dxa"/>
            <w:tcBorders>
              <w:top w:val="single" w:color="auto" w:sz="4" w:space="0"/>
              <w:left w:val="single" w:color="auto" w:sz="4" w:space="0"/>
              <w:bottom w:val="single" w:color="auto" w:sz="4" w:space="0"/>
              <w:right w:val="single" w:color="auto" w:sz="4" w:space="0"/>
            </w:tcBorders>
            <w:vAlign w:val="center"/>
          </w:tcPr>
          <w:p w14:paraId="362B5910">
            <w:pPr>
              <w:spacing w:after="0" w:line="240" w:lineRule="auto"/>
              <w:ind w:right="-69" w:rightChars="-33"/>
              <w:jc w:val="center"/>
              <w:rPr>
                <w:rFonts w:ascii="宋体" w:hAnsi="宋体" w:eastAsia="宋体" w:cs="宋体"/>
                <w:color w:val="auto"/>
              </w:rPr>
            </w:pPr>
            <w:r>
              <w:rPr>
                <w:rFonts w:hint="eastAsia" w:ascii="宋体" w:hAnsi="宋体" w:eastAsia="宋体" w:cs="宋体"/>
                <w:color w:val="auto"/>
              </w:rPr>
              <w:t>保密制度及措施</w:t>
            </w:r>
          </w:p>
        </w:tc>
        <w:tc>
          <w:tcPr>
            <w:tcW w:w="5260" w:type="dxa"/>
            <w:tcBorders>
              <w:top w:val="single" w:color="auto" w:sz="4" w:space="0"/>
              <w:left w:val="single" w:color="auto" w:sz="4" w:space="0"/>
              <w:bottom w:val="single" w:color="auto" w:sz="4" w:space="0"/>
              <w:right w:val="single" w:color="auto" w:sz="4" w:space="0"/>
            </w:tcBorders>
            <w:vAlign w:val="center"/>
          </w:tcPr>
          <w:p w14:paraId="380482D2">
            <w:pPr>
              <w:spacing w:after="0" w:line="240" w:lineRule="auto"/>
              <w:rPr>
                <w:rFonts w:ascii="宋体" w:hAnsi="宋体" w:eastAsia="宋体" w:cs="宋体"/>
                <w:color w:val="auto"/>
              </w:rPr>
            </w:pPr>
            <w:bookmarkStart w:id="94" w:name="OLE_LINK1"/>
            <w:r>
              <w:rPr>
                <w:rFonts w:hint="eastAsia" w:ascii="宋体" w:hAnsi="宋体" w:eastAsia="宋体" w:cs="宋体"/>
                <w:color w:val="auto"/>
              </w:rPr>
              <w:t>根据投标人提供的保密制度及措施进行评议，包括制度是否完善，措施是否合理可行。</w:t>
            </w:r>
          </w:p>
          <w:p w14:paraId="201B7B1F">
            <w:pPr>
              <w:spacing w:after="0" w:line="240" w:lineRule="auto"/>
              <w:jc w:val="left"/>
              <w:rPr>
                <w:rFonts w:ascii="宋体" w:hAnsi="宋体" w:eastAsia="宋体" w:cs="宋体"/>
                <w:color w:val="auto"/>
              </w:rPr>
            </w:pPr>
            <w:r>
              <w:rPr>
                <w:color w:val="auto"/>
              </w:rPr>
              <w:fldChar w:fldCharType="begin"/>
            </w:r>
            <w:r>
              <w:rPr>
                <w:rFonts w:hint="eastAsia" w:ascii="宋体" w:hAnsi="宋体" w:eastAsia="宋体" w:cs="宋体"/>
                <w:color w:val="auto"/>
              </w:rPr>
              <w:instrText xml:space="preserve"> = 1 \* GB3 </w:instrText>
            </w:r>
            <w:r>
              <w:rPr>
                <w:color w:val="auto"/>
              </w:rPr>
              <w:fldChar w:fldCharType="separate"/>
            </w:r>
            <w:r>
              <w:rPr>
                <w:rFonts w:hint="eastAsia" w:ascii="宋体" w:hAnsi="宋体" w:eastAsia="宋体" w:cs="宋体"/>
                <w:color w:val="auto"/>
              </w:rPr>
              <w:t>①</w:t>
            </w:r>
            <w:r>
              <w:rPr>
                <w:color w:val="auto"/>
              </w:rPr>
              <w:fldChar w:fldCharType="end"/>
            </w:r>
            <w:r>
              <w:rPr>
                <w:rFonts w:hint="eastAsia" w:ascii="宋体" w:hAnsi="宋体" w:eastAsia="宋体" w:cs="宋体"/>
                <w:color w:val="auto"/>
              </w:rPr>
              <w:t>保密制度体系完善且周密，全面覆盖服务全流程，包括数据传输、存储、分析、报告编制及成果交付等各环节，针对不同环节可能出现的泄密风险，制定了详细的保障措施，确保项目保密工作的持续性和有效性的，得</w:t>
            </w:r>
            <w:r>
              <w:rPr>
                <w:rFonts w:ascii="宋体" w:hAnsi="宋体" w:eastAsia="宋体" w:cs="宋体"/>
                <w:color w:val="auto"/>
              </w:rPr>
              <w:t>6</w:t>
            </w:r>
            <w:r>
              <w:rPr>
                <w:rFonts w:hint="eastAsia" w:ascii="宋体" w:hAnsi="宋体" w:eastAsia="宋体" w:cs="宋体"/>
                <w:color w:val="auto"/>
              </w:rPr>
              <w:t>分；</w:t>
            </w:r>
          </w:p>
          <w:p w14:paraId="594F1D04">
            <w:pPr>
              <w:spacing w:after="0" w:line="240" w:lineRule="auto"/>
              <w:jc w:val="left"/>
              <w:rPr>
                <w:rFonts w:ascii="宋体" w:hAnsi="宋体" w:eastAsia="宋体" w:cs="宋体"/>
                <w:color w:val="auto"/>
              </w:rPr>
            </w:pPr>
            <w:r>
              <w:rPr>
                <w:rFonts w:ascii="宋体" w:hAnsi="宋体" w:eastAsia="宋体" w:cs="宋体"/>
                <w:color w:val="auto"/>
              </w:rPr>
              <w:fldChar w:fldCharType="begin"/>
            </w:r>
            <w:r>
              <w:rPr>
                <w:rFonts w:hint="eastAsia" w:ascii="宋体" w:hAnsi="宋体" w:eastAsia="宋体" w:cs="宋体"/>
                <w:color w:val="auto"/>
              </w:rPr>
              <w:instrText xml:space="preserve"> = 2 \* GB3 </w:instrText>
            </w:r>
            <w:r>
              <w:rPr>
                <w:rFonts w:ascii="宋体" w:hAnsi="宋体" w:eastAsia="宋体" w:cs="宋体"/>
                <w:color w:val="auto"/>
              </w:rPr>
              <w:fldChar w:fldCharType="separate"/>
            </w:r>
            <w:r>
              <w:rPr>
                <w:rFonts w:hint="eastAsia" w:ascii="宋体" w:hAnsi="宋体" w:eastAsia="宋体" w:cs="宋体"/>
                <w:color w:val="auto"/>
              </w:rPr>
              <w:t>②</w:t>
            </w:r>
            <w:r>
              <w:rPr>
                <w:rFonts w:ascii="宋体" w:hAnsi="宋体" w:eastAsia="宋体" w:cs="宋体"/>
                <w:color w:val="auto"/>
              </w:rPr>
              <w:fldChar w:fldCharType="end"/>
            </w:r>
            <w:r>
              <w:rPr>
                <w:rFonts w:hint="eastAsia" w:ascii="宋体" w:hAnsi="宋体" w:eastAsia="宋体" w:cs="宋体"/>
                <w:color w:val="auto"/>
              </w:rPr>
              <w:t>保密制度较为周密，基本涵盖项目服务主要业务环节，能够明确信息类别。针对可能发生的泄密风险，提供的保障措施基本可行，但在细节和执行力度上存在提升空间的，得</w:t>
            </w:r>
            <w:r>
              <w:rPr>
                <w:rFonts w:ascii="宋体" w:hAnsi="宋体" w:eastAsia="宋体" w:cs="宋体"/>
                <w:color w:val="auto"/>
              </w:rPr>
              <w:t>4</w:t>
            </w:r>
            <w:r>
              <w:rPr>
                <w:rFonts w:hint="eastAsia" w:ascii="宋体" w:hAnsi="宋体" w:eastAsia="宋体" w:cs="宋体"/>
                <w:color w:val="auto"/>
              </w:rPr>
              <w:t>分；</w:t>
            </w:r>
          </w:p>
          <w:p w14:paraId="4B190A9A">
            <w:pPr>
              <w:spacing w:after="0" w:line="240" w:lineRule="auto"/>
              <w:jc w:val="left"/>
              <w:rPr>
                <w:rFonts w:ascii="宋体" w:hAnsi="宋体" w:eastAsia="宋体" w:cs="宋体"/>
                <w:color w:val="auto"/>
              </w:rPr>
            </w:pPr>
            <w:r>
              <w:rPr>
                <w:rFonts w:ascii="宋体" w:hAnsi="宋体" w:eastAsia="宋体" w:cs="宋体"/>
                <w:color w:val="auto"/>
              </w:rPr>
              <w:fldChar w:fldCharType="begin"/>
            </w:r>
            <w:r>
              <w:rPr>
                <w:rFonts w:hint="eastAsia" w:ascii="宋体" w:hAnsi="宋体" w:eastAsia="宋体" w:cs="宋体"/>
                <w:color w:val="auto"/>
              </w:rPr>
              <w:instrText xml:space="preserve"> = 3 \* GB3 </w:instrText>
            </w:r>
            <w:r>
              <w:rPr>
                <w:rFonts w:ascii="宋体" w:hAnsi="宋体" w:eastAsia="宋体" w:cs="宋体"/>
                <w:color w:val="auto"/>
              </w:rPr>
              <w:fldChar w:fldCharType="separate"/>
            </w:r>
            <w:r>
              <w:rPr>
                <w:rFonts w:hint="eastAsia" w:ascii="宋体" w:hAnsi="宋体" w:eastAsia="宋体" w:cs="宋体"/>
                <w:color w:val="auto"/>
              </w:rPr>
              <w:t>③</w:t>
            </w:r>
            <w:r>
              <w:rPr>
                <w:rFonts w:ascii="宋体" w:hAnsi="宋体" w:eastAsia="宋体" w:cs="宋体"/>
                <w:color w:val="auto"/>
              </w:rPr>
              <w:fldChar w:fldCharType="end"/>
            </w:r>
            <w:r>
              <w:rPr>
                <w:rFonts w:hint="eastAsia" w:ascii="宋体" w:hAnsi="宋体" w:eastAsia="宋体" w:cs="宋体"/>
                <w:color w:val="auto"/>
              </w:rPr>
              <w:t>保密制度存在明显漏洞，对服务中风险环节缺乏有效管控，提供的保障措施不完善，缺乏必要的技术防护手段，未建立保密监督与应急处理机制的，得</w:t>
            </w:r>
            <w:r>
              <w:rPr>
                <w:rFonts w:ascii="宋体" w:hAnsi="宋体" w:eastAsia="宋体" w:cs="宋体"/>
                <w:color w:val="auto"/>
              </w:rPr>
              <w:t>2</w:t>
            </w:r>
            <w:r>
              <w:rPr>
                <w:rFonts w:hint="eastAsia" w:ascii="宋体" w:hAnsi="宋体" w:eastAsia="宋体" w:cs="宋体"/>
                <w:color w:val="auto"/>
              </w:rPr>
              <w:t>分；</w:t>
            </w:r>
          </w:p>
          <w:p w14:paraId="1AB8A238">
            <w:pPr>
              <w:spacing w:after="0" w:line="240" w:lineRule="auto"/>
              <w:jc w:val="left"/>
              <w:rPr>
                <w:rFonts w:ascii="宋体" w:hAnsi="宋体" w:eastAsia="宋体" w:cs="宋体"/>
                <w:color w:val="auto"/>
              </w:rPr>
            </w:pPr>
            <w:r>
              <w:rPr>
                <w:rFonts w:hint="eastAsia" w:ascii="宋体" w:hAnsi="宋体" w:eastAsia="宋体" w:cs="宋体"/>
                <w:color w:val="auto"/>
              </w:rPr>
              <w:t>④未提供的不得分。</w:t>
            </w:r>
            <w:bookmarkEnd w:id="94"/>
          </w:p>
        </w:tc>
        <w:tc>
          <w:tcPr>
            <w:tcW w:w="850" w:type="dxa"/>
            <w:tcBorders>
              <w:top w:val="single" w:color="auto" w:sz="4" w:space="0"/>
              <w:left w:val="single" w:color="auto" w:sz="4" w:space="0"/>
              <w:bottom w:val="single" w:color="auto" w:sz="4" w:space="0"/>
              <w:right w:val="single" w:color="auto" w:sz="4" w:space="0"/>
            </w:tcBorders>
            <w:vAlign w:val="center"/>
          </w:tcPr>
          <w:p w14:paraId="383403E1">
            <w:pPr>
              <w:spacing w:after="0" w:line="240" w:lineRule="auto"/>
              <w:jc w:val="center"/>
              <w:rPr>
                <w:rFonts w:ascii="宋体" w:hAnsi="宋体" w:eastAsia="宋体" w:cs="宋体"/>
                <w:color w:val="auto"/>
              </w:rPr>
            </w:pPr>
            <w:r>
              <w:rPr>
                <w:rFonts w:ascii="宋体" w:hAnsi="宋体" w:eastAsia="宋体" w:cs="宋体"/>
                <w:color w:val="auto"/>
              </w:rPr>
              <w:t>6</w:t>
            </w:r>
          </w:p>
        </w:tc>
      </w:tr>
      <w:tr w14:paraId="3297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1359" w:type="dxa"/>
            <w:vMerge w:val="continue"/>
            <w:tcBorders>
              <w:top w:val="single" w:color="auto" w:sz="4" w:space="0"/>
              <w:left w:val="single" w:color="auto" w:sz="4" w:space="0"/>
              <w:bottom w:val="single" w:color="auto" w:sz="4" w:space="0"/>
              <w:right w:val="single" w:color="auto" w:sz="4" w:space="0"/>
            </w:tcBorders>
            <w:vAlign w:val="center"/>
          </w:tcPr>
          <w:p w14:paraId="261D2469">
            <w:pPr>
              <w:widowControl/>
              <w:spacing w:after="0" w:line="240" w:lineRule="auto"/>
              <w:jc w:val="left"/>
              <w:rPr>
                <w:rFonts w:ascii="宋体" w:hAnsi="宋体" w:eastAsia="宋体" w:cs="宋体"/>
                <w:b/>
                <w:bCs/>
                <w:color w:val="auto"/>
              </w:rPr>
            </w:pPr>
          </w:p>
        </w:tc>
        <w:tc>
          <w:tcPr>
            <w:tcW w:w="1315" w:type="dxa"/>
            <w:tcBorders>
              <w:top w:val="single" w:color="auto" w:sz="4" w:space="0"/>
              <w:left w:val="single" w:color="auto" w:sz="4" w:space="0"/>
              <w:right w:val="single" w:color="auto" w:sz="4" w:space="0"/>
            </w:tcBorders>
            <w:vAlign w:val="center"/>
          </w:tcPr>
          <w:p w14:paraId="470A8591">
            <w:pPr>
              <w:spacing w:after="0" w:line="240" w:lineRule="auto"/>
              <w:ind w:right="-69" w:rightChars="-33"/>
              <w:jc w:val="center"/>
              <w:rPr>
                <w:rFonts w:ascii="宋体" w:hAnsi="宋体" w:eastAsia="宋体" w:cs="宋体"/>
                <w:color w:val="auto"/>
              </w:rPr>
            </w:pPr>
            <w:r>
              <w:rPr>
                <w:rFonts w:hint="eastAsia" w:ascii="宋体" w:hAnsi="宋体" w:eastAsia="宋体" w:cs="宋体"/>
                <w:color w:val="auto"/>
              </w:rPr>
              <w:t>综合实力</w:t>
            </w:r>
          </w:p>
        </w:tc>
        <w:tc>
          <w:tcPr>
            <w:tcW w:w="5260" w:type="dxa"/>
            <w:tcBorders>
              <w:top w:val="single" w:color="auto" w:sz="4" w:space="0"/>
              <w:left w:val="single" w:color="auto" w:sz="4" w:space="0"/>
              <w:right w:val="single" w:color="auto" w:sz="4" w:space="0"/>
            </w:tcBorders>
            <w:vAlign w:val="center"/>
          </w:tcPr>
          <w:p w14:paraId="79B2F911">
            <w:pPr>
              <w:widowControl/>
              <w:spacing w:after="0" w:line="240" w:lineRule="auto"/>
              <w:jc w:val="left"/>
              <w:rPr>
                <w:rFonts w:ascii="宋体" w:hAnsi="宋体" w:eastAsia="宋体" w:cs="宋体"/>
                <w:color w:val="auto"/>
              </w:rPr>
            </w:pPr>
            <w:r>
              <w:rPr>
                <w:rFonts w:hint="eastAsia" w:ascii="宋体" w:hAnsi="宋体" w:eastAsia="宋体" w:cs="宋体"/>
                <w:color w:val="auto"/>
              </w:rPr>
              <w:t>自</w:t>
            </w:r>
            <w:r>
              <w:rPr>
                <w:rFonts w:ascii="宋体" w:hAnsi="宋体" w:eastAsia="宋体" w:cs="宋体"/>
                <w:color w:val="auto"/>
              </w:rPr>
              <w:t>2022年1月1日以来（以获奖证书载明的颁发日期为准），投标人所获由省级及以上政府部门评定并颁发的规划设计类奖项或荣誉，每提供一项得0.5分，最多得1分。</w:t>
            </w:r>
          </w:p>
          <w:p w14:paraId="620A08DF">
            <w:pPr>
              <w:spacing w:after="0" w:line="240" w:lineRule="auto"/>
              <w:jc w:val="left"/>
              <w:rPr>
                <w:rFonts w:ascii="宋体" w:hAnsi="宋体" w:eastAsia="宋体" w:cs="宋体"/>
                <w:color w:val="auto"/>
              </w:rPr>
            </w:pPr>
            <w:r>
              <w:rPr>
                <w:rFonts w:hint="eastAsia" w:ascii="宋体" w:hAnsi="宋体" w:eastAsia="宋体" w:cs="宋体"/>
                <w:color w:val="auto"/>
              </w:rPr>
              <w:t>注：投标文件中须附获奖证书复印件；同一项目获得多项奖项的，仅按最高等级计取一次；未提供或所提供材料不符合要求的不得分。含副省级城市政府部门认定的奖项。</w:t>
            </w:r>
          </w:p>
        </w:tc>
        <w:tc>
          <w:tcPr>
            <w:tcW w:w="850" w:type="dxa"/>
            <w:tcBorders>
              <w:top w:val="single" w:color="auto" w:sz="4" w:space="0"/>
              <w:left w:val="single" w:color="auto" w:sz="4" w:space="0"/>
              <w:right w:val="single" w:color="auto" w:sz="4" w:space="0"/>
            </w:tcBorders>
            <w:vAlign w:val="center"/>
          </w:tcPr>
          <w:p w14:paraId="36032B0E">
            <w:pPr>
              <w:spacing w:after="0" w:line="240" w:lineRule="auto"/>
              <w:jc w:val="center"/>
              <w:rPr>
                <w:rFonts w:ascii="宋体" w:hAnsi="宋体" w:eastAsia="宋体" w:cs="宋体"/>
                <w:color w:val="auto"/>
              </w:rPr>
            </w:pPr>
            <w:r>
              <w:rPr>
                <w:rFonts w:ascii="宋体" w:hAnsi="宋体" w:eastAsia="宋体" w:cs="宋体"/>
                <w:color w:val="auto"/>
              </w:rPr>
              <w:t>1</w:t>
            </w:r>
          </w:p>
        </w:tc>
      </w:tr>
      <w:tr w14:paraId="48F6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359" w:type="dxa"/>
            <w:vMerge w:val="continue"/>
            <w:tcBorders>
              <w:top w:val="single" w:color="auto" w:sz="4" w:space="0"/>
              <w:left w:val="single" w:color="auto" w:sz="4" w:space="0"/>
              <w:bottom w:val="single" w:color="auto" w:sz="4" w:space="0"/>
              <w:right w:val="single" w:color="auto" w:sz="4" w:space="0"/>
            </w:tcBorders>
            <w:vAlign w:val="center"/>
          </w:tcPr>
          <w:p w14:paraId="787BC8A9">
            <w:pPr>
              <w:widowControl/>
              <w:spacing w:after="0" w:line="240" w:lineRule="auto"/>
              <w:jc w:val="left"/>
              <w:rPr>
                <w:rFonts w:ascii="宋体" w:hAnsi="宋体" w:eastAsia="宋体" w:cs="宋体"/>
                <w:b/>
                <w:bCs/>
                <w:color w:val="auto"/>
              </w:rPr>
            </w:pPr>
          </w:p>
        </w:tc>
        <w:tc>
          <w:tcPr>
            <w:tcW w:w="1315" w:type="dxa"/>
            <w:tcBorders>
              <w:top w:val="single" w:color="auto" w:sz="4" w:space="0"/>
              <w:left w:val="single" w:color="auto" w:sz="4" w:space="0"/>
              <w:right w:val="single" w:color="auto" w:sz="4" w:space="0"/>
            </w:tcBorders>
            <w:vAlign w:val="center"/>
          </w:tcPr>
          <w:p w14:paraId="3FCDE6FE">
            <w:pPr>
              <w:spacing w:after="0" w:line="240" w:lineRule="auto"/>
              <w:ind w:right="-69" w:rightChars="-33"/>
              <w:jc w:val="center"/>
              <w:rPr>
                <w:rFonts w:ascii="宋体" w:hAnsi="宋体" w:eastAsia="宋体" w:cs="宋体"/>
                <w:color w:val="auto"/>
              </w:rPr>
            </w:pPr>
            <w:r>
              <w:rPr>
                <w:rFonts w:hint="eastAsia" w:ascii="宋体" w:hAnsi="宋体" w:eastAsia="宋体" w:cs="宋体"/>
                <w:color w:val="auto"/>
              </w:rPr>
              <w:t>项目负责人情况</w:t>
            </w:r>
          </w:p>
        </w:tc>
        <w:tc>
          <w:tcPr>
            <w:tcW w:w="5260" w:type="dxa"/>
            <w:tcBorders>
              <w:top w:val="single" w:color="auto" w:sz="4" w:space="0"/>
              <w:left w:val="single" w:color="auto" w:sz="4" w:space="0"/>
              <w:right w:val="single" w:color="auto" w:sz="4" w:space="0"/>
            </w:tcBorders>
            <w:vAlign w:val="center"/>
          </w:tcPr>
          <w:p w14:paraId="592371D1">
            <w:pPr>
              <w:widowControl/>
              <w:spacing w:after="0" w:line="240" w:lineRule="auto"/>
              <w:jc w:val="left"/>
              <w:rPr>
                <w:rFonts w:ascii="宋体" w:hAnsi="宋体" w:eastAsia="宋体" w:cs="宋体"/>
                <w:color w:val="auto"/>
              </w:rPr>
            </w:pPr>
            <w:r>
              <w:rPr>
                <w:rFonts w:hint="eastAsia" w:ascii="宋体" w:hAnsi="宋体" w:eastAsia="宋体" w:cs="宋体"/>
                <w:color w:val="auto"/>
              </w:rPr>
              <w:t>（1）投标人拟派</w:t>
            </w:r>
            <w:r>
              <w:rPr>
                <w:rFonts w:hint="eastAsia" w:ascii="宋体"/>
                <w:color w:val="auto"/>
              </w:rPr>
              <w:t>项目负责人具有城乡规划专业高级职称的得2分；</w:t>
            </w:r>
            <w:r>
              <w:rPr>
                <w:rFonts w:hint="eastAsia" w:ascii="宋体" w:hAnsi="宋体" w:eastAsia="宋体" w:cs="宋体"/>
                <w:color w:val="auto"/>
              </w:rPr>
              <w:t>具有</w:t>
            </w:r>
            <w:r>
              <w:rPr>
                <w:rFonts w:hint="eastAsia" w:ascii="宋体"/>
                <w:color w:val="auto"/>
              </w:rPr>
              <w:t>城乡规划专业</w:t>
            </w:r>
            <w:r>
              <w:rPr>
                <w:rFonts w:hint="eastAsia" w:ascii="宋体" w:hAnsi="宋体" w:eastAsia="宋体" w:cs="宋体"/>
                <w:color w:val="auto"/>
              </w:rPr>
              <w:t>中级职称的得1分；其余不得分。</w:t>
            </w:r>
          </w:p>
          <w:p w14:paraId="3FD24D12">
            <w:pPr>
              <w:widowControl/>
              <w:spacing w:after="0" w:line="240" w:lineRule="auto"/>
              <w:jc w:val="left"/>
              <w:rPr>
                <w:rFonts w:ascii="宋体"/>
                <w:color w:val="auto"/>
              </w:rPr>
            </w:pPr>
            <w:r>
              <w:rPr>
                <w:rFonts w:hint="eastAsia" w:ascii="宋体"/>
                <w:color w:val="auto"/>
              </w:rPr>
              <w:t>（2）项目负责人具有注册城乡规划师证书的加2分。</w:t>
            </w:r>
          </w:p>
          <w:p w14:paraId="01E385D5">
            <w:pPr>
              <w:spacing w:after="0" w:line="240" w:lineRule="auto"/>
              <w:jc w:val="left"/>
              <w:rPr>
                <w:rFonts w:ascii="宋体" w:hAnsi="宋体" w:eastAsia="宋体" w:cs="宋体"/>
                <w:color w:val="auto"/>
              </w:rPr>
            </w:pPr>
            <w:r>
              <w:rPr>
                <w:rFonts w:hint="eastAsia" w:ascii="宋体" w:hAnsi="宋体" w:eastAsia="宋体" w:cs="宋体"/>
                <w:color w:val="auto"/>
              </w:rPr>
              <w:t>注：投标文件中提供职称证书或相关证明材料复印件。</w:t>
            </w:r>
          </w:p>
        </w:tc>
        <w:tc>
          <w:tcPr>
            <w:tcW w:w="850" w:type="dxa"/>
            <w:tcBorders>
              <w:top w:val="single" w:color="auto" w:sz="4" w:space="0"/>
              <w:left w:val="single" w:color="auto" w:sz="4" w:space="0"/>
              <w:right w:val="single" w:color="auto" w:sz="4" w:space="0"/>
            </w:tcBorders>
            <w:vAlign w:val="center"/>
          </w:tcPr>
          <w:p w14:paraId="1091EB23">
            <w:pPr>
              <w:spacing w:after="0" w:line="240" w:lineRule="auto"/>
              <w:jc w:val="center"/>
              <w:rPr>
                <w:rFonts w:ascii="宋体" w:hAnsi="宋体" w:eastAsia="宋体" w:cs="宋体"/>
                <w:b/>
                <w:color w:val="auto"/>
                <w:kern w:val="0"/>
              </w:rPr>
            </w:pPr>
            <w:r>
              <w:rPr>
                <w:rFonts w:hint="eastAsia" w:ascii="宋体" w:hAnsi="宋体" w:eastAsia="宋体" w:cs="宋体"/>
                <w:color w:val="auto"/>
              </w:rPr>
              <w:t>4</w:t>
            </w:r>
          </w:p>
        </w:tc>
      </w:tr>
      <w:tr w14:paraId="5BE9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359" w:type="dxa"/>
            <w:vMerge w:val="continue"/>
            <w:tcBorders>
              <w:top w:val="single" w:color="auto" w:sz="4" w:space="0"/>
              <w:left w:val="single" w:color="auto" w:sz="4" w:space="0"/>
              <w:bottom w:val="single" w:color="auto" w:sz="4" w:space="0"/>
              <w:right w:val="single" w:color="auto" w:sz="4" w:space="0"/>
            </w:tcBorders>
            <w:vAlign w:val="center"/>
          </w:tcPr>
          <w:p w14:paraId="2E8F96B7">
            <w:pPr>
              <w:widowControl/>
              <w:spacing w:after="0" w:line="240" w:lineRule="auto"/>
              <w:jc w:val="left"/>
              <w:rPr>
                <w:rFonts w:ascii="宋体" w:hAnsi="宋体" w:eastAsia="宋体" w:cs="宋体"/>
                <w:b/>
                <w:bCs/>
                <w:color w:val="auto"/>
              </w:rPr>
            </w:pPr>
          </w:p>
        </w:tc>
        <w:tc>
          <w:tcPr>
            <w:tcW w:w="1315" w:type="dxa"/>
            <w:tcBorders>
              <w:top w:val="single" w:color="auto" w:sz="4" w:space="0"/>
              <w:left w:val="single" w:color="auto" w:sz="4" w:space="0"/>
              <w:right w:val="single" w:color="auto" w:sz="4" w:space="0"/>
            </w:tcBorders>
            <w:vAlign w:val="center"/>
          </w:tcPr>
          <w:p w14:paraId="5595BE66">
            <w:pPr>
              <w:spacing w:after="0" w:line="240" w:lineRule="auto"/>
              <w:ind w:right="-69" w:rightChars="-33"/>
              <w:jc w:val="center"/>
              <w:rPr>
                <w:rFonts w:ascii="宋体" w:hAnsi="宋体" w:eastAsia="宋体" w:cs="宋体"/>
                <w:color w:val="auto"/>
              </w:rPr>
            </w:pPr>
            <w:r>
              <w:rPr>
                <w:rFonts w:hint="eastAsia" w:ascii="宋体" w:hAnsi="宋体" w:eastAsia="宋体" w:cs="宋体"/>
                <w:color w:val="auto"/>
              </w:rPr>
              <w:t>项目组其他人员情况</w:t>
            </w:r>
          </w:p>
        </w:tc>
        <w:tc>
          <w:tcPr>
            <w:tcW w:w="5260" w:type="dxa"/>
            <w:tcBorders>
              <w:top w:val="single" w:color="auto" w:sz="4" w:space="0"/>
              <w:left w:val="single" w:color="auto" w:sz="4" w:space="0"/>
              <w:right w:val="single" w:color="auto" w:sz="4" w:space="0"/>
            </w:tcBorders>
            <w:vAlign w:val="center"/>
          </w:tcPr>
          <w:p w14:paraId="6CB639AD">
            <w:pPr>
              <w:widowControl/>
              <w:spacing w:after="0" w:line="240" w:lineRule="auto"/>
              <w:jc w:val="left"/>
              <w:rPr>
                <w:rFonts w:ascii="宋体"/>
                <w:color w:val="auto"/>
              </w:rPr>
            </w:pPr>
            <w:r>
              <w:rPr>
                <w:rFonts w:hint="eastAsia" w:ascii="宋体" w:hAnsi="宋体" w:eastAsia="宋体" w:cs="宋体"/>
                <w:color w:val="auto"/>
              </w:rPr>
              <w:t>（1）</w:t>
            </w:r>
            <w:r>
              <w:rPr>
                <w:rFonts w:hint="eastAsia" w:ascii="宋体" w:hAnsi="Courier New"/>
                <w:color w:val="auto"/>
              </w:rPr>
              <w:t>项目组人员（除项目负责人外）具有城乡规划</w:t>
            </w:r>
            <w:r>
              <w:rPr>
                <w:rFonts w:hint="eastAsia" w:ascii="宋体"/>
                <w:color w:val="auto"/>
              </w:rPr>
              <w:t>专业或资产评估类高级及以上职称的得2分；</w:t>
            </w:r>
            <w:r>
              <w:rPr>
                <w:rFonts w:hint="eastAsia" w:ascii="宋体" w:hAnsi="Courier New"/>
                <w:color w:val="auto"/>
              </w:rPr>
              <w:t>具有城乡规划</w:t>
            </w:r>
            <w:r>
              <w:rPr>
                <w:rFonts w:hint="eastAsia" w:ascii="宋体"/>
                <w:color w:val="auto"/>
              </w:rPr>
              <w:t>专业或资产评估类中级职称的得1分；本项最多计4人，其中资产评估类职称最多计2人，本项最高得8分。</w:t>
            </w:r>
          </w:p>
          <w:p w14:paraId="25CF8DE5">
            <w:pPr>
              <w:widowControl/>
              <w:spacing w:after="0" w:line="240" w:lineRule="auto"/>
              <w:jc w:val="left"/>
              <w:rPr>
                <w:rFonts w:ascii="宋体" w:hAnsi="宋体" w:eastAsia="宋体" w:cs="宋体"/>
                <w:color w:val="auto"/>
              </w:rPr>
            </w:pPr>
            <w:r>
              <w:rPr>
                <w:rFonts w:hint="eastAsia" w:ascii="宋体"/>
                <w:color w:val="auto"/>
              </w:rPr>
              <w:t>（2）</w:t>
            </w:r>
            <w:r>
              <w:rPr>
                <w:rFonts w:hint="eastAsia" w:ascii="宋体" w:hAnsi="Courier New"/>
                <w:color w:val="auto"/>
              </w:rPr>
              <w:t>项目组人员（除项目负责人外）</w:t>
            </w:r>
            <w:r>
              <w:rPr>
                <w:rFonts w:hint="eastAsia" w:ascii="宋体"/>
                <w:color w:val="auto"/>
              </w:rPr>
              <w:t>具有注册城乡规划师证书或资产评估类注册资质证书的，每个得2分，资产评估类注册资质证书最多计1个，本项最高得6分。</w:t>
            </w:r>
          </w:p>
          <w:p w14:paraId="26836156">
            <w:pPr>
              <w:widowControl/>
              <w:spacing w:after="0" w:line="240" w:lineRule="auto"/>
              <w:jc w:val="left"/>
              <w:rPr>
                <w:rFonts w:ascii="宋体" w:hAnsi="宋体" w:eastAsia="宋体" w:cs="宋体"/>
                <w:color w:val="auto"/>
              </w:rPr>
            </w:pPr>
            <w:r>
              <w:rPr>
                <w:rFonts w:hint="eastAsia" w:ascii="宋体" w:hAnsi="宋体" w:eastAsia="宋体" w:cs="宋体"/>
                <w:color w:val="auto"/>
              </w:rPr>
              <w:t>注：投标文件内提供专业职称复印件与</w:t>
            </w:r>
            <w:r>
              <w:rPr>
                <w:rFonts w:hint="eastAsia" w:ascii="宋体"/>
                <w:color w:val="auto"/>
              </w:rPr>
              <w:t>注册</w:t>
            </w:r>
            <w:r>
              <w:rPr>
                <w:rFonts w:hint="eastAsia" w:ascii="宋体" w:hAnsi="宋体" w:eastAsia="宋体" w:cs="宋体"/>
                <w:color w:val="auto"/>
              </w:rPr>
              <w:t>资质证书。</w:t>
            </w:r>
          </w:p>
        </w:tc>
        <w:tc>
          <w:tcPr>
            <w:tcW w:w="850" w:type="dxa"/>
            <w:tcBorders>
              <w:top w:val="single" w:color="auto" w:sz="4" w:space="0"/>
              <w:left w:val="single" w:color="auto" w:sz="4" w:space="0"/>
              <w:right w:val="single" w:color="auto" w:sz="4" w:space="0"/>
            </w:tcBorders>
            <w:vAlign w:val="center"/>
          </w:tcPr>
          <w:p w14:paraId="1939DD3D">
            <w:pPr>
              <w:spacing w:after="0" w:line="240" w:lineRule="auto"/>
              <w:jc w:val="center"/>
              <w:rPr>
                <w:rFonts w:ascii="宋体" w:hAnsi="宋体" w:eastAsia="宋体" w:cs="宋体"/>
                <w:color w:val="auto"/>
              </w:rPr>
            </w:pPr>
            <w:r>
              <w:rPr>
                <w:rFonts w:hint="eastAsia" w:ascii="宋体" w:hAnsi="宋体" w:eastAsia="宋体" w:cs="宋体"/>
                <w:color w:val="auto"/>
              </w:rPr>
              <w:t>14</w:t>
            </w:r>
          </w:p>
        </w:tc>
      </w:tr>
      <w:tr w14:paraId="54CB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9" w:type="dxa"/>
            <w:vMerge w:val="continue"/>
            <w:tcBorders>
              <w:top w:val="single" w:color="auto" w:sz="4" w:space="0"/>
              <w:left w:val="single" w:color="auto" w:sz="4" w:space="0"/>
              <w:bottom w:val="single" w:color="auto" w:sz="4" w:space="0"/>
              <w:right w:val="single" w:color="auto" w:sz="4" w:space="0"/>
            </w:tcBorders>
            <w:vAlign w:val="center"/>
          </w:tcPr>
          <w:p w14:paraId="18C12876">
            <w:pPr>
              <w:widowControl/>
              <w:spacing w:after="0" w:line="240" w:lineRule="auto"/>
              <w:jc w:val="left"/>
              <w:rPr>
                <w:rFonts w:ascii="宋体" w:hAnsi="宋体" w:eastAsia="宋体" w:cs="宋体"/>
                <w:b/>
                <w:bCs/>
                <w:color w:val="auto"/>
              </w:rPr>
            </w:pPr>
          </w:p>
        </w:tc>
        <w:tc>
          <w:tcPr>
            <w:tcW w:w="1315" w:type="dxa"/>
            <w:tcBorders>
              <w:top w:val="single" w:color="auto" w:sz="4" w:space="0"/>
              <w:left w:val="single" w:color="auto" w:sz="4" w:space="0"/>
              <w:bottom w:val="single" w:color="auto" w:sz="4" w:space="0"/>
              <w:right w:val="single" w:color="auto" w:sz="4" w:space="0"/>
            </w:tcBorders>
            <w:vAlign w:val="center"/>
          </w:tcPr>
          <w:p w14:paraId="4539E7F2">
            <w:pPr>
              <w:spacing w:after="0" w:line="240" w:lineRule="auto"/>
              <w:ind w:right="-69" w:rightChars="-33"/>
              <w:jc w:val="center"/>
              <w:rPr>
                <w:rFonts w:ascii="宋体" w:hAnsi="宋体" w:eastAsia="宋体" w:cs="宋体"/>
                <w:color w:val="auto"/>
              </w:rPr>
            </w:pPr>
            <w:r>
              <w:rPr>
                <w:rFonts w:hint="eastAsia" w:ascii="宋体" w:hAnsi="宋体" w:eastAsia="宋体" w:cs="宋体"/>
                <w:color w:val="auto"/>
              </w:rPr>
              <w:t>质量管理认证</w:t>
            </w:r>
          </w:p>
        </w:tc>
        <w:tc>
          <w:tcPr>
            <w:tcW w:w="5260" w:type="dxa"/>
            <w:tcBorders>
              <w:top w:val="single" w:color="auto" w:sz="4" w:space="0"/>
              <w:left w:val="single" w:color="auto" w:sz="4" w:space="0"/>
              <w:bottom w:val="single" w:color="auto" w:sz="4" w:space="0"/>
              <w:right w:val="single" w:color="auto" w:sz="4" w:space="0"/>
            </w:tcBorders>
            <w:vAlign w:val="center"/>
          </w:tcPr>
          <w:p w14:paraId="598407C7">
            <w:pPr>
              <w:widowControl/>
              <w:spacing w:after="0" w:line="240" w:lineRule="auto"/>
              <w:jc w:val="left"/>
              <w:rPr>
                <w:rFonts w:ascii="宋体" w:hAnsi="宋体" w:eastAsia="宋体" w:cs="宋体"/>
                <w:color w:val="auto"/>
              </w:rPr>
            </w:pPr>
            <w:r>
              <w:rPr>
                <w:rFonts w:hint="eastAsia" w:ascii="宋体" w:hAnsi="宋体" w:eastAsia="宋体" w:cs="宋体"/>
                <w:color w:val="auto"/>
              </w:rPr>
              <w:t>投标人具有质量管理体系认证证书且在有效期内的得1分。</w:t>
            </w:r>
          </w:p>
          <w:p w14:paraId="392B4778">
            <w:pPr>
              <w:widowControl/>
              <w:spacing w:after="0" w:line="240" w:lineRule="auto"/>
              <w:jc w:val="left"/>
              <w:rPr>
                <w:rFonts w:ascii="宋体" w:hAnsi="宋体" w:eastAsia="宋体" w:cs="宋体"/>
                <w:color w:val="auto"/>
              </w:rPr>
            </w:pPr>
            <w:r>
              <w:rPr>
                <w:rFonts w:hint="eastAsia" w:ascii="宋体" w:hAnsi="宋体" w:eastAsia="宋体" w:cs="宋体"/>
                <w:color w:val="auto"/>
              </w:rPr>
              <w:t>注：投标文件中提供证件的复印件或全国认证认可信息公共服务平台的查询结果截图。体系认证证书须能在全国认证认可信息公共服务平台查询到，否则不予认可。认证范围应当与本项目服务内容相关。联合体投标的，联合体任意一方具有且符合要求的即可得分。</w:t>
            </w:r>
          </w:p>
        </w:tc>
        <w:tc>
          <w:tcPr>
            <w:tcW w:w="850" w:type="dxa"/>
            <w:tcBorders>
              <w:top w:val="single" w:color="auto" w:sz="4" w:space="0"/>
              <w:left w:val="single" w:color="auto" w:sz="4" w:space="0"/>
              <w:bottom w:val="single" w:color="auto" w:sz="4" w:space="0"/>
              <w:right w:val="single" w:color="auto" w:sz="4" w:space="0"/>
            </w:tcBorders>
            <w:vAlign w:val="center"/>
          </w:tcPr>
          <w:p w14:paraId="4C6188D4">
            <w:pPr>
              <w:spacing w:after="0" w:line="240" w:lineRule="auto"/>
              <w:jc w:val="center"/>
              <w:rPr>
                <w:rFonts w:ascii="宋体" w:hAnsi="宋体" w:eastAsia="宋体" w:cs="宋体"/>
                <w:color w:val="auto"/>
              </w:rPr>
            </w:pPr>
            <w:r>
              <w:rPr>
                <w:rFonts w:hint="eastAsia" w:ascii="宋体" w:hAnsi="宋体" w:eastAsia="宋体" w:cs="宋体"/>
                <w:color w:val="auto"/>
              </w:rPr>
              <w:t>1</w:t>
            </w:r>
          </w:p>
        </w:tc>
      </w:tr>
      <w:tr w14:paraId="60AA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9" w:type="dxa"/>
            <w:vMerge w:val="continue"/>
            <w:tcBorders>
              <w:top w:val="single" w:color="auto" w:sz="4" w:space="0"/>
              <w:left w:val="single" w:color="auto" w:sz="4" w:space="0"/>
              <w:bottom w:val="single" w:color="auto" w:sz="4" w:space="0"/>
              <w:right w:val="single" w:color="auto" w:sz="4" w:space="0"/>
            </w:tcBorders>
            <w:vAlign w:val="center"/>
          </w:tcPr>
          <w:p w14:paraId="0F1A2B78">
            <w:pPr>
              <w:widowControl/>
              <w:spacing w:after="0" w:line="240" w:lineRule="auto"/>
              <w:jc w:val="left"/>
              <w:rPr>
                <w:rFonts w:ascii="宋体" w:hAnsi="宋体" w:eastAsia="宋体" w:cs="宋体"/>
                <w:b/>
                <w:bCs/>
                <w:color w:val="auto"/>
              </w:rPr>
            </w:pPr>
          </w:p>
        </w:tc>
        <w:tc>
          <w:tcPr>
            <w:tcW w:w="1315" w:type="dxa"/>
            <w:tcBorders>
              <w:top w:val="single" w:color="auto" w:sz="4" w:space="0"/>
              <w:left w:val="single" w:color="auto" w:sz="4" w:space="0"/>
              <w:bottom w:val="single" w:color="auto" w:sz="4" w:space="0"/>
              <w:right w:val="single" w:color="auto" w:sz="4" w:space="0"/>
            </w:tcBorders>
            <w:vAlign w:val="center"/>
          </w:tcPr>
          <w:p w14:paraId="7A0265E5">
            <w:pPr>
              <w:spacing w:after="0" w:line="240" w:lineRule="auto"/>
              <w:ind w:right="-69" w:rightChars="-33"/>
              <w:jc w:val="center"/>
              <w:rPr>
                <w:rFonts w:ascii="宋体" w:hAnsi="宋体" w:eastAsia="宋体" w:cs="宋体"/>
                <w:color w:val="auto"/>
              </w:rPr>
            </w:pPr>
            <w:r>
              <w:rPr>
                <w:rFonts w:hint="eastAsia" w:ascii="宋体" w:hAnsi="宋体" w:eastAsia="宋体" w:cs="宋体"/>
                <w:color w:val="auto"/>
              </w:rPr>
              <w:t>类似项目业绩情况</w:t>
            </w:r>
          </w:p>
        </w:tc>
        <w:tc>
          <w:tcPr>
            <w:tcW w:w="5260" w:type="dxa"/>
            <w:tcBorders>
              <w:top w:val="single" w:color="auto" w:sz="4" w:space="0"/>
              <w:left w:val="single" w:color="auto" w:sz="4" w:space="0"/>
              <w:bottom w:val="single" w:color="auto" w:sz="4" w:space="0"/>
              <w:right w:val="single" w:color="auto" w:sz="4" w:space="0"/>
            </w:tcBorders>
            <w:vAlign w:val="center"/>
          </w:tcPr>
          <w:p w14:paraId="490BF116">
            <w:pPr>
              <w:widowControl/>
              <w:spacing w:after="0" w:line="240" w:lineRule="auto"/>
              <w:jc w:val="left"/>
              <w:rPr>
                <w:rFonts w:ascii="宋体" w:hAnsi="宋体" w:eastAsia="宋体" w:cs="宋体"/>
                <w:color w:val="auto"/>
              </w:rPr>
            </w:pPr>
            <w:bookmarkStart w:id="95" w:name="OLE_LINK7"/>
            <w:r>
              <w:rPr>
                <w:rFonts w:hint="eastAsia" w:ascii="宋体" w:hAnsi="宋体" w:eastAsia="宋体" w:cs="宋体"/>
                <w:color w:val="auto"/>
              </w:rPr>
              <w:t>投标人自2022年1月1日以来（以合同签订时间为准），承接过土地储备规划类或土地储备可研类项目服务业绩的，每提供1个业绩证明得0.5分，本项最高</w:t>
            </w:r>
            <w:r>
              <w:rPr>
                <w:rFonts w:ascii="宋体" w:hAnsi="宋体" w:eastAsia="宋体" w:cs="宋体"/>
                <w:color w:val="auto"/>
              </w:rPr>
              <w:t>1</w:t>
            </w:r>
            <w:r>
              <w:rPr>
                <w:rFonts w:hint="eastAsia" w:ascii="宋体" w:hAnsi="宋体" w:eastAsia="宋体" w:cs="宋体"/>
                <w:color w:val="auto"/>
              </w:rPr>
              <w:t>分。</w:t>
            </w:r>
          </w:p>
          <w:p w14:paraId="6A2CAC3C">
            <w:pPr>
              <w:widowControl/>
              <w:spacing w:after="0" w:line="240" w:lineRule="auto"/>
              <w:jc w:val="left"/>
              <w:rPr>
                <w:rFonts w:ascii="宋体" w:hAnsi="宋体" w:eastAsia="宋体" w:cs="宋体"/>
                <w:color w:val="auto"/>
              </w:rPr>
            </w:pPr>
            <w:r>
              <w:rPr>
                <w:rFonts w:hint="eastAsia" w:ascii="宋体" w:hAnsi="宋体" w:eastAsia="宋体" w:cs="宋体"/>
                <w:color w:val="auto"/>
              </w:rPr>
              <w:t>注：投标文件内提供项目合同复印件，不符合要求的不予计分。</w:t>
            </w:r>
            <w:bookmarkEnd w:id="95"/>
          </w:p>
        </w:tc>
        <w:tc>
          <w:tcPr>
            <w:tcW w:w="850" w:type="dxa"/>
            <w:tcBorders>
              <w:top w:val="single" w:color="auto" w:sz="4" w:space="0"/>
              <w:left w:val="single" w:color="auto" w:sz="4" w:space="0"/>
              <w:bottom w:val="single" w:color="auto" w:sz="4" w:space="0"/>
              <w:right w:val="single" w:color="auto" w:sz="4" w:space="0"/>
            </w:tcBorders>
            <w:vAlign w:val="center"/>
          </w:tcPr>
          <w:p w14:paraId="4ED8726E">
            <w:pPr>
              <w:spacing w:after="0" w:line="240" w:lineRule="auto"/>
              <w:jc w:val="center"/>
              <w:rPr>
                <w:rFonts w:ascii="宋体" w:hAnsi="宋体" w:eastAsia="宋体" w:cs="宋体"/>
                <w:color w:val="auto"/>
              </w:rPr>
            </w:pPr>
            <w:r>
              <w:rPr>
                <w:rFonts w:ascii="宋体" w:hAnsi="宋体" w:eastAsia="宋体" w:cs="宋体"/>
                <w:color w:val="auto"/>
              </w:rPr>
              <w:t>1</w:t>
            </w:r>
          </w:p>
        </w:tc>
      </w:tr>
      <w:tr w14:paraId="3104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9" w:type="dxa"/>
            <w:tcBorders>
              <w:top w:val="single" w:color="auto" w:sz="4" w:space="0"/>
              <w:left w:val="single" w:color="auto" w:sz="4" w:space="0"/>
              <w:bottom w:val="single" w:color="auto" w:sz="4" w:space="0"/>
              <w:right w:val="single" w:color="auto" w:sz="4" w:space="0"/>
            </w:tcBorders>
            <w:vAlign w:val="center"/>
          </w:tcPr>
          <w:p w14:paraId="14168FEB">
            <w:pPr>
              <w:spacing w:after="0" w:line="240" w:lineRule="auto"/>
              <w:jc w:val="center"/>
              <w:rPr>
                <w:rFonts w:ascii="宋体" w:hAnsi="宋体" w:eastAsia="宋体" w:cs="宋体"/>
                <w:b/>
                <w:bCs/>
                <w:color w:val="auto"/>
              </w:rPr>
            </w:pPr>
            <w:r>
              <w:rPr>
                <w:rFonts w:hint="eastAsia" w:ascii="宋体" w:hAnsi="宋体" w:eastAsia="宋体" w:cs="宋体"/>
                <w:color w:val="auto"/>
              </w:rPr>
              <w:t>价格</w:t>
            </w:r>
          </w:p>
        </w:tc>
        <w:tc>
          <w:tcPr>
            <w:tcW w:w="7425" w:type="dxa"/>
            <w:gridSpan w:val="3"/>
            <w:tcBorders>
              <w:top w:val="single" w:color="auto" w:sz="4" w:space="0"/>
              <w:left w:val="single" w:color="auto" w:sz="4" w:space="0"/>
              <w:bottom w:val="single" w:color="auto" w:sz="4" w:space="0"/>
              <w:right w:val="single" w:color="auto" w:sz="4" w:space="0"/>
            </w:tcBorders>
            <w:vAlign w:val="center"/>
          </w:tcPr>
          <w:p w14:paraId="409BF91F">
            <w:pPr>
              <w:spacing w:after="0" w:line="240" w:lineRule="auto"/>
              <w:jc w:val="left"/>
              <w:rPr>
                <w:rFonts w:ascii="宋体" w:hAnsi="宋体" w:eastAsia="宋体" w:cs="宋体"/>
                <w:color w:val="auto"/>
              </w:rPr>
            </w:pPr>
            <w:r>
              <w:rPr>
                <w:rFonts w:hint="eastAsia" w:ascii="宋体" w:hAnsi="宋体" w:eastAsia="宋体" w:cs="宋体"/>
                <w:color w:val="auto"/>
              </w:rPr>
              <w:t>价格分统一采用低价优先法，即满足招标文件要求且投标价格最低的投标报价为评标基准价，其价格分为满分。其他投标人的价格分统一按照下列公式计算：</w:t>
            </w:r>
          </w:p>
          <w:p w14:paraId="3AB0F06E">
            <w:pPr>
              <w:spacing w:after="0" w:line="240" w:lineRule="auto"/>
              <w:jc w:val="left"/>
              <w:rPr>
                <w:rFonts w:ascii="宋体" w:hAnsi="宋体" w:eastAsia="宋体" w:cs="宋体"/>
                <w:color w:val="auto"/>
              </w:rPr>
            </w:pPr>
            <w:r>
              <w:rPr>
                <w:rFonts w:hint="eastAsia" w:ascii="宋体" w:hAnsi="宋体" w:eastAsia="宋体" w:cs="宋体"/>
                <w:color w:val="auto"/>
              </w:rPr>
              <w:t>投标报价得分＝（评标基准价/投标报价）×12</w:t>
            </w:r>
          </w:p>
        </w:tc>
      </w:tr>
    </w:tbl>
    <w:p w14:paraId="14E722A6">
      <w:pPr>
        <w:spacing w:before="120" w:beforeLines="50" w:line="360" w:lineRule="auto"/>
        <w:jc w:val="left"/>
        <w:rPr>
          <w:rFonts w:ascii="宋体" w:hAnsi="宋体" w:eastAsia="宋体"/>
          <w:color w:val="auto"/>
          <w:spacing w:val="14"/>
        </w:rPr>
      </w:pPr>
      <w:r>
        <w:rPr>
          <w:rFonts w:hint="eastAsia" w:ascii="宋体" w:hAnsi="宋体" w:eastAsia="宋体"/>
          <w:color w:val="auto"/>
          <w:spacing w:val="14"/>
        </w:rPr>
        <w:t xml:space="preserve">评委签名： </w:t>
      </w:r>
      <w:r>
        <w:rPr>
          <w:rFonts w:ascii="宋体" w:hAnsi="宋体" w:eastAsia="宋体"/>
          <w:color w:val="auto"/>
          <w:spacing w:val="14"/>
        </w:rPr>
        <w:t xml:space="preserve">                              </w:t>
      </w:r>
      <w:r>
        <w:rPr>
          <w:rFonts w:hint="eastAsia" w:ascii="宋体" w:hAnsi="宋体" w:eastAsia="宋体"/>
          <w:color w:val="auto"/>
          <w:spacing w:val="14"/>
        </w:rPr>
        <w:t>日期：</w:t>
      </w:r>
    </w:p>
    <w:p w14:paraId="0228F62D">
      <w:pPr>
        <w:spacing w:after="0" w:line="360" w:lineRule="auto"/>
        <w:ind w:firstLine="420"/>
        <w:rPr>
          <w:rFonts w:ascii="宋体" w:hAnsi="宋体" w:eastAsia="宋体"/>
          <w:b/>
          <w:color w:val="auto"/>
        </w:rPr>
      </w:pPr>
    </w:p>
    <w:bookmarkEnd w:id="91"/>
    <w:p w14:paraId="7878D4D7">
      <w:pPr>
        <w:spacing w:before="120" w:beforeLines="50" w:line="360" w:lineRule="auto"/>
        <w:rPr>
          <w:rFonts w:ascii="宋体" w:hAnsi="宋体" w:eastAsia="宋体"/>
          <w:color w:val="auto"/>
          <w:spacing w:val="14"/>
        </w:rPr>
      </w:pPr>
      <w:r>
        <w:rPr>
          <w:rFonts w:ascii="宋体" w:hAnsi="宋体" w:eastAsia="宋体"/>
          <w:color w:val="auto"/>
          <w:spacing w:val="14"/>
        </w:rPr>
        <w:br w:type="page"/>
      </w:r>
    </w:p>
    <w:p w14:paraId="4E8A3AA9">
      <w:pPr>
        <w:pStyle w:val="2"/>
        <w:spacing w:before="0" w:after="0"/>
        <w:ind w:firstLine="482"/>
        <w:rPr>
          <w:rFonts w:ascii="宋体" w:hAnsi="宋体" w:eastAsia="宋体"/>
          <w:color w:val="auto"/>
        </w:rPr>
      </w:pPr>
      <w:bookmarkStart w:id="96" w:name="_Toc118452537"/>
      <w:bookmarkStart w:id="97" w:name="_Toc34844745"/>
      <w:r>
        <w:rPr>
          <w:rFonts w:hint="eastAsia" w:ascii="宋体" w:hAnsi="宋体" w:eastAsia="宋体"/>
          <w:color w:val="auto"/>
        </w:rPr>
        <w:t xml:space="preserve">第五章 </w:t>
      </w:r>
      <w:r>
        <w:rPr>
          <w:rFonts w:ascii="宋体" w:hAnsi="宋体" w:eastAsia="宋体"/>
          <w:color w:val="auto"/>
        </w:rPr>
        <w:t xml:space="preserve"> </w:t>
      </w:r>
      <w:r>
        <w:rPr>
          <w:rFonts w:hint="eastAsia" w:ascii="宋体" w:hAnsi="宋体" w:eastAsia="宋体"/>
          <w:color w:val="auto"/>
        </w:rPr>
        <w:t>合同文本</w:t>
      </w:r>
      <w:bookmarkEnd w:id="96"/>
      <w:bookmarkEnd w:id="97"/>
    </w:p>
    <w:p w14:paraId="27F94E39">
      <w:pPr>
        <w:pStyle w:val="8"/>
        <w:spacing w:beforeLines="0" w:afterLines="0" w:line="360" w:lineRule="auto"/>
        <w:ind w:firstLine="422" w:firstLineChars="201"/>
        <w:jc w:val="left"/>
        <w:rPr>
          <w:rFonts w:hAnsi="宋体" w:eastAsia="宋体" w:cs="宋体"/>
          <w:color w:val="auto"/>
          <w:sz w:val="21"/>
        </w:rPr>
      </w:pPr>
      <w:r>
        <w:rPr>
          <w:rFonts w:hint="eastAsia" w:hAnsi="宋体" w:eastAsia="宋体" w:cs="宋体"/>
          <w:color w:val="auto"/>
          <w:sz w:val="21"/>
        </w:rPr>
        <w:t>注：本合同文本为中标后签订合同的草案，有关条款和采购文件其他部分有冲突的，以其他部分约定为准，最终以投标响应情况签订。</w:t>
      </w:r>
    </w:p>
    <w:p w14:paraId="223A989B">
      <w:pPr>
        <w:pStyle w:val="8"/>
        <w:spacing w:beforeLines="0" w:afterLines="0" w:line="360" w:lineRule="auto"/>
        <w:ind w:firstLine="422" w:firstLineChars="201"/>
        <w:jc w:val="left"/>
        <w:rPr>
          <w:rFonts w:hAnsi="宋体" w:eastAsia="宋体" w:cs="宋体"/>
          <w:color w:val="auto"/>
          <w:sz w:val="21"/>
        </w:rPr>
      </w:pPr>
    </w:p>
    <w:p w14:paraId="3CFD391E">
      <w:pPr>
        <w:jc w:val="right"/>
        <w:rPr>
          <w:rFonts w:ascii="宋体" w:hAnsi="宋体" w:eastAsia="宋体"/>
          <w:b/>
          <w:bCs/>
          <w:snapToGrid w:val="0"/>
          <w:color w:val="auto"/>
          <w:kern w:val="10"/>
          <w:sz w:val="28"/>
          <w:szCs w:val="32"/>
        </w:rPr>
      </w:pPr>
      <w:r>
        <w:rPr>
          <w:rFonts w:hint="eastAsia" w:ascii="宋体" w:hAnsi="宋体" w:eastAsia="宋体"/>
          <w:b/>
          <w:bCs/>
          <w:snapToGrid w:val="0"/>
          <w:color w:val="auto"/>
          <w:kern w:val="10"/>
          <w:sz w:val="28"/>
          <w:szCs w:val="32"/>
        </w:rPr>
        <w:t>合同编号：</w:t>
      </w:r>
    </w:p>
    <w:p w14:paraId="59850053">
      <w:pPr>
        <w:autoSpaceDE w:val="0"/>
        <w:autoSpaceDN w:val="0"/>
        <w:ind w:firstLine="402"/>
        <w:jc w:val="left"/>
        <w:rPr>
          <w:rFonts w:ascii="宋体" w:hAnsi="宋体" w:eastAsia="宋体" w:cs="宋体"/>
          <w:b/>
          <w:color w:val="auto"/>
          <w:sz w:val="20"/>
        </w:rPr>
      </w:pPr>
    </w:p>
    <w:p w14:paraId="5E6A547B">
      <w:pPr>
        <w:autoSpaceDE w:val="0"/>
        <w:autoSpaceDN w:val="0"/>
        <w:ind w:firstLine="402"/>
        <w:jc w:val="left"/>
        <w:rPr>
          <w:rFonts w:ascii="宋体" w:hAnsi="宋体" w:eastAsia="宋体" w:cs="宋体"/>
          <w:b/>
          <w:color w:val="auto"/>
          <w:sz w:val="20"/>
        </w:rPr>
      </w:pPr>
    </w:p>
    <w:p w14:paraId="3037D4D7">
      <w:pPr>
        <w:autoSpaceDE w:val="0"/>
        <w:autoSpaceDN w:val="0"/>
        <w:ind w:firstLine="402"/>
        <w:jc w:val="center"/>
        <w:rPr>
          <w:rFonts w:ascii="宋体" w:hAnsi="宋体" w:eastAsia="宋体" w:cs="宋体"/>
          <w:b/>
          <w:color w:val="auto"/>
          <w:sz w:val="40"/>
        </w:rPr>
      </w:pPr>
      <w:r>
        <w:rPr>
          <w:rFonts w:ascii="宋体" w:hAnsi="宋体" w:eastAsia="宋体" w:cs="宋体"/>
          <w:b/>
          <w:color w:val="auto"/>
          <w:sz w:val="40"/>
        </w:rPr>
        <w:t>合 同</w:t>
      </w:r>
    </w:p>
    <w:p w14:paraId="68ED13FF">
      <w:pPr>
        <w:autoSpaceDE w:val="0"/>
        <w:autoSpaceDN w:val="0"/>
        <w:ind w:firstLine="402"/>
        <w:jc w:val="center"/>
        <w:rPr>
          <w:rFonts w:ascii="宋体" w:hAnsi="宋体" w:eastAsia="宋体" w:cs="宋体"/>
          <w:b/>
          <w:color w:val="auto"/>
          <w:sz w:val="40"/>
        </w:rPr>
      </w:pPr>
    </w:p>
    <w:p w14:paraId="6A24F9F2">
      <w:pPr>
        <w:autoSpaceDE w:val="0"/>
        <w:autoSpaceDN w:val="0"/>
        <w:ind w:firstLine="402"/>
        <w:jc w:val="center"/>
        <w:rPr>
          <w:rFonts w:ascii="宋体" w:hAnsi="宋体" w:eastAsia="宋体" w:cs="宋体"/>
          <w:b/>
          <w:color w:val="auto"/>
          <w:sz w:val="20"/>
        </w:rPr>
      </w:pPr>
    </w:p>
    <w:p w14:paraId="2795B0BA">
      <w:pPr>
        <w:spacing w:after="0" w:line="56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项目名称：</w:t>
      </w:r>
    </w:p>
    <w:p w14:paraId="34A9940E">
      <w:pPr>
        <w:spacing w:after="0" w:line="56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项目地点：</w:t>
      </w:r>
    </w:p>
    <w:p w14:paraId="68A1B7AC">
      <w:pPr>
        <w:spacing w:after="0" w:line="56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委托单位：宁波市自然资源整治储备中心</w:t>
      </w:r>
    </w:p>
    <w:p w14:paraId="1F10327B">
      <w:pPr>
        <w:spacing w:after="0" w:line="56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设计单位：</w:t>
      </w:r>
    </w:p>
    <w:p w14:paraId="4B6D48DD">
      <w:pPr>
        <w:spacing w:after="0" w:line="56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签订时间：</w:t>
      </w:r>
    </w:p>
    <w:p w14:paraId="3A911842">
      <w:pPr>
        <w:spacing w:after="0" w:line="56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签订地点：</w:t>
      </w:r>
      <w:r>
        <w:rPr>
          <w:rFonts w:hint="eastAsia" w:ascii="仿宋_GB2312" w:hAnsi="宋体" w:eastAsia="仿宋_GB2312" w:cs="Times New Roman"/>
          <w:color w:val="auto"/>
          <w:sz w:val="28"/>
          <w:szCs w:val="28"/>
          <w:u w:val="single"/>
        </w:rPr>
        <w:t>宁波市</w:t>
      </w:r>
    </w:p>
    <w:p w14:paraId="6B5C6AE0">
      <w:pPr>
        <w:autoSpaceDE w:val="0"/>
        <w:autoSpaceDN w:val="0"/>
        <w:spacing w:before="1"/>
        <w:jc w:val="left"/>
        <w:rPr>
          <w:rFonts w:ascii="宋体" w:hAnsi="宋体" w:eastAsia="宋体" w:cs="方正楷体简体"/>
          <w:b/>
          <w:color w:val="auto"/>
          <w:sz w:val="28"/>
          <w:szCs w:val="32"/>
        </w:rPr>
      </w:pPr>
    </w:p>
    <w:p w14:paraId="537CF77A">
      <w:pPr>
        <w:autoSpaceDE w:val="0"/>
        <w:autoSpaceDN w:val="0"/>
        <w:spacing w:before="1"/>
        <w:ind w:firstLine="640"/>
        <w:jc w:val="left"/>
        <w:rPr>
          <w:rFonts w:ascii="宋体" w:hAnsi="宋体" w:eastAsia="宋体" w:cs="方正楷体简体"/>
          <w:b/>
          <w:color w:val="auto"/>
          <w:sz w:val="32"/>
          <w:szCs w:val="32"/>
        </w:rPr>
      </w:pPr>
    </w:p>
    <w:p w14:paraId="7C2EF6EE">
      <w:pPr>
        <w:widowControl/>
        <w:jc w:val="left"/>
        <w:rPr>
          <w:rFonts w:ascii="宋体" w:hAnsi="宋体" w:eastAsia="宋体" w:cs="宋体"/>
          <w:b/>
          <w:bCs/>
          <w:snapToGrid w:val="0"/>
          <w:color w:val="auto"/>
          <w:kern w:val="10"/>
          <w:sz w:val="30"/>
          <w:szCs w:val="30"/>
        </w:rPr>
      </w:pPr>
      <w:r>
        <w:rPr>
          <w:rFonts w:hint="eastAsia" w:ascii="宋体" w:hAnsi="宋体" w:eastAsia="宋体" w:cs="宋体"/>
          <w:b/>
          <w:bCs/>
          <w:snapToGrid w:val="0"/>
          <w:color w:val="auto"/>
          <w:kern w:val="10"/>
          <w:sz w:val="30"/>
          <w:szCs w:val="30"/>
        </w:rPr>
        <w:br w:type="page"/>
      </w:r>
    </w:p>
    <w:p w14:paraId="30C41314">
      <w:pPr>
        <w:spacing w:after="0" w:line="560" w:lineRule="exact"/>
        <w:jc w:val="center"/>
        <w:rPr>
          <w:rFonts w:ascii="仿宋_GB2312" w:hAnsi="宋体" w:eastAsia="仿宋_GB2312" w:cs="Times New Roman"/>
          <w:color w:val="auto"/>
          <w:sz w:val="44"/>
          <w:szCs w:val="44"/>
        </w:rPr>
      </w:pPr>
      <w:r>
        <w:rPr>
          <w:rFonts w:hint="eastAsia" w:ascii="仿宋_GB2312" w:hAnsi="宋体" w:eastAsia="仿宋_GB2312" w:cs="Times New Roman"/>
          <w:color w:val="auto"/>
          <w:sz w:val="44"/>
          <w:szCs w:val="44"/>
        </w:rPr>
        <w:t>合 同</w:t>
      </w:r>
    </w:p>
    <w:p w14:paraId="6D1CC19A">
      <w:pPr>
        <w:spacing w:after="0" w:line="560" w:lineRule="exact"/>
        <w:rPr>
          <w:rFonts w:ascii="仿宋_GB2312" w:hAnsi="宋体" w:eastAsia="仿宋_GB2312" w:cs="Times New Roman"/>
          <w:color w:val="auto"/>
          <w:sz w:val="28"/>
          <w:szCs w:val="28"/>
        </w:rPr>
      </w:pPr>
    </w:p>
    <w:p w14:paraId="033C1AE6">
      <w:pPr>
        <w:spacing w:after="0" w:line="560" w:lineRule="exact"/>
        <w:ind w:firstLine="282" w:firstLineChars="101"/>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委托单位（以下简称甲方）：宁波市自然资源整治储备中心</w:t>
      </w:r>
    </w:p>
    <w:p w14:paraId="33E0970A">
      <w:pPr>
        <w:spacing w:after="0" w:line="560" w:lineRule="exact"/>
        <w:ind w:firstLine="282" w:firstLineChars="101"/>
        <w:jc w:val="center"/>
        <w:rPr>
          <w:rFonts w:ascii="仿宋_GB2312" w:hAnsi="宋体" w:eastAsia="仿宋_GB2312" w:cs="Times New Roman"/>
          <w:color w:val="auto"/>
          <w:sz w:val="28"/>
          <w:szCs w:val="28"/>
        </w:rPr>
      </w:pPr>
    </w:p>
    <w:p w14:paraId="4A0F17ED">
      <w:pPr>
        <w:spacing w:after="0" w:line="560" w:lineRule="exact"/>
        <w:ind w:firstLine="282" w:firstLineChars="101"/>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设计单位（以下简称乙方）：</w:t>
      </w:r>
    </w:p>
    <w:p w14:paraId="4015BFE8">
      <w:pPr>
        <w:spacing w:after="0" w:line="440" w:lineRule="exact"/>
        <w:rPr>
          <w:rFonts w:ascii="仿宋_GB2312" w:hAnsi="宋体" w:eastAsia="仿宋_GB2312" w:cs="Times New Roman"/>
          <w:color w:val="auto"/>
          <w:sz w:val="28"/>
          <w:szCs w:val="28"/>
        </w:rPr>
      </w:pPr>
    </w:p>
    <w:p w14:paraId="1D6FF4D6">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甲方委托乙方开展本合同书约定的规划设计工作，为明确双方的权利、义务，经协商一致，依照《中华人民共和国民法典》等规定，并遵循诚实、信用、公平和自愿的原则订立本合同书。</w:t>
      </w:r>
    </w:p>
    <w:p w14:paraId="6B106924">
      <w:pPr>
        <w:spacing w:after="0" w:line="520" w:lineRule="exact"/>
        <w:ind w:firstLine="551" w:firstLineChars="196"/>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第一条  签订依据</w:t>
      </w:r>
    </w:p>
    <w:p w14:paraId="6F9E7B24">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《中华人民共和国民法典》《中华人民共和国城乡规划法》《城市规划编制办法》等法律、法规及规定。</w:t>
      </w:r>
    </w:p>
    <w:p w14:paraId="2DE71807">
      <w:pPr>
        <w:spacing w:after="0" w:line="520" w:lineRule="exact"/>
        <w:ind w:firstLine="551" w:firstLineChars="196"/>
        <w:rPr>
          <w:rFonts w:ascii="Times New Roman" w:hAnsi="Times New Roman" w:eastAsia="宋体" w:cs="Times New Roman"/>
          <w:b/>
          <w:color w:val="auto"/>
          <w:szCs w:val="22"/>
          <w:shd w:val="clear" w:color="auto" w:fill="FFFFFF"/>
        </w:rPr>
      </w:pPr>
      <w:r>
        <w:rPr>
          <w:rFonts w:hint="eastAsia" w:ascii="仿宋_GB2312" w:hAnsi="宋体" w:eastAsia="仿宋_GB2312" w:cs="Times New Roman"/>
          <w:b/>
          <w:color w:val="auto"/>
          <w:sz w:val="28"/>
          <w:szCs w:val="28"/>
        </w:rPr>
        <w:t>第二条  项目地点、名称、类别、范围</w:t>
      </w:r>
    </w:p>
    <w:p w14:paraId="15919971">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2.1  项目地点：宁波市</w:t>
      </w:r>
    </w:p>
    <w:p w14:paraId="0DB82FD0">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2.2  项目名称：</w:t>
      </w:r>
    </w:p>
    <w:p w14:paraId="6E0EF508">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2.3  项目类别：□城镇体系规划</w:t>
      </w:r>
    </w:p>
    <w:p w14:paraId="4EDB3622">
      <w:pPr>
        <w:spacing w:after="0" w:line="520" w:lineRule="exact"/>
        <w:ind w:firstLine="2688" w:firstLineChars="96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□总体规划</w:t>
      </w:r>
    </w:p>
    <w:p w14:paraId="4AB88480">
      <w:pPr>
        <w:spacing w:after="0" w:line="520" w:lineRule="exact"/>
        <w:ind w:firstLine="2688" w:firstLineChars="96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□详细规划（□控制性  □修建性）</w:t>
      </w:r>
    </w:p>
    <w:p w14:paraId="23C00DA6">
      <w:pPr>
        <w:spacing w:after="0" w:line="520" w:lineRule="exact"/>
        <w:ind w:firstLine="2688" w:firstLineChars="96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□镇乡规划（□镇规划 □乡规划 □村庄规划）</w:t>
      </w:r>
    </w:p>
    <w:p w14:paraId="19D86968">
      <w:pPr>
        <w:spacing w:after="0" w:line="520" w:lineRule="exact"/>
        <w:ind w:firstLine="2688" w:firstLineChars="96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□专项规划</w:t>
      </w:r>
    </w:p>
    <w:p w14:paraId="1E5074EE">
      <w:pPr>
        <w:spacing w:after="0" w:line="520" w:lineRule="exact"/>
        <w:ind w:firstLine="2688" w:firstLineChars="960"/>
        <w:rPr>
          <w:rFonts w:ascii="仿宋_GB2312" w:hAnsi="宋体" w:eastAsia="仿宋_GB2312" w:cs="Times New Roman"/>
          <w:color w:val="auto"/>
          <w:sz w:val="28"/>
          <w:szCs w:val="28"/>
        </w:rPr>
      </w:pPr>
      <w:r>
        <w:rPr>
          <w:rFonts w:ascii="仿宋_GB2312" w:hAnsi="宋体" w:eastAsia="仿宋_GB2312" w:cs="Times New Roman"/>
          <w:color w:val="auto"/>
          <w:sz w:val="28"/>
          <w:szCs w:val="28"/>
        </w:rPr>
        <w:sym w:font="Wingdings 2" w:char="F052"/>
      </w:r>
      <w:r>
        <w:rPr>
          <w:rFonts w:hint="eastAsia" w:ascii="仿宋_GB2312" w:hAnsi="宋体" w:eastAsia="仿宋_GB2312" w:cs="Times New Roman"/>
          <w:color w:val="auto"/>
          <w:sz w:val="28"/>
          <w:szCs w:val="28"/>
        </w:rPr>
        <w:t>其它：规划研究</w:t>
      </w:r>
    </w:p>
    <w:p w14:paraId="0FA28024">
      <w:pPr>
        <w:spacing w:after="0" w:line="520" w:lineRule="exact"/>
        <w:ind w:firstLine="2670" w:firstLineChars="950"/>
        <w:rPr>
          <w:rFonts w:ascii="仿宋_GB2312" w:hAnsi="宋体" w:eastAsia="仿宋_GB2312" w:cs="Times New Roman"/>
          <w:color w:val="auto"/>
          <w:sz w:val="28"/>
          <w:szCs w:val="28"/>
        </w:rPr>
      </w:pPr>
      <w:r>
        <w:rPr>
          <w:rFonts w:hint="eastAsia" w:ascii="仿宋_GB2312" w:hAnsi="宋体" w:eastAsia="仿宋_GB2312" w:cs="Times New Roman"/>
          <w:b/>
          <w:color w:val="auto"/>
          <w:sz w:val="28"/>
          <w:szCs w:val="28"/>
        </w:rPr>
        <w:t>（请在□内打√）</w:t>
      </w:r>
    </w:p>
    <w:p w14:paraId="681AA8F6">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2.4  项目范围：</w:t>
      </w:r>
    </w:p>
    <w:p w14:paraId="61D0D4EF">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2.5  项目规模：</w:t>
      </w:r>
    </w:p>
    <w:p w14:paraId="2385C06C">
      <w:pPr>
        <w:spacing w:after="0" w:line="520" w:lineRule="exact"/>
        <w:ind w:firstLine="551" w:firstLineChars="196"/>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第三条  规划设计内容</w:t>
      </w:r>
    </w:p>
    <w:p w14:paraId="5D33C2C7">
      <w:pPr>
        <w:spacing w:after="0" w:line="520" w:lineRule="exact"/>
        <w:ind w:firstLine="560" w:firstLineChars="200"/>
        <w:jc w:val="left"/>
        <w:rPr>
          <w:rFonts w:ascii="仿宋_GB2312" w:hAnsi="宋体" w:eastAsia="仿宋_GB2312" w:cs="Times New Roman"/>
          <w:color w:val="auto"/>
          <w:sz w:val="28"/>
          <w:szCs w:val="28"/>
        </w:rPr>
      </w:pPr>
    </w:p>
    <w:p w14:paraId="25C43A71">
      <w:pPr>
        <w:spacing w:after="0" w:line="520" w:lineRule="exact"/>
        <w:ind w:firstLine="562" w:firstLineChars="200"/>
        <w:jc w:val="left"/>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第四条  规划设计依据</w:t>
      </w:r>
    </w:p>
    <w:p w14:paraId="7402B4F9">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4.1  《中华人民共和国城乡规划法》《城市规划编制办法》《浙江省城乡规划条例》《宁波市国土空间规划条例》等国家、浙江省及宁波市有关城乡规划编制及设计管理的法律、法规、规章和国家标准、行业标准。</w:t>
      </w:r>
    </w:p>
    <w:p w14:paraId="26E5AFF1">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4.2  已批复的城乡规划成果。</w:t>
      </w:r>
    </w:p>
    <w:p w14:paraId="549B7137">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4.3  甲方提交的政府对本合同书项目的指示、批示及会议纪要。</w:t>
      </w:r>
    </w:p>
    <w:p w14:paraId="6A531B74">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4.4  甲方委托书、设计任务书。</w:t>
      </w:r>
    </w:p>
    <w:p w14:paraId="11510E21">
      <w:pPr>
        <w:spacing w:after="0" w:line="520" w:lineRule="exact"/>
        <w:ind w:firstLine="560" w:firstLineChars="200"/>
        <w:rPr>
          <w:rFonts w:ascii="仿宋_GB2312" w:hAnsi="宋体" w:eastAsia="仿宋_GB2312" w:cs="Times New Roman"/>
          <w:b/>
          <w:color w:val="auto"/>
          <w:sz w:val="28"/>
          <w:szCs w:val="28"/>
        </w:rPr>
      </w:pPr>
      <w:r>
        <w:rPr>
          <w:rFonts w:hint="eastAsia" w:ascii="仿宋_GB2312" w:hAnsi="宋体" w:eastAsia="仿宋_GB2312" w:cs="Times New Roman"/>
          <w:color w:val="auto"/>
          <w:sz w:val="28"/>
          <w:szCs w:val="28"/>
        </w:rPr>
        <w:t>4.5  其它：</w:t>
      </w:r>
    </w:p>
    <w:p w14:paraId="6D97CB6C">
      <w:pPr>
        <w:spacing w:after="0" w:line="520" w:lineRule="exact"/>
        <w:ind w:firstLine="551" w:firstLineChars="196"/>
        <w:jc w:val="left"/>
        <w:rPr>
          <w:rFonts w:ascii="仿宋_GB2312" w:hAnsi="宋体" w:eastAsia="仿宋_GB2312" w:cs="Times New Roman"/>
          <w:color w:val="auto"/>
          <w:sz w:val="28"/>
          <w:szCs w:val="28"/>
        </w:rPr>
      </w:pPr>
      <w:r>
        <w:rPr>
          <w:rFonts w:hint="eastAsia" w:ascii="仿宋_GB2312" w:hAnsi="宋体" w:eastAsia="仿宋_GB2312" w:cs="Times New Roman"/>
          <w:b/>
          <w:color w:val="auto"/>
          <w:sz w:val="28"/>
          <w:szCs w:val="28"/>
        </w:rPr>
        <w:t>第五条  设计时限及成果要求</w:t>
      </w:r>
    </w:p>
    <w:p w14:paraId="7363DA5A">
      <w:pPr>
        <w:spacing w:after="0" w:line="520" w:lineRule="exact"/>
        <w:ind w:left="141" w:leftChars="67" w:firstLine="420" w:firstLineChars="15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5.1  进度要求：乙方于本合同书签订后,   年  月下旬提交初步方案。</w:t>
      </w:r>
    </w:p>
    <w:p w14:paraId="58BCB318">
      <w:pPr>
        <w:spacing w:after="0" w:line="520" w:lineRule="exact"/>
        <w:ind w:left="141" w:leftChars="67" w:firstLine="420" w:firstLineChars="15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中间成果审查：   年  月下旬提交优化方案后，邀请相关部门或专家进行审查。</w:t>
      </w:r>
    </w:p>
    <w:p w14:paraId="5A2F780F">
      <w:pPr>
        <w:spacing w:after="0" w:line="520" w:lineRule="exact"/>
        <w:ind w:left="141" w:leftChars="67" w:firstLine="420" w:firstLineChars="15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方案评审通过后20个工作日内提交规划设计全部合格成果。合格成果是指乙方依评审纪要（如有）修改完善后提供的且经甲方书面认可的规划设计正式文件。</w:t>
      </w:r>
    </w:p>
    <w:p w14:paraId="6A1DB735">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5.2  成果份数：</w:t>
      </w:r>
      <w:r>
        <w:rPr>
          <w:rFonts w:ascii="仿宋_GB2312" w:hAnsi="宋体" w:eastAsia="仿宋_GB2312" w:cs="Times New Roman"/>
          <w:color w:val="auto"/>
          <w:sz w:val="28"/>
          <w:szCs w:val="28"/>
        </w:rPr>
        <w:sym w:font="Wingdings 2" w:char="F052"/>
      </w:r>
      <w:r>
        <w:rPr>
          <w:rFonts w:hint="eastAsia" w:ascii="仿宋_GB2312" w:hAnsi="宋体" w:eastAsia="仿宋_GB2312" w:cs="Times New Roman"/>
          <w:color w:val="auto"/>
          <w:sz w:val="28"/>
          <w:szCs w:val="28"/>
        </w:rPr>
        <w:t>文本、说明书、基础资料(   套）</w:t>
      </w:r>
    </w:p>
    <w:p w14:paraId="110A4B57">
      <w:pPr>
        <w:spacing w:after="0" w:line="520" w:lineRule="exact"/>
        <w:ind w:firstLine="2716" w:firstLineChars="970"/>
        <w:rPr>
          <w:rFonts w:ascii="仿宋_GB2312" w:hAnsi="宋体" w:eastAsia="仿宋_GB2312" w:cs="Times New Roman"/>
          <w:color w:val="auto"/>
          <w:sz w:val="28"/>
          <w:szCs w:val="28"/>
        </w:rPr>
      </w:pPr>
      <w:r>
        <w:rPr>
          <w:rFonts w:ascii="仿宋_GB2312" w:hAnsi="宋体" w:eastAsia="仿宋_GB2312" w:cs="Times New Roman"/>
          <w:color w:val="auto"/>
          <w:sz w:val="28"/>
          <w:szCs w:val="28"/>
        </w:rPr>
        <w:sym w:font="Wingdings 2" w:char="F052"/>
      </w:r>
      <w:r>
        <w:rPr>
          <w:rFonts w:hint="eastAsia" w:ascii="仿宋_GB2312" w:hAnsi="宋体" w:eastAsia="仿宋_GB2312" w:cs="Times New Roman"/>
          <w:color w:val="auto"/>
          <w:sz w:val="28"/>
          <w:szCs w:val="28"/>
        </w:rPr>
        <w:t>全部图纸  (   套）</w:t>
      </w:r>
    </w:p>
    <w:p w14:paraId="52F90F56">
      <w:pPr>
        <w:spacing w:after="0" w:line="520" w:lineRule="exact"/>
        <w:ind w:firstLine="2716" w:firstLineChars="970"/>
        <w:rPr>
          <w:rFonts w:ascii="仿宋_GB2312" w:hAnsi="宋体" w:eastAsia="仿宋_GB2312" w:cs="Times New Roman"/>
          <w:color w:val="auto"/>
          <w:sz w:val="28"/>
          <w:szCs w:val="28"/>
        </w:rPr>
      </w:pPr>
      <w:r>
        <w:rPr>
          <w:rFonts w:ascii="仿宋_GB2312" w:hAnsi="宋体" w:eastAsia="仿宋_GB2312" w:cs="Times New Roman"/>
          <w:color w:val="auto"/>
          <w:sz w:val="28"/>
          <w:szCs w:val="28"/>
        </w:rPr>
        <w:sym w:font="Wingdings 2" w:char="F052"/>
      </w:r>
      <w:r>
        <w:rPr>
          <w:rFonts w:hint="eastAsia" w:ascii="仿宋_GB2312" w:hAnsi="宋体" w:eastAsia="仿宋_GB2312" w:cs="Times New Roman"/>
          <w:color w:val="auto"/>
          <w:sz w:val="28"/>
          <w:szCs w:val="28"/>
        </w:rPr>
        <w:t>全部内容的电子文件光盘</w:t>
      </w:r>
    </w:p>
    <w:p w14:paraId="37CE4211">
      <w:pPr>
        <w:spacing w:after="0" w:line="520" w:lineRule="exact"/>
        <w:ind w:firstLine="2716" w:firstLineChars="97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□其它：</w:t>
      </w:r>
    </w:p>
    <w:p w14:paraId="7EC94842">
      <w:pPr>
        <w:spacing w:after="0" w:line="520" w:lineRule="exact"/>
        <w:ind w:firstLine="2727" w:firstLineChars="970"/>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（请在□内打√）</w:t>
      </w:r>
    </w:p>
    <w:p w14:paraId="0AE61420">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5.3  成果提交地点：</w:t>
      </w:r>
      <w:r>
        <w:rPr>
          <w:rFonts w:hint="eastAsia" w:ascii="仿宋_GB2312" w:hAnsi="宋体" w:eastAsia="仿宋_GB2312" w:cs="Times New Roman"/>
          <w:color w:val="auto"/>
          <w:sz w:val="28"/>
          <w:szCs w:val="28"/>
          <w:u w:val="single"/>
        </w:rPr>
        <w:t>宁波市</w:t>
      </w:r>
    </w:p>
    <w:p w14:paraId="379EC4C0">
      <w:pPr>
        <w:spacing w:after="0" w:line="520" w:lineRule="exact"/>
        <w:ind w:firstLine="551" w:firstLineChars="196"/>
        <w:rPr>
          <w:rFonts w:ascii="仿宋_GB2312" w:hAnsi="宋体" w:eastAsia="仿宋_GB2312" w:cs="Times New Roman"/>
          <w:color w:val="auto"/>
          <w:sz w:val="28"/>
          <w:szCs w:val="28"/>
        </w:rPr>
      </w:pPr>
      <w:r>
        <w:rPr>
          <w:rFonts w:hint="eastAsia" w:ascii="仿宋_GB2312" w:hAnsi="宋体" w:eastAsia="仿宋_GB2312" w:cs="Times New Roman"/>
          <w:b/>
          <w:color w:val="auto"/>
          <w:sz w:val="28"/>
          <w:szCs w:val="28"/>
        </w:rPr>
        <w:t>第六条  资料提供</w:t>
      </w:r>
    </w:p>
    <w:p w14:paraId="60EECB45">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甲方协助乙方收集以下资料：</w:t>
      </w:r>
    </w:p>
    <w:tbl>
      <w:tblPr>
        <w:tblStyle w:val="15"/>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9"/>
        <w:gridCol w:w="1417"/>
        <w:gridCol w:w="1468"/>
      </w:tblGrid>
      <w:tr w14:paraId="6113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tcBorders>
              <w:top w:val="single" w:color="auto" w:sz="4" w:space="0"/>
              <w:left w:val="single" w:color="auto" w:sz="4" w:space="0"/>
              <w:bottom w:val="single" w:color="auto" w:sz="4" w:space="0"/>
              <w:right w:val="single" w:color="auto" w:sz="4" w:space="0"/>
            </w:tcBorders>
          </w:tcPr>
          <w:p w14:paraId="43F907E2">
            <w:pPr>
              <w:spacing w:after="0" w:line="240" w:lineRule="auto"/>
              <w:jc w:val="center"/>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资料及文件名称</w:t>
            </w:r>
          </w:p>
        </w:tc>
        <w:tc>
          <w:tcPr>
            <w:tcW w:w="1417" w:type="dxa"/>
            <w:tcBorders>
              <w:top w:val="single" w:color="auto" w:sz="4" w:space="0"/>
              <w:left w:val="single" w:color="auto" w:sz="4" w:space="0"/>
              <w:bottom w:val="single" w:color="auto" w:sz="4" w:space="0"/>
              <w:right w:val="single" w:color="auto" w:sz="4" w:space="0"/>
            </w:tcBorders>
          </w:tcPr>
          <w:p w14:paraId="43B03F92">
            <w:pPr>
              <w:spacing w:after="0" w:line="240" w:lineRule="auto"/>
              <w:jc w:val="center"/>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形式</w:t>
            </w:r>
          </w:p>
        </w:tc>
        <w:tc>
          <w:tcPr>
            <w:tcW w:w="1468" w:type="dxa"/>
            <w:tcBorders>
              <w:top w:val="single" w:color="auto" w:sz="4" w:space="0"/>
              <w:left w:val="single" w:color="auto" w:sz="4" w:space="0"/>
              <w:bottom w:val="single" w:color="auto" w:sz="4" w:space="0"/>
              <w:right w:val="single" w:color="auto" w:sz="4" w:space="0"/>
            </w:tcBorders>
          </w:tcPr>
          <w:p w14:paraId="5B838F0A">
            <w:pPr>
              <w:spacing w:after="0" w:line="240" w:lineRule="auto"/>
              <w:jc w:val="center"/>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备 注</w:t>
            </w:r>
          </w:p>
        </w:tc>
      </w:tr>
      <w:tr w14:paraId="2EFC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tcBorders>
              <w:top w:val="single" w:color="auto" w:sz="4" w:space="0"/>
              <w:left w:val="single" w:color="auto" w:sz="4" w:space="0"/>
              <w:bottom w:val="single" w:color="auto" w:sz="4" w:space="0"/>
              <w:right w:val="single" w:color="auto" w:sz="4" w:space="0"/>
            </w:tcBorders>
            <w:vAlign w:val="center"/>
          </w:tcPr>
          <w:p w14:paraId="4123B92F">
            <w:pPr>
              <w:spacing w:after="0" w:line="240" w:lineRule="auto"/>
              <w:rPr>
                <w:rFonts w:ascii="仿宋_GB2312" w:hAnsi="宋体" w:eastAsia="仿宋_GB2312" w:cs="Times New Roman"/>
                <w:color w:val="auto"/>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128410DA">
            <w:pPr>
              <w:spacing w:after="0" w:line="240" w:lineRule="auto"/>
              <w:rPr>
                <w:rFonts w:ascii="仿宋_GB2312" w:hAnsi="宋体" w:eastAsia="仿宋_GB2312" w:cs="Times New Roman"/>
                <w:color w:val="auto"/>
                <w:sz w:val="28"/>
                <w:szCs w:val="28"/>
              </w:rPr>
            </w:pPr>
          </w:p>
        </w:tc>
        <w:tc>
          <w:tcPr>
            <w:tcW w:w="1468" w:type="dxa"/>
            <w:tcBorders>
              <w:top w:val="single" w:color="auto" w:sz="4" w:space="0"/>
              <w:left w:val="single" w:color="auto" w:sz="4" w:space="0"/>
              <w:bottom w:val="single" w:color="auto" w:sz="4" w:space="0"/>
              <w:right w:val="single" w:color="auto" w:sz="4" w:space="0"/>
            </w:tcBorders>
          </w:tcPr>
          <w:p w14:paraId="6F872753">
            <w:pPr>
              <w:spacing w:after="0" w:line="240" w:lineRule="auto"/>
              <w:rPr>
                <w:rFonts w:ascii="仿宋_GB2312" w:hAnsi="宋体" w:eastAsia="仿宋_GB2312" w:cs="Times New Roman"/>
                <w:color w:val="auto"/>
                <w:sz w:val="28"/>
                <w:szCs w:val="28"/>
              </w:rPr>
            </w:pPr>
          </w:p>
        </w:tc>
      </w:tr>
      <w:tr w14:paraId="118A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tcBorders>
              <w:top w:val="single" w:color="auto" w:sz="4" w:space="0"/>
              <w:left w:val="single" w:color="auto" w:sz="4" w:space="0"/>
              <w:bottom w:val="single" w:color="auto" w:sz="4" w:space="0"/>
              <w:right w:val="single" w:color="auto" w:sz="4" w:space="0"/>
            </w:tcBorders>
            <w:vAlign w:val="center"/>
          </w:tcPr>
          <w:p w14:paraId="2BCCA4A3">
            <w:pPr>
              <w:spacing w:after="0" w:line="240" w:lineRule="auto"/>
              <w:rPr>
                <w:rFonts w:ascii="仿宋_GB2312" w:hAnsi="宋体" w:eastAsia="仿宋_GB2312" w:cs="Times New Roman"/>
                <w:color w:val="auto"/>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64D4D116">
            <w:pPr>
              <w:spacing w:after="0" w:line="240" w:lineRule="auto"/>
              <w:rPr>
                <w:rFonts w:ascii="仿宋_GB2312" w:hAnsi="宋体" w:eastAsia="仿宋_GB2312" w:cs="Times New Roman"/>
                <w:color w:val="auto"/>
                <w:sz w:val="28"/>
                <w:szCs w:val="28"/>
              </w:rPr>
            </w:pPr>
          </w:p>
        </w:tc>
        <w:tc>
          <w:tcPr>
            <w:tcW w:w="1468" w:type="dxa"/>
            <w:tcBorders>
              <w:top w:val="single" w:color="auto" w:sz="4" w:space="0"/>
              <w:left w:val="single" w:color="auto" w:sz="4" w:space="0"/>
              <w:bottom w:val="single" w:color="auto" w:sz="4" w:space="0"/>
              <w:right w:val="single" w:color="auto" w:sz="4" w:space="0"/>
            </w:tcBorders>
          </w:tcPr>
          <w:p w14:paraId="53662AF5">
            <w:pPr>
              <w:spacing w:after="0" w:line="240" w:lineRule="auto"/>
              <w:rPr>
                <w:rFonts w:ascii="仿宋_GB2312" w:hAnsi="宋体" w:eastAsia="仿宋_GB2312" w:cs="Times New Roman"/>
                <w:color w:val="auto"/>
                <w:sz w:val="28"/>
                <w:szCs w:val="28"/>
              </w:rPr>
            </w:pPr>
          </w:p>
        </w:tc>
      </w:tr>
      <w:tr w14:paraId="7B15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tcBorders>
              <w:top w:val="single" w:color="auto" w:sz="4" w:space="0"/>
              <w:left w:val="single" w:color="auto" w:sz="4" w:space="0"/>
              <w:bottom w:val="single" w:color="auto" w:sz="4" w:space="0"/>
              <w:right w:val="single" w:color="auto" w:sz="4" w:space="0"/>
            </w:tcBorders>
            <w:vAlign w:val="center"/>
          </w:tcPr>
          <w:p w14:paraId="175CC7E9">
            <w:pPr>
              <w:spacing w:after="0" w:line="240" w:lineRule="auto"/>
              <w:rPr>
                <w:rFonts w:ascii="仿宋_GB2312" w:hAnsi="宋体" w:eastAsia="仿宋_GB2312" w:cs="Times New Roman"/>
                <w:color w:val="auto"/>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5D6DE30D">
            <w:pPr>
              <w:spacing w:after="0" w:line="240" w:lineRule="auto"/>
              <w:rPr>
                <w:rFonts w:ascii="仿宋_GB2312" w:hAnsi="宋体" w:eastAsia="仿宋_GB2312" w:cs="Times New Roman"/>
                <w:color w:val="auto"/>
                <w:sz w:val="28"/>
                <w:szCs w:val="28"/>
              </w:rPr>
            </w:pPr>
          </w:p>
        </w:tc>
        <w:tc>
          <w:tcPr>
            <w:tcW w:w="1468" w:type="dxa"/>
            <w:tcBorders>
              <w:top w:val="single" w:color="auto" w:sz="4" w:space="0"/>
              <w:left w:val="single" w:color="auto" w:sz="4" w:space="0"/>
              <w:bottom w:val="single" w:color="auto" w:sz="4" w:space="0"/>
              <w:right w:val="single" w:color="auto" w:sz="4" w:space="0"/>
            </w:tcBorders>
          </w:tcPr>
          <w:p w14:paraId="5BAC4668">
            <w:pPr>
              <w:spacing w:after="0" w:line="240" w:lineRule="auto"/>
              <w:rPr>
                <w:rFonts w:ascii="仿宋_GB2312" w:hAnsi="宋体" w:eastAsia="仿宋_GB2312" w:cs="Times New Roman"/>
                <w:color w:val="auto"/>
                <w:sz w:val="28"/>
                <w:szCs w:val="28"/>
              </w:rPr>
            </w:pPr>
          </w:p>
        </w:tc>
      </w:tr>
      <w:tr w14:paraId="66C8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tcBorders>
              <w:top w:val="single" w:color="auto" w:sz="4" w:space="0"/>
              <w:left w:val="single" w:color="auto" w:sz="4" w:space="0"/>
              <w:bottom w:val="single" w:color="auto" w:sz="4" w:space="0"/>
              <w:right w:val="single" w:color="auto" w:sz="4" w:space="0"/>
            </w:tcBorders>
          </w:tcPr>
          <w:p w14:paraId="14DAA0C9">
            <w:pPr>
              <w:spacing w:after="0" w:line="240" w:lineRule="auto"/>
              <w:rPr>
                <w:rFonts w:ascii="仿宋_GB2312" w:hAnsi="宋体" w:eastAsia="仿宋_GB2312" w:cs="Times New Roman"/>
                <w:color w:val="auto"/>
                <w:sz w:val="28"/>
                <w:szCs w:val="28"/>
              </w:rPr>
            </w:pPr>
          </w:p>
        </w:tc>
        <w:tc>
          <w:tcPr>
            <w:tcW w:w="1417" w:type="dxa"/>
            <w:tcBorders>
              <w:top w:val="single" w:color="auto" w:sz="4" w:space="0"/>
              <w:left w:val="single" w:color="auto" w:sz="4" w:space="0"/>
              <w:bottom w:val="single" w:color="auto" w:sz="4" w:space="0"/>
              <w:right w:val="single" w:color="auto" w:sz="4" w:space="0"/>
            </w:tcBorders>
          </w:tcPr>
          <w:p w14:paraId="2256F532">
            <w:pPr>
              <w:spacing w:after="0" w:line="240" w:lineRule="auto"/>
              <w:rPr>
                <w:rFonts w:ascii="仿宋_GB2312" w:hAnsi="宋体" w:eastAsia="仿宋_GB2312" w:cs="Times New Roman"/>
                <w:color w:val="auto"/>
                <w:sz w:val="28"/>
                <w:szCs w:val="28"/>
              </w:rPr>
            </w:pPr>
          </w:p>
        </w:tc>
        <w:tc>
          <w:tcPr>
            <w:tcW w:w="1468" w:type="dxa"/>
            <w:tcBorders>
              <w:top w:val="single" w:color="auto" w:sz="4" w:space="0"/>
              <w:left w:val="single" w:color="auto" w:sz="4" w:space="0"/>
              <w:bottom w:val="single" w:color="auto" w:sz="4" w:space="0"/>
              <w:right w:val="single" w:color="auto" w:sz="4" w:space="0"/>
            </w:tcBorders>
          </w:tcPr>
          <w:p w14:paraId="7D093F26">
            <w:pPr>
              <w:spacing w:after="0" w:line="240" w:lineRule="auto"/>
              <w:rPr>
                <w:rFonts w:ascii="仿宋_GB2312" w:hAnsi="宋体" w:eastAsia="仿宋_GB2312" w:cs="Times New Roman"/>
                <w:color w:val="auto"/>
                <w:sz w:val="28"/>
                <w:szCs w:val="28"/>
              </w:rPr>
            </w:pPr>
          </w:p>
        </w:tc>
      </w:tr>
    </w:tbl>
    <w:p w14:paraId="38BB7775">
      <w:pPr>
        <w:spacing w:after="0" w:line="520" w:lineRule="exact"/>
        <w:ind w:firstLine="551" w:firstLineChars="196"/>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第七条  规划设计费用及支付方式</w:t>
      </w:r>
    </w:p>
    <w:p w14:paraId="0AE28A8A">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7.1  经双方商定，本次规划设计费用总价款为人民币</w:t>
      </w:r>
      <w:r>
        <w:rPr>
          <w:rFonts w:hint="eastAsia" w:ascii="仿宋_GB2312" w:hAnsi="宋体" w:eastAsia="仿宋_GB2312" w:cs="Times New Roman"/>
          <w:color w:val="auto"/>
          <w:sz w:val="28"/>
          <w:szCs w:val="28"/>
          <w:u w:val="single"/>
        </w:rPr>
        <w:t xml:space="preserve">   </w:t>
      </w:r>
      <w:r>
        <w:rPr>
          <w:rFonts w:hint="eastAsia" w:ascii="仿宋_GB2312" w:hAnsi="宋体" w:eastAsia="仿宋_GB2312" w:cs="Times New Roman"/>
          <w:color w:val="auto"/>
          <w:sz w:val="28"/>
          <w:szCs w:val="28"/>
        </w:rPr>
        <w:t>元（大写：</w:t>
      </w:r>
      <w:r>
        <w:rPr>
          <w:rFonts w:hint="eastAsia" w:ascii="仿宋_GB2312" w:hAnsi="宋体" w:eastAsia="仿宋_GB2312" w:cs="Times New Roman"/>
          <w:color w:val="auto"/>
          <w:sz w:val="28"/>
          <w:szCs w:val="28"/>
          <w:u w:val="single"/>
        </w:rPr>
        <w:t xml:space="preserve">   </w:t>
      </w:r>
      <w:r>
        <w:rPr>
          <w:rFonts w:hint="eastAsia" w:ascii="仿宋_GB2312" w:hAnsi="宋体" w:eastAsia="仿宋_GB2312" w:cs="Times New Roman"/>
          <w:color w:val="auto"/>
          <w:sz w:val="28"/>
          <w:szCs w:val="28"/>
        </w:rPr>
        <w:t>）。本合同书所述的规划设计费用已包含乙方工作人员的差旅食宿费、设计文本打印费及专家评审费等与规划设计相关的全部费用。</w:t>
      </w:r>
    </w:p>
    <w:p w14:paraId="2FE98B1A">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7.2  支付阶段：合同签订并具备实施条件后</w:t>
      </w:r>
      <w:r>
        <w:rPr>
          <w:rFonts w:ascii="仿宋_GB2312" w:hAnsi="宋体" w:eastAsia="仿宋_GB2312" w:cs="Times New Roman"/>
          <w:color w:val="auto"/>
          <w:sz w:val="28"/>
          <w:szCs w:val="28"/>
        </w:rPr>
        <w:t>7个工作日内</w:t>
      </w:r>
      <w:r>
        <w:rPr>
          <w:rFonts w:hint="eastAsia" w:ascii="仿宋_GB2312" w:hAnsi="宋体" w:eastAsia="仿宋_GB2312" w:cs="Times New Roman"/>
          <w:color w:val="auto"/>
          <w:sz w:val="28"/>
          <w:szCs w:val="28"/>
        </w:rPr>
        <w:t>，支付结算价的</w:t>
      </w:r>
      <w:r>
        <w:rPr>
          <w:rFonts w:hint="eastAsia" w:ascii="仿宋_GB2312" w:hAnsi="宋体" w:eastAsia="仿宋_GB2312" w:cs="Times New Roman"/>
          <w:color w:val="auto"/>
          <w:sz w:val="28"/>
          <w:szCs w:val="28"/>
          <w:u w:val="single"/>
        </w:rPr>
        <w:t xml:space="preserve">   </w:t>
      </w:r>
      <w:r>
        <w:rPr>
          <w:rFonts w:hint="eastAsia" w:ascii="仿宋_GB2312" w:hAnsi="宋体" w:eastAsia="仿宋_GB2312" w:cs="Times New Roman"/>
          <w:color w:val="auto"/>
          <w:sz w:val="28"/>
          <w:szCs w:val="28"/>
        </w:rPr>
        <w:t>%，计人民币</w:t>
      </w:r>
      <w:r>
        <w:rPr>
          <w:rFonts w:hint="eastAsia" w:ascii="仿宋_GB2312" w:hAnsi="宋体" w:eastAsia="仿宋_GB2312" w:cs="Times New Roman"/>
          <w:color w:val="auto"/>
          <w:sz w:val="28"/>
          <w:szCs w:val="28"/>
          <w:u w:val="single"/>
        </w:rPr>
        <w:t xml:space="preserve">   </w:t>
      </w:r>
      <w:r>
        <w:rPr>
          <w:rFonts w:hint="eastAsia" w:ascii="仿宋_GB2312" w:hAnsi="宋体" w:eastAsia="仿宋_GB2312" w:cs="Times New Roman"/>
          <w:color w:val="auto"/>
          <w:sz w:val="28"/>
          <w:szCs w:val="28"/>
        </w:rPr>
        <w:t>元（大写：</w:t>
      </w:r>
      <w:r>
        <w:rPr>
          <w:rFonts w:hint="eastAsia" w:ascii="仿宋_GB2312" w:hAnsi="宋体" w:eastAsia="仿宋_GB2312" w:cs="Times New Roman"/>
          <w:color w:val="auto"/>
          <w:sz w:val="28"/>
          <w:szCs w:val="28"/>
          <w:u w:val="single"/>
        </w:rPr>
        <w:t xml:space="preserve">   </w:t>
      </w:r>
      <w:r>
        <w:rPr>
          <w:rFonts w:hint="eastAsia" w:ascii="仿宋_GB2312" w:hAnsi="宋体" w:eastAsia="仿宋_GB2312" w:cs="Times New Roman"/>
          <w:color w:val="auto"/>
          <w:sz w:val="28"/>
          <w:szCs w:val="28"/>
        </w:rPr>
        <w:t>。提交初步方案后</w:t>
      </w:r>
      <w:r>
        <w:rPr>
          <w:rFonts w:ascii="仿宋_GB2312" w:hAnsi="宋体" w:eastAsia="仿宋_GB2312" w:cs="Times New Roman"/>
          <w:color w:val="auto"/>
          <w:sz w:val="28"/>
          <w:szCs w:val="28"/>
        </w:rPr>
        <w:t>7个工作日内</w:t>
      </w:r>
      <w:r>
        <w:rPr>
          <w:rFonts w:hint="eastAsia" w:ascii="仿宋_GB2312" w:hAnsi="宋体" w:eastAsia="仿宋_GB2312" w:cs="Times New Roman"/>
          <w:color w:val="auto"/>
          <w:sz w:val="28"/>
          <w:szCs w:val="28"/>
        </w:rPr>
        <w:t>，支付结算价的</w:t>
      </w:r>
      <w:r>
        <w:rPr>
          <w:rFonts w:hint="eastAsia" w:ascii="仿宋_GB2312" w:hAnsi="宋体" w:eastAsia="仿宋_GB2312" w:cs="Times New Roman"/>
          <w:color w:val="auto"/>
          <w:sz w:val="28"/>
          <w:szCs w:val="28"/>
          <w:u w:val="single"/>
        </w:rPr>
        <w:t xml:space="preserve">   </w:t>
      </w:r>
      <w:r>
        <w:rPr>
          <w:rFonts w:hint="eastAsia" w:ascii="仿宋_GB2312" w:hAnsi="宋体" w:eastAsia="仿宋_GB2312" w:cs="Times New Roman"/>
          <w:color w:val="auto"/>
          <w:sz w:val="28"/>
          <w:szCs w:val="28"/>
        </w:rPr>
        <w:t>%，计人民币</w:t>
      </w:r>
      <w:r>
        <w:rPr>
          <w:rFonts w:hint="eastAsia" w:ascii="仿宋_GB2312" w:hAnsi="宋体" w:eastAsia="仿宋_GB2312" w:cs="Times New Roman"/>
          <w:color w:val="auto"/>
          <w:sz w:val="28"/>
          <w:szCs w:val="28"/>
          <w:u w:val="single"/>
        </w:rPr>
        <w:t xml:space="preserve">   </w:t>
      </w:r>
      <w:r>
        <w:rPr>
          <w:rFonts w:hint="eastAsia" w:ascii="仿宋_GB2312" w:hAnsi="宋体" w:eastAsia="仿宋_GB2312" w:cs="Times New Roman"/>
          <w:color w:val="auto"/>
          <w:sz w:val="28"/>
          <w:szCs w:val="28"/>
        </w:rPr>
        <w:t>元（大写：</w:t>
      </w:r>
      <w:r>
        <w:rPr>
          <w:rFonts w:hint="eastAsia" w:ascii="仿宋_GB2312" w:hAnsi="宋体" w:eastAsia="仿宋_GB2312" w:cs="Times New Roman"/>
          <w:color w:val="auto"/>
          <w:sz w:val="28"/>
          <w:szCs w:val="28"/>
          <w:u w:val="single"/>
        </w:rPr>
        <w:t xml:space="preserve">   </w:t>
      </w:r>
      <w:r>
        <w:rPr>
          <w:rFonts w:hint="eastAsia" w:ascii="仿宋_GB2312" w:hAnsi="宋体" w:eastAsia="仿宋_GB2312" w:cs="Times New Roman"/>
          <w:color w:val="auto"/>
          <w:sz w:val="28"/>
          <w:szCs w:val="28"/>
        </w:rPr>
        <w:t>）。成果递交后7个工作日内，支付至结算价的100%，计人民币</w:t>
      </w:r>
      <w:r>
        <w:rPr>
          <w:rFonts w:hint="eastAsia" w:ascii="仿宋_GB2312" w:hAnsi="宋体" w:eastAsia="仿宋_GB2312" w:cs="Times New Roman"/>
          <w:color w:val="auto"/>
          <w:sz w:val="28"/>
          <w:szCs w:val="28"/>
          <w:u w:val="single"/>
        </w:rPr>
        <w:t xml:space="preserve">   </w:t>
      </w:r>
      <w:r>
        <w:rPr>
          <w:rFonts w:hint="eastAsia" w:ascii="仿宋_GB2312" w:hAnsi="宋体" w:eastAsia="仿宋_GB2312" w:cs="Times New Roman"/>
          <w:color w:val="auto"/>
          <w:sz w:val="28"/>
          <w:szCs w:val="28"/>
        </w:rPr>
        <w:t>元（大写：</w:t>
      </w:r>
      <w:r>
        <w:rPr>
          <w:rFonts w:hint="eastAsia" w:ascii="仿宋_GB2312" w:hAnsi="宋体" w:eastAsia="仿宋_GB2312" w:cs="Times New Roman"/>
          <w:color w:val="auto"/>
          <w:sz w:val="28"/>
          <w:szCs w:val="28"/>
          <w:u w:val="single"/>
        </w:rPr>
        <w:t xml:space="preserve">   </w:t>
      </w:r>
      <w:r>
        <w:rPr>
          <w:rFonts w:hint="eastAsia" w:ascii="仿宋_GB2312" w:hAnsi="宋体" w:eastAsia="仿宋_GB2312" w:cs="Times New Roman"/>
          <w:color w:val="auto"/>
          <w:sz w:val="28"/>
          <w:szCs w:val="28"/>
        </w:rPr>
        <w:t>）。</w:t>
      </w:r>
    </w:p>
    <w:p w14:paraId="2D8A3C6A">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7.3  支付方式：双方同意按照下列第</w:t>
      </w:r>
      <w:r>
        <w:rPr>
          <w:rFonts w:hint="eastAsia" w:ascii="仿宋_GB2312" w:hAnsi="宋体" w:eastAsia="仿宋_GB2312" w:cs="Times New Roman"/>
          <w:color w:val="auto"/>
          <w:sz w:val="28"/>
          <w:szCs w:val="28"/>
          <w:u w:val="single"/>
        </w:rPr>
        <w:t xml:space="preserve">  （二）  </w:t>
      </w:r>
      <w:r>
        <w:rPr>
          <w:rFonts w:hint="eastAsia" w:ascii="仿宋_GB2312" w:hAnsi="宋体" w:eastAsia="仿宋_GB2312" w:cs="Times New Roman"/>
          <w:color w:val="auto"/>
          <w:sz w:val="28"/>
          <w:szCs w:val="28"/>
        </w:rPr>
        <w:t>种方式支付规划设计费用。</w:t>
      </w:r>
    </w:p>
    <w:p w14:paraId="2B3C6B6D">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（一）乙方根据本合同书第七条第7.2款约定的金额向甲方开具正式发票。甲方根据乙方发票的金额，在履行甲方财务审批手续完毕后，采用政府国库集中支付和银行转账的方式支付。</w:t>
      </w:r>
    </w:p>
    <w:p w14:paraId="47F201EC">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（二）乙方根据本合同书第七条第7.2款约定的金额向甲方开具正式发票。甲方根据乙方发票的金额，在履行甲方财务审批手续完毕后通过银行转账的方式支付。</w:t>
      </w:r>
    </w:p>
    <w:p w14:paraId="2A40A5F5">
      <w:pPr>
        <w:spacing w:after="0" w:line="520" w:lineRule="exact"/>
        <w:ind w:firstLine="551" w:firstLineChars="196"/>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第八条  双方责任</w:t>
      </w:r>
    </w:p>
    <w:p w14:paraId="0D2B7F13">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8.1  甲方责任</w:t>
      </w:r>
    </w:p>
    <w:p w14:paraId="58B6B1ED">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8.1.1  甲方可根据规划设计需要向乙方提交必要的资料及文件。</w:t>
      </w:r>
    </w:p>
    <w:p w14:paraId="73D4A983">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8.1.2  甲方应协助乙方收集规划设计所需的基础资料，并指定人员与乙方联系工作。</w:t>
      </w:r>
    </w:p>
    <w:p w14:paraId="4077ED51">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8.1.3  乙方交付给甲方的规划设计成果，甲方应及时将修改调整意见反馈给乙方；如果对阶段性方案的反馈时间超过三个月或整个设计周期超过两年时，仍需继续履行本合同书的，双方可重新商定规划设计周期及规划设计费用。</w:t>
      </w:r>
    </w:p>
    <w:p w14:paraId="53D81776">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8.1.4  甲方应依据本合同书约定及时支付阶段性规划设计费用；如果延期支付或拒付，则乙方有权暂停甚至终止下一阶段的规划设计任务。</w:t>
      </w:r>
    </w:p>
    <w:p w14:paraId="2408FE4F">
      <w:pPr>
        <w:spacing w:after="0" w:line="520" w:lineRule="exact"/>
        <w:ind w:firstLine="560" w:firstLineChars="200"/>
        <w:rPr>
          <w:rFonts w:ascii="仿宋_GB2312" w:hAnsi="宋体" w:eastAsia="仿宋_GB2312" w:cs="Times New Roman"/>
          <w:b/>
          <w:color w:val="auto"/>
          <w:sz w:val="28"/>
          <w:szCs w:val="28"/>
        </w:rPr>
      </w:pPr>
      <w:r>
        <w:rPr>
          <w:rFonts w:hint="eastAsia" w:ascii="仿宋_GB2312" w:hAnsi="宋体" w:eastAsia="仿宋_GB2312" w:cs="Times New Roman"/>
          <w:color w:val="auto"/>
          <w:sz w:val="28"/>
          <w:szCs w:val="28"/>
        </w:rPr>
        <w:t>8.1.5  在合同书履行期间，甲方要求终止或解除合同书，应及时书面通知乙方。乙方未开始工作的，甲方应支付前期准备工作阶段的相关费用；已开始工作的，甲方根据双方商定后的价款支付规划设计费用，并承担设计费用总价款</w:t>
      </w:r>
      <w:r>
        <w:rPr>
          <w:rFonts w:hint="eastAsia" w:ascii="仿宋_GB2312" w:hAnsi="宋体" w:eastAsia="仿宋_GB2312" w:cs="Times New Roman"/>
          <w:color w:val="auto"/>
          <w:sz w:val="28"/>
          <w:szCs w:val="28"/>
          <w:u w:val="single"/>
        </w:rPr>
        <w:t xml:space="preserve">  5  </w:t>
      </w:r>
      <w:r>
        <w:rPr>
          <w:rFonts w:hint="eastAsia" w:ascii="仿宋_GB2312" w:hAnsi="宋体" w:eastAsia="仿宋_GB2312" w:cs="Times New Roman"/>
          <w:color w:val="auto"/>
          <w:sz w:val="28"/>
          <w:szCs w:val="28"/>
        </w:rPr>
        <w:t>%的违约金。</w:t>
      </w:r>
    </w:p>
    <w:p w14:paraId="0810DA85">
      <w:pPr>
        <w:spacing w:after="0" w:line="520" w:lineRule="exact"/>
        <w:ind w:firstLine="560" w:firstLineChars="200"/>
        <w:rPr>
          <w:rFonts w:ascii="仿宋_GB2312" w:hAnsi="宋体" w:eastAsia="仿宋_GB2312" w:cs="Times New Roman"/>
          <w:b/>
          <w:color w:val="auto"/>
          <w:sz w:val="28"/>
          <w:szCs w:val="28"/>
        </w:rPr>
      </w:pPr>
      <w:r>
        <w:rPr>
          <w:rFonts w:hint="eastAsia" w:ascii="仿宋_GB2312" w:hAnsi="宋体" w:eastAsia="仿宋_GB2312" w:cs="Times New Roman"/>
          <w:color w:val="auto"/>
          <w:sz w:val="28"/>
          <w:szCs w:val="28"/>
        </w:rPr>
        <w:t>8.1.6  甲方应按本合同书约定的金额和阶段向乙方支付规划设计费用，每逾期支付一天，承担应付未付部分金额</w:t>
      </w:r>
      <w:r>
        <w:rPr>
          <w:rFonts w:hint="eastAsia" w:ascii="仿宋_GB2312" w:hAnsi="宋体" w:eastAsia="仿宋_GB2312" w:cs="Times New Roman"/>
          <w:color w:val="auto"/>
          <w:sz w:val="28"/>
          <w:szCs w:val="28"/>
          <w:u w:val="single"/>
        </w:rPr>
        <w:t xml:space="preserve">  0.05  </w:t>
      </w:r>
      <w:r>
        <w:rPr>
          <w:rFonts w:hint="eastAsia" w:ascii="仿宋_GB2312" w:hAnsi="宋体" w:eastAsia="仿宋_GB2312" w:cs="Times New Roman"/>
          <w:color w:val="auto"/>
          <w:sz w:val="28"/>
          <w:szCs w:val="28"/>
        </w:rPr>
        <w:t>%的违约金，且乙方向甲方提交设计文件时间相应顺延。</w:t>
      </w:r>
    </w:p>
    <w:p w14:paraId="099BCE2D">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8.2  乙方责任</w:t>
      </w:r>
    </w:p>
    <w:p w14:paraId="39414E1E">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8.2.1  乙方承接规划设计业务时，不得超出其资质证书规定的等级和范围。</w:t>
      </w:r>
    </w:p>
    <w:p w14:paraId="195EB077">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8.2.2  乙方须对甲方提交的资料和文件进行完整性、正确性及时效性等全面审查，并指定专人与甲方联络本合同书项目规划设计的相关工作。</w:t>
      </w:r>
    </w:p>
    <w:p w14:paraId="60A4775B">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8.2.3  乙方应及时开展现场踏勘、资料分析和查阅工作，按有关规范和标准及本合同书约定的设计依据等，向甲方交付符合规定深度的规划设计成果或文件。乙方对提交的规划设计文件质量负责。乙方提交的规划设计成果或文件须符合本合同书约定的内容、时间、要求及套数，内容和质量方面须取得甲方的书面认可。</w:t>
      </w:r>
    </w:p>
    <w:p w14:paraId="2083CBC1">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8.2.4  乙方提供的规划设计成果或文件如需评审，乙方应参加评审并进行汇报。根据评审意见，乙方负责对规划设计成果或文件进行调整、修改和补充。</w:t>
      </w:r>
    </w:p>
    <w:p w14:paraId="7B2C81F4">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8.2.5  已提交或甲方认可的规划设计成果或文件（包括但不限于规划大纲、初步方案、方案初稿、评审方案及合格成果）如有遗漏或错误，乙方负责免费调整、修改和补充。由于乙方规划设计遗漏或错误造成甲方损失的，乙方除负责采取补救措施外，应免收受损失部分的规划设计费用，并根据损失程度向甲方支付赔偿金。</w:t>
      </w:r>
    </w:p>
    <w:p w14:paraId="75825B7C">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8.2.6  本合同书生效后，乙方无正当理由要求终止或解除合同书，乙方须全额退还已收的规划设计费用并承担设计费用总价款</w:t>
      </w:r>
      <w:r>
        <w:rPr>
          <w:rFonts w:hint="eastAsia" w:ascii="仿宋_GB2312" w:hAnsi="宋体" w:eastAsia="仿宋_GB2312" w:cs="Times New Roman"/>
          <w:color w:val="auto"/>
          <w:sz w:val="28"/>
          <w:szCs w:val="28"/>
          <w:u w:val="single"/>
        </w:rPr>
        <w:t xml:space="preserve">  5  </w:t>
      </w:r>
      <w:r>
        <w:rPr>
          <w:rFonts w:hint="eastAsia" w:ascii="仿宋_GB2312" w:hAnsi="宋体" w:eastAsia="仿宋_GB2312" w:cs="Times New Roman"/>
          <w:color w:val="auto"/>
          <w:sz w:val="28"/>
          <w:szCs w:val="28"/>
        </w:rPr>
        <w:t>%的违约金。</w:t>
      </w:r>
    </w:p>
    <w:p w14:paraId="24FC88FA">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8.2.7  由于乙方原因，延误了规划设计文件交付时间，每延误一天，应承担设计费用总价款</w:t>
      </w:r>
      <w:r>
        <w:rPr>
          <w:rFonts w:hint="eastAsia" w:ascii="仿宋_GB2312" w:hAnsi="宋体" w:eastAsia="仿宋_GB2312" w:cs="Times New Roman"/>
          <w:color w:val="auto"/>
          <w:sz w:val="28"/>
          <w:szCs w:val="28"/>
          <w:u w:val="single"/>
        </w:rPr>
        <w:t xml:space="preserve">  0.05  </w:t>
      </w:r>
      <w:r>
        <w:rPr>
          <w:rFonts w:hint="eastAsia" w:ascii="仿宋_GB2312" w:hAnsi="宋体" w:eastAsia="仿宋_GB2312" w:cs="Times New Roman"/>
          <w:color w:val="auto"/>
          <w:sz w:val="28"/>
          <w:szCs w:val="28"/>
        </w:rPr>
        <w:t>%的违约金。</w:t>
      </w:r>
    </w:p>
    <w:p w14:paraId="071FAC13">
      <w:pPr>
        <w:spacing w:after="0" w:line="520" w:lineRule="exact"/>
        <w:ind w:firstLine="551" w:firstLineChars="196"/>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第九条  知识产权及保密</w:t>
      </w:r>
    </w:p>
    <w:p w14:paraId="651912CB">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9.1  甲方支付相应的规划设计费用后即取得本合同书项目所有的设计成果和文件的所有权、使用权和知识产权。</w:t>
      </w:r>
    </w:p>
    <w:p w14:paraId="0DF2D0F0">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9.2  乙方应对甲方提供的所有资料、材料及利用该等资料、材料而产生的所有资料、材料等进行保密和保管。未经甲方书面同意，乙方不得擅自修改，复制或向第三人转让或用于本合同书项目外的项目。否则，乙方应承担由此引起的一切后果并承担赔偿责任。如有必要，双方另行签订保密协议。</w:t>
      </w:r>
    </w:p>
    <w:p w14:paraId="37463CD6">
      <w:pPr>
        <w:spacing w:after="0" w:line="520" w:lineRule="exact"/>
        <w:ind w:firstLine="551" w:firstLineChars="196"/>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第十条  争议解决方式</w:t>
      </w:r>
    </w:p>
    <w:p w14:paraId="1C98B9AF">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本合同书在履行过程中如发生争议，由双方协商解决。协商不成的，按下列第</w:t>
      </w:r>
      <w:r>
        <w:rPr>
          <w:rFonts w:hint="eastAsia" w:ascii="仿宋_GB2312" w:hAnsi="宋体" w:eastAsia="仿宋_GB2312" w:cs="Times New Roman"/>
          <w:color w:val="auto"/>
          <w:sz w:val="28"/>
          <w:szCs w:val="28"/>
          <w:u w:val="single"/>
        </w:rPr>
        <w:t xml:space="preserve">  (二)  </w:t>
      </w:r>
      <w:r>
        <w:rPr>
          <w:rFonts w:hint="eastAsia" w:ascii="仿宋_GB2312" w:hAnsi="宋体" w:eastAsia="仿宋_GB2312" w:cs="Times New Roman"/>
          <w:color w:val="auto"/>
          <w:sz w:val="28"/>
          <w:szCs w:val="28"/>
        </w:rPr>
        <w:t>种方式解决。</w:t>
      </w:r>
    </w:p>
    <w:p w14:paraId="2A181D2E">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（一）提交宁波仲裁委员会仲裁。</w:t>
      </w:r>
    </w:p>
    <w:p w14:paraId="7A2446CC">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（二）依法向</w:t>
      </w:r>
      <w:r>
        <w:rPr>
          <w:rFonts w:hint="eastAsia" w:ascii="仿宋_GB2312" w:hAnsi="宋体" w:eastAsia="仿宋_GB2312" w:cs="Times New Roman"/>
          <w:color w:val="auto"/>
          <w:sz w:val="28"/>
          <w:szCs w:val="28"/>
          <w:u w:val="single"/>
        </w:rPr>
        <w:t xml:space="preserve">  甲方  </w:t>
      </w:r>
      <w:r>
        <w:rPr>
          <w:rFonts w:hint="eastAsia" w:ascii="仿宋_GB2312" w:hAnsi="宋体" w:eastAsia="仿宋_GB2312" w:cs="Times New Roman"/>
          <w:color w:val="auto"/>
          <w:sz w:val="28"/>
          <w:szCs w:val="28"/>
        </w:rPr>
        <w:t>所在地人民法院起诉。</w:t>
      </w:r>
    </w:p>
    <w:p w14:paraId="5CBCFF30">
      <w:pPr>
        <w:spacing w:after="0" w:line="520" w:lineRule="exact"/>
        <w:ind w:firstLine="551" w:firstLineChars="196"/>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第十一条  合同书生效及其他</w:t>
      </w:r>
    </w:p>
    <w:p w14:paraId="5996B0AC">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11.1  甲方要求乙方派专人进行现场设计或长期配合解决有关问题时，双方另外签订技术咨询服务合同，并由甲方为乙方派驻现场的工作人员提供工作便利条件。</w:t>
      </w:r>
    </w:p>
    <w:p w14:paraId="0504A755">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11.2  甲方委托乙方承担本合同书以外的工作，双方另行签订合同书并支付费用。</w:t>
      </w:r>
    </w:p>
    <w:p w14:paraId="1E940A20">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11.3  双方认可的来往传真、电报、会议纪要等均为本合同书的组成部分，与本合同书具有同等法律效力。</w:t>
      </w:r>
    </w:p>
    <w:p w14:paraId="3055217A">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11.4  由于不可抗力因素造成本合同书无法履行时，双方应及时协商解决。</w:t>
      </w:r>
    </w:p>
    <w:p w14:paraId="4CF21378">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11.5  本合同书经双方法定代表人或授权代表签字，加盖公章或合同章后生效。</w:t>
      </w:r>
    </w:p>
    <w:p w14:paraId="7DE1CDBD">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11.6  双方履行完本合同书约定的权利和义务后，本合同书即行终止。</w:t>
      </w:r>
    </w:p>
    <w:p w14:paraId="5A9EC21F">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11.7  本合同书共</w:t>
      </w:r>
      <w:r>
        <w:rPr>
          <w:rFonts w:hint="eastAsia" w:ascii="仿宋_GB2312" w:hAnsi="宋体" w:eastAsia="仿宋_GB2312" w:cs="Times New Roman"/>
          <w:color w:val="auto"/>
          <w:sz w:val="28"/>
          <w:szCs w:val="28"/>
          <w:u w:val="single"/>
        </w:rPr>
        <w:t xml:space="preserve">   </w:t>
      </w:r>
      <w:r>
        <w:rPr>
          <w:rFonts w:hint="eastAsia" w:ascii="仿宋_GB2312" w:hAnsi="宋体" w:eastAsia="仿宋_GB2312" w:cs="Times New Roman"/>
          <w:color w:val="auto"/>
          <w:sz w:val="28"/>
          <w:szCs w:val="28"/>
        </w:rPr>
        <w:t>页，一式陆份，双方各持叁份，具有同等法律效力。</w:t>
      </w:r>
    </w:p>
    <w:p w14:paraId="1789FFD9">
      <w:pPr>
        <w:spacing w:after="0" w:line="520" w:lineRule="exact"/>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11.8  本合同书未尽事宜，由双方协商解决，并另行签订补充协议。补充协议与本合同书具有同等的法律效力。</w:t>
      </w:r>
    </w:p>
    <w:p w14:paraId="2428E07B">
      <w:pPr>
        <w:spacing w:after="0" w:line="520" w:lineRule="exact"/>
        <w:ind w:firstLine="560" w:firstLineChars="200"/>
        <w:rPr>
          <w:rFonts w:ascii="仿宋_GB2312" w:hAnsi="宋体" w:eastAsia="仿宋_GB2312" w:cs="Times New Roman"/>
          <w:color w:val="auto"/>
          <w:sz w:val="28"/>
          <w:szCs w:val="28"/>
        </w:rPr>
      </w:pPr>
    </w:p>
    <w:p w14:paraId="4F388E72">
      <w:pPr>
        <w:spacing w:after="0" w:line="520" w:lineRule="exact"/>
        <w:ind w:firstLine="565" w:firstLineChars="202"/>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br w:type="page"/>
      </w:r>
    </w:p>
    <w:p w14:paraId="47BD9B5B">
      <w:pPr>
        <w:spacing w:after="0" w:line="520" w:lineRule="exact"/>
        <w:ind w:firstLine="560" w:firstLineChars="200"/>
        <w:rPr>
          <w:rFonts w:ascii="仿宋_GB2312" w:hAnsi="宋体" w:eastAsia="仿宋_GB2312" w:cs="Times New Roman"/>
          <w:color w:val="auto"/>
          <w:sz w:val="28"/>
          <w:szCs w:val="28"/>
        </w:rPr>
      </w:pPr>
    </w:p>
    <w:p w14:paraId="4FFDDA22">
      <w:pPr>
        <w:spacing w:after="0" w:line="520" w:lineRule="exact"/>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委托单位（盖章）                 设计单位（盖章）</w:t>
      </w:r>
    </w:p>
    <w:p w14:paraId="58A62FA7">
      <w:pPr>
        <w:spacing w:after="0" w:line="520" w:lineRule="exact"/>
        <w:rPr>
          <w:rFonts w:ascii="仿宋_GB2312" w:hAnsi="宋体" w:eastAsia="仿宋_GB2312" w:cs="Times New Roman"/>
          <w:color w:val="auto"/>
          <w:sz w:val="28"/>
          <w:szCs w:val="28"/>
        </w:rPr>
      </w:pPr>
      <w:r>
        <w:rPr>
          <w:rFonts w:hint="eastAsia" w:ascii="仿宋_GB2312" w:hAnsi="宋体" w:eastAsia="仿宋_GB2312" w:cs="Times New Roman"/>
          <w:color w:val="auto"/>
          <w:spacing w:val="-20"/>
          <w:sz w:val="28"/>
          <w:szCs w:val="28"/>
        </w:rPr>
        <w:t xml:space="preserve">                                    </w:t>
      </w:r>
      <w:r>
        <w:rPr>
          <w:rFonts w:hint="eastAsia" w:ascii="仿宋_GB2312" w:hAnsi="宋体" w:eastAsia="仿宋_GB2312" w:cs="Times New Roman"/>
          <w:color w:val="auto"/>
          <w:sz w:val="28"/>
          <w:szCs w:val="28"/>
        </w:rPr>
        <w:t xml:space="preserve">     </w:t>
      </w:r>
    </w:p>
    <w:p w14:paraId="7A7F09AF">
      <w:pPr>
        <w:spacing w:after="0" w:line="520" w:lineRule="exact"/>
        <w:rPr>
          <w:rFonts w:ascii="仿宋_GB2312" w:hAnsi="宋体" w:eastAsia="仿宋_GB2312" w:cs="Times New Roman"/>
          <w:color w:val="auto"/>
          <w:sz w:val="28"/>
          <w:szCs w:val="28"/>
        </w:rPr>
      </w:pPr>
    </w:p>
    <w:p w14:paraId="76A36D9D">
      <w:pPr>
        <w:spacing w:after="0" w:line="520" w:lineRule="exact"/>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法定代表人或授权代表            法定代表人或授权代表</w:t>
      </w:r>
    </w:p>
    <w:p w14:paraId="76B127BA">
      <w:pPr>
        <w:spacing w:after="0" w:line="520" w:lineRule="exact"/>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（签字或盖章）                   （签字或盖章）</w:t>
      </w:r>
    </w:p>
    <w:p w14:paraId="054E08FA">
      <w:pPr>
        <w:spacing w:after="0" w:line="520" w:lineRule="exact"/>
        <w:rPr>
          <w:rFonts w:ascii="仿宋_GB2312" w:hAnsi="宋体" w:eastAsia="仿宋_GB2312" w:cs="Times New Roman"/>
          <w:color w:val="auto"/>
          <w:sz w:val="28"/>
          <w:szCs w:val="28"/>
        </w:rPr>
      </w:pPr>
    </w:p>
    <w:p w14:paraId="1DBB22C8">
      <w:pPr>
        <w:spacing w:after="0" w:line="520" w:lineRule="exact"/>
        <w:ind w:right="-624" w:rightChars="-297"/>
        <w:rPr>
          <w:rFonts w:ascii="仿宋_GB2312" w:hAnsi="宋体" w:eastAsia="仿宋_GB2312" w:cs="Times New Roman"/>
          <w:color w:val="auto"/>
          <w:sz w:val="28"/>
          <w:szCs w:val="28"/>
        </w:rPr>
      </w:pPr>
    </w:p>
    <w:p w14:paraId="2F3222D5">
      <w:pPr>
        <w:spacing w:after="0" w:line="520" w:lineRule="exact"/>
        <w:ind w:left="6160" w:hanging="6160" w:hangingChars="2200"/>
        <w:rPr>
          <w:rFonts w:ascii="仿宋_GB2312" w:hAnsi="宋体" w:eastAsia="仿宋_GB2312" w:cs="Times New Roman"/>
          <w:color w:val="auto"/>
        </w:rPr>
      </w:pPr>
      <w:r>
        <w:rPr>
          <w:rFonts w:hint="eastAsia" w:ascii="仿宋_GB2312" w:hAnsi="宋体" w:eastAsia="仿宋_GB2312" w:cs="Times New Roman"/>
          <w:color w:val="auto"/>
          <w:sz w:val="28"/>
          <w:szCs w:val="28"/>
        </w:rPr>
        <w:t>单位地址：</w:t>
      </w:r>
      <w:r>
        <w:rPr>
          <w:rFonts w:hint="eastAsia" w:ascii="仿宋_GB2312" w:hAnsi="宋体" w:eastAsia="仿宋_GB2312" w:cs="Times New Roman"/>
          <w:color w:val="auto"/>
        </w:rPr>
        <w:t xml:space="preserve">                          </w:t>
      </w:r>
      <w:r>
        <w:rPr>
          <w:rFonts w:hint="eastAsia" w:ascii="仿宋_GB2312" w:hAnsi="宋体" w:eastAsia="仿宋_GB2312" w:cs="Times New Roman"/>
          <w:color w:val="auto"/>
          <w:sz w:val="28"/>
          <w:szCs w:val="28"/>
        </w:rPr>
        <w:t xml:space="preserve">   </w:t>
      </w:r>
      <w:r>
        <w:rPr>
          <w:rFonts w:hint="eastAsia" w:ascii="Times New Roman" w:hAnsi="Times New Roman" w:eastAsia="仿宋_GB2312" w:cs="Times New Roman"/>
          <w:color w:val="auto"/>
          <w:spacing w:val="-40"/>
          <w:sz w:val="28"/>
          <w:szCs w:val="28"/>
        </w:rPr>
        <w:t>单位地址：</w:t>
      </w:r>
    </w:p>
    <w:p w14:paraId="316F067E">
      <w:pPr>
        <w:spacing w:after="0" w:line="520" w:lineRule="exact"/>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邮政编码：                       邮政编码：</w:t>
      </w:r>
    </w:p>
    <w:p w14:paraId="0B58E3B2">
      <w:pPr>
        <w:spacing w:after="0" w:line="520" w:lineRule="exact"/>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电话：                           电话：</w:t>
      </w:r>
    </w:p>
    <w:p w14:paraId="6C23E7EC">
      <w:pPr>
        <w:spacing w:after="0" w:line="520" w:lineRule="exact"/>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传真：                           传真：</w:t>
      </w:r>
    </w:p>
    <w:p w14:paraId="388534C8">
      <w:pPr>
        <w:spacing w:after="0" w:line="520" w:lineRule="exact"/>
        <w:ind w:left="5880" w:right="-197" w:rightChars="-94" w:hanging="5880" w:hangingChars="2100"/>
        <w:jc w:val="left"/>
        <w:rPr>
          <w:rFonts w:ascii="Times New Roman" w:hAnsi="Times New Roman" w:eastAsia="仿宋_GB2312" w:cs="Times New Roman"/>
          <w:color w:val="auto"/>
          <w:spacing w:val="-23"/>
          <w:w w:val="90"/>
          <w:sz w:val="28"/>
          <w:szCs w:val="28"/>
        </w:rPr>
      </w:pPr>
      <w:r>
        <w:rPr>
          <w:rFonts w:hint="eastAsia" w:ascii="仿宋_GB2312" w:hAnsi="宋体" w:eastAsia="仿宋_GB2312" w:cs="Times New Roman"/>
          <w:color w:val="auto"/>
          <w:sz w:val="28"/>
          <w:szCs w:val="28"/>
        </w:rPr>
        <w:t xml:space="preserve">开户银行：                       </w:t>
      </w:r>
      <w:r>
        <w:rPr>
          <w:rFonts w:hint="eastAsia" w:ascii="Times New Roman" w:hAnsi="Times New Roman" w:eastAsia="仿宋_GB2312" w:cs="Times New Roman"/>
          <w:color w:val="auto"/>
          <w:spacing w:val="-20"/>
          <w:sz w:val="28"/>
          <w:szCs w:val="28"/>
        </w:rPr>
        <w:t>开户银行：</w:t>
      </w:r>
    </w:p>
    <w:p w14:paraId="6946B3CC">
      <w:pPr>
        <w:spacing w:after="0" w:line="520" w:lineRule="exact"/>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银行帐号：                       银行帐号：</w:t>
      </w:r>
    </w:p>
    <w:p w14:paraId="586C7C77">
      <w:pPr>
        <w:spacing w:after="0" w:line="520" w:lineRule="exact"/>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联系人：                         联系人：</w:t>
      </w:r>
    </w:p>
    <w:p w14:paraId="54EFB586">
      <w:pPr>
        <w:spacing w:after="0" w:line="520" w:lineRule="exact"/>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邮箱：                           邮箱：</w:t>
      </w:r>
    </w:p>
    <w:p w14:paraId="0B13BCC9">
      <w:pPr>
        <w:spacing w:after="0" w:line="520" w:lineRule="exact"/>
        <w:ind w:right="84" w:rightChars="4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日期：  年  月                日期：  年  月</w:t>
      </w:r>
    </w:p>
    <w:p w14:paraId="0F3E1C1A">
      <w:pPr>
        <w:pStyle w:val="8"/>
        <w:spacing w:beforeLines="0" w:afterLines="0" w:line="360" w:lineRule="auto"/>
        <w:ind w:firstLine="422" w:firstLineChars="201"/>
        <w:jc w:val="left"/>
        <w:rPr>
          <w:rFonts w:hAnsi="宋体" w:eastAsia="宋体" w:cs="宋体"/>
          <w:color w:val="auto"/>
          <w:sz w:val="21"/>
        </w:rPr>
      </w:pPr>
    </w:p>
    <w:p w14:paraId="5CC8C3F2">
      <w:pPr>
        <w:widowControl/>
        <w:spacing w:after="0" w:line="360" w:lineRule="auto"/>
        <w:jc w:val="left"/>
        <w:rPr>
          <w:rFonts w:ascii="宋体" w:hAnsi="宋体" w:eastAsia="宋体"/>
          <w:b/>
          <w:bCs/>
          <w:color w:val="auto"/>
          <w:kern w:val="44"/>
          <w:sz w:val="24"/>
          <w:szCs w:val="44"/>
        </w:rPr>
      </w:pPr>
      <w:bookmarkStart w:id="98" w:name="_Toc118452538"/>
      <w:bookmarkStart w:id="99" w:name="_Toc34844746"/>
      <w:r>
        <w:rPr>
          <w:rFonts w:ascii="宋体" w:hAnsi="宋体" w:eastAsia="宋体"/>
          <w:color w:val="auto"/>
        </w:rPr>
        <w:br w:type="page"/>
      </w:r>
    </w:p>
    <w:p w14:paraId="1D120517">
      <w:pPr>
        <w:pStyle w:val="2"/>
        <w:spacing w:before="0" w:after="0"/>
        <w:ind w:firstLine="482"/>
        <w:rPr>
          <w:rFonts w:ascii="宋体" w:hAnsi="宋体" w:eastAsia="宋体"/>
          <w:color w:val="auto"/>
        </w:rPr>
      </w:pPr>
      <w:r>
        <w:rPr>
          <w:rFonts w:hint="eastAsia" w:ascii="宋体" w:hAnsi="宋体" w:eastAsia="宋体"/>
          <w:color w:val="auto"/>
        </w:rPr>
        <w:t xml:space="preserve">第六章 </w:t>
      </w:r>
      <w:r>
        <w:rPr>
          <w:rFonts w:ascii="宋体" w:hAnsi="宋体" w:eastAsia="宋体"/>
          <w:color w:val="auto"/>
        </w:rPr>
        <w:t xml:space="preserve"> </w:t>
      </w:r>
      <w:r>
        <w:rPr>
          <w:rFonts w:hint="eastAsia" w:ascii="宋体" w:hAnsi="宋体" w:eastAsia="宋体"/>
          <w:color w:val="auto"/>
        </w:rPr>
        <w:t>投标文件格式</w:t>
      </w:r>
      <w:bookmarkEnd w:id="98"/>
      <w:bookmarkEnd w:id="99"/>
    </w:p>
    <w:p w14:paraId="575A0597">
      <w:pPr>
        <w:snapToGrid w:val="0"/>
        <w:spacing w:after="0" w:line="360" w:lineRule="auto"/>
        <w:ind w:left="-23" w:leftChars="-11" w:right="-214" w:rightChars="-102" w:firstLine="21" w:firstLineChars="10"/>
        <w:jc w:val="left"/>
        <w:rPr>
          <w:rFonts w:ascii="宋体" w:hAnsi="宋体" w:eastAsia="宋体"/>
          <w:b/>
          <w:color w:val="auto"/>
        </w:rPr>
      </w:pPr>
      <w:r>
        <w:rPr>
          <w:rFonts w:hint="eastAsia" w:ascii="宋体" w:hAnsi="宋体" w:eastAsia="宋体"/>
          <w:b/>
          <w:color w:val="auto"/>
        </w:rPr>
        <w:t>1.资格要求响应文件的有关格式</w:t>
      </w:r>
    </w:p>
    <w:p w14:paraId="33956193">
      <w:pPr>
        <w:pStyle w:val="7"/>
        <w:spacing w:after="0" w:line="360" w:lineRule="auto"/>
        <w:ind w:left="0" w:leftChars="0"/>
        <w:jc w:val="center"/>
        <w:rPr>
          <w:rFonts w:ascii="宋体" w:hAnsi="宋体" w:eastAsia="宋体" w:cs="宋体"/>
          <w:b/>
          <w:color w:val="auto"/>
          <w:sz w:val="21"/>
        </w:rPr>
      </w:pPr>
      <w:r>
        <w:rPr>
          <w:rFonts w:hint="eastAsia" w:ascii="宋体" w:hAnsi="宋体" w:eastAsia="宋体" w:cs="宋体"/>
          <w:b/>
          <w:color w:val="auto"/>
          <w:sz w:val="21"/>
        </w:rPr>
        <w:t>（1）</w:t>
      </w:r>
      <w:r>
        <w:rPr>
          <w:rFonts w:ascii="宋体" w:hAnsi="宋体" w:eastAsia="宋体" w:cs="宋体"/>
          <w:b/>
          <w:color w:val="auto"/>
          <w:sz w:val="21"/>
        </w:rPr>
        <w:t>投标人资格声明函</w:t>
      </w:r>
    </w:p>
    <w:p w14:paraId="04CD1794">
      <w:pPr>
        <w:spacing w:after="0" w:line="360" w:lineRule="auto"/>
        <w:rPr>
          <w:rFonts w:ascii="宋体" w:hAnsi="宋体" w:eastAsia="宋体" w:cs="宋体"/>
          <w:b/>
          <w:color w:val="auto"/>
          <w:kern w:val="1"/>
        </w:rPr>
      </w:pPr>
      <w:r>
        <w:rPr>
          <w:rFonts w:hint="eastAsia" w:ascii="宋体" w:hAnsi="宋体" w:eastAsia="宋体"/>
          <w:bCs/>
          <w:color w:val="auto"/>
        </w:rPr>
        <w:t>致：</w:t>
      </w:r>
      <w:r>
        <w:rPr>
          <w:rFonts w:hint="eastAsia" w:ascii="宋体" w:hAnsi="宋体" w:eastAsia="宋体"/>
          <w:color w:val="auto"/>
          <w:u w:val="single"/>
        </w:rPr>
        <w:t>宁波市自然资源整治储备中心、宁波名诚招标代理有限公司</w:t>
      </w:r>
    </w:p>
    <w:p w14:paraId="4B0E2DB4">
      <w:pPr>
        <w:spacing w:after="0" w:line="360" w:lineRule="auto"/>
        <w:ind w:firstLine="420"/>
        <w:rPr>
          <w:rFonts w:ascii="宋体" w:hAnsi="宋体" w:eastAsia="宋体" w:cs="Arial"/>
          <w:color w:val="auto"/>
        </w:rPr>
      </w:pPr>
      <w:r>
        <w:rPr>
          <w:rFonts w:hint="eastAsia" w:ascii="宋体" w:hAnsi="宋体" w:eastAsia="宋体" w:cs="Arial"/>
          <w:color w:val="auto"/>
        </w:rPr>
        <w:t>我方参与本项目政府采购活动，郑重承诺：</w:t>
      </w:r>
    </w:p>
    <w:p w14:paraId="79FC4148">
      <w:pPr>
        <w:spacing w:after="0" w:line="360" w:lineRule="auto"/>
        <w:ind w:firstLine="420"/>
        <w:rPr>
          <w:rFonts w:ascii="宋体" w:hAnsi="宋体" w:eastAsia="宋体" w:cs="Arial"/>
          <w:color w:val="auto"/>
        </w:rPr>
      </w:pPr>
      <w:r>
        <w:rPr>
          <w:rFonts w:hint="eastAsia" w:ascii="宋体" w:hAnsi="宋体" w:eastAsia="宋体" w:cs="Arial"/>
          <w:color w:val="auto"/>
        </w:rPr>
        <w:t>一、具备《中华人民共和国政府采购法》第二十二条第一款规定的条件：</w:t>
      </w:r>
    </w:p>
    <w:p w14:paraId="5D6160C3">
      <w:pPr>
        <w:spacing w:after="0" w:line="360" w:lineRule="auto"/>
        <w:ind w:firstLine="420"/>
        <w:rPr>
          <w:rFonts w:ascii="宋体" w:hAnsi="宋体" w:eastAsia="宋体" w:cs="Arial"/>
          <w:color w:val="auto"/>
        </w:rPr>
      </w:pPr>
      <w:r>
        <w:rPr>
          <w:rFonts w:hint="eastAsia" w:ascii="宋体" w:hAnsi="宋体" w:eastAsia="宋体" w:cs="Arial"/>
          <w:color w:val="auto"/>
        </w:rPr>
        <w:t>1.具有独立承担民事责任的能力；</w:t>
      </w:r>
    </w:p>
    <w:p w14:paraId="7BCA118C">
      <w:pPr>
        <w:spacing w:after="0" w:line="360" w:lineRule="auto"/>
        <w:ind w:firstLine="420"/>
        <w:rPr>
          <w:rFonts w:ascii="宋体" w:hAnsi="宋体" w:eastAsia="宋体" w:cs="Arial"/>
          <w:color w:val="auto"/>
        </w:rPr>
      </w:pPr>
      <w:r>
        <w:rPr>
          <w:rFonts w:hint="eastAsia" w:ascii="宋体" w:hAnsi="宋体" w:eastAsia="宋体" w:cs="Arial"/>
          <w:color w:val="auto"/>
        </w:rPr>
        <w:t>2.具有良好的商业信誉和健全的财务会计制度；</w:t>
      </w:r>
    </w:p>
    <w:p w14:paraId="1210199B">
      <w:pPr>
        <w:spacing w:after="0" w:line="360" w:lineRule="auto"/>
        <w:ind w:firstLine="420"/>
        <w:rPr>
          <w:rFonts w:ascii="宋体" w:hAnsi="宋体" w:eastAsia="宋体" w:cs="Arial"/>
          <w:color w:val="auto"/>
        </w:rPr>
      </w:pPr>
      <w:r>
        <w:rPr>
          <w:rFonts w:hint="eastAsia" w:ascii="宋体" w:hAnsi="宋体" w:eastAsia="宋体" w:cs="Arial"/>
          <w:color w:val="auto"/>
        </w:rPr>
        <w:t>3.具有履行本项目合同所必需的设备和专业技术能力；</w:t>
      </w:r>
    </w:p>
    <w:p w14:paraId="0EB2F899">
      <w:pPr>
        <w:spacing w:after="0" w:line="360" w:lineRule="auto"/>
        <w:ind w:firstLine="420"/>
        <w:rPr>
          <w:rFonts w:ascii="宋体" w:hAnsi="宋体" w:eastAsia="宋体" w:cs="Arial"/>
          <w:color w:val="auto"/>
        </w:rPr>
      </w:pPr>
      <w:r>
        <w:rPr>
          <w:rFonts w:hint="eastAsia" w:ascii="宋体" w:hAnsi="宋体" w:eastAsia="宋体" w:cs="Arial"/>
          <w:color w:val="auto"/>
        </w:rPr>
        <w:t>4.有依法缴纳税收和社会保障资金的良好记录；</w:t>
      </w:r>
    </w:p>
    <w:p w14:paraId="02F7BC49">
      <w:pPr>
        <w:spacing w:after="0" w:line="360" w:lineRule="auto"/>
        <w:ind w:firstLine="420"/>
        <w:rPr>
          <w:rFonts w:ascii="宋体" w:hAnsi="宋体" w:eastAsia="宋体" w:cs="Arial"/>
          <w:color w:val="auto"/>
        </w:rPr>
      </w:pPr>
      <w:r>
        <w:rPr>
          <w:rFonts w:hint="eastAsia" w:ascii="宋体" w:hAnsi="宋体" w:eastAsia="宋体" w:cs="Arial"/>
          <w:color w:val="auto"/>
        </w:rPr>
        <w:t>5.在参加本次政府采购活动前三年内，在经营活动中没有重大违法记录（没有因违法经营受到刑事处罚或者责令停产停业、吊销许可证或者执照、较大数额罚款等行政处罚）；</w:t>
      </w:r>
    </w:p>
    <w:p w14:paraId="74FEE08F">
      <w:pPr>
        <w:spacing w:after="0" w:line="360" w:lineRule="auto"/>
        <w:ind w:firstLine="420"/>
        <w:rPr>
          <w:rFonts w:ascii="宋体" w:hAnsi="宋体" w:eastAsia="宋体" w:cs="Arial"/>
          <w:color w:val="auto"/>
        </w:rPr>
      </w:pPr>
      <w:r>
        <w:rPr>
          <w:rFonts w:hint="eastAsia" w:ascii="宋体" w:hAnsi="宋体" w:eastAsia="宋体" w:cs="Arial"/>
          <w:color w:val="auto"/>
        </w:rPr>
        <w:t>6.具有</w:t>
      </w:r>
      <w:r>
        <w:rPr>
          <w:rFonts w:ascii="宋体" w:hAnsi="宋体" w:eastAsia="宋体" w:cs="Arial"/>
          <w:color w:val="auto"/>
        </w:rPr>
        <w:t>法律、行政法规规定的其他条件</w:t>
      </w:r>
      <w:r>
        <w:rPr>
          <w:rFonts w:hint="eastAsia" w:ascii="宋体" w:hAnsi="宋体" w:eastAsia="宋体" w:cs="Arial"/>
          <w:color w:val="auto"/>
        </w:rPr>
        <w:t>。</w:t>
      </w:r>
    </w:p>
    <w:p w14:paraId="70F9B5F3">
      <w:pPr>
        <w:spacing w:after="0" w:line="360" w:lineRule="auto"/>
        <w:ind w:firstLine="420"/>
        <w:rPr>
          <w:rFonts w:ascii="宋体" w:hAnsi="宋体" w:eastAsia="宋体" w:cs="Arial"/>
          <w:color w:val="auto"/>
        </w:rPr>
      </w:pPr>
      <w:r>
        <w:rPr>
          <w:rFonts w:hint="eastAsia" w:ascii="宋体" w:hAnsi="宋体" w:eastAsia="宋体" w:cs="Arial"/>
          <w:color w:val="auto"/>
        </w:rPr>
        <w:t>二、未被“信用中国”（www.creditchina.gov.cn)、中国政府采购网（www.ccgp.gov.cn）列入失信被执行人、重大税收违法失信主体、政府采购严重违法失信行为记录名单。</w:t>
      </w:r>
    </w:p>
    <w:p w14:paraId="36C620B1">
      <w:pPr>
        <w:spacing w:after="0" w:line="360" w:lineRule="auto"/>
        <w:ind w:firstLine="420" w:firstLineChars="200"/>
        <w:rPr>
          <w:rFonts w:ascii="宋体" w:hAnsi="宋体" w:eastAsia="宋体" w:cs="宋体"/>
          <w:color w:val="auto"/>
        </w:rPr>
      </w:pPr>
    </w:p>
    <w:p w14:paraId="69E0F20D">
      <w:pPr>
        <w:spacing w:after="0" w:line="360" w:lineRule="auto"/>
        <w:ind w:firstLine="420" w:firstLineChars="200"/>
        <w:rPr>
          <w:rFonts w:ascii="宋体" w:hAnsi="宋体" w:eastAsia="宋体" w:cs="宋体"/>
          <w:color w:val="auto"/>
        </w:rPr>
      </w:pPr>
    </w:p>
    <w:p w14:paraId="75B2CF0F">
      <w:pPr>
        <w:snapToGrid w:val="0"/>
        <w:spacing w:after="0" w:line="360" w:lineRule="auto"/>
        <w:ind w:firstLine="3685" w:firstLineChars="1755"/>
        <w:rPr>
          <w:rFonts w:ascii="宋体" w:hAnsi="宋体" w:eastAsia="宋体"/>
          <w:color w:val="auto"/>
        </w:rPr>
      </w:pPr>
      <w:r>
        <w:rPr>
          <w:rFonts w:hint="eastAsia" w:ascii="宋体" w:hAnsi="宋体" w:eastAsia="宋体"/>
          <w:color w:val="auto"/>
        </w:rPr>
        <w:t>投标人：</w:t>
      </w:r>
      <w:r>
        <w:rPr>
          <w:rFonts w:hint="eastAsia" w:ascii="宋体" w:hAnsi="宋体" w:eastAsia="宋体"/>
          <w:color w:val="auto"/>
          <w:u w:val="single"/>
        </w:rPr>
        <w:t xml:space="preserve">（填写全称并加盖公章)     </w:t>
      </w:r>
    </w:p>
    <w:p w14:paraId="67BE79B1">
      <w:pPr>
        <w:snapToGrid w:val="0"/>
        <w:spacing w:after="0" w:line="360" w:lineRule="auto"/>
        <w:ind w:firstLine="3685" w:firstLineChars="1755"/>
        <w:rPr>
          <w:rFonts w:ascii="宋体" w:hAnsi="宋体" w:eastAsia="宋体"/>
          <w:color w:val="auto"/>
        </w:rPr>
      </w:pPr>
      <w:r>
        <w:rPr>
          <w:rFonts w:hint="eastAsia" w:ascii="宋体" w:hAnsi="宋体" w:eastAsia="宋体"/>
          <w:color w:val="auto"/>
        </w:rPr>
        <w:t xml:space="preserve">日 </w:t>
      </w:r>
      <w:r>
        <w:rPr>
          <w:rFonts w:ascii="宋体" w:hAnsi="宋体" w:eastAsia="宋体"/>
          <w:color w:val="auto"/>
        </w:rPr>
        <w:t xml:space="preserve"> </w:t>
      </w:r>
      <w:r>
        <w:rPr>
          <w:rFonts w:hint="eastAsia" w:ascii="宋体" w:hAnsi="宋体" w:eastAsia="宋体"/>
          <w:color w:val="auto"/>
        </w:rPr>
        <w:t>期：</w:t>
      </w:r>
    </w:p>
    <w:p w14:paraId="114F7643">
      <w:pPr>
        <w:snapToGrid w:val="0"/>
        <w:spacing w:after="0" w:line="360" w:lineRule="auto"/>
        <w:ind w:firstLine="3685" w:firstLineChars="1755"/>
        <w:rPr>
          <w:rFonts w:ascii="宋体" w:hAnsi="宋体" w:eastAsia="宋体"/>
          <w:color w:val="auto"/>
        </w:rPr>
      </w:pPr>
    </w:p>
    <w:p w14:paraId="30789E97">
      <w:pPr>
        <w:widowControl/>
        <w:spacing w:after="0" w:line="360" w:lineRule="auto"/>
        <w:jc w:val="left"/>
        <w:rPr>
          <w:rFonts w:ascii="宋体" w:hAnsi="宋体" w:eastAsia="宋体"/>
          <w:color w:val="auto"/>
        </w:rPr>
      </w:pPr>
    </w:p>
    <w:p w14:paraId="1E68CDD1">
      <w:pPr>
        <w:widowControl/>
        <w:spacing w:after="0" w:line="360" w:lineRule="auto"/>
        <w:jc w:val="left"/>
        <w:rPr>
          <w:rFonts w:ascii="宋体" w:hAnsi="宋体" w:eastAsia="宋体"/>
          <w:color w:val="auto"/>
          <w:kern w:val="0"/>
          <w:sz w:val="28"/>
        </w:rPr>
      </w:pPr>
    </w:p>
    <w:p w14:paraId="35AC7EED">
      <w:pPr>
        <w:widowControl/>
        <w:spacing w:line="360" w:lineRule="auto"/>
        <w:jc w:val="left"/>
        <w:rPr>
          <w:rFonts w:ascii="宋体" w:hAnsi="宋体"/>
          <w:b/>
          <w:color w:val="auto"/>
        </w:rPr>
      </w:pPr>
      <w:r>
        <w:rPr>
          <w:rFonts w:hint="eastAsia" w:ascii="宋体" w:hAnsi="宋体"/>
          <w:b/>
          <w:color w:val="auto"/>
        </w:rPr>
        <w:t>注：投标人为联合体投标的，联合体成员都需要编制此件加盖各自公章后作为资格要求响应文件的组成部分。</w:t>
      </w:r>
    </w:p>
    <w:p w14:paraId="358E262F">
      <w:pPr>
        <w:widowControl/>
        <w:spacing w:after="0" w:line="240" w:lineRule="auto"/>
        <w:jc w:val="left"/>
        <w:rPr>
          <w:rFonts w:ascii="宋体" w:hAnsi="宋体" w:eastAsia="宋体"/>
          <w:color w:val="auto"/>
          <w:kern w:val="0"/>
          <w:sz w:val="28"/>
        </w:rPr>
      </w:pPr>
      <w:r>
        <w:rPr>
          <w:rFonts w:ascii="宋体" w:hAnsi="宋体" w:eastAsia="宋体"/>
          <w:color w:val="auto"/>
        </w:rPr>
        <w:br w:type="page"/>
      </w:r>
    </w:p>
    <w:p w14:paraId="295BBBFB">
      <w:pPr>
        <w:pStyle w:val="7"/>
        <w:spacing w:after="0" w:line="360" w:lineRule="auto"/>
        <w:ind w:left="460" w:leftChars="0" w:hanging="460"/>
        <w:jc w:val="center"/>
        <w:rPr>
          <w:rFonts w:ascii="宋体" w:hAnsi="宋体" w:cs="宋体"/>
          <w:b/>
          <w:color w:val="auto"/>
          <w:sz w:val="21"/>
        </w:rPr>
      </w:pPr>
      <w:r>
        <w:rPr>
          <w:rFonts w:hint="eastAsia" w:ascii="宋体" w:hAnsi="宋体" w:cs="宋体"/>
          <w:b/>
          <w:color w:val="auto"/>
          <w:sz w:val="21"/>
        </w:rPr>
        <w:t>（2）联合协议</w:t>
      </w:r>
    </w:p>
    <w:p w14:paraId="3F475D08">
      <w:pPr>
        <w:pStyle w:val="14"/>
        <w:spacing w:line="360" w:lineRule="auto"/>
        <w:rPr>
          <w:rFonts w:ascii="宋体" w:hAnsi="宋体" w:eastAsia="宋体"/>
          <w:color w:val="auto"/>
          <w:spacing w:val="-10"/>
          <w:sz w:val="20"/>
          <w:szCs w:val="21"/>
        </w:rPr>
      </w:pPr>
      <w:r>
        <w:rPr>
          <w:rFonts w:hint="eastAsia" w:ascii="宋体" w:hAnsi="宋体" w:eastAsia="宋体"/>
          <w:color w:val="auto"/>
          <w:spacing w:val="-10"/>
          <w:sz w:val="20"/>
          <w:szCs w:val="21"/>
        </w:rPr>
        <w:t>（投标人为联合体投标的，请编制此件加盖公章后作为资格要求响应文件的组成部分）</w:t>
      </w:r>
    </w:p>
    <w:p w14:paraId="2FC8D55F">
      <w:pPr>
        <w:spacing w:after="0" w:line="360" w:lineRule="auto"/>
        <w:rPr>
          <w:rFonts w:asciiTheme="minorEastAsia" w:hAnsiTheme="minorEastAsia"/>
          <w:color w:val="auto"/>
          <w:u w:val="single"/>
        </w:rPr>
      </w:pPr>
      <w:r>
        <w:rPr>
          <w:rFonts w:hint="eastAsia" w:asciiTheme="minorEastAsia" w:hAnsiTheme="minorEastAsia"/>
          <w:color w:val="auto"/>
        </w:rPr>
        <w:t>联合体成员一名称：</w:t>
      </w:r>
      <w:r>
        <w:rPr>
          <w:rFonts w:hint="eastAsia" w:asciiTheme="minorEastAsia" w:hAnsiTheme="minorEastAsia"/>
          <w:color w:val="auto"/>
          <w:u w:val="single"/>
        </w:rPr>
        <w:t xml:space="preserve"> </w:t>
      </w:r>
      <w:r>
        <w:rPr>
          <w:rFonts w:asciiTheme="minorEastAsia" w:hAnsiTheme="minorEastAsia"/>
          <w:color w:val="auto"/>
          <w:u w:val="single"/>
        </w:rPr>
        <w:t xml:space="preserve"> </w:t>
      </w:r>
      <w:r>
        <w:rPr>
          <w:rFonts w:hint="eastAsia" w:asciiTheme="minorEastAsia" w:hAnsiTheme="minorEastAsia"/>
          <w:color w:val="auto"/>
          <w:u w:val="single"/>
        </w:rPr>
        <w:t xml:space="preserve">                        </w:t>
      </w:r>
      <w:r>
        <w:rPr>
          <w:rFonts w:asciiTheme="minorEastAsia" w:hAnsiTheme="minorEastAsia"/>
          <w:color w:val="auto"/>
          <w:u w:val="single"/>
        </w:rPr>
        <w:t xml:space="preserve">  </w:t>
      </w:r>
      <w:r>
        <w:rPr>
          <w:rFonts w:hint="eastAsia" w:asciiTheme="minorEastAsia" w:hAnsiTheme="minorEastAsia"/>
          <w:color w:val="auto"/>
        </w:rPr>
        <w:t>；</w:t>
      </w:r>
    </w:p>
    <w:p w14:paraId="46AE72B5">
      <w:pPr>
        <w:spacing w:after="0" w:line="360" w:lineRule="auto"/>
        <w:rPr>
          <w:rFonts w:asciiTheme="minorEastAsia" w:hAnsiTheme="minorEastAsia"/>
          <w:color w:val="auto"/>
        </w:rPr>
      </w:pPr>
      <w:r>
        <w:rPr>
          <w:rFonts w:hint="eastAsia" w:asciiTheme="minorEastAsia" w:hAnsiTheme="minorEastAsia"/>
          <w:color w:val="auto"/>
        </w:rPr>
        <w:t>联合体成员二名称：</w:t>
      </w:r>
      <w:r>
        <w:rPr>
          <w:rFonts w:hint="eastAsia" w:asciiTheme="minorEastAsia" w:hAnsiTheme="minorEastAsia"/>
          <w:color w:val="auto"/>
          <w:u w:val="single"/>
        </w:rPr>
        <w:t xml:space="preserve"> </w:t>
      </w:r>
      <w:r>
        <w:rPr>
          <w:rFonts w:asciiTheme="minorEastAsia" w:hAnsiTheme="minorEastAsia"/>
          <w:color w:val="auto"/>
          <w:u w:val="single"/>
        </w:rPr>
        <w:t xml:space="preserve"> </w:t>
      </w:r>
      <w:r>
        <w:rPr>
          <w:rFonts w:hint="eastAsia" w:asciiTheme="minorEastAsia" w:hAnsiTheme="minorEastAsia"/>
          <w:color w:val="auto"/>
          <w:u w:val="single"/>
        </w:rPr>
        <w:t xml:space="preserve">                          </w:t>
      </w:r>
      <w:r>
        <w:rPr>
          <w:rFonts w:hint="eastAsia" w:asciiTheme="minorEastAsia" w:hAnsiTheme="minorEastAsia"/>
          <w:color w:val="auto"/>
        </w:rPr>
        <w:t>；</w:t>
      </w:r>
    </w:p>
    <w:p w14:paraId="2D735163">
      <w:pPr>
        <w:spacing w:after="0" w:line="360" w:lineRule="auto"/>
        <w:rPr>
          <w:rFonts w:asciiTheme="minorEastAsia" w:hAnsiTheme="minorEastAsia"/>
          <w:color w:val="auto"/>
        </w:rPr>
      </w:pPr>
    </w:p>
    <w:p w14:paraId="3C060F51">
      <w:pPr>
        <w:spacing w:after="0" w:line="360" w:lineRule="auto"/>
        <w:ind w:firstLine="420" w:firstLineChars="200"/>
        <w:rPr>
          <w:rFonts w:asciiTheme="minorEastAsia" w:hAnsiTheme="minorEastAsia"/>
          <w:color w:val="auto"/>
        </w:rPr>
      </w:pPr>
      <w:r>
        <w:rPr>
          <w:rFonts w:hint="eastAsia" w:asciiTheme="minorEastAsia" w:hAnsiTheme="minorEastAsia"/>
          <w:color w:val="auto"/>
        </w:rPr>
        <w:t>上述各成员单位经过友好协商，自愿组成</w:t>
      </w:r>
      <w:r>
        <w:rPr>
          <w:rFonts w:asciiTheme="minorEastAsia" w:hAnsiTheme="minorEastAsia"/>
          <w:color w:val="auto"/>
        </w:rPr>
        <w:t>联合体，</w:t>
      </w:r>
      <w:r>
        <w:rPr>
          <w:rFonts w:hint="eastAsia" w:asciiTheme="minorEastAsia" w:hAnsiTheme="minorEastAsia"/>
          <w:color w:val="auto"/>
        </w:rPr>
        <w:t>以一个投标人的身份</w:t>
      </w:r>
      <w:r>
        <w:rPr>
          <w:rFonts w:asciiTheme="minorEastAsia" w:hAnsiTheme="minorEastAsia"/>
          <w:color w:val="auto"/>
        </w:rPr>
        <w:t>参加</w:t>
      </w:r>
      <w:r>
        <w:rPr>
          <w:rFonts w:hint="eastAsia" w:ascii="宋体" w:hAnsi="宋体" w:cs="宋体"/>
          <w:color w:val="auto"/>
          <w:u w:val="single"/>
        </w:rPr>
        <w:t xml:space="preserve">         </w:t>
      </w:r>
      <w:r>
        <w:rPr>
          <w:rFonts w:hint="eastAsia" w:asciiTheme="minorEastAsia" w:hAnsiTheme="minorEastAsia"/>
          <w:color w:val="auto"/>
        </w:rPr>
        <w:t>项目的投标，</w:t>
      </w:r>
      <w:r>
        <w:rPr>
          <w:rFonts w:asciiTheme="minorEastAsia" w:hAnsiTheme="minorEastAsia"/>
          <w:color w:val="auto"/>
        </w:rPr>
        <w:t>现就联合体投标事宜订立如下协议：</w:t>
      </w:r>
    </w:p>
    <w:p w14:paraId="4F8673C9">
      <w:pPr>
        <w:spacing w:after="0" w:line="360" w:lineRule="auto"/>
        <w:ind w:firstLine="435"/>
        <w:rPr>
          <w:rFonts w:asciiTheme="minorEastAsia" w:hAnsiTheme="minorEastAsia"/>
          <w:color w:val="auto"/>
        </w:rPr>
      </w:pPr>
      <w:r>
        <w:rPr>
          <w:rFonts w:hint="eastAsia" w:asciiTheme="minorEastAsia" w:hAnsiTheme="minorEastAsia"/>
          <w:color w:val="auto"/>
        </w:rPr>
        <w:t>1</w:t>
      </w:r>
      <w:r>
        <w:rPr>
          <w:rFonts w:asciiTheme="minorEastAsia" w:hAnsiTheme="minorEastAsia"/>
          <w:color w:val="auto"/>
        </w:rPr>
        <w:t>.</w:t>
      </w:r>
      <w:r>
        <w:rPr>
          <w:rFonts w:hint="eastAsia" w:asciiTheme="minorEastAsia" w:hAnsiTheme="minorEastAsia"/>
          <w:color w:val="auto"/>
        </w:rPr>
        <w:t>各方一致决定，</w:t>
      </w:r>
      <w:r>
        <w:rPr>
          <w:rFonts w:hint="eastAsia" w:asciiTheme="minorEastAsia" w:hAnsiTheme="minorEastAsia"/>
          <w:color w:val="auto"/>
          <w:u w:val="single"/>
        </w:rPr>
        <w:t xml:space="preserve">                 </w:t>
      </w:r>
      <w:r>
        <w:rPr>
          <w:rFonts w:hint="eastAsia" w:asciiTheme="minorEastAsia" w:hAnsiTheme="minorEastAsia"/>
          <w:color w:val="auto"/>
        </w:rPr>
        <w:t>为联合体牵头人，代表所有联合体成员负责投标和合同实施阶段的主办、协调工作。</w:t>
      </w:r>
    </w:p>
    <w:p w14:paraId="7414CC4B">
      <w:pPr>
        <w:spacing w:after="0" w:line="360" w:lineRule="auto"/>
        <w:ind w:firstLine="435"/>
        <w:rPr>
          <w:rFonts w:asciiTheme="minorEastAsia" w:hAnsiTheme="minorEastAsia"/>
          <w:color w:val="auto"/>
        </w:rPr>
      </w:pPr>
      <w:r>
        <w:rPr>
          <w:rFonts w:hint="eastAsia" w:asciiTheme="minorEastAsia" w:hAnsiTheme="minorEastAsia"/>
          <w:color w:val="auto"/>
        </w:rPr>
        <w:t>2.</w:t>
      </w:r>
      <w:r>
        <w:rPr>
          <w:rFonts w:asciiTheme="minorEastAsia" w:hAnsiTheme="minorEastAsia"/>
          <w:color w:val="auto"/>
        </w:rPr>
        <w:t>联合体各成员授权牵头人代表联合体参加投标活动，签署文件</w:t>
      </w:r>
      <w:r>
        <w:rPr>
          <w:rFonts w:hint="eastAsia" w:asciiTheme="minorEastAsia" w:hAnsiTheme="minorEastAsia"/>
          <w:color w:val="auto"/>
        </w:rPr>
        <w:t>及盖章</w:t>
      </w:r>
      <w:r>
        <w:rPr>
          <w:rFonts w:asciiTheme="minorEastAsia" w:hAnsiTheme="minorEastAsia"/>
          <w:color w:val="auto"/>
        </w:rPr>
        <w:t>，提交相关的资料</w:t>
      </w:r>
      <w:r>
        <w:rPr>
          <w:rFonts w:hint="eastAsia" w:asciiTheme="minorEastAsia" w:hAnsiTheme="minorEastAsia"/>
          <w:color w:val="auto"/>
        </w:rPr>
        <w:t>，接收</w:t>
      </w:r>
      <w:r>
        <w:rPr>
          <w:rFonts w:asciiTheme="minorEastAsia" w:hAnsiTheme="minorEastAsia"/>
          <w:color w:val="auto"/>
        </w:rPr>
        <w:t>信息及指示</w:t>
      </w:r>
      <w:r>
        <w:rPr>
          <w:rFonts w:hint="eastAsia" w:asciiTheme="minorEastAsia" w:hAnsiTheme="minorEastAsia"/>
          <w:color w:val="auto"/>
        </w:rPr>
        <w:t>并反馈</w:t>
      </w:r>
      <w:r>
        <w:rPr>
          <w:rFonts w:asciiTheme="minorEastAsia" w:hAnsiTheme="minorEastAsia"/>
          <w:color w:val="auto"/>
        </w:rPr>
        <w:t>，进行合同谈判活动，负责合同实施阶段的组织和协调工作，以及处理与本招标项目有关的一切事宜。</w:t>
      </w:r>
    </w:p>
    <w:p w14:paraId="5CEE5720">
      <w:pPr>
        <w:spacing w:after="0" w:line="360" w:lineRule="auto"/>
        <w:ind w:firstLine="435"/>
        <w:rPr>
          <w:rFonts w:asciiTheme="minorEastAsia" w:hAnsiTheme="minorEastAsia"/>
          <w:color w:val="auto"/>
        </w:rPr>
      </w:pPr>
      <w:r>
        <w:rPr>
          <w:rFonts w:hint="eastAsia" w:asciiTheme="minorEastAsia" w:hAnsiTheme="minorEastAsia"/>
          <w:color w:val="auto"/>
        </w:rPr>
        <w:t>3.</w:t>
      </w:r>
      <w:r>
        <w:rPr>
          <w:rFonts w:asciiTheme="minorEastAsia" w:hAnsiTheme="minorEastAsia"/>
          <w:color w:val="auto"/>
        </w:rPr>
        <w:t>联合体牵头人</w:t>
      </w:r>
      <w:r>
        <w:rPr>
          <w:rFonts w:hint="eastAsia" w:asciiTheme="minorEastAsia" w:hAnsiTheme="minorEastAsia"/>
          <w:color w:val="auto"/>
        </w:rPr>
        <w:t>及其授权代表</w:t>
      </w:r>
      <w:r>
        <w:rPr>
          <w:rFonts w:asciiTheme="minorEastAsia" w:hAnsiTheme="minorEastAsia"/>
          <w:color w:val="auto"/>
        </w:rPr>
        <w:t>在本项目</w:t>
      </w:r>
      <w:r>
        <w:rPr>
          <w:rFonts w:hint="eastAsia" w:asciiTheme="minorEastAsia" w:hAnsiTheme="minorEastAsia"/>
          <w:color w:val="auto"/>
        </w:rPr>
        <w:t>投标</w:t>
      </w:r>
      <w:r>
        <w:rPr>
          <w:rFonts w:asciiTheme="minorEastAsia" w:hAnsiTheme="minorEastAsia"/>
          <w:color w:val="auto"/>
        </w:rPr>
        <w:t>中签署的一切文件和处理的一切事宜，联合体各成员均予以承认。联合体各成员将严格按照招标文件、投标文件和合同的要求全面履行义务，并向招标人承担连带责任。</w:t>
      </w:r>
    </w:p>
    <w:p w14:paraId="3E914675">
      <w:pPr>
        <w:spacing w:after="0" w:line="360" w:lineRule="auto"/>
        <w:ind w:firstLine="435"/>
        <w:rPr>
          <w:rFonts w:asciiTheme="minorEastAsia" w:hAnsiTheme="minorEastAsia"/>
          <w:color w:val="auto"/>
        </w:rPr>
      </w:pPr>
      <w:r>
        <w:rPr>
          <w:rFonts w:asciiTheme="minorEastAsia" w:hAnsiTheme="minorEastAsia"/>
          <w:color w:val="auto"/>
        </w:rPr>
        <w:t>4</w:t>
      </w:r>
      <w:r>
        <w:rPr>
          <w:rFonts w:hint="eastAsia" w:asciiTheme="minorEastAsia" w:hAnsiTheme="minorEastAsia"/>
          <w:color w:val="auto"/>
        </w:rPr>
        <w:t>.联合体中标后，联合体各方共同与采购人签订合同，就本项目对采购人承担连带责任。</w:t>
      </w:r>
    </w:p>
    <w:p w14:paraId="6648DC8E">
      <w:pPr>
        <w:spacing w:after="0" w:line="360" w:lineRule="auto"/>
        <w:ind w:firstLine="435"/>
        <w:rPr>
          <w:rFonts w:asciiTheme="minorEastAsia" w:hAnsiTheme="minorEastAsia"/>
          <w:color w:val="auto"/>
        </w:rPr>
      </w:pPr>
      <w:r>
        <w:rPr>
          <w:rFonts w:asciiTheme="minorEastAsia" w:hAnsiTheme="minorEastAsia"/>
          <w:color w:val="auto"/>
        </w:rPr>
        <w:t>5.联合体各成员单位内部的职责分工</w:t>
      </w:r>
      <w:r>
        <w:rPr>
          <w:rFonts w:hint="eastAsia" w:asciiTheme="minorEastAsia" w:hAnsiTheme="minorEastAsia"/>
          <w:color w:val="auto"/>
        </w:rPr>
        <w:t>及各方负责内容的金额</w:t>
      </w:r>
      <w:r>
        <w:rPr>
          <w:rFonts w:asciiTheme="minorEastAsia" w:hAnsiTheme="minorEastAsia"/>
          <w:color w:val="auto"/>
        </w:rPr>
        <w:t>如下：</w:t>
      </w:r>
    </w:p>
    <w:p w14:paraId="14421C90">
      <w:pPr>
        <w:spacing w:after="0" w:line="360" w:lineRule="auto"/>
        <w:ind w:firstLine="435"/>
        <w:rPr>
          <w:rFonts w:asciiTheme="minorEastAsia" w:hAnsiTheme="minorEastAsia"/>
          <w:color w:val="auto"/>
          <w:u w:val="single"/>
          <w:shd w:val="clear" w:color="auto" w:fill="FFFF00"/>
        </w:rPr>
      </w:pPr>
      <w:r>
        <w:rPr>
          <w:rFonts w:hint="eastAsia" w:asciiTheme="minorEastAsia" w:hAnsiTheme="minorEastAsia"/>
          <w:color w:val="auto"/>
        </w:rPr>
        <w:t>联合体成员一名称：</w:t>
      </w:r>
      <w:r>
        <w:rPr>
          <w:rFonts w:hint="eastAsia" w:asciiTheme="minorEastAsia" w:hAnsiTheme="minorEastAsia"/>
          <w:color w:val="auto"/>
          <w:u w:val="single"/>
        </w:rPr>
        <w:t xml:space="preserve">                </w:t>
      </w:r>
      <w:r>
        <w:rPr>
          <w:rFonts w:asciiTheme="minorEastAsia" w:hAnsiTheme="minorEastAsia"/>
          <w:color w:val="auto"/>
          <w:u w:val="single"/>
        </w:rPr>
        <w:t xml:space="preserve"> </w:t>
      </w:r>
      <w:r>
        <w:rPr>
          <w:rFonts w:hint="eastAsia" w:asciiTheme="minorEastAsia" w:hAnsiTheme="minorEastAsia"/>
          <w:color w:val="auto"/>
        </w:rPr>
        <w:t>，牵头</w:t>
      </w:r>
      <w:r>
        <w:rPr>
          <w:rFonts w:asciiTheme="minorEastAsia" w:hAnsiTheme="minorEastAsia"/>
          <w:color w:val="auto"/>
          <w:u w:val="single"/>
        </w:rPr>
        <w:t xml:space="preserve"> </w:t>
      </w:r>
      <w:r>
        <w:rPr>
          <w:rFonts w:hint="eastAsia" w:asciiTheme="minorEastAsia" w:hAnsiTheme="minorEastAsia"/>
          <w:color w:val="auto"/>
          <w:u w:val="single"/>
        </w:rPr>
        <w:t xml:space="preserve">                  </w:t>
      </w:r>
      <w:r>
        <w:rPr>
          <w:rFonts w:asciiTheme="minorEastAsia" w:hAnsiTheme="minorEastAsia"/>
          <w:color w:val="auto"/>
          <w:u w:val="single"/>
        </w:rPr>
        <w:t xml:space="preserve"> </w:t>
      </w:r>
      <w:r>
        <w:rPr>
          <w:rFonts w:hint="eastAsia" w:asciiTheme="minorEastAsia" w:hAnsiTheme="minorEastAsia"/>
          <w:color w:val="auto"/>
        </w:rPr>
        <w:t>工作，负责内容的合同金额（或比例）</w:t>
      </w:r>
      <w:r>
        <w:rPr>
          <w:rFonts w:hint="eastAsia" w:asciiTheme="minorEastAsia" w:hAnsiTheme="minorEastAsia"/>
          <w:color w:val="auto"/>
          <w:u w:val="single"/>
        </w:rPr>
        <w:t xml:space="preserve">              ；</w:t>
      </w:r>
    </w:p>
    <w:p w14:paraId="474E8625">
      <w:pPr>
        <w:spacing w:after="0" w:line="360" w:lineRule="auto"/>
        <w:ind w:firstLine="435"/>
        <w:rPr>
          <w:rFonts w:asciiTheme="minorEastAsia" w:hAnsiTheme="minorEastAsia"/>
          <w:color w:val="auto"/>
          <w:u w:val="single"/>
        </w:rPr>
      </w:pPr>
      <w:r>
        <w:rPr>
          <w:rFonts w:hint="eastAsia" w:asciiTheme="minorEastAsia" w:hAnsiTheme="minorEastAsia"/>
          <w:color w:val="auto"/>
        </w:rPr>
        <w:t>联合体成员二名称：</w:t>
      </w:r>
      <w:r>
        <w:rPr>
          <w:rFonts w:hint="eastAsia" w:asciiTheme="minorEastAsia" w:hAnsiTheme="minorEastAsia"/>
          <w:color w:val="auto"/>
          <w:u w:val="single"/>
        </w:rPr>
        <w:t xml:space="preserve">                </w:t>
      </w:r>
      <w:r>
        <w:rPr>
          <w:rFonts w:asciiTheme="minorEastAsia" w:hAnsiTheme="minorEastAsia"/>
          <w:color w:val="auto"/>
          <w:u w:val="single"/>
        </w:rPr>
        <w:t xml:space="preserve"> </w:t>
      </w:r>
      <w:r>
        <w:rPr>
          <w:rFonts w:hint="eastAsia" w:asciiTheme="minorEastAsia" w:hAnsiTheme="minorEastAsia"/>
          <w:color w:val="auto"/>
        </w:rPr>
        <w:t>，承担</w:t>
      </w:r>
      <w:r>
        <w:rPr>
          <w:rFonts w:hint="eastAsia" w:asciiTheme="minorEastAsia" w:hAnsiTheme="minorEastAsia"/>
          <w:color w:val="auto"/>
          <w:u w:val="single"/>
        </w:rPr>
        <w:t xml:space="preserve">                    </w:t>
      </w:r>
      <w:r>
        <w:rPr>
          <w:rFonts w:hint="eastAsia" w:asciiTheme="minorEastAsia" w:hAnsiTheme="minorEastAsia"/>
          <w:color w:val="auto"/>
        </w:rPr>
        <w:t>工作，配合牵头单位完成其他项目工作，负责内容的合同金额（或比例）</w:t>
      </w:r>
      <w:r>
        <w:rPr>
          <w:rFonts w:hint="eastAsia" w:asciiTheme="minorEastAsia" w:hAnsiTheme="minorEastAsia"/>
          <w:color w:val="auto"/>
          <w:u w:val="single"/>
        </w:rPr>
        <w:t xml:space="preserve">                    。</w:t>
      </w:r>
    </w:p>
    <w:p w14:paraId="2A7D1E5F">
      <w:pPr>
        <w:spacing w:after="0" w:line="360" w:lineRule="auto"/>
        <w:ind w:firstLine="435"/>
        <w:rPr>
          <w:rFonts w:asciiTheme="minorEastAsia" w:hAnsiTheme="minorEastAsia"/>
          <w:color w:val="auto"/>
        </w:rPr>
      </w:pPr>
      <w:r>
        <w:rPr>
          <w:rFonts w:asciiTheme="minorEastAsia" w:hAnsiTheme="minorEastAsia"/>
          <w:color w:val="auto"/>
        </w:rPr>
        <w:t>6</w:t>
      </w:r>
      <w:r>
        <w:rPr>
          <w:rFonts w:hint="eastAsia" w:asciiTheme="minorEastAsia" w:hAnsiTheme="minorEastAsia"/>
          <w:color w:val="auto"/>
        </w:rPr>
        <w:t>.本协议提交采购人后，联合体各方不得以任何形式对上述内容进行修改或撤销。</w:t>
      </w:r>
    </w:p>
    <w:p w14:paraId="1D02EFB1">
      <w:pPr>
        <w:spacing w:after="0" w:line="360" w:lineRule="auto"/>
        <w:ind w:firstLine="435"/>
        <w:rPr>
          <w:rFonts w:asciiTheme="minorEastAsia" w:hAnsiTheme="minorEastAsia"/>
          <w:color w:val="auto"/>
        </w:rPr>
      </w:pPr>
      <w:r>
        <w:rPr>
          <w:rFonts w:asciiTheme="minorEastAsia" w:hAnsiTheme="minorEastAsia"/>
          <w:color w:val="auto"/>
        </w:rPr>
        <w:t>7</w:t>
      </w:r>
      <w:r>
        <w:rPr>
          <w:rFonts w:hint="eastAsia" w:asciiTheme="minorEastAsia" w:hAnsiTheme="minorEastAsia"/>
          <w:color w:val="auto"/>
        </w:rPr>
        <w:t>.</w:t>
      </w:r>
      <w:r>
        <w:rPr>
          <w:rFonts w:asciiTheme="minorEastAsia" w:hAnsiTheme="minorEastAsia"/>
          <w:color w:val="auto"/>
        </w:rPr>
        <w:t>联合体中标后，本联合协议是合同的附件，对联合体各成员单位有合同约束力。</w:t>
      </w:r>
    </w:p>
    <w:p w14:paraId="14B2103A">
      <w:pPr>
        <w:spacing w:after="0" w:line="360" w:lineRule="auto"/>
        <w:ind w:firstLine="435"/>
        <w:rPr>
          <w:rFonts w:asciiTheme="minorEastAsia" w:hAnsiTheme="minorEastAsia"/>
          <w:color w:val="auto"/>
        </w:rPr>
      </w:pPr>
      <w:r>
        <w:rPr>
          <w:rFonts w:asciiTheme="minorEastAsia" w:hAnsiTheme="minorEastAsia"/>
          <w:color w:val="auto"/>
        </w:rPr>
        <w:t>8</w:t>
      </w:r>
      <w:r>
        <w:rPr>
          <w:rFonts w:hint="eastAsia" w:asciiTheme="minorEastAsia" w:hAnsiTheme="minorEastAsia"/>
          <w:color w:val="auto"/>
        </w:rPr>
        <w:t>.</w:t>
      </w:r>
      <w:r>
        <w:rPr>
          <w:rFonts w:asciiTheme="minorEastAsia" w:hAnsiTheme="minorEastAsia"/>
          <w:color w:val="auto"/>
        </w:rPr>
        <w:t>本协议书自签署之日起生效，联合体未中标或者合同履行完毕后自动失效。</w:t>
      </w:r>
    </w:p>
    <w:p w14:paraId="0E253A05">
      <w:pPr>
        <w:spacing w:after="0" w:line="360" w:lineRule="auto"/>
        <w:ind w:firstLine="435"/>
        <w:rPr>
          <w:rFonts w:asciiTheme="minorEastAsia" w:hAnsiTheme="minorEastAsia"/>
          <w:color w:val="auto"/>
        </w:rPr>
      </w:pPr>
    </w:p>
    <w:p w14:paraId="452F8717">
      <w:pPr>
        <w:spacing w:after="0" w:line="360" w:lineRule="auto"/>
        <w:ind w:firstLine="435"/>
        <w:rPr>
          <w:rFonts w:asciiTheme="minorEastAsia" w:hAnsiTheme="minorEastAsia"/>
          <w:color w:val="auto"/>
        </w:rPr>
      </w:pPr>
      <w:r>
        <w:rPr>
          <w:rFonts w:hint="eastAsia" w:asciiTheme="minorEastAsia" w:hAnsiTheme="minorEastAsia"/>
          <w:color w:val="auto"/>
        </w:rPr>
        <w:t>联合体成员一：</w:t>
      </w:r>
      <w:r>
        <w:rPr>
          <w:rFonts w:hint="eastAsia" w:asciiTheme="minorEastAsia" w:hAnsiTheme="minorEastAsia"/>
          <w:color w:val="auto"/>
          <w:u w:val="single"/>
        </w:rPr>
        <w:t xml:space="preserve"> </w:t>
      </w:r>
      <w:r>
        <w:rPr>
          <w:rFonts w:asciiTheme="minorEastAsia" w:hAnsiTheme="minorEastAsia"/>
          <w:color w:val="auto"/>
          <w:u w:val="single"/>
        </w:rPr>
        <w:t xml:space="preserve"> </w:t>
      </w:r>
      <w:r>
        <w:rPr>
          <w:rFonts w:hint="eastAsia" w:asciiTheme="minorEastAsia" w:hAnsiTheme="minorEastAsia"/>
          <w:color w:val="auto"/>
          <w:u w:val="single"/>
        </w:rPr>
        <w:t xml:space="preserve">                     </w:t>
      </w:r>
      <w:r>
        <w:rPr>
          <w:rFonts w:hint="eastAsia" w:asciiTheme="minorEastAsia" w:hAnsiTheme="minorEastAsia"/>
          <w:color w:val="auto"/>
        </w:rPr>
        <w:t>（公章）</w:t>
      </w:r>
    </w:p>
    <w:p w14:paraId="4B5E5CD0">
      <w:pPr>
        <w:spacing w:after="0" w:line="360" w:lineRule="auto"/>
        <w:ind w:firstLine="435"/>
        <w:rPr>
          <w:rFonts w:asciiTheme="minorEastAsia" w:hAnsiTheme="minorEastAsia"/>
          <w:color w:val="auto"/>
        </w:rPr>
      </w:pPr>
      <w:r>
        <w:rPr>
          <w:rFonts w:hint="eastAsia" w:asciiTheme="minorEastAsia" w:hAnsiTheme="minorEastAsia"/>
          <w:color w:val="auto"/>
        </w:rPr>
        <w:t>法定代表人：</w:t>
      </w:r>
      <w:r>
        <w:rPr>
          <w:rFonts w:hint="eastAsia" w:asciiTheme="minorEastAsia" w:hAnsiTheme="minorEastAsia"/>
          <w:color w:val="auto"/>
          <w:u w:val="single"/>
        </w:rPr>
        <w:t xml:space="preserve">                       </w:t>
      </w:r>
      <w:r>
        <w:rPr>
          <w:rFonts w:hint="eastAsia" w:asciiTheme="minorEastAsia" w:hAnsiTheme="minorEastAsia"/>
          <w:color w:val="auto"/>
        </w:rPr>
        <w:t>（签字或盖章）</w:t>
      </w:r>
    </w:p>
    <w:p w14:paraId="7E1B8122">
      <w:pPr>
        <w:spacing w:after="0" w:line="360" w:lineRule="auto"/>
        <w:ind w:firstLine="435"/>
        <w:rPr>
          <w:rFonts w:asciiTheme="minorEastAsia" w:hAnsiTheme="minorEastAsia"/>
          <w:color w:val="auto"/>
        </w:rPr>
      </w:pPr>
    </w:p>
    <w:p w14:paraId="0035F2F0">
      <w:pPr>
        <w:spacing w:after="0" w:line="360" w:lineRule="auto"/>
        <w:ind w:firstLine="435"/>
        <w:rPr>
          <w:rFonts w:asciiTheme="minorEastAsia" w:hAnsiTheme="minorEastAsia"/>
          <w:color w:val="auto"/>
        </w:rPr>
      </w:pPr>
      <w:r>
        <w:rPr>
          <w:rFonts w:hint="eastAsia" w:asciiTheme="minorEastAsia" w:hAnsiTheme="minorEastAsia"/>
          <w:color w:val="auto"/>
        </w:rPr>
        <w:t>联合体成员二：</w:t>
      </w:r>
      <w:r>
        <w:rPr>
          <w:rFonts w:hint="eastAsia" w:asciiTheme="minorEastAsia" w:hAnsiTheme="minorEastAsia"/>
          <w:color w:val="auto"/>
          <w:u w:val="single"/>
        </w:rPr>
        <w:t xml:space="preserve">                     </w:t>
      </w:r>
      <w:r>
        <w:rPr>
          <w:rFonts w:asciiTheme="minorEastAsia" w:hAnsiTheme="minorEastAsia"/>
          <w:color w:val="auto"/>
          <w:u w:val="single"/>
        </w:rPr>
        <w:t xml:space="preserve">  </w:t>
      </w:r>
      <w:r>
        <w:rPr>
          <w:rFonts w:hint="eastAsia" w:asciiTheme="minorEastAsia" w:hAnsiTheme="minorEastAsia"/>
          <w:color w:val="auto"/>
        </w:rPr>
        <w:t>（公章）</w:t>
      </w:r>
    </w:p>
    <w:p w14:paraId="30B57EC9">
      <w:pPr>
        <w:spacing w:after="0" w:line="360" w:lineRule="auto"/>
        <w:ind w:firstLine="435"/>
        <w:rPr>
          <w:rFonts w:asciiTheme="minorEastAsia" w:hAnsiTheme="minorEastAsia"/>
          <w:color w:val="auto"/>
        </w:rPr>
      </w:pPr>
      <w:r>
        <w:rPr>
          <w:rFonts w:hint="eastAsia" w:asciiTheme="minorEastAsia" w:hAnsiTheme="minorEastAsia"/>
          <w:color w:val="auto"/>
        </w:rPr>
        <w:t>法定代表人：</w:t>
      </w:r>
      <w:r>
        <w:rPr>
          <w:rFonts w:hint="eastAsia" w:asciiTheme="minorEastAsia" w:hAnsiTheme="minorEastAsia"/>
          <w:color w:val="auto"/>
          <w:u w:val="single"/>
        </w:rPr>
        <w:t xml:space="preserve">                       </w:t>
      </w:r>
      <w:r>
        <w:rPr>
          <w:rFonts w:hint="eastAsia" w:asciiTheme="minorEastAsia" w:hAnsiTheme="minorEastAsia"/>
          <w:color w:val="auto"/>
        </w:rPr>
        <w:t>（签字或盖章）</w:t>
      </w:r>
    </w:p>
    <w:p w14:paraId="3DCDB532">
      <w:pPr>
        <w:spacing w:after="0" w:line="360" w:lineRule="auto"/>
        <w:ind w:firstLine="435"/>
        <w:rPr>
          <w:rFonts w:asciiTheme="minorEastAsia" w:hAnsiTheme="minorEastAsia"/>
          <w:color w:val="auto"/>
        </w:rPr>
      </w:pPr>
    </w:p>
    <w:p w14:paraId="17AD0EAA">
      <w:pPr>
        <w:spacing w:after="0" w:line="360" w:lineRule="auto"/>
        <w:ind w:firstLine="5250" w:firstLineChars="2500"/>
        <w:rPr>
          <w:color w:val="auto"/>
        </w:rPr>
      </w:pPr>
      <w:r>
        <w:rPr>
          <w:rFonts w:hint="eastAsia" w:asciiTheme="minorEastAsia" w:hAnsiTheme="minorEastAsia"/>
          <w:color w:val="auto"/>
        </w:rPr>
        <w:t>签订日期：    年    月    日</w:t>
      </w:r>
    </w:p>
    <w:p w14:paraId="65185EE1">
      <w:pPr>
        <w:pStyle w:val="5"/>
        <w:spacing w:after="0" w:line="360" w:lineRule="auto"/>
        <w:ind w:firstLine="560"/>
        <w:rPr>
          <w:rFonts w:ascii="宋体" w:hAnsi="宋体" w:eastAsia="宋体"/>
          <w:color w:val="auto"/>
        </w:rPr>
      </w:pPr>
    </w:p>
    <w:p w14:paraId="72FCD6BF">
      <w:pPr>
        <w:widowControl/>
        <w:spacing w:after="0" w:line="360" w:lineRule="auto"/>
        <w:jc w:val="left"/>
        <w:rPr>
          <w:rFonts w:ascii="宋体" w:hAnsi="宋体" w:eastAsia="宋体"/>
          <w:color w:val="auto"/>
          <w:kern w:val="0"/>
          <w:sz w:val="28"/>
        </w:rPr>
      </w:pPr>
      <w:r>
        <w:rPr>
          <w:rFonts w:ascii="宋体" w:hAnsi="宋体" w:eastAsia="宋体"/>
          <w:color w:val="auto"/>
        </w:rPr>
        <w:br w:type="page"/>
      </w:r>
    </w:p>
    <w:p w14:paraId="68C744A3">
      <w:pPr>
        <w:snapToGrid w:val="0"/>
        <w:spacing w:after="0" w:line="360" w:lineRule="auto"/>
        <w:ind w:left="-23" w:leftChars="-11" w:right="-214" w:rightChars="-102" w:firstLine="21" w:firstLineChars="10"/>
        <w:jc w:val="left"/>
        <w:rPr>
          <w:rFonts w:ascii="宋体" w:hAnsi="宋体" w:eastAsia="宋体" w:cs="宋体"/>
          <w:b/>
          <w:color w:val="auto"/>
        </w:rPr>
      </w:pPr>
      <w:r>
        <w:rPr>
          <w:rFonts w:hint="eastAsia" w:ascii="宋体" w:hAnsi="宋体" w:eastAsia="宋体"/>
          <w:b/>
          <w:color w:val="auto"/>
        </w:rPr>
        <w:t>2.商务技术文件的有关格式</w:t>
      </w:r>
    </w:p>
    <w:p w14:paraId="3FA106BE">
      <w:pPr>
        <w:pStyle w:val="7"/>
        <w:spacing w:after="0" w:line="360" w:lineRule="auto"/>
        <w:ind w:left="0" w:leftChars="0"/>
        <w:jc w:val="center"/>
        <w:rPr>
          <w:rFonts w:ascii="宋体" w:hAnsi="宋体" w:eastAsia="宋体" w:cs="宋体"/>
          <w:b/>
          <w:color w:val="auto"/>
          <w:sz w:val="21"/>
        </w:rPr>
      </w:pPr>
      <w:r>
        <w:rPr>
          <w:rFonts w:hint="eastAsia" w:ascii="宋体" w:hAnsi="宋体" w:eastAsia="宋体" w:cs="宋体"/>
          <w:b/>
          <w:color w:val="auto"/>
          <w:sz w:val="21"/>
        </w:rPr>
        <w:t>（1）投标函</w:t>
      </w:r>
    </w:p>
    <w:p w14:paraId="1F8C8596">
      <w:pPr>
        <w:snapToGrid w:val="0"/>
        <w:spacing w:after="0" w:line="360" w:lineRule="auto"/>
        <w:rPr>
          <w:rFonts w:ascii="宋体" w:hAnsi="宋体" w:eastAsia="宋体"/>
          <w:color w:val="auto"/>
        </w:rPr>
      </w:pPr>
      <w:r>
        <w:rPr>
          <w:rFonts w:hint="eastAsia" w:ascii="宋体" w:hAnsi="宋体" w:eastAsia="宋体"/>
          <w:color w:val="auto"/>
        </w:rPr>
        <w:t>致：</w:t>
      </w:r>
      <w:r>
        <w:rPr>
          <w:rFonts w:hint="eastAsia" w:ascii="宋体" w:hAnsi="宋体" w:eastAsia="宋体"/>
          <w:color w:val="auto"/>
          <w:u w:val="single"/>
        </w:rPr>
        <w:t>宁波市自然资源整治储备中心、宁波名诚招标代理有限公司</w:t>
      </w:r>
    </w:p>
    <w:p w14:paraId="6CED87CF">
      <w:pPr>
        <w:spacing w:after="0" w:line="360" w:lineRule="auto"/>
        <w:ind w:firstLine="420"/>
        <w:rPr>
          <w:rFonts w:ascii="宋体" w:hAnsi="宋体" w:eastAsia="宋体"/>
          <w:color w:val="auto"/>
        </w:rPr>
      </w:pPr>
      <w:r>
        <w:rPr>
          <w:rFonts w:hint="eastAsia" w:ascii="宋体" w:hAnsi="宋体" w:eastAsia="宋体"/>
          <w:color w:val="auto"/>
        </w:rPr>
        <w:t>我方参加你方组织的</w:t>
      </w:r>
      <w:r>
        <w:rPr>
          <w:rFonts w:hint="eastAsia" w:ascii="宋体" w:hAnsi="宋体" w:eastAsia="宋体"/>
          <w:color w:val="auto"/>
          <w:u w:val="single"/>
        </w:rPr>
        <w:t>邱隘南-环城融合区域前期研究</w:t>
      </w:r>
      <w:r>
        <w:rPr>
          <w:rFonts w:hint="eastAsia" w:ascii="宋体" w:hAnsi="宋体" w:eastAsia="宋体"/>
          <w:color w:val="auto"/>
        </w:rPr>
        <w:t>（项目编号：</w:t>
      </w:r>
      <w:r>
        <w:rPr>
          <w:rFonts w:hint="eastAsia" w:ascii="宋体" w:hAnsi="宋体" w:eastAsia="宋体"/>
          <w:color w:val="auto"/>
          <w:u w:val="single"/>
        </w:rPr>
        <w:t>NBMC-20252145G</w:t>
      </w:r>
      <w:r>
        <w:rPr>
          <w:rFonts w:hint="eastAsia" w:ascii="宋体" w:hAnsi="宋体" w:eastAsia="宋体"/>
          <w:color w:val="auto"/>
        </w:rPr>
        <w:t>）招标的有关活动，并对此项目进行投标。为此：</w:t>
      </w:r>
    </w:p>
    <w:p w14:paraId="6F7FF281">
      <w:pPr>
        <w:spacing w:after="0" w:line="360" w:lineRule="auto"/>
        <w:ind w:firstLine="420"/>
        <w:rPr>
          <w:rFonts w:ascii="宋体" w:hAnsi="宋体" w:eastAsia="宋体"/>
          <w:color w:val="auto"/>
        </w:rPr>
      </w:pPr>
      <w:r>
        <w:rPr>
          <w:rFonts w:hint="eastAsia" w:ascii="宋体" w:hAnsi="宋体" w:eastAsia="宋体"/>
          <w:color w:val="auto"/>
        </w:rPr>
        <w:t>1.按招标文件规定提供服务的投标报价见《开标一览表》。</w:t>
      </w:r>
    </w:p>
    <w:p w14:paraId="1A8724B2">
      <w:pPr>
        <w:spacing w:after="0" w:line="360" w:lineRule="auto"/>
        <w:ind w:firstLine="420"/>
        <w:rPr>
          <w:rFonts w:ascii="宋体" w:hAnsi="宋体" w:eastAsia="宋体"/>
          <w:color w:val="auto"/>
        </w:rPr>
      </w:pPr>
      <w:r>
        <w:rPr>
          <w:rFonts w:hint="eastAsia" w:ascii="宋体" w:hAnsi="宋体" w:eastAsia="宋体"/>
          <w:color w:val="auto"/>
        </w:rPr>
        <w:t>2.我方将根据招标文件的规定，在合同约定的期限内完成合同规定的全部义务。</w:t>
      </w:r>
    </w:p>
    <w:p w14:paraId="4D976E72">
      <w:pPr>
        <w:spacing w:after="0" w:line="360" w:lineRule="auto"/>
        <w:ind w:firstLine="420"/>
        <w:rPr>
          <w:rFonts w:ascii="宋体" w:hAnsi="宋体" w:eastAsia="宋体"/>
          <w:color w:val="auto"/>
        </w:rPr>
      </w:pPr>
      <w:r>
        <w:rPr>
          <w:rFonts w:hint="eastAsia" w:ascii="宋体" w:hAnsi="宋体" w:eastAsia="宋体"/>
          <w:color w:val="auto"/>
        </w:rPr>
        <w:t>3.我方已详细审核全部招标文件，包括招标文件的澄清或修改（如有），参考资料及有关附件，我方正式认可并遵守本项目招标文件，并对招标文件各项条款、规定及要求均无异议。我方知道必须放弃提出含糊不清或误解问题的权利。</w:t>
      </w:r>
    </w:p>
    <w:p w14:paraId="4574E494">
      <w:pPr>
        <w:spacing w:after="0" w:line="360" w:lineRule="auto"/>
        <w:ind w:firstLine="420"/>
        <w:rPr>
          <w:rFonts w:ascii="宋体" w:hAnsi="宋体" w:eastAsia="宋体"/>
          <w:color w:val="auto"/>
        </w:rPr>
      </w:pPr>
      <w:r>
        <w:rPr>
          <w:rFonts w:hint="eastAsia" w:ascii="宋体" w:hAnsi="宋体" w:eastAsia="宋体"/>
          <w:color w:val="auto"/>
        </w:rPr>
        <w:t>4.我方的投标文件在招标文件规定的投标有效期之前均对我方具有约束力。</w:t>
      </w:r>
    </w:p>
    <w:p w14:paraId="3071E173">
      <w:pPr>
        <w:spacing w:after="0" w:line="360" w:lineRule="auto"/>
        <w:ind w:firstLine="420"/>
        <w:rPr>
          <w:rFonts w:ascii="宋体" w:hAnsi="宋体" w:eastAsia="宋体"/>
          <w:color w:val="auto"/>
        </w:rPr>
      </w:pPr>
      <w:r>
        <w:rPr>
          <w:rFonts w:hint="eastAsia" w:ascii="宋体" w:hAnsi="宋体" w:eastAsia="宋体"/>
          <w:color w:val="auto"/>
        </w:rPr>
        <w:t>5.我方声明投标文件所提供的一切资料均真实无误、及时、有效，企业（单位）运营正常。由于我方提供资料不实而造成的责任和后果由我方独自承担。我方同意按照贵方提出的要求，提供与投标有关的任何证据、数据或资料。</w:t>
      </w:r>
    </w:p>
    <w:p w14:paraId="1BE2D0E5">
      <w:pPr>
        <w:spacing w:after="0" w:line="360" w:lineRule="auto"/>
        <w:ind w:firstLine="420"/>
        <w:rPr>
          <w:rFonts w:ascii="宋体" w:hAnsi="宋体" w:eastAsia="宋体"/>
          <w:color w:val="auto"/>
        </w:rPr>
      </w:pPr>
      <w:r>
        <w:rPr>
          <w:rFonts w:hint="eastAsia" w:ascii="宋体" w:hAnsi="宋体" w:eastAsia="宋体"/>
          <w:color w:val="auto"/>
        </w:rPr>
        <w:t>6.我方完全理解最低报价并不是中标的唯一标准。</w:t>
      </w:r>
    </w:p>
    <w:p w14:paraId="6774AC0B">
      <w:pPr>
        <w:spacing w:after="0" w:line="360" w:lineRule="auto"/>
        <w:ind w:firstLine="435"/>
        <w:rPr>
          <w:rFonts w:ascii="宋体" w:hAnsi="宋体" w:eastAsia="宋体"/>
          <w:color w:val="auto"/>
        </w:rPr>
      </w:pPr>
      <w:r>
        <w:rPr>
          <w:rFonts w:ascii="宋体" w:hAnsi="宋体" w:eastAsia="宋体"/>
          <w:color w:val="auto"/>
        </w:rPr>
        <w:t>7.如我方获得中标，承诺按照招标文件规定的金额、时间和方式支付采购代理服务费。因我方违约致使采购代理机构采取诉讼或仲裁等方式实现债权，为此支付的律师费、诉讼费、执行费、公证费、认证费、鉴定费、保全费、担保费、差旅费等为实现债权的一切费用由我方承担。</w:t>
      </w:r>
    </w:p>
    <w:p w14:paraId="01F90D73">
      <w:pPr>
        <w:snapToGrid w:val="0"/>
        <w:spacing w:after="0" w:line="360" w:lineRule="auto"/>
        <w:ind w:right="-214" w:rightChars="-102"/>
        <w:jc w:val="left"/>
        <w:rPr>
          <w:rFonts w:ascii="宋体" w:hAnsi="宋体" w:eastAsia="宋体"/>
          <w:color w:val="auto"/>
        </w:rPr>
      </w:pPr>
    </w:p>
    <w:p w14:paraId="4A859406">
      <w:pPr>
        <w:snapToGrid w:val="0"/>
        <w:spacing w:after="0" w:line="360" w:lineRule="auto"/>
        <w:rPr>
          <w:rFonts w:ascii="宋体" w:hAnsi="宋体" w:eastAsia="宋体"/>
          <w:color w:val="auto"/>
        </w:rPr>
      </w:pPr>
    </w:p>
    <w:p w14:paraId="018C7A36">
      <w:pPr>
        <w:snapToGrid w:val="0"/>
        <w:spacing w:after="0" w:line="360" w:lineRule="auto"/>
        <w:ind w:firstLine="4252" w:firstLineChars="2025"/>
        <w:rPr>
          <w:rFonts w:ascii="宋体" w:hAnsi="宋体" w:eastAsia="宋体"/>
          <w:color w:val="auto"/>
        </w:rPr>
      </w:pPr>
      <w:r>
        <w:rPr>
          <w:rFonts w:hint="eastAsia" w:ascii="宋体" w:hAnsi="宋体" w:eastAsia="宋体"/>
          <w:color w:val="auto"/>
        </w:rPr>
        <w:t>投标人：</w:t>
      </w:r>
      <w:r>
        <w:rPr>
          <w:rFonts w:hint="eastAsia" w:ascii="宋体" w:hAnsi="宋体" w:eastAsia="宋体"/>
          <w:color w:val="auto"/>
          <w:u w:val="single"/>
        </w:rPr>
        <w:t xml:space="preserve">（填写全称并加盖公章)  </w:t>
      </w:r>
    </w:p>
    <w:p w14:paraId="05390D70">
      <w:pPr>
        <w:snapToGrid w:val="0"/>
        <w:spacing w:after="0" w:line="360" w:lineRule="auto"/>
        <w:ind w:firstLine="4252" w:firstLineChars="2025"/>
        <w:rPr>
          <w:rFonts w:ascii="宋体" w:hAnsi="宋体" w:eastAsia="宋体"/>
          <w:color w:val="auto"/>
        </w:rPr>
      </w:pPr>
      <w:r>
        <w:rPr>
          <w:rFonts w:hint="eastAsia" w:ascii="宋体" w:hAnsi="宋体" w:eastAsia="宋体"/>
          <w:color w:val="auto"/>
        </w:rPr>
        <w:t xml:space="preserve">日 </w:t>
      </w:r>
      <w:r>
        <w:rPr>
          <w:rFonts w:ascii="宋体" w:hAnsi="宋体" w:eastAsia="宋体"/>
          <w:color w:val="auto"/>
        </w:rPr>
        <w:t xml:space="preserve"> </w:t>
      </w:r>
      <w:r>
        <w:rPr>
          <w:rFonts w:hint="eastAsia" w:ascii="宋体" w:hAnsi="宋体" w:eastAsia="宋体"/>
          <w:color w:val="auto"/>
        </w:rPr>
        <w:t>期：</w:t>
      </w:r>
    </w:p>
    <w:p w14:paraId="78C52E6B">
      <w:pPr>
        <w:pStyle w:val="5"/>
        <w:spacing w:after="0" w:line="360" w:lineRule="auto"/>
        <w:ind w:firstLine="560"/>
        <w:rPr>
          <w:rFonts w:ascii="宋体" w:hAnsi="宋体" w:eastAsia="宋体"/>
          <w:color w:val="auto"/>
        </w:rPr>
      </w:pPr>
    </w:p>
    <w:p w14:paraId="3F92B511">
      <w:pPr>
        <w:rPr>
          <w:rFonts w:ascii="宋体" w:hAnsi="宋体"/>
          <w:b/>
          <w:color w:val="auto"/>
        </w:rPr>
      </w:pPr>
    </w:p>
    <w:p w14:paraId="7A3920DE">
      <w:pPr>
        <w:rPr>
          <w:rFonts w:ascii="宋体" w:hAnsi="宋体"/>
          <w:b/>
          <w:color w:val="auto"/>
        </w:rPr>
      </w:pPr>
    </w:p>
    <w:p w14:paraId="7CAEE0BA">
      <w:pPr>
        <w:rPr>
          <w:rFonts w:ascii="宋体" w:hAnsi="宋体"/>
          <w:b/>
          <w:color w:val="auto"/>
        </w:rPr>
      </w:pPr>
    </w:p>
    <w:p w14:paraId="5BF037FB">
      <w:pPr>
        <w:rPr>
          <w:rFonts w:ascii="宋体" w:hAnsi="宋体"/>
          <w:b/>
          <w:color w:val="auto"/>
        </w:rPr>
      </w:pPr>
    </w:p>
    <w:p w14:paraId="29A06E21">
      <w:pPr>
        <w:rPr>
          <w:color w:val="auto"/>
        </w:rPr>
      </w:pPr>
      <w:r>
        <w:rPr>
          <w:rFonts w:hint="eastAsia" w:ascii="宋体" w:hAnsi="宋体"/>
          <w:b/>
          <w:color w:val="auto"/>
        </w:rPr>
        <w:t>注：联合体投标的，关于投标人全称双方单位名称均应填写，名称之间以顿号或斜杆区分。</w:t>
      </w:r>
    </w:p>
    <w:p w14:paraId="0AADA894">
      <w:pPr>
        <w:pStyle w:val="6"/>
        <w:spacing w:after="0" w:line="360" w:lineRule="auto"/>
        <w:ind w:firstLine="280"/>
        <w:rPr>
          <w:rFonts w:ascii="宋体" w:hAnsi="宋体" w:eastAsia="宋体"/>
          <w:color w:val="auto"/>
        </w:rPr>
      </w:pPr>
    </w:p>
    <w:p w14:paraId="4328FF45">
      <w:pPr>
        <w:pStyle w:val="7"/>
        <w:spacing w:after="0" w:line="360" w:lineRule="auto"/>
        <w:ind w:left="0" w:leftChars="0"/>
        <w:jc w:val="center"/>
        <w:rPr>
          <w:rFonts w:ascii="宋体" w:hAnsi="宋体" w:eastAsia="宋体" w:cs="宋体"/>
          <w:b/>
          <w:color w:val="auto"/>
          <w:sz w:val="21"/>
        </w:rPr>
      </w:pPr>
      <w:r>
        <w:rPr>
          <w:rFonts w:ascii="宋体" w:hAnsi="宋体" w:eastAsia="宋体"/>
          <w:b/>
          <w:color w:val="auto"/>
        </w:rPr>
        <w:br w:type="page"/>
      </w:r>
      <w:r>
        <w:rPr>
          <w:rFonts w:hint="eastAsia" w:ascii="宋体" w:hAnsi="宋体" w:eastAsia="宋体" w:cs="宋体"/>
          <w:b/>
          <w:color w:val="auto"/>
          <w:sz w:val="21"/>
        </w:rPr>
        <w:t>（2）</w:t>
      </w:r>
      <w:r>
        <w:rPr>
          <w:rFonts w:ascii="宋体" w:hAnsi="宋体" w:eastAsia="宋体" w:cs="宋体"/>
          <w:b/>
          <w:color w:val="auto"/>
          <w:sz w:val="21"/>
        </w:rPr>
        <w:t>授权委托书</w:t>
      </w:r>
    </w:p>
    <w:p w14:paraId="16D5DB2D">
      <w:pPr>
        <w:pStyle w:val="7"/>
        <w:spacing w:line="360" w:lineRule="auto"/>
        <w:ind w:left="460" w:leftChars="0" w:hanging="460"/>
        <w:jc w:val="center"/>
        <w:rPr>
          <w:rFonts w:ascii="宋体" w:hAnsi="宋体"/>
          <w:b/>
          <w:color w:val="auto"/>
          <w:sz w:val="21"/>
        </w:rPr>
      </w:pPr>
      <w:r>
        <w:rPr>
          <w:rFonts w:hint="eastAsia" w:ascii="宋体" w:hAnsi="宋体"/>
          <w:b/>
          <w:color w:val="auto"/>
          <w:sz w:val="21"/>
        </w:rPr>
        <w:t>授权委托书（适用于非联合体投标）</w:t>
      </w:r>
    </w:p>
    <w:p w14:paraId="25461069">
      <w:pPr>
        <w:snapToGrid w:val="0"/>
        <w:spacing w:after="0" w:line="360" w:lineRule="auto"/>
        <w:rPr>
          <w:rFonts w:ascii="宋体" w:hAnsi="宋体" w:eastAsia="宋体"/>
          <w:color w:val="auto"/>
        </w:rPr>
      </w:pPr>
      <w:r>
        <w:rPr>
          <w:rFonts w:hint="eastAsia" w:ascii="宋体" w:hAnsi="宋体" w:eastAsia="宋体"/>
          <w:color w:val="auto"/>
        </w:rPr>
        <w:t>致：</w:t>
      </w:r>
      <w:r>
        <w:rPr>
          <w:rFonts w:hint="eastAsia" w:ascii="宋体" w:hAnsi="宋体" w:eastAsia="宋体"/>
          <w:color w:val="auto"/>
          <w:u w:val="single"/>
        </w:rPr>
        <w:t>宁波市自然资源整治储备中心、宁波名诚招标代理有限公司</w:t>
      </w:r>
    </w:p>
    <w:p w14:paraId="0BF0556E">
      <w:pPr>
        <w:snapToGrid w:val="0"/>
        <w:spacing w:line="360" w:lineRule="auto"/>
        <w:ind w:firstLine="424" w:firstLineChars="202"/>
        <w:rPr>
          <w:rFonts w:ascii="宋体" w:hAnsi="宋体"/>
          <w:color w:val="auto"/>
        </w:rPr>
      </w:pPr>
      <w:r>
        <w:rPr>
          <w:rFonts w:hint="eastAsia" w:ascii="宋体" w:hAnsi="宋体"/>
          <w:color w:val="auto"/>
        </w:rPr>
        <w:t>我</w:t>
      </w:r>
      <w:r>
        <w:rPr>
          <w:rFonts w:hint="eastAsia" w:ascii="宋体" w:hAnsi="宋体"/>
          <w:color w:val="auto"/>
          <w:u w:val="single"/>
        </w:rPr>
        <w:t xml:space="preserve">    （姓名）     </w:t>
      </w:r>
      <w:r>
        <w:rPr>
          <w:rFonts w:hint="eastAsia" w:ascii="宋体" w:hAnsi="宋体"/>
          <w:color w:val="auto"/>
        </w:rPr>
        <w:t>系</w:t>
      </w:r>
      <w:r>
        <w:rPr>
          <w:rFonts w:hint="eastAsia" w:ascii="宋体" w:hAnsi="宋体"/>
          <w:color w:val="auto"/>
          <w:u w:val="single"/>
        </w:rPr>
        <w:t xml:space="preserve">    （投标人名称）   </w:t>
      </w:r>
      <w:r>
        <w:rPr>
          <w:rFonts w:hint="eastAsia" w:ascii="宋体" w:hAnsi="宋体"/>
          <w:color w:val="auto"/>
        </w:rPr>
        <w:t>的法定代表人，现授权委托</w:t>
      </w:r>
      <w:r>
        <w:rPr>
          <w:rFonts w:hint="eastAsia" w:ascii="宋体" w:hAnsi="宋体"/>
          <w:color w:val="auto"/>
          <w:u w:val="single"/>
        </w:rPr>
        <w:t xml:space="preserve">  （姓名）   </w:t>
      </w:r>
      <w:r>
        <w:rPr>
          <w:rFonts w:hint="eastAsia" w:ascii="宋体" w:hAnsi="宋体"/>
          <w:color w:val="auto"/>
        </w:rPr>
        <w:t>、身份证号：</w:t>
      </w:r>
      <w:r>
        <w:rPr>
          <w:rFonts w:hint="eastAsia" w:ascii="宋体" w:hAnsi="宋体"/>
          <w:color w:val="auto"/>
          <w:u w:val="single"/>
        </w:rPr>
        <w:t xml:space="preserve">                  </w:t>
      </w:r>
      <w:r>
        <w:rPr>
          <w:rFonts w:hint="eastAsia" w:ascii="宋体" w:hAnsi="宋体"/>
          <w:color w:val="auto"/>
        </w:rPr>
        <w:t>以我方的名义参加</w:t>
      </w:r>
      <w:r>
        <w:rPr>
          <w:rFonts w:hint="eastAsia" w:ascii="宋体" w:hAnsi="宋体"/>
          <w:color w:val="auto"/>
          <w:u w:val="single"/>
        </w:rPr>
        <w:t xml:space="preserve">         （项目名称）       </w:t>
      </w:r>
      <w:r>
        <w:rPr>
          <w:rFonts w:hint="eastAsia" w:ascii="宋体" w:hAnsi="宋体" w:cs="仿宋_GB2312"/>
          <w:color w:val="auto"/>
          <w:kern w:val="0"/>
          <w:lang w:val="zh-CN"/>
        </w:rPr>
        <w:t>政府采购投标响应的一切事项，其法律后果由我方承担。</w:t>
      </w:r>
    </w:p>
    <w:p w14:paraId="1E0A02CD">
      <w:pPr>
        <w:snapToGrid w:val="0"/>
        <w:spacing w:line="360" w:lineRule="auto"/>
        <w:ind w:firstLine="424" w:firstLineChars="202"/>
        <w:rPr>
          <w:rFonts w:ascii="宋体" w:hAnsi="宋体"/>
          <w:color w:val="auto"/>
        </w:rPr>
      </w:pPr>
      <w:r>
        <w:rPr>
          <w:rFonts w:hint="eastAsia" w:ascii="宋体" w:hAnsi="宋体"/>
          <w:color w:val="auto"/>
        </w:rPr>
        <w:t>本授权书自出具之日起生效，在撤销授权的书面通知以前，本授权委托书一直有效。授权代表在授权委托书有效期内签署的所有文件不因授权的撤销而失效。</w:t>
      </w:r>
    </w:p>
    <w:p w14:paraId="011A41E7">
      <w:pPr>
        <w:snapToGrid w:val="0"/>
        <w:spacing w:line="360" w:lineRule="auto"/>
        <w:ind w:firstLine="424" w:firstLineChars="202"/>
        <w:rPr>
          <w:rFonts w:ascii="宋体" w:hAnsi="宋体"/>
          <w:color w:val="auto"/>
        </w:rPr>
      </w:pPr>
      <w:r>
        <w:rPr>
          <w:rFonts w:hint="eastAsia" w:ascii="宋体" w:hAnsi="宋体"/>
          <w:color w:val="auto"/>
        </w:rPr>
        <w:t>授权代表无转委托权，特此授权。</w:t>
      </w:r>
    </w:p>
    <w:p w14:paraId="675EDCB5">
      <w:pPr>
        <w:snapToGrid w:val="0"/>
        <w:spacing w:line="360" w:lineRule="auto"/>
        <w:rPr>
          <w:rFonts w:ascii="宋体" w:hAnsi="宋体"/>
          <w:color w:val="auto"/>
        </w:rPr>
      </w:pPr>
    </w:p>
    <w:p w14:paraId="3D4608E3">
      <w:pPr>
        <w:snapToGrid w:val="0"/>
        <w:spacing w:line="360" w:lineRule="auto"/>
        <w:ind w:firstLine="3685" w:firstLineChars="1755"/>
        <w:rPr>
          <w:rFonts w:ascii="宋体" w:hAnsi="宋体"/>
          <w:color w:val="auto"/>
        </w:rPr>
      </w:pPr>
      <w:r>
        <w:rPr>
          <w:rFonts w:hint="eastAsia" w:ascii="宋体" w:hAnsi="宋体"/>
          <w:color w:val="auto"/>
        </w:rPr>
        <w:t>投标人：</w:t>
      </w:r>
      <w:r>
        <w:rPr>
          <w:rFonts w:hint="eastAsia" w:ascii="宋体" w:hAnsi="宋体"/>
          <w:color w:val="auto"/>
          <w:u w:val="single"/>
        </w:rPr>
        <w:t xml:space="preserve">          （填写全称并加盖公章）     </w:t>
      </w:r>
    </w:p>
    <w:p w14:paraId="42CFB871">
      <w:pPr>
        <w:snapToGrid w:val="0"/>
        <w:spacing w:line="360" w:lineRule="auto"/>
        <w:ind w:firstLine="3685" w:firstLineChars="1755"/>
        <w:rPr>
          <w:rFonts w:ascii="宋体" w:hAnsi="宋体"/>
          <w:color w:val="auto"/>
        </w:rPr>
      </w:pPr>
      <w:r>
        <w:rPr>
          <w:rFonts w:hint="eastAsia" w:ascii="宋体" w:hAnsi="宋体"/>
          <w:color w:val="auto"/>
        </w:rPr>
        <w:t>授权委托日期：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35E3A7EF">
      <w:pPr>
        <w:pStyle w:val="7"/>
        <w:spacing w:line="360" w:lineRule="auto"/>
        <w:ind w:left="460" w:leftChars="0" w:hanging="460"/>
        <w:jc w:val="center"/>
        <w:rPr>
          <w:rFonts w:ascii="宋体" w:hAnsi="宋体"/>
          <w:b/>
          <w:color w:val="auto"/>
          <w:sz w:val="21"/>
        </w:rPr>
      </w:pPr>
    </w:p>
    <w:p w14:paraId="79AE5057">
      <w:pPr>
        <w:pStyle w:val="7"/>
        <w:spacing w:line="360" w:lineRule="auto"/>
        <w:ind w:left="460" w:leftChars="0" w:hanging="460"/>
        <w:jc w:val="center"/>
        <w:rPr>
          <w:rFonts w:ascii="宋体" w:hAnsi="宋体"/>
          <w:b/>
          <w:color w:val="auto"/>
          <w:sz w:val="21"/>
        </w:rPr>
      </w:pPr>
      <w:r>
        <w:rPr>
          <w:rFonts w:hint="eastAsia" w:ascii="宋体" w:hAnsi="宋体"/>
          <w:b/>
          <w:color w:val="auto"/>
          <w:sz w:val="21"/>
        </w:rPr>
        <w:t>授权委托书（适用于联合体投标）</w:t>
      </w:r>
    </w:p>
    <w:p w14:paraId="2F4D159D">
      <w:pPr>
        <w:snapToGrid w:val="0"/>
        <w:spacing w:after="0" w:line="360" w:lineRule="auto"/>
        <w:rPr>
          <w:rFonts w:ascii="宋体" w:hAnsi="宋体" w:eastAsia="宋体"/>
          <w:color w:val="auto"/>
        </w:rPr>
      </w:pPr>
      <w:r>
        <w:rPr>
          <w:rFonts w:hint="eastAsia" w:ascii="宋体" w:hAnsi="宋体" w:eastAsia="宋体"/>
          <w:color w:val="auto"/>
        </w:rPr>
        <w:t>致：</w:t>
      </w:r>
      <w:r>
        <w:rPr>
          <w:rFonts w:hint="eastAsia" w:ascii="宋体" w:hAnsi="宋体" w:eastAsia="宋体"/>
          <w:color w:val="auto"/>
          <w:u w:val="single"/>
        </w:rPr>
        <w:t>宁波市自然资源整治储备中心、宁波名诚招标代理有限公司</w:t>
      </w:r>
    </w:p>
    <w:p w14:paraId="3B42F330">
      <w:pPr>
        <w:snapToGrid w:val="0"/>
        <w:spacing w:line="360" w:lineRule="auto"/>
        <w:ind w:firstLine="576"/>
        <w:rPr>
          <w:rFonts w:ascii="宋体" w:hAnsi="宋体" w:cs="仿宋_GB2312"/>
          <w:color w:val="auto"/>
          <w:kern w:val="0"/>
          <w:lang w:val="zh-CN"/>
        </w:rPr>
      </w:pPr>
      <w:r>
        <w:rPr>
          <w:rFonts w:hint="eastAsia" w:ascii="宋体" w:hAnsi="宋体" w:cs="仿宋_GB2312"/>
          <w:color w:val="auto"/>
          <w:kern w:val="0"/>
        </w:rPr>
        <w:t>现</w:t>
      </w:r>
      <w:r>
        <w:rPr>
          <w:rFonts w:hint="eastAsia" w:ascii="宋体" w:hAnsi="宋体" w:cs="仿宋_GB2312"/>
          <w:color w:val="auto"/>
          <w:kern w:val="0"/>
          <w:lang w:val="zh-CN"/>
        </w:rPr>
        <w:t>委托</w:t>
      </w:r>
      <w:r>
        <w:rPr>
          <w:rFonts w:ascii="宋体" w:hAnsi="宋体" w:cs="仿宋_GB2312"/>
          <w:color w:val="auto"/>
          <w:kern w:val="0"/>
          <w:u w:val="single"/>
          <w:lang w:val="zh-CN"/>
        </w:rPr>
        <w:t xml:space="preserve">     </w:t>
      </w:r>
      <w:r>
        <w:rPr>
          <w:rFonts w:hint="eastAsia" w:ascii="宋体" w:hAnsi="宋体" w:cs="仿宋_GB2312"/>
          <w:color w:val="auto"/>
          <w:kern w:val="0"/>
          <w:u w:val="single"/>
          <w:lang w:val="zh-CN"/>
        </w:rPr>
        <w:t>（姓名）</w:t>
      </w:r>
      <w:r>
        <w:rPr>
          <w:rFonts w:ascii="宋体" w:hAnsi="宋体" w:cs="仿宋_GB2312"/>
          <w:color w:val="auto"/>
          <w:kern w:val="0"/>
          <w:u w:val="single"/>
          <w:lang w:val="zh-CN"/>
        </w:rPr>
        <w:t xml:space="preserve">     </w:t>
      </w:r>
      <w:r>
        <w:rPr>
          <w:rFonts w:hint="eastAsia" w:ascii="宋体" w:hAnsi="宋体" w:cs="仿宋_GB2312"/>
          <w:color w:val="auto"/>
          <w:kern w:val="0"/>
          <w:lang w:val="zh-CN"/>
        </w:rPr>
        <w:t>为我方代理人（身份证号码：</w:t>
      </w:r>
      <w:r>
        <w:rPr>
          <w:rFonts w:ascii="宋体" w:hAnsi="宋体" w:cs="仿宋_GB2312"/>
          <w:color w:val="auto"/>
          <w:kern w:val="0"/>
          <w:u w:val="single"/>
          <w:lang w:val="zh-CN"/>
        </w:rPr>
        <w:t xml:space="preserve">                  </w:t>
      </w:r>
      <w:r>
        <w:rPr>
          <w:rFonts w:hint="eastAsia" w:ascii="宋体" w:hAnsi="宋体" w:cs="仿宋_GB2312"/>
          <w:color w:val="auto"/>
          <w:kern w:val="0"/>
          <w:lang w:val="zh-CN"/>
        </w:rPr>
        <w:t>），以我方名义处理</w:t>
      </w:r>
      <w:r>
        <w:rPr>
          <w:rFonts w:hint="eastAsia" w:ascii="宋体" w:hAnsi="宋体"/>
          <w:color w:val="auto"/>
          <w:u w:val="single"/>
        </w:rPr>
        <w:t xml:space="preserve">       （项目名称）    </w:t>
      </w:r>
      <w:r>
        <w:rPr>
          <w:rFonts w:hint="eastAsia" w:ascii="宋体" w:hAnsi="宋体" w:cs="仿宋_GB2312"/>
          <w:color w:val="auto"/>
          <w:kern w:val="0"/>
          <w:lang w:val="zh-CN"/>
        </w:rPr>
        <w:t>政府采购投标响应的一切事项，其法律后果由我方承担。</w:t>
      </w:r>
    </w:p>
    <w:p w14:paraId="12785966">
      <w:pPr>
        <w:snapToGrid w:val="0"/>
        <w:spacing w:line="360" w:lineRule="auto"/>
        <w:ind w:firstLine="424" w:firstLineChars="202"/>
        <w:rPr>
          <w:rFonts w:ascii="宋体" w:hAnsi="宋体"/>
          <w:color w:val="auto"/>
        </w:rPr>
      </w:pPr>
      <w:r>
        <w:rPr>
          <w:rFonts w:hint="eastAsia" w:ascii="宋体" w:hAnsi="宋体"/>
          <w:color w:val="auto"/>
        </w:rPr>
        <w:t>本授权书自出具之日起生效，在撤销授权的书面通知以前，本授权委托书一直有效。授权代表在授权委托书有效期内签署的所有文件不因授权的撤销而失效。</w:t>
      </w:r>
    </w:p>
    <w:p w14:paraId="2E0A532E">
      <w:pPr>
        <w:snapToGrid w:val="0"/>
        <w:spacing w:line="360" w:lineRule="auto"/>
        <w:ind w:firstLine="424" w:firstLineChars="202"/>
        <w:rPr>
          <w:rFonts w:ascii="宋体" w:hAnsi="宋体"/>
          <w:color w:val="auto"/>
        </w:rPr>
      </w:pPr>
      <w:r>
        <w:rPr>
          <w:rFonts w:hint="eastAsia" w:ascii="宋体" w:hAnsi="宋体"/>
          <w:color w:val="auto"/>
        </w:rPr>
        <w:t>授权代表无转委托权，特此授权。</w:t>
      </w:r>
    </w:p>
    <w:p w14:paraId="5D25DD3B">
      <w:pPr>
        <w:rPr>
          <w:rFonts w:ascii="宋体" w:hAnsi="宋体"/>
          <w:color w:val="auto"/>
        </w:rPr>
      </w:pPr>
    </w:p>
    <w:p w14:paraId="10A51241">
      <w:pPr>
        <w:snapToGrid w:val="0"/>
        <w:spacing w:before="120" w:beforeLines="50" w:after="120" w:afterLines="50" w:line="360" w:lineRule="auto"/>
        <w:ind w:firstLine="4109" w:firstLineChars="1957"/>
        <w:rPr>
          <w:rFonts w:ascii="宋体" w:hAnsi="宋体" w:cs="仿宋_GB2312"/>
          <w:color w:val="auto"/>
          <w:kern w:val="0"/>
          <w:lang w:val="zh-CN"/>
        </w:rPr>
      </w:pPr>
      <w:r>
        <w:rPr>
          <w:rFonts w:hint="eastAsia" w:ascii="宋体" w:hAnsi="宋体" w:cs="仿宋_GB2312"/>
          <w:color w:val="auto"/>
          <w:kern w:val="0"/>
          <w:lang w:val="zh-CN"/>
        </w:rPr>
        <w:t>联合体成员名称</w:t>
      </w:r>
      <w:r>
        <w:rPr>
          <w:rFonts w:ascii="宋体" w:hAnsi="宋体" w:cs="仿宋_GB2312"/>
          <w:color w:val="auto"/>
          <w:kern w:val="0"/>
          <w:lang w:val="zh-CN"/>
        </w:rPr>
        <w:t>：</w:t>
      </w:r>
      <w:r>
        <w:rPr>
          <w:rFonts w:hint="eastAsia" w:ascii="宋体" w:hAnsi="宋体"/>
          <w:color w:val="auto"/>
          <w:u w:val="single"/>
        </w:rPr>
        <w:t xml:space="preserve">  （填写全称并加盖公章）  </w:t>
      </w:r>
    </w:p>
    <w:p w14:paraId="27B9F7B8">
      <w:pPr>
        <w:snapToGrid w:val="0"/>
        <w:spacing w:before="120" w:beforeLines="50" w:after="120" w:afterLines="50" w:line="360" w:lineRule="auto"/>
        <w:ind w:firstLine="4109" w:firstLineChars="1957"/>
        <w:rPr>
          <w:rFonts w:ascii="宋体" w:hAnsi="宋体" w:cs="仿宋_GB2312"/>
          <w:color w:val="auto"/>
          <w:kern w:val="0"/>
          <w:lang w:val="zh-CN"/>
        </w:rPr>
      </w:pPr>
      <w:r>
        <w:rPr>
          <w:rFonts w:hint="eastAsia" w:ascii="宋体" w:hAnsi="宋体" w:cs="仿宋_GB2312"/>
          <w:color w:val="auto"/>
          <w:kern w:val="0"/>
          <w:lang w:val="zh-CN"/>
        </w:rPr>
        <w:t>联合体成员名称</w:t>
      </w:r>
      <w:r>
        <w:rPr>
          <w:rFonts w:ascii="宋体" w:hAnsi="宋体" w:cs="仿宋_GB2312"/>
          <w:color w:val="auto"/>
          <w:kern w:val="0"/>
          <w:lang w:val="zh-CN"/>
        </w:rPr>
        <w:t>：</w:t>
      </w:r>
      <w:r>
        <w:rPr>
          <w:rFonts w:hint="eastAsia" w:ascii="宋体" w:hAnsi="宋体"/>
          <w:color w:val="auto"/>
          <w:u w:val="single"/>
        </w:rPr>
        <w:t xml:space="preserve">  （填写全称并加盖公章）   </w:t>
      </w:r>
    </w:p>
    <w:p w14:paraId="246118D9">
      <w:pPr>
        <w:snapToGrid w:val="0"/>
        <w:spacing w:before="120" w:beforeLines="50" w:after="120" w:afterLines="50" w:line="360" w:lineRule="auto"/>
        <w:ind w:firstLine="4109" w:firstLineChars="1957"/>
        <w:rPr>
          <w:rFonts w:ascii="宋体" w:hAnsi="宋体" w:cs="仿宋_GB2312"/>
          <w:color w:val="auto"/>
          <w:kern w:val="0"/>
          <w:lang w:val="zh-CN"/>
        </w:rPr>
      </w:pPr>
      <w:r>
        <w:rPr>
          <w:rFonts w:hint="eastAsia" w:ascii="宋体" w:hAnsi="宋体"/>
          <w:color w:val="auto"/>
        </w:rPr>
        <w:t>授权委托日期</w:t>
      </w:r>
      <w:r>
        <w:rPr>
          <w:rFonts w:ascii="宋体" w:hAnsi="宋体" w:cs="仿宋_GB2312"/>
          <w:color w:val="auto"/>
          <w:kern w:val="0"/>
          <w:lang w:val="zh-CN"/>
        </w:rPr>
        <w:t xml:space="preserve">：  </w:t>
      </w:r>
      <w:r>
        <w:rPr>
          <w:rFonts w:hint="eastAsia" w:ascii="宋体" w:hAnsi="宋体" w:cs="仿宋_GB2312"/>
          <w:color w:val="auto"/>
          <w:kern w:val="0"/>
          <w:lang w:val="zh-CN"/>
        </w:rPr>
        <w:t xml:space="preserve"> </w:t>
      </w:r>
      <w:r>
        <w:rPr>
          <w:rFonts w:ascii="宋体" w:hAnsi="宋体" w:cs="仿宋_GB2312"/>
          <w:color w:val="auto"/>
          <w:kern w:val="0"/>
          <w:lang w:val="zh-CN"/>
        </w:rPr>
        <w:t>年  月   日</w:t>
      </w:r>
    </w:p>
    <w:p w14:paraId="3C030FDA">
      <w:pPr>
        <w:spacing w:after="0" w:line="360" w:lineRule="auto"/>
        <w:ind w:right="112"/>
        <w:rPr>
          <w:rFonts w:ascii="宋体" w:hAnsi="宋体" w:eastAsia="宋体"/>
          <w:b/>
          <w:color w:val="auto"/>
        </w:rPr>
      </w:pPr>
      <w:r>
        <w:rPr>
          <w:rFonts w:hint="eastAsia" w:ascii="宋体" w:hAnsi="宋体"/>
          <w:b/>
          <w:color w:val="auto"/>
        </w:rPr>
        <w:t>注：本项目只允许有唯一的投标人授权代表，后附投标人的法定代表人和授权代表身份证正反面复印件，其中，联合体投标的提供联合体牵头人的法定代表人身份证和授权代表身份证正反面复印件。</w:t>
      </w:r>
      <w:r>
        <w:rPr>
          <w:rFonts w:hint="eastAsia" w:ascii="宋体" w:hAnsi="宋体" w:eastAsia="宋体"/>
          <w:b/>
          <w:color w:val="auto"/>
        </w:rPr>
        <w:t>本表及其附件只要求投标人的法定代表人或其授权代表在投标文件中签署资料的情况下提交。</w:t>
      </w:r>
    </w:p>
    <w:p w14:paraId="5C8401EC">
      <w:pPr>
        <w:widowControl/>
        <w:spacing w:after="0" w:line="240" w:lineRule="auto"/>
        <w:jc w:val="left"/>
        <w:rPr>
          <w:rFonts w:ascii="宋体" w:hAnsi="宋体" w:eastAsia="宋体"/>
          <w:b/>
          <w:color w:val="auto"/>
        </w:rPr>
      </w:pPr>
      <w:r>
        <w:rPr>
          <w:rFonts w:ascii="宋体" w:hAnsi="宋体" w:eastAsia="宋体"/>
          <w:b/>
          <w:color w:val="auto"/>
        </w:rPr>
        <w:br w:type="page"/>
      </w:r>
    </w:p>
    <w:p w14:paraId="4F4AB1DF">
      <w:pPr>
        <w:pStyle w:val="7"/>
        <w:spacing w:after="0" w:line="360" w:lineRule="auto"/>
        <w:ind w:left="0" w:leftChars="0"/>
        <w:jc w:val="center"/>
        <w:rPr>
          <w:rFonts w:ascii="宋体" w:hAnsi="宋体" w:eastAsia="宋体"/>
          <w:color w:val="auto"/>
        </w:rPr>
      </w:pPr>
      <w:r>
        <w:rPr>
          <w:rFonts w:hint="eastAsia" w:ascii="宋体" w:hAnsi="宋体" w:eastAsia="宋体" w:cs="宋体"/>
          <w:b/>
          <w:color w:val="auto"/>
          <w:sz w:val="21"/>
        </w:rPr>
        <w:t>（3）评委打分索引表</w:t>
      </w:r>
    </w:p>
    <w:tbl>
      <w:tblPr>
        <w:tblStyle w:val="1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600"/>
        <w:gridCol w:w="1701"/>
        <w:gridCol w:w="2835"/>
      </w:tblGrid>
      <w:tr w14:paraId="6D9D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7F968A81">
            <w:pPr>
              <w:spacing w:after="0" w:line="240" w:lineRule="auto"/>
              <w:jc w:val="center"/>
              <w:rPr>
                <w:rFonts w:ascii="宋体" w:hAnsi="宋体" w:eastAsia="宋体"/>
                <w:color w:val="auto"/>
              </w:rPr>
            </w:pPr>
            <w:r>
              <w:rPr>
                <w:rFonts w:hint="eastAsia" w:ascii="宋体" w:hAnsi="宋体" w:eastAsia="宋体"/>
                <w:color w:val="auto"/>
              </w:rPr>
              <w:t>序号</w:t>
            </w:r>
          </w:p>
        </w:tc>
        <w:tc>
          <w:tcPr>
            <w:tcW w:w="3600" w:type="dxa"/>
            <w:vAlign w:val="center"/>
          </w:tcPr>
          <w:p w14:paraId="4D4C768A">
            <w:pPr>
              <w:spacing w:after="0" w:line="240" w:lineRule="auto"/>
              <w:jc w:val="center"/>
              <w:rPr>
                <w:rFonts w:ascii="宋体" w:hAnsi="宋体" w:eastAsia="宋体"/>
                <w:color w:val="auto"/>
              </w:rPr>
            </w:pPr>
            <w:r>
              <w:rPr>
                <w:rFonts w:hint="eastAsia" w:ascii="宋体" w:hAnsi="宋体" w:eastAsia="宋体"/>
                <w:color w:val="auto"/>
              </w:rPr>
              <w:t>评审因素</w:t>
            </w:r>
          </w:p>
        </w:tc>
        <w:tc>
          <w:tcPr>
            <w:tcW w:w="1701" w:type="dxa"/>
            <w:vAlign w:val="center"/>
          </w:tcPr>
          <w:p w14:paraId="096C79C2">
            <w:pPr>
              <w:spacing w:after="0" w:line="240" w:lineRule="auto"/>
              <w:jc w:val="center"/>
              <w:rPr>
                <w:rFonts w:ascii="宋体" w:hAnsi="宋体" w:eastAsia="宋体"/>
                <w:color w:val="auto"/>
              </w:rPr>
            </w:pPr>
            <w:r>
              <w:rPr>
                <w:rFonts w:hint="eastAsia" w:ascii="宋体" w:hAnsi="宋体" w:eastAsia="宋体"/>
                <w:color w:val="auto"/>
              </w:rPr>
              <w:t>文件或证明材料所在页码区间</w:t>
            </w:r>
          </w:p>
        </w:tc>
        <w:tc>
          <w:tcPr>
            <w:tcW w:w="2835" w:type="dxa"/>
            <w:vAlign w:val="center"/>
          </w:tcPr>
          <w:p w14:paraId="2187B0FD">
            <w:pPr>
              <w:spacing w:after="0" w:line="240" w:lineRule="auto"/>
              <w:jc w:val="center"/>
              <w:rPr>
                <w:rFonts w:ascii="宋体" w:hAnsi="宋体" w:eastAsia="宋体"/>
                <w:color w:val="auto"/>
              </w:rPr>
            </w:pPr>
            <w:r>
              <w:rPr>
                <w:rFonts w:hint="eastAsia" w:ascii="宋体" w:hAnsi="宋体" w:eastAsia="宋体"/>
                <w:color w:val="auto"/>
              </w:rPr>
              <w:t>自评得分（由评委进行主观评审的不用填写自评得分）</w:t>
            </w:r>
          </w:p>
        </w:tc>
      </w:tr>
      <w:tr w14:paraId="58F6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3E376FE">
            <w:pPr>
              <w:spacing w:after="0" w:line="240" w:lineRule="auto"/>
              <w:jc w:val="center"/>
              <w:rPr>
                <w:rFonts w:ascii="宋体" w:hAnsi="宋体" w:eastAsia="宋体"/>
                <w:color w:val="auto"/>
              </w:rPr>
            </w:pPr>
            <w:r>
              <w:rPr>
                <w:rFonts w:hint="eastAsia" w:ascii="宋体" w:hAnsi="宋体" w:eastAsia="宋体"/>
                <w:color w:val="auto"/>
              </w:rPr>
              <w:t>1</w:t>
            </w:r>
          </w:p>
        </w:tc>
        <w:tc>
          <w:tcPr>
            <w:tcW w:w="3600" w:type="dxa"/>
            <w:vAlign w:val="center"/>
          </w:tcPr>
          <w:p w14:paraId="5858D766">
            <w:pPr>
              <w:spacing w:after="0" w:line="240" w:lineRule="auto"/>
              <w:jc w:val="center"/>
              <w:rPr>
                <w:rFonts w:ascii="宋体" w:hAnsi="宋体" w:eastAsia="宋体"/>
                <w:color w:val="auto"/>
              </w:rPr>
            </w:pPr>
          </w:p>
        </w:tc>
        <w:tc>
          <w:tcPr>
            <w:tcW w:w="1701" w:type="dxa"/>
            <w:vAlign w:val="center"/>
          </w:tcPr>
          <w:p w14:paraId="634C37D3">
            <w:pPr>
              <w:spacing w:after="0" w:line="240" w:lineRule="auto"/>
              <w:jc w:val="center"/>
              <w:rPr>
                <w:rFonts w:ascii="宋体" w:hAnsi="宋体" w:eastAsia="宋体"/>
                <w:color w:val="auto"/>
              </w:rPr>
            </w:pPr>
          </w:p>
        </w:tc>
        <w:tc>
          <w:tcPr>
            <w:tcW w:w="2835" w:type="dxa"/>
            <w:vAlign w:val="center"/>
          </w:tcPr>
          <w:p w14:paraId="7E067656">
            <w:pPr>
              <w:spacing w:after="0" w:line="240" w:lineRule="auto"/>
              <w:jc w:val="center"/>
              <w:rPr>
                <w:rFonts w:ascii="宋体" w:hAnsi="宋体" w:eastAsia="宋体"/>
                <w:color w:val="auto"/>
              </w:rPr>
            </w:pPr>
          </w:p>
        </w:tc>
      </w:tr>
      <w:tr w14:paraId="65D8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0B9EF8A7">
            <w:pPr>
              <w:spacing w:after="0" w:line="240" w:lineRule="auto"/>
              <w:jc w:val="center"/>
              <w:rPr>
                <w:rFonts w:ascii="宋体" w:hAnsi="宋体" w:eastAsia="宋体"/>
                <w:color w:val="auto"/>
              </w:rPr>
            </w:pPr>
            <w:r>
              <w:rPr>
                <w:rFonts w:hint="eastAsia" w:ascii="宋体" w:hAnsi="宋体" w:eastAsia="宋体"/>
                <w:color w:val="auto"/>
              </w:rPr>
              <w:t>2</w:t>
            </w:r>
          </w:p>
        </w:tc>
        <w:tc>
          <w:tcPr>
            <w:tcW w:w="3600" w:type="dxa"/>
            <w:vAlign w:val="center"/>
          </w:tcPr>
          <w:p w14:paraId="6CB5D4C4">
            <w:pPr>
              <w:spacing w:after="0" w:line="240" w:lineRule="auto"/>
              <w:jc w:val="center"/>
              <w:rPr>
                <w:rFonts w:ascii="宋体" w:hAnsi="宋体" w:eastAsia="宋体"/>
                <w:color w:val="auto"/>
              </w:rPr>
            </w:pPr>
          </w:p>
        </w:tc>
        <w:tc>
          <w:tcPr>
            <w:tcW w:w="1701" w:type="dxa"/>
            <w:vAlign w:val="center"/>
          </w:tcPr>
          <w:p w14:paraId="16B04297">
            <w:pPr>
              <w:spacing w:after="0" w:line="240" w:lineRule="auto"/>
              <w:jc w:val="center"/>
              <w:rPr>
                <w:rFonts w:ascii="宋体" w:hAnsi="宋体" w:eastAsia="宋体"/>
                <w:color w:val="auto"/>
              </w:rPr>
            </w:pPr>
          </w:p>
        </w:tc>
        <w:tc>
          <w:tcPr>
            <w:tcW w:w="2835" w:type="dxa"/>
            <w:vAlign w:val="center"/>
          </w:tcPr>
          <w:p w14:paraId="02F7572D">
            <w:pPr>
              <w:spacing w:after="0" w:line="240" w:lineRule="auto"/>
              <w:jc w:val="center"/>
              <w:rPr>
                <w:rFonts w:ascii="宋体" w:hAnsi="宋体" w:eastAsia="宋体"/>
                <w:color w:val="auto"/>
              </w:rPr>
            </w:pPr>
          </w:p>
        </w:tc>
      </w:tr>
      <w:tr w14:paraId="03DC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2DB59DB7">
            <w:pPr>
              <w:spacing w:after="0" w:line="240" w:lineRule="auto"/>
              <w:jc w:val="center"/>
              <w:rPr>
                <w:rFonts w:ascii="宋体" w:hAnsi="宋体" w:eastAsia="宋体"/>
                <w:color w:val="auto"/>
              </w:rPr>
            </w:pPr>
            <w:r>
              <w:rPr>
                <w:rFonts w:hint="eastAsia" w:ascii="宋体" w:hAnsi="宋体" w:eastAsia="宋体"/>
                <w:color w:val="auto"/>
              </w:rPr>
              <w:t>3</w:t>
            </w:r>
          </w:p>
        </w:tc>
        <w:tc>
          <w:tcPr>
            <w:tcW w:w="3600" w:type="dxa"/>
            <w:vAlign w:val="center"/>
          </w:tcPr>
          <w:p w14:paraId="2B703A31">
            <w:pPr>
              <w:spacing w:after="0" w:line="240" w:lineRule="auto"/>
              <w:jc w:val="center"/>
              <w:rPr>
                <w:rFonts w:ascii="宋体" w:hAnsi="宋体" w:eastAsia="宋体"/>
                <w:color w:val="auto"/>
              </w:rPr>
            </w:pPr>
          </w:p>
        </w:tc>
        <w:tc>
          <w:tcPr>
            <w:tcW w:w="1701" w:type="dxa"/>
            <w:vAlign w:val="center"/>
          </w:tcPr>
          <w:p w14:paraId="0B7532EF">
            <w:pPr>
              <w:spacing w:after="0" w:line="240" w:lineRule="auto"/>
              <w:jc w:val="center"/>
              <w:rPr>
                <w:rFonts w:ascii="宋体" w:hAnsi="宋体" w:eastAsia="宋体"/>
                <w:color w:val="auto"/>
              </w:rPr>
            </w:pPr>
          </w:p>
        </w:tc>
        <w:tc>
          <w:tcPr>
            <w:tcW w:w="2835" w:type="dxa"/>
            <w:vAlign w:val="center"/>
          </w:tcPr>
          <w:p w14:paraId="2A2FB917">
            <w:pPr>
              <w:spacing w:after="0" w:line="240" w:lineRule="auto"/>
              <w:jc w:val="center"/>
              <w:rPr>
                <w:rFonts w:ascii="宋体" w:hAnsi="宋体" w:eastAsia="宋体"/>
                <w:color w:val="auto"/>
              </w:rPr>
            </w:pPr>
          </w:p>
        </w:tc>
      </w:tr>
      <w:tr w14:paraId="2DC6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3D01D096">
            <w:pPr>
              <w:spacing w:after="0" w:line="240" w:lineRule="auto"/>
              <w:jc w:val="center"/>
              <w:rPr>
                <w:rFonts w:ascii="宋体" w:hAnsi="宋体" w:eastAsia="宋体"/>
                <w:color w:val="auto"/>
              </w:rPr>
            </w:pPr>
            <w:r>
              <w:rPr>
                <w:rFonts w:hint="eastAsia" w:ascii="宋体" w:hAnsi="宋体" w:eastAsia="宋体"/>
                <w:color w:val="auto"/>
              </w:rPr>
              <w:t>4</w:t>
            </w:r>
          </w:p>
        </w:tc>
        <w:tc>
          <w:tcPr>
            <w:tcW w:w="3600" w:type="dxa"/>
            <w:vAlign w:val="center"/>
          </w:tcPr>
          <w:p w14:paraId="09ABE84E">
            <w:pPr>
              <w:spacing w:after="0" w:line="240" w:lineRule="auto"/>
              <w:jc w:val="center"/>
              <w:rPr>
                <w:rFonts w:ascii="宋体" w:hAnsi="宋体" w:eastAsia="宋体"/>
                <w:color w:val="auto"/>
              </w:rPr>
            </w:pPr>
          </w:p>
        </w:tc>
        <w:tc>
          <w:tcPr>
            <w:tcW w:w="1701" w:type="dxa"/>
            <w:vAlign w:val="center"/>
          </w:tcPr>
          <w:p w14:paraId="22FBBBB3">
            <w:pPr>
              <w:spacing w:after="0" w:line="240" w:lineRule="auto"/>
              <w:jc w:val="center"/>
              <w:rPr>
                <w:rFonts w:ascii="宋体" w:hAnsi="宋体" w:eastAsia="宋体"/>
                <w:color w:val="auto"/>
              </w:rPr>
            </w:pPr>
          </w:p>
        </w:tc>
        <w:tc>
          <w:tcPr>
            <w:tcW w:w="2835" w:type="dxa"/>
            <w:vAlign w:val="center"/>
          </w:tcPr>
          <w:p w14:paraId="2E5C80D2">
            <w:pPr>
              <w:spacing w:after="0" w:line="240" w:lineRule="auto"/>
              <w:jc w:val="center"/>
              <w:rPr>
                <w:rFonts w:ascii="宋体" w:hAnsi="宋体" w:eastAsia="宋体"/>
                <w:color w:val="auto"/>
              </w:rPr>
            </w:pPr>
          </w:p>
        </w:tc>
      </w:tr>
      <w:tr w14:paraId="4395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3AF481A6">
            <w:pPr>
              <w:spacing w:after="0" w:line="240" w:lineRule="auto"/>
              <w:jc w:val="center"/>
              <w:rPr>
                <w:rFonts w:ascii="宋体" w:hAnsi="宋体" w:eastAsia="宋体"/>
                <w:color w:val="auto"/>
              </w:rPr>
            </w:pPr>
            <w:r>
              <w:rPr>
                <w:rFonts w:hint="eastAsia" w:ascii="宋体" w:hAnsi="宋体" w:eastAsia="宋体"/>
                <w:color w:val="auto"/>
              </w:rPr>
              <w:t>5</w:t>
            </w:r>
          </w:p>
        </w:tc>
        <w:tc>
          <w:tcPr>
            <w:tcW w:w="3600" w:type="dxa"/>
            <w:vAlign w:val="center"/>
          </w:tcPr>
          <w:p w14:paraId="511E9DBD">
            <w:pPr>
              <w:spacing w:after="0" w:line="240" w:lineRule="auto"/>
              <w:jc w:val="center"/>
              <w:rPr>
                <w:rFonts w:ascii="宋体" w:hAnsi="宋体" w:eastAsia="宋体"/>
                <w:color w:val="auto"/>
              </w:rPr>
            </w:pPr>
          </w:p>
        </w:tc>
        <w:tc>
          <w:tcPr>
            <w:tcW w:w="1701" w:type="dxa"/>
            <w:vAlign w:val="center"/>
          </w:tcPr>
          <w:p w14:paraId="1E962CBC">
            <w:pPr>
              <w:spacing w:after="0" w:line="240" w:lineRule="auto"/>
              <w:jc w:val="center"/>
              <w:rPr>
                <w:rFonts w:ascii="宋体" w:hAnsi="宋体" w:eastAsia="宋体"/>
                <w:color w:val="auto"/>
              </w:rPr>
            </w:pPr>
          </w:p>
        </w:tc>
        <w:tc>
          <w:tcPr>
            <w:tcW w:w="2835" w:type="dxa"/>
            <w:vAlign w:val="center"/>
          </w:tcPr>
          <w:p w14:paraId="023EF04F">
            <w:pPr>
              <w:spacing w:after="0" w:line="240" w:lineRule="auto"/>
              <w:jc w:val="center"/>
              <w:rPr>
                <w:rFonts w:ascii="宋体" w:hAnsi="宋体" w:eastAsia="宋体"/>
                <w:color w:val="auto"/>
              </w:rPr>
            </w:pPr>
          </w:p>
        </w:tc>
      </w:tr>
      <w:tr w14:paraId="1D1F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F879F61">
            <w:pPr>
              <w:spacing w:after="0" w:line="240" w:lineRule="auto"/>
              <w:jc w:val="center"/>
              <w:rPr>
                <w:rFonts w:ascii="宋体" w:hAnsi="宋体" w:eastAsia="宋体"/>
                <w:color w:val="auto"/>
              </w:rPr>
            </w:pPr>
            <w:r>
              <w:rPr>
                <w:rFonts w:hint="eastAsia" w:ascii="宋体" w:hAnsi="宋体" w:eastAsia="宋体"/>
                <w:color w:val="auto"/>
              </w:rPr>
              <w:t>...</w:t>
            </w:r>
          </w:p>
        </w:tc>
        <w:tc>
          <w:tcPr>
            <w:tcW w:w="3600" w:type="dxa"/>
            <w:vAlign w:val="center"/>
          </w:tcPr>
          <w:p w14:paraId="70FA2507">
            <w:pPr>
              <w:spacing w:after="0" w:line="240" w:lineRule="auto"/>
              <w:jc w:val="center"/>
              <w:rPr>
                <w:rFonts w:ascii="宋体" w:hAnsi="宋体" w:eastAsia="宋体"/>
                <w:color w:val="auto"/>
              </w:rPr>
            </w:pPr>
          </w:p>
        </w:tc>
        <w:tc>
          <w:tcPr>
            <w:tcW w:w="1701" w:type="dxa"/>
            <w:vAlign w:val="center"/>
          </w:tcPr>
          <w:p w14:paraId="476B60BF">
            <w:pPr>
              <w:spacing w:after="0" w:line="240" w:lineRule="auto"/>
              <w:jc w:val="center"/>
              <w:rPr>
                <w:rFonts w:ascii="宋体" w:hAnsi="宋体" w:eastAsia="宋体"/>
                <w:color w:val="auto"/>
              </w:rPr>
            </w:pPr>
          </w:p>
        </w:tc>
        <w:tc>
          <w:tcPr>
            <w:tcW w:w="2835" w:type="dxa"/>
            <w:vAlign w:val="center"/>
          </w:tcPr>
          <w:p w14:paraId="7D6B6C1B">
            <w:pPr>
              <w:spacing w:after="0" w:line="240" w:lineRule="auto"/>
              <w:jc w:val="center"/>
              <w:rPr>
                <w:rFonts w:ascii="宋体" w:hAnsi="宋体" w:eastAsia="宋体"/>
                <w:color w:val="auto"/>
              </w:rPr>
            </w:pPr>
          </w:p>
        </w:tc>
      </w:tr>
    </w:tbl>
    <w:p w14:paraId="5193AA02">
      <w:pPr>
        <w:pStyle w:val="7"/>
        <w:spacing w:after="0" w:line="360" w:lineRule="auto"/>
        <w:ind w:left="1395" w:leftChars="67" w:right="112" w:hanging="1254"/>
        <w:rPr>
          <w:rFonts w:ascii="宋体" w:hAnsi="宋体" w:eastAsia="宋体"/>
          <w:color w:val="auto"/>
          <w:sz w:val="21"/>
        </w:rPr>
      </w:pPr>
      <w:r>
        <w:rPr>
          <w:rFonts w:hint="eastAsia" w:ascii="宋体" w:hAnsi="宋体" w:eastAsia="宋体"/>
          <w:color w:val="auto"/>
          <w:sz w:val="21"/>
        </w:rPr>
        <w:t>注：按照评委打分表内容逐项填写，报价部分无需列入。</w:t>
      </w:r>
    </w:p>
    <w:p w14:paraId="28EDFC93">
      <w:pPr>
        <w:pStyle w:val="7"/>
        <w:spacing w:after="0" w:line="360" w:lineRule="auto"/>
        <w:ind w:left="1670" w:right="112" w:hanging="1250"/>
        <w:rPr>
          <w:rFonts w:ascii="宋体" w:hAnsi="宋体" w:eastAsia="宋体"/>
          <w:b/>
          <w:color w:val="auto"/>
          <w:sz w:val="21"/>
        </w:rPr>
      </w:pPr>
    </w:p>
    <w:p w14:paraId="4CFF51D1">
      <w:pPr>
        <w:widowControl/>
        <w:spacing w:after="0" w:line="360" w:lineRule="auto"/>
        <w:ind w:left="2167" w:right="112" w:hanging="1806"/>
        <w:jc w:val="left"/>
        <w:rPr>
          <w:rFonts w:ascii="宋体" w:hAnsi="宋体" w:eastAsia="宋体" w:cs="宋体"/>
          <w:b/>
          <w:color w:val="auto"/>
        </w:rPr>
      </w:pPr>
      <w:r>
        <w:rPr>
          <w:rFonts w:ascii="宋体" w:hAnsi="宋体" w:eastAsia="宋体" w:cs="宋体"/>
          <w:b/>
          <w:color w:val="auto"/>
        </w:rPr>
        <w:br w:type="page"/>
      </w:r>
    </w:p>
    <w:p w14:paraId="79F2A486">
      <w:pPr>
        <w:pStyle w:val="7"/>
        <w:spacing w:after="0" w:line="360" w:lineRule="auto"/>
        <w:ind w:left="0" w:leftChars="0"/>
        <w:jc w:val="center"/>
        <w:rPr>
          <w:rFonts w:ascii="宋体" w:hAnsi="宋体" w:eastAsia="宋体" w:cs="宋体"/>
          <w:b/>
          <w:color w:val="auto"/>
          <w:sz w:val="21"/>
        </w:rPr>
      </w:pPr>
      <w:r>
        <w:rPr>
          <w:rFonts w:hint="eastAsia" w:ascii="宋体" w:hAnsi="宋体" w:eastAsia="宋体" w:cs="宋体"/>
          <w:b/>
          <w:color w:val="auto"/>
          <w:sz w:val="21"/>
        </w:rPr>
        <w:t>（</w:t>
      </w:r>
      <w:r>
        <w:rPr>
          <w:rFonts w:ascii="宋体" w:hAnsi="宋体" w:eastAsia="宋体" w:cs="宋体"/>
          <w:b/>
          <w:color w:val="auto"/>
          <w:sz w:val="21"/>
        </w:rPr>
        <w:t>4</w:t>
      </w:r>
      <w:r>
        <w:rPr>
          <w:rFonts w:hint="eastAsia" w:ascii="宋体" w:hAnsi="宋体" w:eastAsia="宋体" w:cs="宋体"/>
          <w:b/>
          <w:color w:val="auto"/>
          <w:sz w:val="21"/>
        </w:rPr>
        <w:t>）商务要求响应表</w:t>
      </w:r>
    </w:p>
    <w:tbl>
      <w:tblPr>
        <w:tblStyle w:val="15"/>
        <w:tblW w:w="901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134"/>
        <w:gridCol w:w="4395"/>
        <w:gridCol w:w="1276"/>
        <w:gridCol w:w="1531"/>
      </w:tblGrid>
      <w:tr w14:paraId="441E3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6C9EB492">
            <w:pPr>
              <w:spacing w:after="0" w:line="240" w:lineRule="auto"/>
              <w:jc w:val="center"/>
              <w:rPr>
                <w:rFonts w:ascii="宋体" w:hAnsi="宋体" w:eastAsia="宋体"/>
                <w:color w:val="auto"/>
              </w:rPr>
            </w:pPr>
            <w:r>
              <w:rPr>
                <w:rFonts w:hint="eastAsia" w:ascii="宋体" w:hAnsi="宋体" w:eastAsia="宋体"/>
                <w:color w:val="auto"/>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1F8223AD">
            <w:pPr>
              <w:spacing w:after="0" w:line="240" w:lineRule="auto"/>
              <w:jc w:val="center"/>
              <w:rPr>
                <w:rFonts w:ascii="宋体" w:hAnsi="宋体" w:eastAsia="宋体"/>
                <w:color w:val="auto"/>
              </w:rPr>
            </w:pPr>
            <w:r>
              <w:rPr>
                <w:rFonts w:ascii="宋体" w:hAnsi="宋体" w:eastAsia="宋体"/>
                <w:color w:val="auto"/>
              </w:rPr>
              <w:t>项目</w:t>
            </w:r>
          </w:p>
        </w:tc>
        <w:tc>
          <w:tcPr>
            <w:tcW w:w="4395" w:type="dxa"/>
            <w:tcBorders>
              <w:top w:val="single" w:color="auto" w:sz="4" w:space="0"/>
              <w:left w:val="single" w:color="auto" w:sz="4" w:space="0"/>
              <w:bottom w:val="single" w:color="auto" w:sz="4" w:space="0"/>
              <w:right w:val="single" w:color="auto" w:sz="4" w:space="0"/>
            </w:tcBorders>
            <w:vAlign w:val="center"/>
          </w:tcPr>
          <w:p w14:paraId="5E9F6735">
            <w:pPr>
              <w:spacing w:after="0" w:line="240" w:lineRule="auto"/>
              <w:jc w:val="center"/>
              <w:rPr>
                <w:rFonts w:ascii="宋体" w:hAnsi="宋体" w:eastAsia="宋体"/>
                <w:color w:val="auto"/>
              </w:rPr>
            </w:pPr>
            <w:r>
              <w:rPr>
                <w:rFonts w:ascii="宋体" w:hAnsi="宋体" w:eastAsia="宋体"/>
                <w:color w:val="auto"/>
              </w:rPr>
              <w:t>招标文件</w:t>
            </w:r>
            <w:r>
              <w:rPr>
                <w:rFonts w:hint="eastAsia" w:ascii="宋体" w:hAnsi="宋体" w:eastAsia="宋体"/>
                <w:color w:val="auto"/>
              </w:rPr>
              <w:t>的商务要求</w:t>
            </w:r>
          </w:p>
        </w:tc>
        <w:tc>
          <w:tcPr>
            <w:tcW w:w="1276" w:type="dxa"/>
            <w:tcBorders>
              <w:top w:val="single" w:color="auto" w:sz="4" w:space="0"/>
              <w:left w:val="single" w:color="auto" w:sz="4" w:space="0"/>
              <w:bottom w:val="single" w:color="auto" w:sz="4" w:space="0"/>
              <w:right w:val="single" w:color="auto" w:sz="4" w:space="0"/>
            </w:tcBorders>
            <w:vAlign w:val="center"/>
          </w:tcPr>
          <w:p w14:paraId="24474169">
            <w:pPr>
              <w:spacing w:after="0" w:line="240" w:lineRule="auto"/>
              <w:jc w:val="center"/>
              <w:rPr>
                <w:rFonts w:ascii="宋体" w:hAnsi="宋体" w:eastAsia="宋体"/>
                <w:color w:val="auto"/>
              </w:rPr>
            </w:pPr>
            <w:r>
              <w:rPr>
                <w:rFonts w:hint="eastAsia" w:ascii="宋体" w:hAnsi="宋体" w:eastAsia="宋体"/>
                <w:color w:val="auto"/>
              </w:rPr>
              <w:t>投标响应</w:t>
            </w:r>
          </w:p>
        </w:tc>
        <w:tc>
          <w:tcPr>
            <w:tcW w:w="1531" w:type="dxa"/>
            <w:tcBorders>
              <w:top w:val="single" w:color="auto" w:sz="4" w:space="0"/>
              <w:left w:val="single" w:color="auto" w:sz="4" w:space="0"/>
              <w:bottom w:val="single" w:color="auto" w:sz="4" w:space="0"/>
              <w:right w:val="single" w:color="auto" w:sz="4" w:space="0"/>
            </w:tcBorders>
            <w:vAlign w:val="center"/>
          </w:tcPr>
          <w:p w14:paraId="5CA514DC">
            <w:pPr>
              <w:spacing w:after="0" w:line="240" w:lineRule="auto"/>
              <w:jc w:val="center"/>
              <w:rPr>
                <w:rFonts w:ascii="宋体" w:hAnsi="宋体" w:eastAsia="宋体"/>
                <w:color w:val="auto"/>
              </w:rPr>
            </w:pPr>
            <w:r>
              <w:rPr>
                <w:rFonts w:hint="eastAsia" w:ascii="宋体" w:hAnsi="宋体" w:eastAsia="宋体"/>
                <w:color w:val="auto"/>
              </w:rPr>
              <w:t>偏离说明</w:t>
            </w:r>
          </w:p>
        </w:tc>
      </w:tr>
      <w:tr w14:paraId="699B9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559F58B0">
            <w:pPr>
              <w:spacing w:after="0" w:line="240" w:lineRule="auto"/>
              <w:jc w:val="center"/>
              <w:rPr>
                <w:rFonts w:ascii="宋体" w:hAnsi="宋体" w:eastAsia="宋体"/>
                <w:color w:val="auto"/>
              </w:rPr>
            </w:pPr>
            <w:r>
              <w:rPr>
                <w:rFonts w:hint="eastAsia" w:ascii="宋体" w:hAnsi="宋体" w:eastAsia="宋体"/>
                <w:color w:val="auto"/>
              </w:rPr>
              <w:t>1</w:t>
            </w:r>
          </w:p>
        </w:tc>
        <w:tc>
          <w:tcPr>
            <w:tcW w:w="1134" w:type="dxa"/>
            <w:tcBorders>
              <w:top w:val="single" w:color="auto" w:sz="4" w:space="0"/>
              <w:left w:val="single" w:color="auto" w:sz="4" w:space="0"/>
              <w:bottom w:val="single" w:color="auto" w:sz="4" w:space="0"/>
              <w:right w:val="single" w:color="auto" w:sz="4" w:space="0"/>
            </w:tcBorders>
            <w:vAlign w:val="center"/>
          </w:tcPr>
          <w:p w14:paraId="5D1A2902">
            <w:pPr>
              <w:spacing w:after="0" w:line="240" w:lineRule="auto"/>
              <w:jc w:val="left"/>
              <w:rPr>
                <w:rFonts w:ascii="宋体" w:hAnsi="宋体" w:eastAsia="宋体"/>
                <w:color w:val="auto"/>
              </w:rPr>
            </w:pPr>
          </w:p>
        </w:tc>
        <w:tc>
          <w:tcPr>
            <w:tcW w:w="4395" w:type="dxa"/>
            <w:tcBorders>
              <w:top w:val="single" w:color="auto" w:sz="4" w:space="0"/>
              <w:left w:val="single" w:color="auto" w:sz="4" w:space="0"/>
              <w:bottom w:val="single" w:color="auto" w:sz="4" w:space="0"/>
              <w:right w:val="single" w:color="auto" w:sz="4" w:space="0"/>
            </w:tcBorders>
            <w:vAlign w:val="center"/>
          </w:tcPr>
          <w:p w14:paraId="4FA42018">
            <w:pPr>
              <w:spacing w:after="0" w:line="240" w:lineRule="auto"/>
              <w:rPr>
                <w:rFonts w:ascii="宋体" w:hAnsi="宋体" w:eastAsia="宋体"/>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14:paraId="667027E9">
            <w:pPr>
              <w:spacing w:after="0" w:line="240" w:lineRule="auto"/>
              <w:jc w:val="center"/>
              <w:rPr>
                <w:rFonts w:ascii="宋体" w:hAnsi="宋体" w:eastAsia="宋体"/>
                <w:color w:val="auto"/>
              </w:rPr>
            </w:pPr>
          </w:p>
        </w:tc>
        <w:tc>
          <w:tcPr>
            <w:tcW w:w="1531" w:type="dxa"/>
            <w:tcBorders>
              <w:top w:val="single" w:color="auto" w:sz="4" w:space="0"/>
              <w:left w:val="single" w:color="auto" w:sz="4" w:space="0"/>
              <w:bottom w:val="single" w:color="auto" w:sz="4" w:space="0"/>
              <w:right w:val="single" w:color="auto" w:sz="4" w:space="0"/>
            </w:tcBorders>
            <w:vAlign w:val="center"/>
          </w:tcPr>
          <w:p w14:paraId="77B804C3">
            <w:pPr>
              <w:spacing w:after="0" w:line="240" w:lineRule="auto"/>
              <w:jc w:val="center"/>
              <w:rPr>
                <w:rFonts w:ascii="宋体" w:hAnsi="宋体" w:eastAsia="宋体"/>
                <w:color w:val="auto"/>
              </w:rPr>
            </w:pPr>
          </w:p>
        </w:tc>
      </w:tr>
      <w:tr w14:paraId="5F1E7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10AF9A56">
            <w:pPr>
              <w:spacing w:after="0" w:line="240" w:lineRule="auto"/>
              <w:jc w:val="center"/>
              <w:rPr>
                <w:rFonts w:ascii="宋体" w:hAnsi="宋体" w:eastAsia="宋体"/>
                <w:color w:val="auto"/>
              </w:rPr>
            </w:pPr>
            <w:r>
              <w:rPr>
                <w:rFonts w:hint="eastAsia" w:ascii="宋体" w:hAnsi="宋体" w:eastAsia="宋体"/>
                <w:color w:val="auto"/>
              </w:rPr>
              <w:t>2</w:t>
            </w:r>
          </w:p>
        </w:tc>
        <w:tc>
          <w:tcPr>
            <w:tcW w:w="1134" w:type="dxa"/>
            <w:tcBorders>
              <w:top w:val="single" w:color="auto" w:sz="4" w:space="0"/>
              <w:left w:val="single" w:color="auto" w:sz="4" w:space="0"/>
              <w:bottom w:val="single" w:color="auto" w:sz="4" w:space="0"/>
              <w:right w:val="single" w:color="auto" w:sz="4" w:space="0"/>
            </w:tcBorders>
            <w:vAlign w:val="center"/>
          </w:tcPr>
          <w:p w14:paraId="3BC08259">
            <w:pPr>
              <w:spacing w:after="0" w:line="240" w:lineRule="auto"/>
              <w:jc w:val="left"/>
              <w:rPr>
                <w:rFonts w:ascii="宋体" w:hAnsi="宋体" w:eastAsia="宋体"/>
                <w:color w:val="auto"/>
              </w:rPr>
            </w:pPr>
          </w:p>
        </w:tc>
        <w:tc>
          <w:tcPr>
            <w:tcW w:w="4395" w:type="dxa"/>
            <w:tcBorders>
              <w:top w:val="single" w:color="auto" w:sz="4" w:space="0"/>
              <w:left w:val="single" w:color="auto" w:sz="4" w:space="0"/>
              <w:bottom w:val="single" w:color="auto" w:sz="4" w:space="0"/>
              <w:right w:val="single" w:color="auto" w:sz="4" w:space="0"/>
            </w:tcBorders>
            <w:vAlign w:val="center"/>
          </w:tcPr>
          <w:p w14:paraId="63557782">
            <w:pPr>
              <w:spacing w:after="0" w:line="240" w:lineRule="auto"/>
              <w:rPr>
                <w:rFonts w:ascii="宋体" w:hAnsi="宋体" w:eastAsia="宋体"/>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14:paraId="60D694A2">
            <w:pPr>
              <w:spacing w:after="0" w:line="240" w:lineRule="auto"/>
              <w:jc w:val="center"/>
              <w:rPr>
                <w:rFonts w:ascii="宋体" w:hAnsi="宋体" w:eastAsia="宋体"/>
                <w:color w:val="auto"/>
              </w:rPr>
            </w:pPr>
          </w:p>
        </w:tc>
        <w:tc>
          <w:tcPr>
            <w:tcW w:w="1531" w:type="dxa"/>
            <w:tcBorders>
              <w:top w:val="single" w:color="auto" w:sz="4" w:space="0"/>
              <w:left w:val="single" w:color="auto" w:sz="4" w:space="0"/>
              <w:bottom w:val="single" w:color="auto" w:sz="4" w:space="0"/>
              <w:right w:val="single" w:color="auto" w:sz="4" w:space="0"/>
            </w:tcBorders>
            <w:vAlign w:val="center"/>
          </w:tcPr>
          <w:p w14:paraId="231105F6">
            <w:pPr>
              <w:spacing w:after="0" w:line="240" w:lineRule="auto"/>
              <w:jc w:val="center"/>
              <w:rPr>
                <w:rFonts w:ascii="宋体" w:hAnsi="宋体" w:eastAsia="宋体"/>
                <w:color w:val="auto"/>
              </w:rPr>
            </w:pPr>
          </w:p>
        </w:tc>
      </w:tr>
      <w:tr w14:paraId="51957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2E1D704D">
            <w:pPr>
              <w:spacing w:after="0" w:line="240" w:lineRule="auto"/>
              <w:jc w:val="center"/>
              <w:rPr>
                <w:rFonts w:ascii="宋体" w:hAnsi="宋体" w:eastAsia="宋体"/>
                <w:color w:val="auto"/>
              </w:rPr>
            </w:pPr>
            <w:r>
              <w:rPr>
                <w:rFonts w:hint="eastAsia" w:ascii="宋体" w:hAnsi="宋体" w:eastAsia="宋体"/>
                <w:color w:val="auto"/>
              </w:rPr>
              <w:t>3</w:t>
            </w:r>
          </w:p>
        </w:tc>
        <w:tc>
          <w:tcPr>
            <w:tcW w:w="1134" w:type="dxa"/>
            <w:tcBorders>
              <w:top w:val="single" w:color="auto" w:sz="4" w:space="0"/>
              <w:left w:val="single" w:color="auto" w:sz="4" w:space="0"/>
              <w:bottom w:val="single" w:color="auto" w:sz="4" w:space="0"/>
              <w:right w:val="single" w:color="auto" w:sz="4" w:space="0"/>
            </w:tcBorders>
            <w:vAlign w:val="center"/>
          </w:tcPr>
          <w:p w14:paraId="3A6A1516">
            <w:pPr>
              <w:spacing w:after="0" w:line="240" w:lineRule="auto"/>
              <w:jc w:val="left"/>
              <w:rPr>
                <w:rFonts w:ascii="宋体" w:hAnsi="宋体" w:eastAsia="宋体"/>
                <w:color w:val="auto"/>
              </w:rPr>
            </w:pPr>
          </w:p>
        </w:tc>
        <w:tc>
          <w:tcPr>
            <w:tcW w:w="4395" w:type="dxa"/>
            <w:tcBorders>
              <w:top w:val="single" w:color="auto" w:sz="4" w:space="0"/>
              <w:left w:val="single" w:color="auto" w:sz="4" w:space="0"/>
              <w:bottom w:val="single" w:color="auto" w:sz="4" w:space="0"/>
              <w:right w:val="single" w:color="auto" w:sz="4" w:space="0"/>
            </w:tcBorders>
            <w:vAlign w:val="center"/>
          </w:tcPr>
          <w:p w14:paraId="12B7C20A">
            <w:pPr>
              <w:spacing w:after="0" w:line="240" w:lineRule="auto"/>
              <w:rPr>
                <w:rFonts w:ascii="宋体" w:hAnsi="宋体" w:eastAsia="宋体"/>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14:paraId="2E9BB354">
            <w:pPr>
              <w:spacing w:after="0" w:line="240" w:lineRule="auto"/>
              <w:jc w:val="center"/>
              <w:rPr>
                <w:rFonts w:ascii="宋体" w:hAnsi="宋体" w:eastAsia="宋体"/>
                <w:color w:val="auto"/>
              </w:rPr>
            </w:pPr>
          </w:p>
        </w:tc>
        <w:tc>
          <w:tcPr>
            <w:tcW w:w="1531" w:type="dxa"/>
            <w:tcBorders>
              <w:top w:val="single" w:color="auto" w:sz="4" w:space="0"/>
              <w:left w:val="single" w:color="auto" w:sz="4" w:space="0"/>
              <w:bottom w:val="single" w:color="auto" w:sz="4" w:space="0"/>
              <w:right w:val="single" w:color="auto" w:sz="4" w:space="0"/>
            </w:tcBorders>
            <w:vAlign w:val="center"/>
          </w:tcPr>
          <w:p w14:paraId="263B721D">
            <w:pPr>
              <w:spacing w:after="0" w:line="240" w:lineRule="auto"/>
              <w:jc w:val="center"/>
              <w:rPr>
                <w:rFonts w:ascii="宋体" w:hAnsi="宋体" w:eastAsia="宋体"/>
                <w:color w:val="auto"/>
              </w:rPr>
            </w:pPr>
          </w:p>
        </w:tc>
      </w:tr>
      <w:tr w14:paraId="17756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6E477DF9">
            <w:pPr>
              <w:spacing w:after="0" w:line="240" w:lineRule="auto"/>
              <w:jc w:val="center"/>
              <w:rPr>
                <w:rFonts w:ascii="宋体" w:hAnsi="宋体" w:eastAsia="宋体"/>
                <w:color w:val="auto"/>
              </w:rPr>
            </w:pPr>
            <w:r>
              <w:rPr>
                <w:rFonts w:hint="eastAsia" w:ascii="宋体" w:hAnsi="宋体" w:eastAsia="宋体"/>
                <w:color w:val="auto"/>
              </w:rPr>
              <w:t>4</w:t>
            </w:r>
          </w:p>
        </w:tc>
        <w:tc>
          <w:tcPr>
            <w:tcW w:w="1134" w:type="dxa"/>
            <w:tcBorders>
              <w:top w:val="single" w:color="auto" w:sz="4" w:space="0"/>
              <w:left w:val="single" w:color="auto" w:sz="4" w:space="0"/>
              <w:bottom w:val="single" w:color="auto" w:sz="4" w:space="0"/>
              <w:right w:val="single" w:color="auto" w:sz="4" w:space="0"/>
            </w:tcBorders>
            <w:vAlign w:val="center"/>
          </w:tcPr>
          <w:p w14:paraId="47B8BA2F">
            <w:pPr>
              <w:spacing w:after="0" w:line="240" w:lineRule="auto"/>
              <w:jc w:val="left"/>
              <w:rPr>
                <w:rFonts w:ascii="宋体" w:hAnsi="宋体" w:eastAsia="宋体"/>
                <w:color w:val="auto"/>
              </w:rPr>
            </w:pPr>
          </w:p>
        </w:tc>
        <w:tc>
          <w:tcPr>
            <w:tcW w:w="4395" w:type="dxa"/>
            <w:tcBorders>
              <w:top w:val="single" w:color="auto" w:sz="4" w:space="0"/>
              <w:left w:val="single" w:color="auto" w:sz="4" w:space="0"/>
              <w:bottom w:val="single" w:color="auto" w:sz="4" w:space="0"/>
              <w:right w:val="single" w:color="auto" w:sz="4" w:space="0"/>
            </w:tcBorders>
            <w:vAlign w:val="center"/>
          </w:tcPr>
          <w:p w14:paraId="14CB7950">
            <w:pPr>
              <w:spacing w:after="0" w:line="240" w:lineRule="auto"/>
              <w:rPr>
                <w:rFonts w:ascii="宋体" w:hAnsi="宋体" w:eastAsia="宋体"/>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14:paraId="5CF9BC8A">
            <w:pPr>
              <w:spacing w:after="0" w:line="240" w:lineRule="auto"/>
              <w:jc w:val="center"/>
              <w:rPr>
                <w:rFonts w:ascii="宋体" w:hAnsi="宋体" w:eastAsia="宋体"/>
                <w:color w:val="auto"/>
              </w:rPr>
            </w:pPr>
          </w:p>
        </w:tc>
        <w:tc>
          <w:tcPr>
            <w:tcW w:w="1531" w:type="dxa"/>
            <w:tcBorders>
              <w:top w:val="single" w:color="auto" w:sz="4" w:space="0"/>
              <w:left w:val="single" w:color="auto" w:sz="4" w:space="0"/>
              <w:bottom w:val="single" w:color="auto" w:sz="4" w:space="0"/>
              <w:right w:val="single" w:color="auto" w:sz="4" w:space="0"/>
            </w:tcBorders>
            <w:vAlign w:val="center"/>
          </w:tcPr>
          <w:p w14:paraId="73C2E919">
            <w:pPr>
              <w:spacing w:after="0" w:line="240" w:lineRule="auto"/>
              <w:jc w:val="center"/>
              <w:rPr>
                <w:rFonts w:ascii="宋体" w:hAnsi="宋体" w:eastAsia="宋体"/>
                <w:color w:val="auto"/>
              </w:rPr>
            </w:pPr>
          </w:p>
        </w:tc>
      </w:tr>
      <w:tr w14:paraId="0519E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0DA3758C">
            <w:pPr>
              <w:spacing w:after="0" w:line="240" w:lineRule="auto"/>
              <w:jc w:val="center"/>
              <w:rPr>
                <w:rFonts w:ascii="宋体" w:hAnsi="宋体" w:eastAsia="宋体"/>
                <w:color w:val="auto"/>
              </w:rPr>
            </w:pPr>
            <w:r>
              <w:rPr>
                <w:rFonts w:hint="eastAsia" w:ascii="宋体" w:hAnsi="宋体" w:eastAsia="宋体"/>
                <w:color w:val="auto"/>
              </w:rPr>
              <w:t>5</w:t>
            </w:r>
          </w:p>
        </w:tc>
        <w:tc>
          <w:tcPr>
            <w:tcW w:w="1134" w:type="dxa"/>
            <w:tcBorders>
              <w:top w:val="single" w:color="auto" w:sz="4" w:space="0"/>
              <w:left w:val="single" w:color="auto" w:sz="4" w:space="0"/>
              <w:bottom w:val="single" w:color="auto" w:sz="4" w:space="0"/>
              <w:right w:val="single" w:color="auto" w:sz="4" w:space="0"/>
            </w:tcBorders>
            <w:vAlign w:val="center"/>
          </w:tcPr>
          <w:p w14:paraId="52E140A5">
            <w:pPr>
              <w:spacing w:after="0" w:line="240" w:lineRule="auto"/>
              <w:jc w:val="left"/>
              <w:rPr>
                <w:rFonts w:ascii="宋体" w:hAnsi="宋体" w:eastAsia="宋体"/>
                <w:color w:val="auto"/>
              </w:rPr>
            </w:pPr>
          </w:p>
        </w:tc>
        <w:tc>
          <w:tcPr>
            <w:tcW w:w="4395" w:type="dxa"/>
            <w:tcBorders>
              <w:top w:val="single" w:color="auto" w:sz="4" w:space="0"/>
              <w:left w:val="single" w:color="auto" w:sz="4" w:space="0"/>
              <w:bottom w:val="single" w:color="auto" w:sz="4" w:space="0"/>
              <w:right w:val="single" w:color="auto" w:sz="4" w:space="0"/>
            </w:tcBorders>
            <w:vAlign w:val="center"/>
          </w:tcPr>
          <w:p w14:paraId="2679CA0B">
            <w:pPr>
              <w:spacing w:after="0" w:line="240" w:lineRule="auto"/>
              <w:rPr>
                <w:rFonts w:ascii="宋体" w:hAnsi="宋体" w:eastAsia="宋体"/>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14:paraId="2948C224">
            <w:pPr>
              <w:spacing w:after="0" w:line="240" w:lineRule="auto"/>
              <w:jc w:val="center"/>
              <w:rPr>
                <w:rFonts w:ascii="宋体" w:hAnsi="宋体" w:eastAsia="宋体"/>
                <w:color w:val="auto"/>
              </w:rPr>
            </w:pPr>
          </w:p>
        </w:tc>
        <w:tc>
          <w:tcPr>
            <w:tcW w:w="1531" w:type="dxa"/>
            <w:tcBorders>
              <w:top w:val="single" w:color="auto" w:sz="4" w:space="0"/>
              <w:left w:val="single" w:color="auto" w:sz="4" w:space="0"/>
              <w:bottom w:val="single" w:color="auto" w:sz="4" w:space="0"/>
              <w:right w:val="single" w:color="auto" w:sz="4" w:space="0"/>
            </w:tcBorders>
            <w:vAlign w:val="center"/>
          </w:tcPr>
          <w:p w14:paraId="674CB71E">
            <w:pPr>
              <w:spacing w:after="0" w:line="240" w:lineRule="auto"/>
              <w:jc w:val="center"/>
              <w:rPr>
                <w:rFonts w:ascii="宋体" w:hAnsi="宋体" w:eastAsia="宋体"/>
                <w:color w:val="auto"/>
              </w:rPr>
            </w:pPr>
          </w:p>
        </w:tc>
      </w:tr>
      <w:tr w14:paraId="0F53A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right w:val="single" w:color="auto" w:sz="4" w:space="0"/>
            </w:tcBorders>
            <w:vAlign w:val="center"/>
          </w:tcPr>
          <w:p w14:paraId="4D524F02">
            <w:pPr>
              <w:spacing w:after="0" w:line="240" w:lineRule="auto"/>
              <w:jc w:val="center"/>
              <w:rPr>
                <w:rFonts w:ascii="宋体" w:hAnsi="宋体" w:eastAsia="宋体"/>
                <w:color w:val="auto"/>
              </w:rPr>
            </w:pPr>
            <w:r>
              <w:rPr>
                <w:rFonts w:ascii="宋体" w:hAnsi="宋体" w:eastAsia="宋体"/>
                <w:color w:val="auto"/>
              </w:rPr>
              <w:t>…</w:t>
            </w:r>
          </w:p>
        </w:tc>
        <w:tc>
          <w:tcPr>
            <w:tcW w:w="1134" w:type="dxa"/>
            <w:tcBorders>
              <w:top w:val="single" w:color="auto" w:sz="4" w:space="0"/>
              <w:left w:val="single" w:color="auto" w:sz="4" w:space="0"/>
              <w:right w:val="single" w:color="auto" w:sz="4" w:space="0"/>
            </w:tcBorders>
            <w:vAlign w:val="center"/>
          </w:tcPr>
          <w:p w14:paraId="69ADEB52">
            <w:pPr>
              <w:spacing w:after="0" w:line="240" w:lineRule="auto"/>
              <w:jc w:val="left"/>
              <w:rPr>
                <w:rFonts w:ascii="宋体" w:hAnsi="宋体" w:eastAsia="宋体"/>
                <w:color w:val="auto"/>
              </w:rPr>
            </w:pPr>
          </w:p>
        </w:tc>
        <w:tc>
          <w:tcPr>
            <w:tcW w:w="4395" w:type="dxa"/>
            <w:tcBorders>
              <w:top w:val="single" w:color="auto" w:sz="4" w:space="0"/>
              <w:left w:val="single" w:color="auto" w:sz="4" w:space="0"/>
              <w:right w:val="single" w:color="auto" w:sz="4" w:space="0"/>
            </w:tcBorders>
            <w:vAlign w:val="center"/>
          </w:tcPr>
          <w:p w14:paraId="5029A2B2">
            <w:pPr>
              <w:spacing w:after="0" w:line="240" w:lineRule="auto"/>
              <w:rPr>
                <w:rFonts w:ascii="宋体" w:hAnsi="宋体" w:eastAsia="宋体"/>
                <w:color w:val="auto"/>
              </w:rPr>
            </w:pPr>
          </w:p>
        </w:tc>
        <w:tc>
          <w:tcPr>
            <w:tcW w:w="1276" w:type="dxa"/>
            <w:tcBorders>
              <w:top w:val="single" w:color="auto" w:sz="4" w:space="0"/>
              <w:left w:val="single" w:color="auto" w:sz="4" w:space="0"/>
              <w:right w:val="single" w:color="auto" w:sz="4" w:space="0"/>
            </w:tcBorders>
            <w:vAlign w:val="center"/>
          </w:tcPr>
          <w:p w14:paraId="685374CE">
            <w:pPr>
              <w:spacing w:after="0" w:line="240" w:lineRule="auto"/>
              <w:jc w:val="center"/>
              <w:rPr>
                <w:rFonts w:ascii="宋体" w:hAnsi="宋体" w:eastAsia="宋体"/>
                <w:color w:val="auto"/>
              </w:rPr>
            </w:pPr>
          </w:p>
        </w:tc>
        <w:tc>
          <w:tcPr>
            <w:tcW w:w="1531" w:type="dxa"/>
            <w:tcBorders>
              <w:top w:val="single" w:color="auto" w:sz="4" w:space="0"/>
              <w:left w:val="single" w:color="auto" w:sz="4" w:space="0"/>
              <w:right w:val="single" w:color="auto" w:sz="4" w:space="0"/>
            </w:tcBorders>
            <w:vAlign w:val="center"/>
          </w:tcPr>
          <w:p w14:paraId="64B5037C">
            <w:pPr>
              <w:spacing w:after="0" w:line="240" w:lineRule="auto"/>
              <w:jc w:val="center"/>
              <w:rPr>
                <w:rFonts w:ascii="宋体" w:hAnsi="宋体" w:eastAsia="宋体"/>
                <w:color w:val="auto"/>
              </w:rPr>
            </w:pPr>
          </w:p>
        </w:tc>
      </w:tr>
    </w:tbl>
    <w:p w14:paraId="174ECD12">
      <w:pPr>
        <w:snapToGrid w:val="0"/>
        <w:spacing w:after="0" w:line="360" w:lineRule="auto"/>
        <w:ind w:left="-23" w:leftChars="-11" w:right="-57" w:rightChars="-27" w:firstLine="21" w:firstLineChars="10"/>
        <w:rPr>
          <w:rFonts w:ascii="宋体" w:hAnsi="宋体" w:eastAsia="宋体"/>
          <w:color w:val="auto"/>
          <w:szCs w:val="22"/>
        </w:rPr>
      </w:pPr>
      <w:r>
        <w:rPr>
          <w:rFonts w:hint="eastAsia" w:ascii="宋体" w:hAnsi="宋体" w:eastAsia="宋体"/>
          <w:color w:val="auto"/>
          <w:szCs w:val="22"/>
        </w:rPr>
        <w:t>注：</w:t>
      </w:r>
    </w:p>
    <w:p w14:paraId="451DFC03">
      <w:pPr>
        <w:snapToGrid w:val="0"/>
        <w:spacing w:after="0" w:line="360" w:lineRule="auto"/>
        <w:ind w:left="-23" w:leftChars="-11" w:right="-57" w:rightChars="-27" w:firstLine="21" w:firstLineChars="10"/>
        <w:rPr>
          <w:rFonts w:ascii="宋体" w:hAnsi="宋体" w:eastAsia="宋体"/>
          <w:color w:val="auto"/>
          <w:szCs w:val="22"/>
        </w:rPr>
      </w:pPr>
      <w:r>
        <w:rPr>
          <w:rFonts w:hint="eastAsia" w:ascii="宋体" w:hAnsi="宋体" w:eastAsia="宋体"/>
          <w:color w:val="auto"/>
          <w:szCs w:val="22"/>
        </w:rPr>
        <w:t xml:space="preserve">1.投标人保证：除本表列出的偏离外，响应招标文件《第二章 </w:t>
      </w:r>
      <w:r>
        <w:rPr>
          <w:rFonts w:ascii="宋体" w:hAnsi="宋体" w:eastAsia="宋体"/>
          <w:color w:val="auto"/>
          <w:szCs w:val="22"/>
        </w:rPr>
        <w:t xml:space="preserve"> </w:t>
      </w:r>
      <w:r>
        <w:rPr>
          <w:rFonts w:hint="eastAsia" w:ascii="宋体" w:hAnsi="宋体" w:eastAsia="宋体"/>
          <w:color w:val="auto"/>
          <w:szCs w:val="22"/>
        </w:rPr>
        <w:t>采购需求》商务要求表列明的所有要求（满足招标文件要求的条款可以不在本表填写相关内容）。</w:t>
      </w:r>
    </w:p>
    <w:p w14:paraId="2A59DC14">
      <w:pPr>
        <w:snapToGrid w:val="0"/>
        <w:spacing w:after="0" w:line="360" w:lineRule="auto"/>
        <w:ind w:left="-23" w:leftChars="-11" w:right="-57" w:rightChars="-27" w:firstLine="21" w:firstLineChars="10"/>
        <w:rPr>
          <w:rFonts w:ascii="宋体" w:hAnsi="宋体" w:eastAsia="宋体"/>
          <w:color w:val="auto"/>
          <w:szCs w:val="22"/>
        </w:rPr>
      </w:pPr>
      <w:r>
        <w:rPr>
          <w:rFonts w:hint="eastAsia" w:ascii="宋体" w:hAnsi="宋体" w:eastAsia="宋体"/>
          <w:color w:val="auto"/>
          <w:szCs w:val="22"/>
        </w:rPr>
        <w:t>2</w:t>
      </w:r>
      <w:r>
        <w:rPr>
          <w:rFonts w:ascii="宋体" w:hAnsi="宋体" w:eastAsia="宋体"/>
          <w:color w:val="auto"/>
          <w:szCs w:val="22"/>
        </w:rPr>
        <w:t>.</w:t>
      </w:r>
      <w:r>
        <w:rPr>
          <w:rFonts w:hint="eastAsia" w:ascii="宋体" w:hAnsi="宋体" w:eastAsia="宋体"/>
          <w:color w:val="auto"/>
          <w:szCs w:val="22"/>
        </w:rPr>
        <w:t xml:space="preserve">投标人应当与招标文件《第二章 </w:t>
      </w:r>
      <w:r>
        <w:rPr>
          <w:rFonts w:ascii="宋体" w:hAnsi="宋体" w:eastAsia="宋体"/>
          <w:color w:val="auto"/>
          <w:szCs w:val="22"/>
        </w:rPr>
        <w:t xml:space="preserve"> </w:t>
      </w:r>
      <w:r>
        <w:rPr>
          <w:rFonts w:hint="eastAsia" w:ascii="宋体" w:hAnsi="宋体" w:eastAsia="宋体"/>
          <w:color w:val="auto"/>
          <w:szCs w:val="22"/>
        </w:rPr>
        <w:t xml:space="preserve">采购需求》的所有商务要求逐项比较，如有偏离的，须在本表中列明，并填写偏离情况说明。如投标人未在本表中列出偏离项并填写偏离情况说明，即使其在投标文件的其他部分说明与招标文件要求有所不同或回避不答，亦视为响应招标文件《第二章 </w:t>
      </w:r>
      <w:r>
        <w:rPr>
          <w:rFonts w:ascii="宋体" w:hAnsi="宋体" w:eastAsia="宋体"/>
          <w:color w:val="auto"/>
          <w:szCs w:val="22"/>
        </w:rPr>
        <w:t xml:space="preserve"> </w:t>
      </w:r>
      <w:r>
        <w:rPr>
          <w:rFonts w:hint="eastAsia" w:ascii="宋体" w:hAnsi="宋体" w:eastAsia="宋体"/>
          <w:color w:val="auto"/>
          <w:szCs w:val="22"/>
        </w:rPr>
        <w:t>采购需求》所提出的商务要求并签署合同。若中标人以上述事项为借口而不履行合同签订手续及履行合同，则按照相关法律法规的规定处理，响应情况由评标委员会认定。</w:t>
      </w:r>
    </w:p>
    <w:p w14:paraId="545CAEB3">
      <w:pPr>
        <w:snapToGrid w:val="0"/>
        <w:spacing w:after="0" w:line="360" w:lineRule="auto"/>
        <w:ind w:left="-23" w:leftChars="-11" w:right="-57" w:rightChars="-27" w:firstLine="21" w:firstLineChars="10"/>
        <w:rPr>
          <w:rFonts w:ascii="宋体" w:hAnsi="宋体" w:eastAsia="宋体"/>
          <w:color w:val="auto"/>
          <w:szCs w:val="22"/>
        </w:rPr>
      </w:pPr>
      <w:r>
        <w:rPr>
          <w:rFonts w:hint="eastAsia" w:ascii="宋体" w:hAnsi="宋体" w:eastAsia="宋体"/>
          <w:color w:val="auto"/>
          <w:szCs w:val="22"/>
        </w:rPr>
        <w:t xml:space="preserve">3.投标人必须响应《第二章 </w:t>
      </w:r>
      <w:r>
        <w:rPr>
          <w:rFonts w:ascii="宋体" w:hAnsi="宋体" w:eastAsia="宋体"/>
          <w:color w:val="auto"/>
          <w:szCs w:val="22"/>
        </w:rPr>
        <w:t xml:space="preserve"> </w:t>
      </w:r>
      <w:r>
        <w:rPr>
          <w:rFonts w:hint="eastAsia" w:ascii="宋体" w:hAnsi="宋体" w:eastAsia="宋体"/>
          <w:color w:val="auto"/>
          <w:szCs w:val="22"/>
        </w:rPr>
        <w:t>采购需求》的所有商务要求，有不响应（满足）的，按照投标无效处理。</w:t>
      </w:r>
    </w:p>
    <w:p w14:paraId="02A6F527">
      <w:pPr>
        <w:snapToGrid w:val="0"/>
        <w:spacing w:after="0" w:line="360" w:lineRule="auto"/>
        <w:ind w:left="-23" w:leftChars="-11" w:right="-57" w:rightChars="-27" w:firstLine="21" w:firstLineChars="10"/>
        <w:rPr>
          <w:rFonts w:ascii="宋体" w:hAnsi="宋体" w:eastAsia="宋体"/>
          <w:color w:val="auto"/>
          <w:szCs w:val="22"/>
        </w:rPr>
      </w:pPr>
      <w:r>
        <w:rPr>
          <w:rFonts w:hint="eastAsia" w:ascii="宋体" w:hAnsi="宋体" w:eastAsia="宋体"/>
          <w:color w:val="auto"/>
          <w:szCs w:val="22"/>
        </w:rPr>
        <w:t xml:space="preserve">4.投标人无论对《第二章 </w:t>
      </w:r>
      <w:r>
        <w:rPr>
          <w:rFonts w:ascii="宋体" w:hAnsi="宋体" w:eastAsia="宋体"/>
          <w:color w:val="auto"/>
          <w:szCs w:val="22"/>
        </w:rPr>
        <w:t xml:space="preserve"> </w:t>
      </w:r>
      <w:r>
        <w:rPr>
          <w:rFonts w:hint="eastAsia" w:ascii="宋体" w:hAnsi="宋体" w:eastAsia="宋体"/>
          <w:color w:val="auto"/>
          <w:szCs w:val="22"/>
        </w:rPr>
        <w:t>采购需求》有无偏离（不满足或优于）都应当将本表盖章后作为投标文件的一部分提交，未在投标文件中提供本表的按照投标无效处理。</w:t>
      </w:r>
    </w:p>
    <w:p w14:paraId="5A1790C3">
      <w:pPr>
        <w:snapToGrid w:val="0"/>
        <w:spacing w:after="0" w:line="360" w:lineRule="auto"/>
        <w:ind w:left="-23" w:leftChars="-11" w:right="-57" w:rightChars="-27" w:firstLine="21" w:firstLineChars="10"/>
        <w:rPr>
          <w:rFonts w:ascii="宋体" w:hAnsi="宋体" w:eastAsia="宋体"/>
          <w:b/>
          <w:color w:val="auto"/>
        </w:rPr>
      </w:pPr>
    </w:p>
    <w:p w14:paraId="55198080">
      <w:pPr>
        <w:pStyle w:val="5"/>
        <w:spacing w:after="0" w:line="360" w:lineRule="auto"/>
        <w:ind w:left="1966" w:right="112" w:hanging="1605"/>
        <w:rPr>
          <w:rFonts w:ascii="宋体" w:hAnsi="宋体" w:eastAsia="宋体"/>
          <w:color w:val="auto"/>
        </w:rPr>
      </w:pPr>
    </w:p>
    <w:p w14:paraId="4E63A26A">
      <w:pPr>
        <w:snapToGrid w:val="0"/>
        <w:spacing w:after="0" w:line="360" w:lineRule="auto"/>
        <w:ind w:left="361" w:right="112" w:firstLine="3685" w:firstLineChars="1755"/>
        <w:rPr>
          <w:rFonts w:ascii="宋体" w:hAnsi="宋体" w:eastAsia="宋体"/>
          <w:color w:val="auto"/>
        </w:rPr>
      </w:pPr>
      <w:r>
        <w:rPr>
          <w:rFonts w:hint="eastAsia" w:ascii="宋体" w:hAnsi="宋体" w:eastAsia="宋体"/>
          <w:color w:val="auto"/>
        </w:rPr>
        <w:t>投标人：</w:t>
      </w:r>
      <w:r>
        <w:rPr>
          <w:rFonts w:hint="eastAsia" w:ascii="宋体" w:hAnsi="宋体" w:eastAsia="宋体"/>
          <w:color w:val="auto"/>
          <w:u w:val="single"/>
        </w:rPr>
        <w:t>填写全称并加盖公章</w:t>
      </w:r>
    </w:p>
    <w:p w14:paraId="5F5A9645">
      <w:pPr>
        <w:snapToGrid w:val="0"/>
        <w:spacing w:after="0" w:line="360" w:lineRule="auto"/>
        <w:ind w:left="361" w:right="112" w:firstLine="3685" w:firstLineChars="1755"/>
        <w:rPr>
          <w:rFonts w:ascii="宋体" w:hAnsi="宋体" w:eastAsia="宋体"/>
          <w:color w:val="auto"/>
        </w:rPr>
      </w:pPr>
      <w:r>
        <w:rPr>
          <w:rFonts w:hint="eastAsia" w:ascii="宋体" w:hAnsi="宋体" w:eastAsia="宋体"/>
          <w:color w:val="auto"/>
        </w:rPr>
        <w:t xml:space="preserve">日 </w:t>
      </w:r>
      <w:r>
        <w:rPr>
          <w:rFonts w:ascii="宋体" w:hAnsi="宋体" w:eastAsia="宋体"/>
          <w:color w:val="auto"/>
        </w:rPr>
        <w:t xml:space="preserve"> </w:t>
      </w:r>
      <w:r>
        <w:rPr>
          <w:rFonts w:hint="eastAsia" w:ascii="宋体" w:hAnsi="宋体" w:eastAsia="宋体"/>
          <w:color w:val="auto"/>
        </w:rPr>
        <w:t>期：</w:t>
      </w:r>
    </w:p>
    <w:p w14:paraId="3143C622">
      <w:pPr>
        <w:snapToGrid w:val="0"/>
        <w:spacing w:after="0" w:line="360" w:lineRule="auto"/>
        <w:ind w:left="361" w:right="112" w:firstLine="3685" w:firstLineChars="1755"/>
        <w:rPr>
          <w:rFonts w:ascii="宋体" w:hAnsi="宋体" w:eastAsia="宋体"/>
          <w:color w:val="auto"/>
        </w:rPr>
      </w:pPr>
    </w:p>
    <w:p w14:paraId="1014E3DE">
      <w:pPr>
        <w:snapToGrid w:val="0"/>
        <w:spacing w:after="0" w:line="360" w:lineRule="auto"/>
        <w:ind w:left="361" w:right="112" w:firstLine="3685" w:firstLineChars="1755"/>
        <w:rPr>
          <w:rFonts w:ascii="宋体" w:hAnsi="宋体" w:eastAsia="宋体"/>
          <w:color w:val="auto"/>
        </w:rPr>
      </w:pPr>
    </w:p>
    <w:p w14:paraId="0C766324">
      <w:pPr>
        <w:snapToGrid w:val="0"/>
        <w:spacing w:after="0" w:line="360" w:lineRule="auto"/>
        <w:ind w:left="361" w:right="112" w:firstLine="3685" w:firstLineChars="1755"/>
        <w:rPr>
          <w:rFonts w:ascii="宋体" w:hAnsi="宋体" w:eastAsia="宋体"/>
          <w:color w:val="auto"/>
        </w:rPr>
      </w:pPr>
    </w:p>
    <w:p w14:paraId="34C604FD">
      <w:pPr>
        <w:snapToGrid w:val="0"/>
        <w:spacing w:after="0" w:line="360" w:lineRule="auto"/>
        <w:ind w:left="361" w:right="112" w:firstLine="3685" w:firstLineChars="1755"/>
        <w:rPr>
          <w:rFonts w:ascii="宋体" w:hAnsi="宋体" w:eastAsia="宋体"/>
          <w:color w:val="auto"/>
        </w:rPr>
      </w:pPr>
    </w:p>
    <w:p w14:paraId="2BBA3E7F">
      <w:pPr>
        <w:snapToGrid w:val="0"/>
        <w:spacing w:line="360" w:lineRule="auto"/>
        <w:rPr>
          <w:rFonts w:ascii="宋体" w:hAnsi="宋体"/>
          <w:b/>
          <w:color w:val="auto"/>
        </w:rPr>
      </w:pPr>
      <w:r>
        <w:rPr>
          <w:rFonts w:hint="eastAsia" w:ascii="宋体" w:hAnsi="宋体"/>
          <w:b/>
          <w:color w:val="auto"/>
        </w:rPr>
        <w:t>注：联合体投标的，关于投标人全称双方单位名称均应填写，名称之间以顿号或斜杆区分。</w:t>
      </w:r>
    </w:p>
    <w:p w14:paraId="22FC46C9">
      <w:pPr>
        <w:snapToGrid w:val="0"/>
        <w:spacing w:after="0" w:line="360" w:lineRule="auto"/>
        <w:ind w:left="361" w:right="112" w:firstLine="3685" w:firstLineChars="1755"/>
        <w:rPr>
          <w:rFonts w:ascii="宋体" w:hAnsi="宋体" w:eastAsia="宋体"/>
          <w:color w:val="auto"/>
        </w:rPr>
      </w:pPr>
    </w:p>
    <w:p w14:paraId="43344CC9">
      <w:pPr>
        <w:widowControl/>
        <w:spacing w:after="0" w:line="360" w:lineRule="auto"/>
        <w:ind w:left="2167" w:right="112" w:hanging="1806"/>
        <w:jc w:val="left"/>
        <w:rPr>
          <w:rFonts w:ascii="宋体" w:hAnsi="宋体" w:eastAsia="宋体" w:cs="宋体"/>
          <w:b/>
          <w:color w:val="auto"/>
        </w:rPr>
      </w:pPr>
      <w:r>
        <w:rPr>
          <w:rFonts w:ascii="宋体" w:hAnsi="宋体" w:eastAsia="宋体" w:cs="宋体"/>
          <w:b/>
          <w:color w:val="auto"/>
        </w:rPr>
        <w:br w:type="page"/>
      </w:r>
    </w:p>
    <w:p w14:paraId="48728499">
      <w:pPr>
        <w:pStyle w:val="7"/>
        <w:spacing w:after="0" w:line="360" w:lineRule="auto"/>
        <w:ind w:left="0" w:leftChars="0"/>
        <w:jc w:val="center"/>
        <w:rPr>
          <w:rFonts w:ascii="宋体" w:hAnsi="宋体" w:eastAsia="宋体" w:cs="宋体"/>
          <w:b/>
          <w:color w:val="auto"/>
          <w:sz w:val="21"/>
        </w:rPr>
      </w:pPr>
      <w:r>
        <w:rPr>
          <w:rFonts w:hint="eastAsia" w:ascii="宋体" w:hAnsi="宋体" w:eastAsia="宋体" w:cs="宋体"/>
          <w:b/>
          <w:color w:val="auto"/>
          <w:sz w:val="21"/>
        </w:rPr>
        <w:t>（</w:t>
      </w:r>
      <w:r>
        <w:rPr>
          <w:rFonts w:ascii="宋体" w:hAnsi="宋体" w:eastAsia="宋体" w:cs="宋体"/>
          <w:b/>
          <w:color w:val="auto"/>
          <w:sz w:val="21"/>
        </w:rPr>
        <w:t>5</w:t>
      </w:r>
      <w:r>
        <w:rPr>
          <w:rFonts w:hint="eastAsia" w:ascii="宋体" w:hAnsi="宋体" w:eastAsia="宋体" w:cs="宋体"/>
          <w:b/>
          <w:color w:val="auto"/>
          <w:sz w:val="21"/>
        </w:rPr>
        <w:t>）技术</w:t>
      </w:r>
      <w:bookmarkStart w:id="100" w:name="OLE_LINK4"/>
      <w:bookmarkStart w:id="101" w:name="OLE_LINK3"/>
      <w:r>
        <w:rPr>
          <w:rFonts w:hint="eastAsia" w:ascii="宋体" w:hAnsi="宋体" w:eastAsia="宋体" w:cs="宋体"/>
          <w:b/>
          <w:color w:val="auto"/>
          <w:sz w:val="21"/>
        </w:rPr>
        <w:t>/服务</w:t>
      </w:r>
      <w:bookmarkEnd w:id="100"/>
      <w:bookmarkEnd w:id="101"/>
      <w:r>
        <w:rPr>
          <w:rFonts w:hint="eastAsia" w:ascii="宋体" w:hAnsi="宋体" w:eastAsia="宋体" w:cs="宋体"/>
          <w:b/>
          <w:color w:val="auto"/>
          <w:sz w:val="21"/>
        </w:rPr>
        <w:t>要求响应表</w:t>
      </w:r>
    </w:p>
    <w:tbl>
      <w:tblPr>
        <w:tblStyle w:val="1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3969"/>
        <w:gridCol w:w="1275"/>
        <w:gridCol w:w="1702"/>
      </w:tblGrid>
      <w:tr w14:paraId="29B13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6C55C9A8">
            <w:pPr>
              <w:spacing w:after="0" w:line="240" w:lineRule="auto"/>
              <w:jc w:val="center"/>
              <w:rPr>
                <w:rFonts w:ascii="宋体" w:hAnsi="宋体" w:eastAsia="宋体"/>
                <w:color w:val="auto"/>
              </w:rPr>
            </w:pPr>
            <w:r>
              <w:rPr>
                <w:rFonts w:hint="eastAsia" w:ascii="宋体" w:hAnsi="宋体" w:eastAsia="宋体"/>
                <w:color w:val="auto"/>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32261756">
            <w:pPr>
              <w:spacing w:after="0" w:line="240" w:lineRule="auto"/>
              <w:jc w:val="center"/>
              <w:rPr>
                <w:rFonts w:ascii="宋体" w:hAnsi="宋体" w:eastAsia="宋体"/>
                <w:color w:val="auto"/>
              </w:rPr>
            </w:pPr>
            <w:r>
              <w:rPr>
                <w:rFonts w:ascii="宋体" w:hAnsi="宋体" w:eastAsia="宋体"/>
                <w:color w:val="auto"/>
              </w:rPr>
              <w:t>项目</w:t>
            </w:r>
          </w:p>
        </w:tc>
        <w:tc>
          <w:tcPr>
            <w:tcW w:w="3969" w:type="dxa"/>
            <w:tcBorders>
              <w:top w:val="single" w:color="auto" w:sz="4" w:space="0"/>
              <w:left w:val="single" w:color="auto" w:sz="4" w:space="0"/>
              <w:bottom w:val="single" w:color="auto" w:sz="4" w:space="0"/>
              <w:right w:val="single" w:color="auto" w:sz="4" w:space="0"/>
            </w:tcBorders>
            <w:vAlign w:val="center"/>
          </w:tcPr>
          <w:p w14:paraId="7A5A07E5">
            <w:pPr>
              <w:spacing w:after="0" w:line="240" w:lineRule="auto"/>
              <w:jc w:val="center"/>
              <w:rPr>
                <w:rFonts w:ascii="宋体" w:hAnsi="宋体" w:eastAsia="宋体"/>
                <w:color w:val="auto"/>
              </w:rPr>
            </w:pPr>
            <w:r>
              <w:rPr>
                <w:rFonts w:ascii="宋体" w:hAnsi="宋体" w:eastAsia="宋体"/>
                <w:color w:val="auto"/>
              </w:rPr>
              <w:t>招标文件</w:t>
            </w:r>
            <w:r>
              <w:rPr>
                <w:rFonts w:hint="eastAsia" w:ascii="宋体" w:hAnsi="宋体" w:eastAsia="宋体"/>
                <w:color w:val="auto"/>
              </w:rPr>
              <w:t>的技术</w:t>
            </w:r>
            <w:r>
              <w:rPr>
                <w:rFonts w:ascii="宋体" w:hAnsi="宋体" w:eastAsia="宋体"/>
                <w:color w:val="auto"/>
              </w:rPr>
              <w:t>/服务</w:t>
            </w:r>
            <w:r>
              <w:rPr>
                <w:rFonts w:hint="eastAsia" w:ascii="宋体" w:hAnsi="宋体" w:eastAsia="宋体"/>
                <w:color w:val="auto"/>
              </w:rPr>
              <w:t>要求</w:t>
            </w:r>
          </w:p>
        </w:tc>
        <w:tc>
          <w:tcPr>
            <w:tcW w:w="1275" w:type="dxa"/>
            <w:tcBorders>
              <w:top w:val="single" w:color="auto" w:sz="4" w:space="0"/>
              <w:left w:val="single" w:color="auto" w:sz="4" w:space="0"/>
              <w:bottom w:val="single" w:color="auto" w:sz="4" w:space="0"/>
              <w:right w:val="single" w:color="auto" w:sz="4" w:space="0"/>
            </w:tcBorders>
            <w:vAlign w:val="center"/>
          </w:tcPr>
          <w:p w14:paraId="6AEDCB3C">
            <w:pPr>
              <w:spacing w:after="0" w:line="240" w:lineRule="auto"/>
              <w:jc w:val="center"/>
              <w:rPr>
                <w:rFonts w:ascii="宋体" w:hAnsi="宋体" w:eastAsia="宋体"/>
                <w:color w:val="auto"/>
              </w:rPr>
            </w:pPr>
            <w:r>
              <w:rPr>
                <w:rFonts w:hint="eastAsia" w:ascii="宋体" w:hAnsi="宋体" w:eastAsia="宋体"/>
                <w:color w:val="auto"/>
              </w:rPr>
              <w:t>投标响应</w:t>
            </w:r>
          </w:p>
        </w:tc>
        <w:tc>
          <w:tcPr>
            <w:tcW w:w="1702" w:type="dxa"/>
            <w:tcBorders>
              <w:top w:val="single" w:color="auto" w:sz="4" w:space="0"/>
              <w:left w:val="single" w:color="auto" w:sz="4" w:space="0"/>
              <w:bottom w:val="single" w:color="auto" w:sz="4" w:space="0"/>
              <w:right w:val="single" w:color="auto" w:sz="4" w:space="0"/>
            </w:tcBorders>
            <w:vAlign w:val="center"/>
          </w:tcPr>
          <w:p w14:paraId="3F9A9E21">
            <w:pPr>
              <w:spacing w:after="0" w:line="240" w:lineRule="auto"/>
              <w:jc w:val="center"/>
              <w:rPr>
                <w:rFonts w:ascii="宋体" w:hAnsi="宋体" w:eastAsia="宋体"/>
                <w:color w:val="auto"/>
              </w:rPr>
            </w:pPr>
            <w:r>
              <w:rPr>
                <w:rFonts w:hint="eastAsia" w:ascii="宋体" w:hAnsi="宋体" w:eastAsia="宋体"/>
                <w:color w:val="auto"/>
              </w:rPr>
              <w:t>偏离说明</w:t>
            </w:r>
          </w:p>
        </w:tc>
      </w:tr>
      <w:tr w14:paraId="7FCF2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0D8C66CB">
            <w:pPr>
              <w:spacing w:after="0" w:line="240" w:lineRule="auto"/>
              <w:jc w:val="center"/>
              <w:rPr>
                <w:rFonts w:ascii="宋体" w:hAnsi="宋体" w:eastAsia="宋体"/>
                <w:color w:val="auto"/>
              </w:rPr>
            </w:pPr>
            <w:r>
              <w:rPr>
                <w:rFonts w:hint="eastAsia" w:ascii="宋体" w:hAnsi="宋体" w:eastAsia="宋体"/>
                <w:color w:val="auto"/>
              </w:rPr>
              <w:t>1</w:t>
            </w:r>
          </w:p>
        </w:tc>
        <w:tc>
          <w:tcPr>
            <w:tcW w:w="1418" w:type="dxa"/>
            <w:tcBorders>
              <w:top w:val="single" w:color="auto" w:sz="4" w:space="0"/>
              <w:left w:val="single" w:color="auto" w:sz="4" w:space="0"/>
              <w:bottom w:val="single" w:color="auto" w:sz="4" w:space="0"/>
              <w:right w:val="single" w:color="auto" w:sz="4" w:space="0"/>
            </w:tcBorders>
            <w:vAlign w:val="center"/>
          </w:tcPr>
          <w:p w14:paraId="5E5042F3">
            <w:pPr>
              <w:spacing w:after="0" w:line="240" w:lineRule="auto"/>
              <w:jc w:val="left"/>
              <w:rPr>
                <w:rFonts w:ascii="宋体" w:hAnsi="宋体" w:eastAsia="宋体"/>
                <w:color w:val="auto"/>
              </w:rPr>
            </w:pPr>
          </w:p>
        </w:tc>
        <w:tc>
          <w:tcPr>
            <w:tcW w:w="3969" w:type="dxa"/>
            <w:tcBorders>
              <w:top w:val="single" w:color="auto" w:sz="4" w:space="0"/>
              <w:left w:val="single" w:color="auto" w:sz="4" w:space="0"/>
              <w:bottom w:val="single" w:color="auto" w:sz="4" w:space="0"/>
              <w:right w:val="single" w:color="auto" w:sz="4" w:space="0"/>
            </w:tcBorders>
            <w:vAlign w:val="center"/>
          </w:tcPr>
          <w:p w14:paraId="48254FE0">
            <w:pPr>
              <w:spacing w:after="0" w:line="240" w:lineRule="auto"/>
              <w:jc w:val="left"/>
              <w:rPr>
                <w:rFonts w:ascii="宋体" w:hAnsi="宋体" w:eastAsia="宋体"/>
                <w:color w:val="auto"/>
              </w:rPr>
            </w:pPr>
          </w:p>
        </w:tc>
        <w:tc>
          <w:tcPr>
            <w:tcW w:w="1275" w:type="dxa"/>
            <w:tcBorders>
              <w:top w:val="single" w:color="auto" w:sz="4" w:space="0"/>
              <w:left w:val="single" w:color="auto" w:sz="4" w:space="0"/>
              <w:bottom w:val="single" w:color="auto" w:sz="4" w:space="0"/>
              <w:right w:val="single" w:color="auto" w:sz="4" w:space="0"/>
            </w:tcBorders>
            <w:vAlign w:val="center"/>
          </w:tcPr>
          <w:p w14:paraId="5A7617EB">
            <w:pPr>
              <w:spacing w:after="0" w:line="240" w:lineRule="auto"/>
              <w:jc w:val="center"/>
              <w:rPr>
                <w:rFonts w:ascii="宋体" w:hAnsi="宋体" w:eastAsia="宋体"/>
                <w:color w:val="auto"/>
              </w:rPr>
            </w:pPr>
          </w:p>
        </w:tc>
        <w:tc>
          <w:tcPr>
            <w:tcW w:w="1702" w:type="dxa"/>
            <w:tcBorders>
              <w:top w:val="single" w:color="auto" w:sz="4" w:space="0"/>
              <w:left w:val="single" w:color="auto" w:sz="4" w:space="0"/>
              <w:bottom w:val="single" w:color="auto" w:sz="4" w:space="0"/>
              <w:right w:val="single" w:color="auto" w:sz="4" w:space="0"/>
            </w:tcBorders>
            <w:vAlign w:val="center"/>
          </w:tcPr>
          <w:p w14:paraId="7F808083">
            <w:pPr>
              <w:spacing w:after="0" w:line="240" w:lineRule="auto"/>
              <w:jc w:val="center"/>
              <w:rPr>
                <w:rFonts w:ascii="宋体" w:hAnsi="宋体" w:eastAsia="宋体"/>
                <w:color w:val="auto"/>
              </w:rPr>
            </w:pPr>
          </w:p>
        </w:tc>
      </w:tr>
      <w:tr w14:paraId="767CE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486179B7">
            <w:pPr>
              <w:spacing w:after="0" w:line="240" w:lineRule="auto"/>
              <w:jc w:val="center"/>
              <w:rPr>
                <w:rFonts w:ascii="宋体" w:hAnsi="宋体" w:eastAsia="宋体"/>
                <w:color w:val="auto"/>
              </w:rPr>
            </w:pPr>
            <w:r>
              <w:rPr>
                <w:rFonts w:hint="eastAsia" w:ascii="宋体" w:hAnsi="宋体" w:eastAsia="宋体"/>
                <w:color w:val="auto"/>
              </w:rPr>
              <w:t>2</w:t>
            </w:r>
          </w:p>
        </w:tc>
        <w:tc>
          <w:tcPr>
            <w:tcW w:w="1418" w:type="dxa"/>
            <w:tcBorders>
              <w:top w:val="single" w:color="auto" w:sz="4" w:space="0"/>
              <w:left w:val="single" w:color="auto" w:sz="4" w:space="0"/>
              <w:bottom w:val="single" w:color="auto" w:sz="4" w:space="0"/>
              <w:right w:val="single" w:color="auto" w:sz="4" w:space="0"/>
            </w:tcBorders>
            <w:vAlign w:val="center"/>
          </w:tcPr>
          <w:p w14:paraId="5E874F8C">
            <w:pPr>
              <w:spacing w:after="0" w:line="240" w:lineRule="auto"/>
              <w:jc w:val="left"/>
              <w:rPr>
                <w:rFonts w:ascii="宋体" w:hAnsi="宋体" w:eastAsia="宋体"/>
                <w:color w:val="auto"/>
              </w:rPr>
            </w:pPr>
          </w:p>
        </w:tc>
        <w:tc>
          <w:tcPr>
            <w:tcW w:w="3969" w:type="dxa"/>
            <w:tcBorders>
              <w:top w:val="single" w:color="auto" w:sz="4" w:space="0"/>
              <w:left w:val="single" w:color="auto" w:sz="4" w:space="0"/>
              <w:bottom w:val="single" w:color="auto" w:sz="4" w:space="0"/>
              <w:right w:val="single" w:color="auto" w:sz="4" w:space="0"/>
            </w:tcBorders>
            <w:vAlign w:val="center"/>
          </w:tcPr>
          <w:p w14:paraId="0803A78C">
            <w:pPr>
              <w:spacing w:after="0" w:line="240" w:lineRule="auto"/>
              <w:jc w:val="left"/>
              <w:rPr>
                <w:rFonts w:ascii="宋体" w:hAnsi="宋体" w:eastAsia="宋体"/>
                <w:color w:val="auto"/>
              </w:rPr>
            </w:pPr>
          </w:p>
        </w:tc>
        <w:tc>
          <w:tcPr>
            <w:tcW w:w="1275" w:type="dxa"/>
            <w:tcBorders>
              <w:top w:val="single" w:color="auto" w:sz="4" w:space="0"/>
              <w:left w:val="single" w:color="auto" w:sz="4" w:space="0"/>
              <w:bottom w:val="single" w:color="auto" w:sz="4" w:space="0"/>
              <w:right w:val="single" w:color="auto" w:sz="4" w:space="0"/>
            </w:tcBorders>
            <w:vAlign w:val="center"/>
          </w:tcPr>
          <w:p w14:paraId="0F3F58BD">
            <w:pPr>
              <w:spacing w:after="0" w:line="240" w:lineRule="auto"/>
              <w:jc w:val="center"/>
              <w:rPr>
                <w:rFonts w:ascii="宋体" w:hAnsi="宋体" w:eastAsia="宋体"/>
                <w:color w:val="auto"/>
              </w:rPr>
            </w:pPr>
          </w:p>
        </w:tc>
        <w:tc>
          <w:tcPr>
            <w:tcW w:w="1702" w:type="dxa"/>
            <w:tcBorders>
              <w:top w:val="single" w:color="auto" w:sz="4" w:space="0"/>
              <w:left w:val="single" w:color="auto" w:sz="4" w:space="0"/>
              <w:bottom w:val="single" w:color="auto" w:sz="4" w:space="0"/>
              <w:right w:val="single" w:color="auto" w:sz="4" w:space="0"/>
            </w:tcBorders>
            <w:vAlign w:val="center"/>
          </w:tcPr>
          <w:p w14:paraId="0C3C0AF4">
            <w:pPr>
              <w:spacing w:after="0" w:line="240" w:lineRule="auto"/>
              <w:jc w:val="center"/>
              <w:rPr>
                <w:rFonts w:ascii="宋体" w:hAnsi="宋体" w:eastAsia="宋体"/>
                <w:color w:val="auto"/>
              </w:rPr>
            </w:pPr>
          </w:p>
        </w:tc>
      </w:tr>
      <w:tr w14:paraId="2E415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2FB4A8A9">
            <w:pPr>
              <w:spacing w:after="0" w:line="240" w:lineRule="auto"/>
              <w:jc w:val="center"/>
              <w:rPr>
                <w:rFonts w:ascii="宋体" w:hAnsi="宋体" w:eastAsia="宋体"/>
                <w:color w:val="auto"/>
              </w:rPr>
            </w:pPr>
            <w:r>
              <w:rPr>
                <w:rFonts w:hint="eastAsia" w:ascii="宋体" w:hAnsi="宋体" w:eastAsia="宋体"/>
                <w:color w:val="auto"/>
              </w:rPr>
              <w:t>3</w:t>
            </w:r>
          </w:p>
        </w:tc>
        <w:tc>
          <w:tcPr>
            <w:tcW w:w="1418" w:type="dxa"/>
            <w:tcBorders>
              <w:top w:val="single" w:color="auto" w:sz="4" w:space="0"/>
              <w:left w:val="single" w:color="auto" w:sz="4" w:space="0"/>
              <w:bottom w:val="single" w:color="auto" w:sz="4" w:space="0"/>
              <w:right w:val="single" w:color="auto" w:sz="4" w:space="0"/>
            </w:tcBorders>
            <w:vAlign w:val="center"/>
          </w:tcPr>
          <w:p w14:paraId="40B71CF5">
            <w:pPr>
              <w:spacing w:after="0" w:line="240" w:lineRule="auto"/>
              <w:jc w:val="left"/>
              <w:rPr>
                <w:rFonts w:ascii="宋体" w:hAnsi="宋体" w:eastAsia="宋体"/>
                <w:color w:val="auto"/>
              </w:rPr>
            </w:pPr>
          </w:p>
        </w:tc>
        <w:tc>
          <w:tcPr>
            <w:tcW w:w="3969" w:type="dxa"/>
            <w:tcBorders>
              <w:top w:val="single" w:color="auto" w:sz="4" w:space="0"/>
              <w:left w:val="single" w:color="auto" w:sz="4" w:space="0"/>
              <w:bottom w:val="single" w:color="auto" w:sz="4" w:space="0"/>
              <w:right w:val="single" w:color="auto" w:sz="4" w:space="0"/>
            </w:tcBorders>
            <w:vAlign w:val="center"/>
          </w:tcPr>
          <w:p w14:paraId="4BDEBA5F">
            <w:pPr>
              <w:spacing w:after="0" w:line="240" w:lineRule="auto"/>
              <w:jc w:val="left"/>
              <w:rPr>
                <w:rFonts w:ascii="宋体" w:hAnsi="宋体" w:eastAsia="宋体"/>
                <w:color w:val="auto"/>
              </w:rPr>
            </w:pPr>
          </w:p>
        </w:tc>
        <w:tc>
          <w:tcPr>
            <w:tcW w:w="1275" w:type="dxa"/>
            <w:tcBorders>
              <w:top w:val="single" w:color="auto" w:sz="4" w:space="0"/>
              <w:left w:val="single" w:color="auto" w:sz="4" w:space="0"/>
              <w:bottom w:val="single" w:color="auto" w:sz="4" w:space="0"/>
              <w:right w:val="single" w:color="auto" w:sz="4" w:space="0"/>
            </w:tcBorders>
            <w:vAlign w:val="center"/>
          </w:tcPr>
          <w:p w14:paraId="3AA0A069">
            <w:pPr>
              <w:spacing w:after="0" w:line="240" w:lineRule="auto"/>
              <w:jc w:val="center"/>
              <w:rPr>
                <w:rFonts w:ascii="宋体" w:hAnsi="宋体" w:eastAsia="宋体"/>
                <w:color w:val="auto"/>
              </w:rPr>
            </w:pPr>
          </w:p>
        </w:tc>
        <w:tc>
          <w:tcPr>
            <w:tcW w:w="1702" w:type="dxa"/>
            <w:tcBorders>
              <w:top w:val="single" w:color="auto" w:sz="4" w:space="0"/>
              <w:left w:val="single" w:color="auto" w:sz="4" w:space="0"/>
              <w:bottom w:val="single" w:color="auto" w:sz="4" w:space="0"/>
              <w:right w:val="single" w:color="auto" w:sz="4" w:space="0"/>
            </w:tcBorders>
            <w:vAlign w:val="center"/>
          </w:tcPr>
          <w:p w14:paraId="3F36A413">
            <w:pPr>
              <w:spacing w:after="0" w:line="240" w:lineRule="auto"/>
              <w:jc w:val="center"/>
              <w:rPr>
                <w:rFonts w:ascii="宋体" w:hAnsi="宋体" w:eastAsia="宋体"/>
                <w:color w:val="auto"/>
              </w:rPr>
            </w:pPr>
          </w:p>
        </w:tc>
      </w:tr>
      <w:tr w14:paraId="31F64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1B6B9FDE">
            <w:pPr>
              <w:spacing w:after="0" w:line="240" w:lineRule="auto"/>
              <w:jc w:val="center"/>
              <w:rPr>
                <w:rFonts w:ascii="宋体" w:hAnsi="宋体" w:eastAsia="宋体"/>
                <w:color w:val="auto"/>
              </w:rPr>
            </w:pPr>
            <w:r>
              <w:rPr>
                <w:rFonts w:hint="eastAsia" w:ascii="宋体" w:hAnsi="宋体" w:eastAsia="宋体"/>
                <w:color w:val="auto"/>
              </w:rPr>
              <w:t>4</w:t>
            </w:r>
          </w:p>
        </w:tc>
        <w:tc>
          <w:tcPr>
            <w:tcW w:w="1418" w:type="dxa"/>
            <w:tcBorders>
              <w:top w:val="single" w:color="auto" w:sz="4" w:space="0"/>
              <w:left w:val="single" w:color="auto" w:sz="4" w:space="0"/>
              <w:bottom w:val="single" w:color="auto" w:sz="4" w:space="0"/>
              <w:right w:val="single" w:color="auto" w:sz="4" w:space="0"/>
            </w:tcBorders>
            <w:vAlign w:val="center"/>
          </w:tcPr>
          <w:p w14:paraId="0AE0C910">
            <w:pPr>
              <w:spacing w:after="0" w:line="240" w:lineRule="auto"/>
              <w:jc w:val="left"/>
              <w:rPr>
                <w:rFonts w:ascii="宋体" w:hAnsi="宋体" w:eastAsia="宋体"/>
                <w:color w:val="auto"/>
              </w:rPr>
            </w:pPr>
          </w:p>
        </w:tc>
        <w:tc>
          <w:tcPr>
            <w:tcW w:w="3969" w:type="dxa"/>
            <w:tcBorders>
              <w:top w:val="single" w:color="auto" w:sz="4" w:space="0"/>
              <w:left w:val="single" w:color="auto" w:sz="4" w:space="0"/>
              <w:bottom w:val="single" w:color="auto" w:sz="4" w:space="0"/>
              <w:right w:val="single" w:color="auto" w:sz="4" w:space="0"/>
            </w:tcBorders>
            <w:vAlign w:val="center"/>
          </w:tcPr>
          <w:p w14:paraId="6C8E343D">
            <w:pPr>
              <w:spacing w:after="0" w:line="240" w:lineRule="auto"/>
              <w:jc w:val="left"/>
              <w:rPr>
                <w:rFonts w:ascii="宋体" w:hAnsi="宋体" w:eastAsia="宋体"/>
                <w:color w:val="auto"/>
              </w:rPr>
            </w:pPr>
          </w:p>
        </w:tc>
        <w:tc>
          <w:tcPr>
            <w:tcW w:w="1275" w:type="dxa"/>
            <w:tcBorders>
              <w:top w:val="single" w:color="auto" w:sz="4" w:space="0"/>
              <w:left w:val="single" w:color="auto" w:sz="4" w:space="0"/>
              <w:bottom w:val="single" w:color="auto" w:sz="4" w:space="0"/>
              <w:right w:val="single" w:color="auto" w:sz="4" w:space="0"/>
            </w:tcBorders>
            <w:vAlign w:val="center"/>
          </w:tcPr>
          <w:p w14:paraId="267708AA">
            <w:pPr>
              <w:spacing w:after="0" w:line="240" w:lineRule="auto"/>
              <w:jc w:val="center"/>
              <w:rPr>
                <w:rFonts w:ascii="宋体" w:hAnsi="宋体" w:eastAsia="宋体"/>
                <w:color w:val="auto"/>
              </w:rPr>
            </w:pPr>
          </w:p>
        </w:tc>
        <w:tc>
          <w:tcPr>
            <w:tcW w:w="1702" w:type="dxa"/>
            <w:tcBorders>
              <w:top w:val="single" w:color="auto" w:sz="4" w:space="0"/>
              <w:left w:val="single" w:color="auto" w:sz="4" w:space="0"/>
              <w:bottom w:val="single" w:color="auto" w:sz="4" w:space="0"/>
              <w:right w:val="single" w:color="auto" w:sz="4" w:space="0"/>
            </w:tcBorders>
            <w:vAlign w:val="center"/>
          </w:tcPr>
          <w:p w14:paraId="3F942904">
            <w:pPr>
              <w:spacing w:after="0" w:line="240" w:lineRule="auto"/>
              <w:jc w:val="center"/>
              <w:rPr>
                <w:rFonts w:ascii="宋体" w:hAnsi="宋体" w:eastAsia="宋体"/>
                <w:color w:val="auto"/>
              </w:rPr>
            </w:pPr>
          </w:p>
        </w:tc>
      </w:tr>
      <w:tr w14:paraId="54142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127B81E">
            <w:pPr>
              <w:spacing w:after="0" w:line="240" w:lineRule="auto"/>
              <w:jc w:val="center"/>
              <w:rPr>
                <w:rFonts w:ascii="宋体" w:hAnsi="宋体" w:eastAsia="宋体"/>
                <w:color w:val="auto"/>
              </w:rPr>
            </w:pPr>
            <w:r>
              <w:rPr>
                <w:rFonts w:hint="eastAsia" w:ascii="宋体" w:hAnsi="宋体" w:eastAsia="宋体"/>
                <w:color w:val="auto"/>
              </w:rPr>
              <w:t>5</w:t>
            </w:r>
          </w:p>
        </w:tc>
        <w:tc>
          <w:tcPr>
            <w:tcW w:w="1418" w:type="dxa"/>
            <w:tcBorders>
              <w:top w:val="single" w:color="auto" w:sz="4" w:space="0"/>
              <w:left w:val="single" w:color="auto" w:sz="4" w:space="0"/>
              <w:bottom w:val="single" w:color="auto" w:sz="4" w:space="0"/>
              <w:right w:val="single" w:color="auto" w:sz="4" w:space="0"/>
            </w:tcBorders>
            <w:vAlign w:val="center"/>
          </w:tcPr>
          <w:p w14:paraId="7BCF3B4D">
            <w:pPr>
              <w:spacing w:after="0" w:line="240" w:lineRule="auto"/>
              <w:jc w:val="left"/>
              <w:rPr>
                <w:rFonts w:ascii="宋体" w:hAnsi="宋体" w:eastAsia="宋体"/>
                <w:color w:val="auto"/>
              </w:rPr>
            </w:pPr>
          </w:p>
        </w:tc>
        <w:tc>
          <w:tcPr>
            <w:tcW w:w="3969" w:type="dxa"/>
            <w:tcBorders>
              <w:top w:val="single" w:color="auto" w:sz="4" w:space="0"/>
              <w:left w:val="single" w:color="auto" w:sz="4" w:space="0"/>
              <w:bottom w:val="single" w:color="auto" w:sz="4" w:space="0"/>
              <w:right w:val="single" w:color="auto" w:sz="4" w:space="0"/>
            </w:tcBorders>
            <w:vAlign w:val="center"/>
          </w:tcPr>
          <w:p w14:paraId="5822E219">
            <w:pPr>
              <w:spacing w:after="0" w:line="240" w:lineRule="auto"/>
              <w:jc w:val="left"/>
              <w:rPr>
                <w:rFonts w:ascii="宋体" w:hAnsi="宋体" w:eastAsia="宋体"/>
                <w:color w:val="auto"/>
              </w:rPr>
            </w:pPr>
          </w:p>
        </w:tc>
        <w:tc>
          <w:tcPr>
            <w:tcW w:w="1275" w:type="dxa"/>
            <w:tcBorders>
              <w:top w:val="single" w:color="auto" w:sz="4" w:space="0"/>
              <w:left w:val="single" w:color="auto" w:sz="4" w:space="0"/>
              <w:bottom w:val="single" w:color="auto" w:sz="4" w:space="0"/>
              <w:right w:val="single" w:color="auto" w:sz="4" w:space="0"/>
            </w:tcBorders>
            <w:vAlign w:val="center"/>
          </w:tcPr>
          <w:p w14:paraId="4D48ACED">
            <w:pPr>
              <w:spacing w:after="0" w:line="240" w:lineRule="auto"/>
              <w:jc w:val="center"/>
              <w:rPr>
                <w:rFonts w:ascii="宋体" w:hAnsi="宋体" w:eastAsia="宋体"/>
                <w:color w:val="auto"/>
              </w:rPr>
            </w:pPr>
          </w:p>
        </w:tc>
        <w:tc>
          <w:tcPr>
            <w:tcW w:w="1702" w:type="dxa"/>
            <w:tcBorders>
              <w:top w:val="single" w:color="auto" w:sz="4" w:space="0"/>
              <w:left w:val="single" w:color="auto" w:sz="4" w:space="0"/>
              <w:bottom w:val="single" w:color="auto" w:sz="4" w:space="0"/>
              <w:right w:val="single" w:color="auto" w:sz="4" w:space="0"/>
            </w:tcBorders>
            <w:vAlign w:val="center"/>
          </w:tcPr>
          <w:p w14:paraId="781EE3C0">
            <w:pPr>
              <w:spacing w:after="0" w:line="240" w:lineRule="auto"/>
              <w:jc w:val="center"/>
              <w:rPr>
                <w:rFonts w:ascii="宋体" w:hAnsi="宋体" w:eastAsia="宋体"/>
                <w:color w:val="auto"/>
              </w:rPr>
            </w:pPr>
          </w:p>
        </w:tc>
      </w:tr>
      <w:tr w14:paraId="5324D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250C0A11">
            <w:pPr>
              <w:spacing w:after="0" w:line="240" w:lineRule="auto"/>
              <w:jc w:val="center"/>
              <w:rPr>
                <w:rFonts w:ascii="宋体" w:hAnsi="宋体" w:eastAsia="宋体"/>
                <w:color w:val="auto"/>
              </w:rPr>
            </w:pPr>
            <w:r>
              <w:rPr>
                <w:rFonts w:ascii="宋体" w:hAnsi="宋体" w:eastAsia="宋体"/>
                <w:color w:val="auto"/>
              </w:rPr>
              <w:t>…</w:t>
            </w:r>
          </w:p>
        </w:tc>
        <w:tc>
          <w:tcPr>
            <w:tcW w:w="1418" w:type="dxa"/>
            <w:tcBorders>
              <w:top w:val="single" w:color="auto" w:sz="4" w:space="0"/>
              <w:left w:val="single" w:color="auto" w:sz="4" w:space="0"/>
              <w:bottom w:val="single" w:color="auto" w:sz="4" w:space="0"/>
              <w:right w:val="single" w:color="auto" w:sz="4" w:space="0"/>
            </w:tcBorders>
            <w:vAlign w:val="center"/>
          </w:tcPr>
          <w:p w14:paraId="59EAE7B8">
            <w:pPr>
              <w:spacing w:after="0" w:line="240" w:lineRule="auto"/>
              <w:jc w:val="left"/>
              <w:rPr>
                <w:rFonts w:ascii="宋体" w:hAnsi="宋体" w:eastAsia="宋体"/>
                <w:color w:val="auto"/>
              </w:rPr>
            </w:pPr>
          </w:p>
        </w:tc>
        <w:tc>
          <w:tcPr>
            <w:tcW w:w="3969" w:type="dxa"/>
            <w:tcBorders>
              <w:top w:val="single" w:color="auto" w:sz="4" w:space="0"/>
              <w:left w:val="single" w:color="auto" w:sz="4" w:space="0"/>
              <w:bottom w:val="single" w:color="auto" w:sz="4" w:space="0"/>
              <w:right w:val="single" w:color="auto" w:sz="4" w:space="0"/>
            </w:tcBorders>
            <w:vAlign w:val="center"/>
          </w:tcPr>
          <w:p w14:paraId="23C86ADE">
            <w:pPr>
              <w:spacing w:after="0" w:line="240" w:lineRule="auto"/>
              <w:jc w:val="left"/>
              <w:rPr>
                <w:rFonts w:ascii="宋体" w:hAnsi="宋体" w:eastAsia="宋体"/>
                <w:color w:val="auto"/>
              </w:rPr>
            </w:pPr>
          </w:p>
        </w:tc>
        <w:tc>
          <w:tcPr>
            <w:tcW w:w="1275" w:type="dxa"/>
            <w:tcBorders>
              <w:top w:val="single" w:color="auto" w:sz="4" w:space="0"/>
              <w:left w:val="single" w:color="auto" w:sz="4" w:space="0"/>
              <w:bottom w:val="single" w:color="auto" w:sz="4" w:space="0"/>
              <w:right w:val="single" w:color="auto" w:sz="4" w:space="0"/>
            </w:tcBorders>
            <w:vAlign w:val="center"/>
          </w:tcPr>
          <w:p w14:paraId="5AB88523">
            <w:pPr>
              <w:spacing w:after="0" w:line="240" w:lineRule="auto"/>
              <w:jc w:val="center"/>
              <w:rPr>
                <w:rFonts w:ascii="宋体" w:hAnsi="宋体" w:eastAsia="宋体"/>
                <w:color w:val="auto"/>
              </w:rPr>
            </w:pPr>
          </w:p>
        </w:tc>
        <w:tc>
          <w:tcPr>
            <w:tcW w:w="1702" w:type="dxa"/>
            <w:tcBorders>
              <w:top w:val="single" w:color="auto" w:sz="4" w:space="0"/>
              <w:left w:val="single" w:color="auto" w:sz="4" w:space="0"/>
              <w:bottom w:val="single" w:color="auto" w:sz="4" w:space="0"/>
              <w:right w:val="single" w:color="auto" w:sz="4" w:space="0"/>
            </w:tcBorders>
            <w:vAlign w:val="center"/>
          </w:tcPr>
          <w:p w14:paraId="73D87C48">
            <w:pPr>
              <w:spacing w:after="0" w:line="240" w:lineRule="auto"/>
              <w:jc w:val="center"/>
              <w:rPr>
                <w:rFonts w:ascii="宋体" w:hAnsi="宋体" w:eastAsia="宋体"/>
                <w:color w:val="auto"/>
              </w:rPr>
            </w:pPr>
          </w:p>
        </w:tc>
      </w:tr>
    </w:tbl>
    <w:p w14:paraId="4862AC08">
      <w:pPr>
        <w:snapToGrid w:val="0"/>
        <w:spacing w:after="0" w:line="360" w:lineRule="auto"/>
        <w:ind w:left="-23" w:leftChars="-11" w:right="-57" w:rightChars="-27" w:firstLine="21" w:firstLineChars="10"/>
        <w:rPr>
          <w:rFonts w:ascii="宋体" w:hAnsi="宋体" w:eastAsia="宋体"/>
          <w:color w:val="auto"/>
          <w:szCs w:val="22"/>
        </w:rPr>
      </w:pPr>
      <w:r>
        <w:rPr>
          <w:rFonts w:hint="eastAsia" w:ascii="宋体" w:hAnsi="宋体" w:eastAsia="宋体"/>
          <w:color w:val="auto"/>
          <w:szCs w:val="22"/>
        </w:rPr>
        <w:t>注：</w:t>
      </w:r>
    </w:p>
    <w:p w14:paraId="0C6E8E12">
      <w:pPr>
        <w:snapToGrid w:val="0"/>
        <w:spacing w:after="0" w:line="360" w:lineRule="auto"/>
        <w:ind w:left="-23" w:leftChars="-11" w:right="-57" w:rightChars="-27" w:firstLine="21" w:firstLineChars="10"/>
        <w:rPr>
          <w:rFonts w:ascii="宋体" w:hAnsi="宋体" w:eastAsia="宋体"/>
          <w:color w:val="auto"/>
          <w:szCs w:val="22"/>
        </w:rPr>
      </w:pPr>
      <w:r>
        <w:rPr>
          <w:rFonts w:hint="eastAsia" w:ascii="宋体" w:hAnsi="宋体" w:eastAsia="宋体"/>
          <w:color w:val="auto"/>
          <w:szCs w:val="22"/>
        </w:rPr>
        <w:t xml:space="preserve">1.投标人保证：除本表列出的偏离外，响应招标文件《第二章 </w:t>
      </w:r>
      <w:r>
        <w:rPr>
          <w:rFonts w:ascii="宋体" w:hAnsi="宋体" w:eastAsia="宋体"/>
          <w:color w:val="auto"/>
          <w:szCs w:val="22"/>
        </w:rPr>
        <w:t xml:space="preserve"> </w:t>
      </w:r>
      <w:r>
        <w:rPr>
          <w:rFonts w:hint="eastAsia" w:ascii="宋体" w:hAnsi="宋体" w:eastAsia="宋体"/>
          <w:color w:val="auto"/>
          <w:szCs w:val="22"/>
        </w:rPr>
        <w:t>采购需求》列明的除商务要求以外的所有要求（满足招标文件要求的条款可以不在本表填写相关内容）。</w:t>
      </w:r>
    </w:p>
    <w:p w14:paraId="084CEFE1">
      <w:pPr>
        <w:snapToGrid w:val="0"/>
        <w:spacing w:after="0" w:line="360" w:lineRule="auto"/>
        <w:ind w:left="-23" w:leftChars="-11" w:right="-57" w:rightChars="-27" w:firstLine="21" w:firstLineChars="10"/>
        <w:rPr>
          <w:rFonts w:ascii="宋体" w:hAnsi="宋体" w:eastAsia="宋体"/>
          <w:color w:val="auto"/>
          <w:szCs w:val="22"/>
        </w:rPr>
      </w:pPr>
      <w:r>
        <w:rPr>
          <w:rFonts w:hint="eastAsia" w:ascii="宋体" w:hAnsi="宋体" w:eastAsia="宋体"/>
          <w:color w:val="auto"/>
          <w:szCs w:val="22"/>
        </w:rPr>
        <w:t>2</w:t>
      </w:r>
      <w:r>
        <w:rPr>
          <w:rFonts w:ascii="宋体" w:hAnsi="宋体" w:eastAsia="宋体"/>
          <w:color w:val="auto"/>
          <w:szCs w:val="22"/>
        </w:rPr>
        <w:t>.</w:t>
      </w:r>
      <w:r>
        <w:rPr>
          <w:rFonts w:hint="eastAsia" w:ascii="宋体" w:hAnsi="宋体" w:eastAsia="宋体"/>
          <w:color w:val="auto"/>
          <w:szCs w:val="22"/>
        </w:rPr>
        <w:t>投标人</w:t>
      </w:r>
      <w:r>
        <w:rPr>
          <w:rFonts w:hint="eastAsia" w:ascii="宋体" w:hAnsi="宋体" w:eastAsia="宋体"/>
          <w:color w:val="auto"/>
        </w:rPr>
        <w:t>应当</w:t>
      </w:r>
      <w:r>
        <w:rPr>
          <w:rFonts w:hint="eastAsia" w:ascii="宋体" w:hAnsi="宋体" w:eastAsia="宋体"/>
          <w:color w:val="auto"/>
          <w:szCs w:val="22"/>
        </w:rPr>
        <w:t xml:space="preserve">与招标文件《第二章 </w:t>
      </w:r>
      <w:r>
        <w:rPr>
          <w:rFonts w:ascii="宋体" w:hAnsi="宋体" w:eastAsia="宋体"/>
          <w:color w:val="auto"/>
          <w:szCs w:val="22"/>
        </w:rPr>
        <w:t xml:space="preserve"> </w:t>
      </w:r>
      <w:r>
        <w:rPr>
          <w:rFonts w:hint="eastAsia" w:ascii="宋体" w:hAnsi="宋体" w:eastAsia="宋体"/>
          <w:color w:val="auto"/>
          <w:szCs w:val="22"/>
        </w:rPr>
        <w:t xml:space="preserve">采购需求》的相关条款逐项比较，如有偏离的，须在本表中列明，并填写偏离情况说明。如投标人未在本表中列出偏离项并填写偏离情况说明，即使其在投标文件的其他部分说明与招标文件要求有所不同或回避不答，亦视为响应招标文件《第二章 </w:t>
      </w:r>
      <w:r>
        <w:rPr>
          <w:rFonts w:ascii="宋体" w:hAnsi="宋体" w:eastAsia="宋体"/>
          <w:color w:val="auto"/>
          <w:szCs w:val="22"/>
        </w:rPr>
        <w:t xml:space="preserve"> </w:t>
      </w:r>
      <w:r>
        <w:rPr>
          <w:rFonts w:hint="eastAsia" w:ascii="宋体" w:hAnsi="宋体" w:eastAsia="宋体"/>
          <w:color w:val="auto"/>
          <w:szCs w:val="22"/>
        </w:rPr>
        <w:t>采购需求》所提出的要求并签署合同。若中标人以上述事项为借口而不履行合同签订手续及履行合同，则按照相关法律法规的规定处理，响应情况由评标委员会认定。</w:t>
      </w:r>
    </w:p>
    <w:p w14:paraId="0A9B4C14">
      <w:pPr>
        <w:snapToGrid w:val="0"/>
        <w:spacing w:after="0" w:line="360" w:lineRule="auto"/>
        <w:ind w:left="-23" w:leftChars="-11" w:right="-57" w:rightChars="-27" w:firstLine="21" w:firstLineChars="10"/>
        <w:rPr>
          <w:rFonts w:ascii="宋体" w:hAnsi="宋体" w:eastAsia="宋体"/>
          <w:color w:val="auto"/>
          <w:szCs w:val="22"/>
        </w:rPr>
      </w:pPr>
      <w:r>
        <w:rPr>
          <w:rFonts w:ascii="宋体" w:hAnsi="宋体" w:eastAsia="宋体"/>
          <w:color w:val="auto"/>
          <w:szCs w:val="22"/>
        </w:rPr>
        <w:t>3</w:t>
      </w:r>
      <w:r>
        <w:rPr>
          <w:rFonts w:hint="eastAsia" w:ascii="宋体" w:hAnsi="宋体" w:eastAsia="宋体"/>
          <w:color w:val="auto"/>
          <w:szCs w:val="22"/>
        </w:rPr>
        <w:t xml:space="preserve">.投标人无论对《第二章 </w:t>
      </w:r>
      <w:r>
        <w:rPr>
          <w:rFonts w:ascii="宋体" w:hAnsi="宋体" w:eastAsia="宋体"/>
          <w:color w:val="auto"/>
          <w:szCs w:val="22"/>
        </w:rPr>
        <w:t xml:space="preserve"> </w:t>
      </w:r>
      <w:r>
        <w:rPr>
          <w:rFonts w:hint="eastAsia" w:ascii="宋体" w:hAnsi="宋体" w:eastAsia="宋体"/>
          <w:color w:val="auto"/>
          <w:szCs w:val="22"/>
        </w:rPr>
        <w:t>采购需求》的</w:t>
      </w:r>
      <w:r>
        <w:rPr>
          <w:rFonts w:hint="eastAsia" w:ascii="宋体" w:hAnsi="宋体" w:eastAsia="宋体"/>
          <w:color w:val="auto"/>
        </w:rPr>
        <w:t>技术或服务要求</w:t>
      </w:r>
      <w:r>
        <w:rPr>
          <w:rFonts w:hint="eastAsia" w:ascii="宋体" w:hAnsi="宋体" w:eastAsia="宋体"/>
          <w:color w:val="auto"/>
          <w:szCs w:val="22"/>
        </w:rPr>
        <w:t>有无偏离（不满足或优于）都应当将本表盖章后作为投标文件的一部分提交，未在投标文件中提供本表的按照</w:t>
      </w:r>
      <w:r>
        <w:rPr>
          <w:rFonts w:hint="eastAsia" w:ascii="宋体" w:hAnsi="宋体" w:eastAsia="宋体"/>
          <w:color w:val="auto"/>
        </w:rPr>
        <w:t>投标无效</w:t>
      </w:r>
      <w:r>
        <w:rPr>
          <w:rFonts w:hint="eastAsia" w:ascii="宋体" w:hAnsi="宋体" w:eastAsia="宋体"/>
          <w:color w:val="auto"/>
          <w:szCs w:val="22"/>
        </w:rPr>
        <w:t>处理。</w:t>
      </w:r>
    </w:p>
    <w:p w14:paraId="02C25DBB">
      <w:pPr>
        <w:pStyle w:val="27"/>
        <w:spacing w:after="0" w:line="360" w:lineRule="auto"/>
        <w:ind w:left="1806" w:leftChars="0" w:right="112" w:hanging="1806"/>
        <w:rPr>
          <w:rFonts w:ascii="宋体" w:hAnsi="宋体" w:eastAsia="宋体"/>
          <w:color w:val="auto"/>
        </w:rPr>
      </w:pPr>
    </w:p>
    <w:p w14:paraId="759286D4">
      <w:pPr>
        <w:snapToGrid w:val="0"/>
        <w:spacing w:after="0" w:line="360" w:lineRule="auto"/>
        <w:ind w:left="361" w:right="112" w:firstLine="3402" w:firstLineChars="1620"/>
        <w:rPr>
          <w:rFonts w:ascii="宋体" w:hAnsi="宋体" w:eastAsia="宋体"/>
          <w:color w:val="auto"/>
        </w:rPr>
      </w:pPr>
    </w:p>
    <w:p w14:paraId="114B6031">
      <w:pPr>
        <w:snapToGrid w:val="0"/>
        <w:spacing w:after="0" w:line="360" w:lineRule="auto"/>
        <w:ind w:left="361" w:right="112" w:firstLine="3685" w:firstLineChars="1755"/>
        <w:rPr>
          <w:rFonts w:ascii="宋体" w:hAnsi="宋体" w:eastAsia="宋体"/>
          <w:color w:val="auto"/>
        </w:rPr>
      </w:pPr>
      <w:r>
        <w:rPr>
          <w:rFonts w:hint="eastAsia" w:ascii="宋体" w:hAnsi="宋体" w:eastAsia="宋体"/>
          <w:color w:val="auto"/>
        </w:rPr>
        <w:t>投标人：</w:t>
      </w:r>
      <w:r>
        <w:rPr>
          <w:rFonts w:hint="eastAsia" w:ascii="宋体" w:hAnsi="宋体" w:eastAsia="宋体"/>
          <w:color w:val="auto"/>
          <w:u w:val="single"/>
        </w:rPr>
        <w:t>填写全称并加盖公章</w:t>
      </w:r>
    </w:p>
    <w:p w14:paraId="13B5F4DF">
      <w:pPr>
        <w:snapToGrid w:val="0"/>
        <w:spacing w:after="0" w:line="360" w:lineRule="auto"/>
        <w:ind w:left="361" w:right="112" w:firstLine="3685" w:firstLineChars="1755"/>
        <w:rPr>
          <w:rFonts w:ascii="宋体" w:hAnsi="宋体" w:eastAsia="宋体"/>
          <w:color w:val="auto"/>
        </w:rPr>
      </w:pPr>
      <w:r>
        <w:rPr>
          <w:rFonts w:hint="eastAsia" w:ascii="宋体" w:hAnsi="宋体" w:eastAsia="宋体"/>
          <w:color w:val="auto"/>
        </w:rPr>
        <w:t xml:space="preserve">日 </w:t>
      </w:r>
      <w:r>
        <w:rPr>
          <w:rFonts w:ascii="宋体" w:hAnsi="宋体" w:eastAsia="宋体"/>
          <w:color w:val="auto"/>
        </w:rPr>
        <w:t xml:space="preserve"> </w:t>
      </w:r>
      <w:r>
        <w:rPr>
          <w:rFonts w:hint="eastAsia" w:ascii="宋体" w:hAnsi="宋体" w:eastAsia="宋体"/>
          <w:color w:val="auto"/>
        </w:rPr>
        <w:t>期：</w:t>
      </w:r>
    </w:p>
    <w:p w14:paraId="467FC3E9">
      <w:pPr>
        <w:pStyle w:val="6"/>
        <w:spacing w:after="0" w:line="360" w:lineRule="auto"/>
        <w:ind w:left="361" w:right="112" w:firstLine="280"/>
        <w:rPr>
          <w:rFonts w:ascii="宋体" w:hAnsi="宋体" w:eastAsia="宋体"/>
          <w:color w:val="auto"/>
        </w:rPr>
      </w:pPr>
    </w:p>
    <w:p w14:paraId="2E8BA4A0">
      <w:pPr>
        <w:spacing w:after="0" w:line="360" w:lineRule="auto"/>
        <w:ind w:left="2167" w:right="112"/>
        <w:rPr>
          <w:rFonts w:ascii="宋体" w:hAnsi="宋体" w:eastAsia="宋体"/>
          <w:color w:val="auto"/>
        </w:rPr>
      </w:pPr>
    </w:p>
    <w:p w14:paraId="3E3765F1">
      <w:pPr>
        <w:pStyle w:val="5"/>
        <w:spacing w:after="0" w:line="360" w:lineRule="auto"/>
        <w:ind w:left="1966" w:right="112" w:hanging="1605"/>
        <w:rPr>
          <w:rFonts w:ascii="宋体" w:hAnsi="宋体" w:eastAsia="宋体"/>
          <w:color w:val="auto"/>
        </w:rPr>
      </w:pPr>
    </w:p>
    <w:p w14:paraId="6E4EA3E4">
      <w:pPr>
        <w:pStyle w:val="6"/>
        <w:ind w:firstLine="280"/>
        <w:rPr>
          <w:color w:val="auto"/>
        </w:rPr>
      </w:pPr>
    </w:p>
    <w:p w14:paraId="59F25DC2">
      <w:pPr>
        <w:rPr>
          <w:color w:val="auto"/>
        </w:rPr>
      </w:pPr>
    </w:p>
    <w:p w14:paraId="4203C61A">
      <w:pPr>
        <w:snapToGrid w:val="0"/>
        <w:spacing w:line="360" w:lineRule="auto"/>
        <w:rPr>
          <w:rFonts w:ascii="宋体" w:hAnsi="宋体"/>
          <w:b/>
          <w:color w:val="auto"/>
        </w:rPr>
      </w:pPr>
      <w:r>
        <w:rPr>
          <w:rFonts w:hint="eastAsia" w:ascii="宋体" w:hAnsi="宋体"/>
          <w:b/>
          <w:color w:val="auto"/>
        </w:rPr>
        <w:t>注：联合体投标的，关于投标人全称双方单位名称均应填写，名称之间以顿号或斜杆区分。</w:t>
      </w:r>
    </w:p>
    <w:p w14:paraId="25D39921">
      <w:pPr>
        <w:rPr>
          <w:color w:val="auto"/>
        </w:rPr>
      </w:pPr>
    </w:p>
    <w:p w14:paraId="41A65DFB">
      <w:pPr>
        <w:widowControl/>
        <w:spacing w:after="0" w:line="360" w:lineRule="auto"/>
        <w:ind w:left="2167" w:right="112" w:hanging="1806"/>
        <w:jc w:val="left"/>
        <w:rPr>
          <w:rFonts w:ascii="宋体" w:hAnsi="宋体" w:eastAsia="宋体" w:cs="宋体"/>
          <w:b/>
          <w:color w:val="auto"/>
          <w:kern w:val="0"/>
        </w:rPr>
      </w:pPr>
      <w:r>
        <w:rPr>
          <w:rFonts w:ascii="宋体" w:hAnsi="宋体" w:eastAsia="宋体" w:cs="宋体"/>
          <w:b/>
          <w:color w:val="auto"/>
        </w:rPr>
        <w:br w:type="page"/>
      </w:r>
    </w:p>
    <w:p w14:paraId="26703B9B">
      <w:pPr>
        <w:pStyle w:val="7"/>
        <w:spacing w:after="0" w:line="360" w:lineRule="auto"/>
        <w:ind w:left="0" w:leftChars="0"/>
        <w:jc w:val="center"/>
        <w:rPr>
          <w:rFonts w:ascii="宋体" w:hAnsi="宋体" w:eastAsia="宋体" w:cs="宋体"/>
          <w:b/>
          <w:color w:val="auto"/>
          <w:sz w:val="21"/>
        </w:rPr>
      </w:pPr>
      <w:r>
        <w:rPr>
          <w:rFonts w:hint="eastAsia" w:ascii="宋体" w:hAnsi="宋体" w:eastAsia="宋体" w:cs="宋体"/>
          <w:b/>
          <w:color w:val="auto"/>
          <w:sz w:val="21"/>
        </w:rPr>
        <w:t>（6）项目实施人员情况表</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1167"/>
        <w:gridCol w:w="1275"/>
        <w:gridCol w:w="851"/>
        <w:gridCol w:w="850"/>
        <w:gridCol w:w="3228"/>
      </w:tblGrid>
      <w:tr w14:paraId="2F55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3AAB5F7B">
            <w:pPr>
              <w:spacing w:after="0" w:line="240" w:lineRule="auto"/>
              <w:jc w:val="center"/>
              <w:rPr>
                <w:rFonts w:ascii="宋体" w:hAnsi="宋体" w:eastAsia="宋体"/>
                <w:color w:val="auto"/>
              </w:rPr>
            </w:pPr>
            <w:r>
              <w:rPr>
                <w:rFonts w:hint="eastAsia" w:ascii="宋体" w:hAnsi="宋体" w:eastAsia="宋体"/>
                <w:color w:val="auto"/>
              </w:rPr>
              <w:t>序号</w:t>
            </w:r>
          </w:p>
        </w:tc>
        <w:tc>
          <w:tcPr>
            <w:tcW w:w="993" w:type="dxa"/>
            <w:vAlign w:val="center"/>
          </w:tcPr>
          <w:p w14:paraId="5B7AD809">
            <w:pPr>
              <w:spacing w:after="0" w:line="240" w:lineRule="auto"/>
              <w:jc w:val="center"/>
              <w:rPr>
                <w:rFonts w:ascii="宋体" w:hAnsi="宋体" w:eastAsia="宋体"/>
                <w:color w:val="auto"/>
              </w:rPr>
            </w:pPr>
            <w:r>
              <w:rPr>
                <w:rFonts w:hint="eastAsia" w:ascii="宋体" w:hAnsi="宋体" w:eastAsia="宋体"/>
                <w:color w:val="auto"/>
              </w:rPr>
              <w:t>姓名</w:t>
            </w:r>
          </w:p>
        </w:tc>
        <w:tc>
          <w:tcPr>
            <w:tcW w:w="1167" w:type="dxa"/>
            <w:vAlign w:val="center"/>
          </w:tcPr>
          <w:p w14:paraId="12BEAFC2">
            <w:pPr>
              <w:spacing w:after="0" w:line="240" w:lineRule="auto"/>
              <w:jc w:val="center"/>
              <w:rPr>
                <w:rFonts w:ascii="宋体" w:hAnsi="宋体" w:eastAsia="宋体"/>
                <w:color w:val="auto"/>
              </w:rPr>
            </w:pPr>
            <w:r>
              <w:rPr>
                <w:rFonts w:hint="eastAsia" w:ascii="宋体" w:hAnsi="宋体" w:eastAsia="宋体"/>
                <w:color w:val="auto"/>
              </w:rPr>
              <w:t>本项目中的岗位</w:t>
            </w:r>
          </w:p>
        </w:tc>
        <w:tc>
          <w:tcPr>
            <w:tcW w:w="1275" w:type="dxa"/>
            <w:vAlign w:val="center"/>
          </w:tcPr>
          <w:p w14:paraId="38695AD4">
            <w:pPr>
              <w:spacing w:after="0" w:line="240" w:lineRule="auto"/>
              <w:jc w:val="center"/>
              <w:rPr>
                <w:rFonts w:ascii="宋体" w:hAnsi="宋体" w:eastAsia="宋体"/>
                <w:color w:val="auto"/>
              </w:rPr>
            </w:pPr>
            <w:r>
              <w:rPr>
                <w:rFonts w:hint="eastAsia" w:ascii="宋体" w:hAnsi="宋体" w:eastAsia="宋体"/>
                <w:color w:val="auto"/>
              </w:rPr>
              <w:t>本项目主要工作内容</w:t>
            </w:r>
          </w:p>
        </w:tc>
        <w:tc>
          <w:tcPr>
            <w:tcW w:w="851" w:type="dxa"/>
            <w:vAlign w:val="center"/>
          </w:tcPr>
          <w:p w14:paraId="3CCE3714">
            <w:pPr>
              <w:spacing w:after="0" w:line="240" w:lineRule="auto"/>
              <w:jc w:val="center"/>
              <w:rPr>
                <w:rFonts w:ascii="宋体" w:hAnsi="宋体" w:eastAsia="宋体"/>
                <w:color w:val="auto"/>
              </w:rPr>
            </w:pPr>
            <w:r>
              <w:rPr>
                <w:rFonts w:hint="eastAsia" w:ascii="宋体" w:hAnsi="宋体" w:eastAsia="宋体"/>
                <w:color w:val="auto"/>
              </w:rPr>
              <w:t>年龄</w:t>
            </w:r>
          </w:p>
        </w:tc>
        <w:tc>
          <w:tcPr>
            <w:tcW w:w="850" w:type="dxa"/>
            <w:vAlign w:val="center"/>
          </w:tcPr>
          <w:p w14:paraId="4E23DFB8">
            <w:pPr>
              <w:spacing w:after="0" w:line="240" w:lineRule="auto"/>
              <w:jc w:val="center"/>
              <w:rPr>
                <w:rFonts w:ascii="宋体" w:hAnsi="宋体" w:eastAsia="宋体"/>
                <w:color w:val="auto"/>
              </w:rPr>
            </w:pPr>
            <w:r>
              <w:rPr>
                <w:rFonts w:hint="eastAsia" w:ascii="宋体" w:hAnsi="宋体" w:eastAsia="宋体"/>
                <w:color w:val="auto"/>
              </w:rPr>
              <w:t>性别</w:t>
            </w:r>
          </w:p>
        </w:tc>
        <w:tc>
          <w:tcPr>
            <w:tcW w:w="3228" w:type="dxa"/>
            <w:vAlign w:val="center"/>
          </w:tcPr>
          <w:p w14:paraId="514A6D6F">
            <w:pPr>
              <w:spacing w:after="0" w:line="240" w:lineRule="auto"/>
              <w:jc w:val="center"/>
              <w:rPr>
                <w:rFonts w:ascii="宋体" w:hAnsi="宋体" w:eastAsia="宋体"/>
                <w:color w:val="auto"/>
              </w:rPr>
            </w:pPr>
            <w:r>
              <w:rPr>
                <w:rFonts w:hint="eastAsia" w:ascii="宋体" w:hAnsi="宋体" w:eastAsia="宋体"/>
                <w:color w:val="auto"/>
              </w:rPr>
              <w:t>职称</w:t>
            </w:r>
          </w:p>
        </w:tc>
      </w:tr>
      <w:tr w14:paraId="7C37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700B078E">
            <w:pPr>
              <w:spacing w:after="0" w:line="240" w:lineRule="auto"/>
              <w:jc w:val="center"/>
              <w:rPr>
                <w:rFonts w:ascii="宋体" w:hAnsi="宋体" w:eastAsia="宋体"/>
                <w:color w:val="auto"/>
              </w:rPr>
            </w:pPr>
            <w:r>
              <w:rPr>
                <w:rFonts w:hint="eastAsia" w:ascii="宋体" w:hAnsi="宋体" w:eastAsia="宋体"/>
                <w:color w:val="auto"/>
              </w:rPr>
              <w:t>1</w:t>
            </w:r>
          </w:p>
        </w:tc>
        <w:tc>
          <w:tcPr>
            <w:tcW w:w="993" w:type="dxa"/>
            <w:vAlign w:val="center"/>
          </w:tcPr>
          <w:p w14:paraId="722DBBEF">
            <w:pPr>
              <w:spacing w:after="0" w:line="240" w:lineRule="auto"/>
              <w:rPr>
                <w:rFonts w:ascii="宋体" w:hAnsi="宋体" w:eastAsia="宋体"/>
                <w:color w:val="auto"/>
              </w:rPr>
            </w:pPr>
          </w:p>
        </w:tc>
        <w:tc>
          <w:tcPr>
            <w:tcW w:w="1167" w:type="dxa"/>
            <w:vAlign w:val="center"/>
          </w:tcPr>
          <w:p w14:paraId="5F8FA8A6">
            <w:pPr>
              <w:spacing w:after="0" w:line="240" w:lineRule="auto"/>
              <w:rPr>
                <w:rFonts w:ascii="宋体" w:hAnsi="宋体" w:eastAsia="宋体"/>
                <w:color w:val="auto"/>
              </w:rPr>
            </w:pPr>
            <w:bookmarkStart w:id="102" w:name="OLE_LINK67"/>
            <w:bookmarkStart w:id="103" w:name="OLE_LINK68"/>
            <w:r>
              <w:rPr>
                <w:rFonts w:hint="eastAsia" w:ascii="宋体" w:hAnsi="宋体" w:eastAsia="宋体"/>
                <w:color w:val="auto"/>
                <w:szCs w:val="22"/>
              </w:rPr>
              <w:t>项目负责人</w:t>
            </w:r>
            <w:bookmarkEnd w:id="102"/>
            <w:bookmarkEnd w:id="103"/>
          </w:p>
        </w:tc>
        <w:tc>
          <w:tcPr>
            <w:tcW w:w="1275" w:type="dxa"/>
            <w:vAlign w:val="center"/>
          </w:tcPr>
          <w:p w14:paraId="2545C6A4">
            <w:pPr>
              <w:spacing w:after="0" w:line="240" w:lineRule="auto"/>
              <w:rPr>
                <w:rFonts w:ascii="宋体" w:hAnsi="宋体" w:eastAsia="宋体"/>
                <w:color w:val="auto"/>
              </w:rPr>
            </w:pPr>
          </w:p>
        </w:tc>
        <w:tc>
          <w:tcPr>
            <w:tcW w:w="851" w:type="dxa"/>
            <w:vAlign w:val="center"/>
          </w:tcPr>
          <w:p w14:paraId="00E24F5C">
            <w:pPr>
              <w:spacing w:after="0" w:line="240" w:lineRule="auto"/>
              <w:rPr>
                <w:rFonts w:ascii="宋体" w:hAnsi="宋体" w:eastAsia="宋体"/>
                <w:color w:val="auto"/>
              </w:rPr>
            </w:pPr>
          </w:p>
        </w:tc>
        <w:tc>
          <w:tcPr>
            <w:tcW w:w="850" w:type="dxa"/>
            <w:vAlign w:val="center"/>
          </w:tcPr>
          <w:p w14:paraId="050B1E5E">
            <w:pPr>
              <w:spacing w:after="0" w:line="240" w:lineRule="auto"/>
              <w:rPr>
                <w:rFonts w:ascii="宋体" w:hAnsi="宋体" w:eastAsia="宋体"/>
                <w:color w:val="auto"/>
              </w:rPr>
            </w:pPr>
          </w:p>
        </w:tc>
        <w:tc>
          <w:tcPr>
            <w:tcW w:w="3228" w:type="dxa"/>
            <w:vAlign w:val="center"/>
          </w:tcPr>
          <w:p w14:paraId="1698BA7E">
            <w:pPr>
              <w:spacing w:after="0" w:line="240" w:lineRule="auto"/>
              <w:rPr>
                <w:rFonts w:ascii="宋体" w:hAnsi="宋体" w:eastAsia="宋体"/>
                <w:color w:val="auto"/>
              </w:rPr>
            </w:pPr>
          </w:p>
        </w:tc>
      </w:tr>
      <w:tr w14:paraId="7B71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6D5A99CE">
            <w:pPr>
              <w:spacing w:after="0" w:line="240" w:lineRule="auto"/>
              <w:jc w:val="center"/>
              <w:rPr>
                <w:rFonts w:ascii="宋体" w:hAnsi="宋体" w:eastAsia="宋体"/>
                <w:color w:val="auto"/>
              </w:rPr>
            </w:pPr>
            <w:r>
              <w:rPr>
                <w:rFonts w:hint="eastAsia" w:ascii="宋体" w:hAnsi="宋体" w:eastAsia="宋体"/>
                <w:color w:val="auto"/>
              </w:rPr>
              <w:t>2</w:t>
            </w:r>
          </w:p>
        </w:tc>
        <w:tc>
          <w:tcPr>
            <w:tcW w:w="993" w:type="dxa"/>
            <w:vAlign w:val="center"/>
          </w:tcPr>
          <w:p w14:paraId="47CB5CCF">
            <w:pPr>
              <w:spacing w:after="0" w:line="240" w:lineRule="auto"/>
              <w:rPr>
                <w:rFonts w:ascii="宋体" w:hAnsi="宋体" w:eastAsia="宋体"/>
                <w:color w:val="auto"/>
              </w:rPr>
            </w:pPr>
          </w:p>
        </w:tc>
        <w:tc>
          <w:tcPr>
            <w:tcW w:w="1167" w:type="dxa"/>
            <w:vAlign w:val="center"/>
          </w:tcPr>
          <w:p w14:paraId="5FB45D78">
            <w:pPr>
              <w:spacing w:after="0" w:line="240" w:lineRule="auto"/>
              <w:rPr>
                <w:rFonts w:ascii="宋体" w:hAnsi="宋体" w:eastAsia="宋体"/>
                <w:color w:val="auto"/>
              </w:rPr>
            </w:pPr>
          </w:p>
        </w:tc>
        <w:tc>
          <w:tcPr>
            <w:tcW w:w="1275" w:type="dxa"/>
            <w:vAlign w:val="center"/>
          </w:tcPr>
          <w:p w14:paraId="2572B07E">
            <w:pPr>
              <w:spacing w:after="0" w:line="240" w:lineRule="auto"/>
              <w:rPr>
                <w:rFonts w:ascii="宋体" w:hAnsi="宋体" w:eastAsia="宋体"/>
                <w:color w:val="auto"/>
              </w:rPr>
            </w:pPr>
          </w:p>
        </w:tc>
        <w:tc>
          <w:tcPr>
            <w:tcW w:w="851" w:type="dxa"/>
            <w:vAlign w:val="center"/>
          </w:tcPr>
          <w:p w14:paraId="3BE99AD4">
            <w:pPr>
              <w:spacing w:after="0" w:line="240" w:lineRule="auto"/>
              <w:rPr>
                <w:rFonts w:ascii="宋体" w:hAnsi="宋体" w:eastAsia="宋体"/>
                <w:color w:val="auto"/>
              </w:rPr>
            </w:pPr>
          </w:p>
        </w:tc>
        <w:tc>
          <w:tcPr>
            <w:tcW w:w="850" w:type="dxa"/>
            <w:vAlign w:val="center"/>
          </w:tcPr>
          <w:p w14:paraId="0BE594AE">
            <w:pPr>
              <w:spacing w:after="0" w:line="240" w:lineRule="auto"/>
              <w:rPr>
                <w:rFonts w:ascii="宋体" w:hAnsi="宋体" w:eastAsia="宋体"/>
                <w:color w:val="auto"/>
              </w:rPr>
            </w:pPr>
          </w:p>
        </w:tc>
        <w:tc>
          <w:tcPr>
            <w:tcW w:w="3228" w:type="dxa"/>
            <w:vAlign w:val="center"/>
          </w:tcPr>
          <w:p w14:paraId="01858CA4">
            <w:pPr>
              <w:spacing w:after="0" w:line="240" w:lineRule="auto"/>
              <w:rPr>
                <w:rFonts w:ascii="宋体" w:hAnsi="宋体" w:eastAsia="宋体"/>
                <w:color w:val="auto"/>
              </w:rPr>
            </w:pPr>
          </w:p>
        </w:tc>
      </w:tr>
      <w:tr w14:paraId="0D6A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3B892238">
            <w:pPr>
              <w:spacing w:after="0" w:line="240" w:lineRule="auto"/>
              <w:jc w:val="center"/>
              <w:rPr>
                <w:rFonts w:ascii="宋体" w:hAnsi="宋体" w:eastAsia="宋体"/>
                <w:color w:val="auto"/>
              </w:rPr>
            </w:pPr>
            <w:r>
              <w:rPr>
                <w:rFonts w:hint="eastAsia" w:ascii="宋体" w:hAnsi="宋体" w:eastAsia="宋体"/>
                <w:color w:val="auto"/>
              </w:rPr>
              <w:t>3</w:t>
            </w:r>
          </w:p>
        </w:tc>
        <w:tc>
          <w:tcPr>
            <w:tcW w:w="993" w:type="dxa"/>
            <w:vAlign w:val="center"/>
          </w:tcPr>
          <w:p w14:paraId="16F2A1ED">
            <w:pPr>
              <w:spacing w:after="0" w:line="240" w:lineRule="auto"/>
              <w:rPr>
                <w:rFonts w:ascii="宋体" w:hAnsi="宋体" w:eastAsia="宋体"/>
                <w:color w:val="auto"/>
              </w:rPr>
            </w:pPr>
          </w:p>
        </w:tc>
        <w:tc>
          <w:tcPr>
            <w:tcW w:w="1167" w:type="dxa"/>
            <w:vAlign w:val="center"/>
          </w:tcPr>
          <w:p w14:paraId="753AC3EE">
            <w:pPr>
              <w:spacing w:after="0" w:line="240" w:lineRule="auto"/>
              <w:rPr>
                <w:rFonts w:ascii="宋体" w:hAnsi="宋体" w:eastAsia="宋体"/>
                <w:color w:val="auto"/>
              </w:rPr>
            </w:pPr>
          </w:p>
        </w:tc>
        <w:tc>
          <w:tcPr>
            <w:tcW w:w="1275" w:type="dxa"/>
            <w:vAlign w:val="center"/>
          </w:tcPr>
          <w:p w14:paraId="6A7B828F">
            <w:pPr>
              <w:spacing w:after="0" w:line="240" w:lineRule="auto"/>
              <w:rPr>
                <w:rFonts w:ascii="宋体" w:hAnsi="宋体" w:eastAsia="宋体"/>
                <w:color w:val="auto"/>
              </w:rPr>
            </w:pPr>
          </w:p>
        </w:tc>
        <w:tc>
          <w:tcPr>
            <w:tcW w:w="851" w:type="dxa"/>
            <w:vAlign w:val="center"/>
          </w:tcPr>
          <w:p w14:paraId="1F4CA6F4">
            <w:pPr>
              <w:spacing w:after="0" w:line="240" w:lineRule="auto"/>
              <w:rPr>
                <w:rFonts w:ascii="宋体" w:hAnsi="宋体" w:eastAsia="宋体"/>
                <w:color w:val="auto"/>
              </w:rPr>
            </w:pPr>
          </w:p>
        </w:tc>
        <w:tc>
          <w:tcPr>
            <w:tcW w:w="850" w:type="dxa"/>
            <w:vAlign w:val="center"/>
          </w:tcPr>
          <w:p w14:paraId="5AADB3E8">
            <w:pPr>
              <w:spacing w:after="0" w:line="240" w:lineRule="auto"/>
              <w:rPr>
                <w:rFonts w:ascii="宋体" w:hAnsi="宋体" w:eastAsia="宋体"/>
                <w:color w:val="auto"/>
              </w:rPr>
            </w:pPr>
          </w:p>
        </w:tc>
        <w:tc>
          <w:tcPr>
            <w:tcW w:w="3228" w:type="dxa"/>
            <w:vAlign w:val="center"/>
          </w:tcPr>
          <w:p w14:paraId="54DBC03E">
            <w:pPr>
              <w:spacing w:after="0" w:line="240" w:lineRule="auto"/>
              <w:rPr>
                <w:rFonts w:ascii="宋体" w:hAnsi="宋体" w:eastAsia="宋体"/>
                <w:color w:val="auto"/>
              </w:rPr>
            </w:pPr>
          </w:p>
        </w:tc>
      </w:tr>
      <w:tr w14:paraId="12D2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5BE3D1A2">
            <w:pPr>
              <w:spacing w:after="0" w:line="240" w:lineRule="auto"/>
              <w:jc w:val="center"/>
              <w:rPr>
                <w:rFonts w:ascii="宋体" w:hAnsi="宋体" w:eastAsia="宋体"/>
                <w:color w:val="auto"/>
              </w:rPr>
            </w:pPr>
            <w:r>
              <w:rPr>
                <w:rFonts w:hint="eastAsia" w:ascii="宋体" w:hAnsi="宋体" w:eastAsia="宋体"/>
                <w:color w:val="auto"/>
              </w:rPr>
              <w:t>4</w:t>
            </w:r>
          </w:p>
        </w:tc>
        <w:tc>
          <w:tcPr>
            <w:tcW w:w="993" w:type="dxa"/>
            <w:vAlign w:val="center"/>
          </w:tcPr>
          <w:p w14:paraId="4DEE169B">
            <w:pPr>
              <w:spacing w:after="0" w:line="240" w:lineRule="auto"/>
              <w:rPr>
                <w:rFonts w:ascii="宋体" w:hAnsi="宋体" w:eastAsia="宋体"/>
                <w:color w:val="auto"/>
              </w:rPr>
            </w:pPr>
          </w:p>
        </w:tc>
        <w:tc>
          <w:tcPr>
            <w:tcW w:w="1167" w:type="dxa"/>
            <w:vAlign w:val="center"/>
          </w:tcPr>
          <w:p w14:paraId="41E62195">
            <w:pPr>
              <w:spacing w:after="0" w:line="240" w:lineRule="auto"/>
              <w:rPr>
                <w:rFonts w:ascii="宋体" w:hAnsi="宋体" w:eastAsia="宋体"/>
                <w:color w:val="auto"/>
              </w:rPr>
            </w:pPr>
          </w:p>
        </w:tc>
        <w:tc>
          <w:tcPr>
            <w:tcW w:w="1275" w:type="dxa"/>
            <w:vAlign w:val="center"/>
          </w:tcPr>
          <w:p w14:paraId="34A332D6">
            <w:pPr>
              <w:spacing w:after="0" w:line="240" w:lineRule="auto"/>
              <w:rPr>
                <w:rFonts w:ascii="宋体" w:hAnsi="宋体" w:eastAsia="宋体"/>
                <w:color w:val="auto"/>
              </w:rPr>
            </w:pPr>
          </w:p>
        </w:tc>
        <w:tc>
          <w:tcPr>
            <w:tcW w:w="851" w:type="dxa"/>
            <w:vAlign w:val="center"/>
          </w:tcPr>
          <w:p w14:paraId="73E2102F">
            <w:pPr>
              <w:spacing w:after="0" w:line="240" w:lineRule="auto"/>
              <w:rPr>
                <w:rFonts w:ascii="宋体" w:hAnsi="宋体" w:eastAsia="宋体"/>
                <w:color w:val="auto"/>
              </w:rPr>
            </w:pPr>
          </w:p>
        </w:tc>
        <w:tc>
          <w:tcPr>
            <w:tcW w:w="850" w:type="dxa"/>
            <w:vAlign w:val="center"/>
          </w:tcPr>
          <w:p w14:paraId="4293D01D">
            <w:pPr>
              <w:spacing w:after="0" w:line="240" w:lineRule="auto"/>
              <w:rPr>
                <w:rFonts w:ascii="宋体" w:hAnsi="宋体" w:eastAsia="宋体"/>
                <w:color w:val="auto"/>
              </w:rPr>
            </w:pPr>
          </w:p>
        </w:tc>
        <w:tc>
          <w:tcPr>
            <w:tcW w:w="3228" w:type="dxa"/>
            <w:vAlign w:val="center"/>
          </w:tcPr>
          <w:p w14:paraId="3BA3B7E3">
            <w:pPr>
              <w:spacing w:after="0" w:line="240" w:lineRule="auto"/>
              <w:rPr>
                <w:rFonts w:ascii="宋体" w:hAnsi="宋体" w:eastAsia="宋体"/>
                <w:color w:val="auto"/>
              </w:rPr>
            </w:pPr>
          </w:p>
        </w:tc>
      </w:tr>
      <w:tr w14:paraId="6E69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2707218F">
            <w:pPr>
              <w:spacing w:after="0" w:line="240" w:lineRule="auto"/>
              <w:jc w:val="center"/>
              <w:rPr>
                <w:rFonts w:ascii="宋体" w:hAnsi="宋体" w:eastAsia="宋体"/>
                <w:color w:val="auto"/>
              </w:rPr>
            </w:pPr>
            <w:r>
              <w:rPr>
                <w:rFonts w:hint="eastAsia" w:ascii="宋体" w:hAnsi="宋体" w:eastAsia="宋体"/>
                <w:color w:val="auto"/>
              </w:rPr>
              <w:t>5</w:t>
            </w:r>
          </w:p>
        </w:tc>
        <w:tc>
          <w:tcPr>
            <w:tcW w:w="993" w:type="dxa"/>
            <w:vAlign w:val="center"/>
          </w:tcPr>
          <w:p w14:paraId="579F2B16">
            <w:pPr>
              <w:spacing w:after="0" w:line="240" w:lineRule="auto"/>
              <w:rPr>
                <w:rFonts w:ascii="宋体" w:hAnsi="宋体" w:eastAsia="宋体"/>
                <w:color w:val="auto"/>
              </w:rPr>
            </w:pPr>
          </w:p>
        </w:tc>
        <w:tc>
          <w:tcPr>
            <w:tcW w:w="1167" w:type="dxa"/>
            <w:vAlign w:val="center"/>
          </w:tcPr>
          <w:p w14:paraId="1044D76B">
            <w:pPr>
              <w:spacing w:after="0" w:line="240" w:lineRule="auto"/>
              <w:rPr>
                <w:rFonts w:ascii="宋体" w:hAnsi="宋体" w:eastAsia="宋体"/>
                <w:color w:val="auto"/>
              </w:rPr>
            </w:pPr>
          </w:p>
        </w:tc>
        <w:tc>
          <w:tcPr>
            <w:tcW w:w="1275" w:type="dxa"/>
            <w:vAlign w:val="center"/>
          </w:tcPr>
          <w:p w14:paraId="3C08D0FA">
            <w:pPr>
              <w:spacing w:after="0" w:line="240" w:lineRule="auto"/>
              <w:rPr>
                <w:rFonts w:ascii="宋体" w:hAnsi="宋体" w:eastAsia="宋体"/>
                <w:color w:val="auto"/>
              </w:rPr>
            </w:pPr>
          </w:p>
        </w:tc>
        <w:tc>
          <w:tcPr>
            <w:tcW w:w="851" w:type="dxa"/>
            <w:vAlign w:val="center"/>
          </w:tcPr>
          <w:p w14:paraId="3945EDFF">
            <w:pPr>
              <w:spacing w:after="0" w:line="240" w:lineRule="auto"/>
              <w:rPr>
                <w:rFonts w:ascii="宋体" w:hAnsi="宋体" w:eastAsia="宋体"/>
                <w:color w:val="auto"/>
              </w:rPr>
            </w:pPr>
          </w:p>
        </w:tc>
        <w:tc>
          <w:tcPr>
            <w:tcW w:w="850" w:type="dxa"/>
            <w:vAlign w:val="center"/>
          </w:tcPr>
          <w:p w14:paraId="4AC82E0C">
            <w:pPr>
              <w:spacing w:after="0" w:line="240" w:lineRule="auto"/>
              <w:rPr>
                <w:rFonts w:ascii="宋体" w:hAnsi="宋体" w:eastAsia="宋体"/>
                <w:color w:val="auto"/>
              </w:rPr>
            </w:pPr>
          </w:p>
        </w:tc>
        <w:tc>
          <w:tcPr>
            <w:tcW w:w="3228" w:type="dxa"/>
            <w:vAlign w:val="center"/>
          </w:tcPr>
          <w:p w14:paraId="7C9B571A">
            <w:pPr>
              <w:spacing w:after="0" w:line="240" w:lineRule="auto"/>
              <w:rPr>
                <w:rFonts w:ascii="宋体" w:hAnsi="宋体" w:eastAsia="宋体"/>
                <w:color w:val="auto"/>
              </w:rPr>
            </w:pPr>
          </w:p>
        </w:tc>
      </w:tr>
      <w:tr w14:paraId="46FE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5D3A7780">
            <w:pPr>
              <w:spacing w:after="0" w:line="240" w:lineRule="auto"/>
              <w:jc w:val="center"/>
              <w:rPr>
                <w:rFonts w:ascii="宋体" w:hAnsi="宋体" w:eastAsia="宋体"/>
                <w:color w:val="auto"/>
              </w:rPr>
            </w:pPr>
            <w:r>
              <w:rPr>
                <w:rFonts w:hint="eastAsia" w:ascii="宋体" w:hAnsi="宋体" w:eastAsia="宋体"/>
                <w:color w:val="auto"/>
              </w:rPr>
              <w:t>...</w:t>
            </w:r>
          </w:p>
        </w:tc>
        <w:tc>
          <w:tcPr>
            <w:tcW w:w="993" w:type="dxa"/>
            <w:vAlign w:val="center"/>
          </w:tcPr>
          <w:p w14:paraId="270752A0">
            <w:pPr>
              <w:spacing w:after="0" w:line="240" w:lineRule="auto"/>
              <w:rPr>
                <w:rFonts w:ascii="宋体" w:hAnsi="宋体" w:eastAsia="宋体"/>
                <w:color w:val="auto"/>
              </w:rPr>
            </w:pPr>
          </w:p>
        </w:tc>
        <w:tc>
          <w:tcPr>
            <w:tcW w:w="1167" w:type="dxa"/>
            <w:vAlign w:val="center"/>
          </w:tcPr>
          <w:p w14:paraId="5EF997E5">
            <w:pPr>
              <w:spacing w:after="0" w:line="240" w:lineRule="auto"/>
              <w:rPr>
                <w:rFonts w:ascii="宋体" w:hAnsi="宋体" w:eastAsia="宋体"/>
                <w:color w:val="auto"/>
              </w:rPr>
            </w:pPr>
          </w:p>
        </w:tc>
        <w:tc>
          <w:tcPr>
            <w:tcW w:w="1275" w:type="dxa"/>
            <w:vAlign w:val="center"/>
          </w:tcPr>
          <w:p w14:paraId="284508E1">
            <w:pPr>
              <w:spacing w:after="0" w:line="240" w:lineRule="auto"/>
              <w:rPr>
                <w:rFonts w:ascii="宋体" w:hAnsi="宋体" w:eastAsia="宋体"/>
                <w:color w:val="auto"/>
              </w:rPr>
            </w:pPr>
          </w:p>
        </w:tc>
        <w:tc>
          <w:tcPr>
            <w:tcW w:w="851" w:type="dxa"/>
            <w:vAlign w:val="center"/>
          </w:tcPr>
          <w:p w14:paraId="7B726DA9">
            <w:pPr>
              <w:spacing w:after="0" w:line="240" w:lineRule="auto"/>
              <w:rPr>
                <w:rFonts w:ascii="宋体" w:hAnsi="宋体" w:eastAsia="宋体"/>
                <w:color w:val="auto"/>
              </w:rPr>
            </w:pPr>
          </w:p>
        </w:tc>
        <w:tc>
          <w:tcPr>
            <w:tcW w:w="850" w:type="dxa"/>
            <w:vAlign w:val="center"/>
          </w:tcPr>
          <w:p w14:paraId="6FE5E8FF">
            <w:pPr>
              <w:spacing w:after="0" w:line="240" w:lineRule="auto"/>
              <w:rPr>
                <w:rFonts w:ascii="宋体" w:hAnsi="宋体" w:eastAsia="宋体"/>
                <w:color w:val="auto"/>
              </w:rPr>
            </w:pPr>
          </w:p>
        </w:tc>
        <w:tc>
          <w:tcPr>
            <w:tcW w:w="3228" w:type="dxa"/>
            <w:vAlign w:val="center"/>
          </w:tcPr>
          <w:p w14:paraId="62288189">
            <w:pPr>
              <w:spacing w:after="0" w:line="240" w:lineRule="auto"/>
              <w:rPr>
                <w:rFonts w:ascii="宋体" w:hAnsi="宋体" w:eastAsia="宋体"/>
                <w:color w:val="auto"/>
              </w:rPr>
            </w:pPr>
          </w:p>
        </w:tc>
      </w:tr>
    </w:tbl>
    <w:p w14:paraId="2497A29E">
      <w:pPr>
        <w:snapToGrid w:val="0"/>
        <w:spacing w:after="0" w:line="360" w:lineRule="auto"/>
        <w:ind w:left="-23" w:leftChars="-11" w:right="-57" w:rightChars="-27" w:firstLine="21" w:firstLineChars="10"/>
        <w:rPr>
          <w:rFonts w:ascii="宋体" w:hAnsi="宋体" w:eastAsia="宋体"/>
          <w:color w:val="auto"/>
          <w:szCs w:val="22"/>
        </w:rPr>
      </w:pPr>
      <w:r>
        <w:rPr>
          <w:rFonts w:hint="eastAsia" w:ascii="宋体" w:hAnsi="宋体" w:eastAsia="宋体"/>
          <w:color w:val="auto"/>
          <w:szCs w:val="22"/>
        </w:rPr>
        <w:t>注：</w:t>
      </w:r>
    </w:p>
    <w:p w14:paraId="68465EFD">
      <w:pPr>
        <w:snapToGrid w:val="0"/>
        <w:spacing w:after="0" w:line="360" w:lineRule="auto"/>
        <w:ind w:left="-23" w:leftChars="-11" w:right="-57" w:rightChars="-27" w:firstLine="21" w:firstLineChars="10"/>
        <w:rPr>
          <w:rFonts w:ascii="宋体" w:hAnsi="宋体" w:eastAsia="宋体"/>
          <w:color w:val="auto"/>
          <w:szCs w:val="22"/>
        </w:rPr>
      </w:pPr>
      <w:r>
        <w:rPr>
          <w:rFonts w:hint="eastAsia" w:ascii="宋体" w:hAnsi="宋体" w:eastAsia="宋体"/>
          <w:color w:val="auto"/>
          <w:szCs w:val="22"/>
        </w:rPr>
        <w:t>1.项目负责人等与评审因素相关的人员必须列入本表并明确，否则在评审中不予认可。项目负责人仅限一名。</w:t>
      </w:r>
    </w:p>
    <w:p w14:paraId="6EB6F6B6">
      <w:pPr>
        <w:snapToGrid w:val="0"/>
        <w:spacing w:after="0" w:line="360" w:lineRule="auto"/>
        <w:ind w:left="-23" w:leftChars="-11" w:right="-57" w:rightChars="-27" w:firstLine="21" w:firstLineChars="10"/>
        <w:rPr>
          <w:rFonts w:ascii="宋体" w:hAnsi="宋体" w:eastAsia="宋体"/>
          <w:color w:val="auto"/>
          <w:szCs w:val="22"/>
        </w:rPr>
      </w:pPr>
      <w:r>
        <w:rPr>
          <w:rFonts w:hint="eastAsia" w:ascii="宋体" w:hAnsi="宋体" w:eastAsia="宋体"/>
          <w:color w:val="auto"/>
          <w:szCs w:val="22"/>
        </w:rPr>
        <w:t>2.列入本表的人员如要更换，需经采购人同意，擅自更换或不到位属于违约行为。</w:t>
      </w:r>
    </w:p>
    <w:p w14:paraId="7C23860C">
      <w:pPr>
        <w:snapToGrid w:val="0"/>
        <w:spacing w:after="0" w:line="360" w:lineRule="auto"/>
        <w:ind w:left="-23" w:leftChars="-11" w:right="-57" w:rightChars="-27" w:firstLine="21" w:firstLineChars="10"/>
        <w:rPr>
          <w:rFonts w:ascii="宋体" w:hAnsi="宋体" w:eastAsia="宋体"/>
          <w:color w:val="auto"/>
          <w:szCs w:val="22"/>
        </w:rPr>
      </w:pPr>
      <w:r>
        <w:rPr>
          <w:rFonts w:hint="eastAsia" w:ascii="宋体" w:hAnsi="宋体" w:eastAsia="宋体"/>
          <w:color w:val="auto"/>
          <w:szCs w:val="22"/>
        </w:rPr>
        <w:t>3.学历、职称、执业（从业）资格等个人能力证明材料的复印件后附（如有）。</w:t>
      </w:r>
    </w:p>
    <w:p w14:paraId="79DA63C8">
      <w:pPr>
        <w:spacing w:after="0" w:line="360" w:lineRule="auto"/>
        <w:rPr>
          <w:rFonts w:ascii="宋体" w:hAnsi="宋体" w:eastAsia="宋体" w:cs="宋体"/>
          <w:color w:val="auto"/>
        </w:rPr>
      </w:pPr>
      <w:r>
        <w:rPr>
          <w:rFonts w:hint="eastAsia" w:ascii="宋体" w:hAnsi="宋体" w:eastAsia="宋体" w:cs="宋体"/>
          <w:color w:val="auto"/>
        </w:rPr>
        <w:t>4</w:t>
      </w:r>
      <w:r>
        <w:rPr>
          <w:rFonts w:ascii="宋体" w:hAnsi="宋体" w:eastAsia="宋体" w:cs="宋体"/>
          <w:color w:val="auto"/>
        </w:rPr>
        <w:t>.</w:t>
      </w:r>
      <w:r>
        <w:rPr>
          <w:rFonts w:hint="eastAsia" w:ascii="宋体" w:hAnsi="宋体" w:eastAsia="宋体" w:cs="宋体"/>
          <w:color w:val="auto"/>
        </w:rPr>
        <w:t>项目实施人员要求在投标文件中提供投标人为其在投标截止日当月或前三个月内任意1个月的社保</w:t>
      </w:r>
      <w:r>
        <w:rPr>
          <w:rFonts w:ascii="宋体" w:hAnsi="宋体" w:eastAsia="宋体" w:cs="宋体"/>
          <w:color w:val="auto"/>
        </w:rPr>
        <w:t>缴纳证明</w:t>
      </w:r>
      <w:r>
        <w:rPr>
          <w:rFonts w:hint="eastAsia" w:ascii="宋体" w:hAnsi="宋体" w:eastAsia="宋体" w:cs="宋体"/>
          <w:color w:val="auto"/>
        </w:rPr>
        <w:t>（如果有人员因入职时间少于一月未开始缴纳社保的，可提供与其签订的劳动合同复印件或扫描件），社保证明必须是社保机构出具，可以是政务系统下载的复制件。联合体投标的，由人员所属联合体成员单位提供本项材料。</w:t>
      </w:r>
    </w:p>
    <w:p w14:paraId="4A32DF60">
      <w:pPr>
        <w:snapToGrid w:val="0"/>
        <w:spacing w:after="0" w:line="360" w:lineRule="auto"/>
        <w:ind w:left="-23" w:leftChars="-11" w:right="-57" w:rightChars="-27" w:firstLine="21" w:firstLineChars="10"/>
        <w:rPr>
          <w:rFonts w:ascii="宋体" w:hAnsi="宋体" w:eastAsia="宋体"/>
          <w:color w:val="auto"/>
          <w:szCs w:val="22"/>
        </w:rPr>
      </w:pPr>
      <w:r>
        <w:rPr>
          <w:rFonts w:ascii="宋体" w:hAnsi="宋体" w:eastAsia="宋体"/>
          <w:color w:val="auto"/>
          <w:szCs w:val="22"/>
        </w:rPr>
        <w:t>5</w:t>
      </w:r>
      <w:r>
        <w:rPr>
          <w:rFonts w:hint="eastAsia" w:ascii="宋体" w:hAnsi="宋体" w:eastAsia="宋体"/>
          <w:color w:val="auto"/>
          <w:szCs w:val="22"/>
        </w:rPr>
        <w:t>.投标文件内提供评分标准要求的证明材料，未提供佐证能力等证书证件复印件的将不被认定。</w:t>
      </w:r>
    </w:p>
    <w:p w14:paraId="1CB0391F">
      <w:pPr>
        <w:snapToGrid w:val="0"/>
        <w:spacing w:after="0" w:line="360" w:lineRule="auto"/>
        <w:ind w:left="2167" w:right="112"/>
        <w:rPr>
          <w:rFonts w:ascii="宋体" w:hAnsi="宋体" w:eastAsia="宋体"/>
          <w:color w:val="auto"/>
        </w:rPr>
      </w:pPr>
    </w:p>
    <w:p w14:paraId="2F8C2C89">
      <w:pPr>
        <w:pStyle w:val="7"/>
        <w:spacing w:after="0" w:line="360" w:lineRule="auto"/>
        <w:ind w:left="1674" w:right="112" w:hanging="1254"/>
        <w:jc w:val="center"/>
        <w:rPr>
          <w:rFonts w:ascii="宋体" w:hAnsi="宋体" w:eastAsia="宋体"/>
          <w:color w:val="auto"/>
          <w:sz w:val="21"/>
        </w:rPr>
      </w:pPr>
    </w:p>
    <w:p w14:paraId="2F95482E">
      <w:pPr>
        <w:pStyle w:val="7"/>
        <w:spacing w:after="0" w:line="360" w:lineRule="auto"/>
        <w:ind w:left="0" w:leftChars="0"/>
        <w:jc w:val="center"/>
        <w:rPr>
          <w:rFonts w:ascii="宋体" w:hAnsi="宋体" w:eastAsia="宋体"/>
          <w:color w:val="auto"/>
        </w:rPr>
      </w:pPr>
      <w:r>
        <w:rPr>
          <w:rFonts w:ascii="宋体" w:hAnsi="宋体" w:eastAsia="宋体"/>
          <w:color w:val="auto"/>
        </w:rPr>
        <w:br w:type="page"/>
      </w:r>
      <w:r>
        <w:rPr>
          <w:rFonts w:hint="eastAsia" w:ascii="宋体" w:hAnsi="宋体" w:eastAsia="宋体" w:cs="宋体"/>
          <w:b/>
          <w:color w:val="auto"/>
          <w:sz w:val="21"/>
        </w:rPr>
        <w:t>（7）类似项目业绩一览表</w:t>
      </w:r>
    </w:p>
    <w:tbl>
      <w:tblPr>
        <w:tblStyle w:val="15"/>
        <w:tblW w:w="8799" w:type="dxa"/>
        <w:tblInd w:w="9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7"/>
        <w:gridCol w:w="1560"/>
        <w:gridCol w:w="1984"/>
        <w:gridCol w:w="1844"/>
        <w:gridCol w:w="2834"/>
      </w:tblGrid>
      <w:tr w14:paraId="1E5540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77" w:type="dxa"/>
            <w:vAlign w:val="center"/>
          </w:tcPr>
          <w:p w14:paraId="0CFEE056">
            <w:pPr>
              <w:spacing w:after="0" w:line="240" w:lineRule="auto"/>
              <w:ind w:left="-194" w:right="-163"/>
              <w:jc w:val="center"/>
              <w:rPr>
                <w:rFonts w:ascii="宋体" w:hAnsi="宋体" w:eastAsia="宋体"/>
                <w:color w:val="auto"/>
              </w:rPr>
            </w:pPr>
            <w:r>
              <w:rPr>
                <w:rFonts w:hint="eastAsia" w:ascii="宋体" w:hAnsi="宋体" w:eastAsia="宋体"/>
                <w:color w:val="auto"/>
              </w:rPr>
              <w:t>序号</w:t>
            </w:r>
          </w:p>
        </w:tc>
        <w:tc>
          <w:tcPr>
            <w:tcW w:w="1560" w:type="dxa"/>
            <w:vAlign w:val="center"/>
          </w:tcPr>
          <w:p w14:paraId="28F0EBA1">
            <w:pPr>
              <w:spacing w:after="0" w:line="240" w:lineRule="auto"/>
              <w:ind w:left="-108" w:right="-108"/>
              <w:jc w:val="center"/>
              <w:rPr>
                <w:rFonts w:ascii="宋体" w:hAnsi="宋体" w:eastAsia="宋体"/>
                <w:color w:val="auto"/>
              </w:rPr>
            </w:pPr>
            <w:r>
              <w:rPr>
                <w:rFonts w:hint="eastAsia" w:ascii="宋体" w:hAnsi="宋体" w:eastAsia="宋体"/>
                <w:color w:val="auto"/>
              </w:rPr>
              <w:t>项目名称</w:t>
            </w:r>
          </w:p>
        </w:tc>
        <w:tc>
          <w:tcPr>
            <w:tcW w:w="1984" w:type="dxa"/>
            <w:tcBorders>
              <w:right w:val="single" w:color="auto" w:sz="4" w:space="0"/>
            </w:tcBorders>
            <w:vAlign w:val="center"/>
          </w:tcPr>
          <w:p w14:paraId="3D8C55A8">
            <w:pPr>
              <w:spacing w:after="0" w:line="240" w:lineRule="auto"/>
              <w:ind w:left="-108" w:right="-108"/>
              <w:jc w:val="center"/>
              <w:rPr>
                <w:rFonts w:ascii="宋体" w:hAnsi="宋体" w:eastAsia="宋体"/>
                <w:color w:val="auto"/>
              </w:rPr>
            </w:pPr>
            <w:r>
              <w:rPr>
                <w:rFonts w:hint="eastAsia" w:ascii="宋体" w:hAnsi="宋体" w:eastAsia="宋体"/>
                <w:color w:val="auto"/>
              </w:rPr>
              <w:t>合同签订时间</w:t>
            </w:r>
          </w:p>
        </w:tc>
        <w:tc>
          <w:tcPr>
            <w:tcW w:w="1844" w:type="dxa"/>
            <w:vAlign w:val="center"/>
          </w:tcPr>
          <w:p w14:paraId="4BBEE386">
            <w:pPr>
              <w:spacing w:after="0" w:line="240" w:lineRule="auto"/>
              <w:ind w:left="-108" w:right="-108"/>
              <w:jc w:val="center"/>
              <w:rPr>
                <w:rFonts w:ascii="宋体" w:hAnsi="宋体" w:eastAsia="宋体"/>
                <w:color w:val="auto"/>
              </w:rPr>
            </w:pPr>
            <w:r>
              <w:rPr>
                <w:rFonts w:hint="eastAsia" w:ascii="宋体" w:hAnsi="宋体" w:eastAsia="宋体"/>
                <w:color w:val="auto"/>
              </w:rPr>
              <w:t>金额（万元）</w:t>
            </w:r>
          </w:p>
        </w:tc>
        <w:tc>
          <w:tcPr>
            <w:tcW w:w="2834" w:type="dxa"/>
            <w:tcBorders>
              <w:right w:val="single" w:color="auto" w:sz="4" w:space="0"/>
            </w:tcBorders>
            <w:vAlign w:val="center"/>
          </w:tcPr>
          <w:p w14:paraId="752B6F2E">
            <w:pPr>
              <w:spacing w:after="0" w:line="240" w:lineRule="auto"/>
              <w:ind w:left="-108" w:right="-108"/>
              <w:jc w:val="center"/>
              <w:rPr>
                <w:rFonts w:ascii="宋体" w:hAnsi="宋体" w:eastAsia="宋体"/>
                <w:color w:val="auto"/>
              </w:rPr>
            </w:pPr>
            <w:r>
              <w:rPr>
                <w:rFonts w:hint="eastAsia" w:ascii="宋体" w:hAnsi="宋体" w:eastAsia="宋体"/>
                <w:color w:val="auto"/>
              </w:rPr>
              <w:t>用户联系人及其联系电话</w:t>
            </w:r>
          </w:p>
        </w:tc>
      </w:tr>
      <w:tr w14:paraId="059FF2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77" w:type="dxa"/>
            <w:vAlign w:val="center"/>
          </w:tcPr>
          <w:p w14:paraId="4790CF45">
            <w:pPr>
              <w:spacing w:after="0" w:line="240" w:lineRule="auto"/>
              <w:ind w:left="-194" w:right="-163"/>
              <w:jc w:val="center"/>
              <w:rPr>
                <w:rFonts w:ascii="宋体" w:hAnsi="宋体" w:eastAsia="宋体"/>
                <w:color w:val="auto"/>
              </w:rPr>
            </w:pPr>
            <w:r>
              <w:rPr>
                <w:rFonts w:hint="eastAsia" w:ascii="宋体" w:hAnsi="宋体" w:eastAsia="宋体"/>
                <w:color w:val="auto"/>
              </w:rPr>
              <w:t>1</w:t>
            </w:r>
          </w:p>
        </w:tc>
        <w:tc>
          <w:tcPr>
            <w:tcW w:w="1560" w:type="dxa"/>
            <w:vAlign w:val="center"/>
          </w:tcPr>
          <w:p w14:paraId="196C693A">
            <w:pPr>
              <w:spacing w:after="0" w:line="240" w:lineRule="auto"/>
              <w:jc w:val="center"/>
              <w:rPr>
                <w:rFonts w:ascii="宋体" w:hAnsi="宋体" w:eastAsia="宋体"/>
                <w:color w:val="auto"/>
              </w:rPr>
            </w:pPr>
          </w:p>
        </w:tc>
        <w:tc>
          <w:tcPr>
            <w:tcW w:w="1984" w:type="dxa"/>
            <w:tcBorders>
              <w:right w:val="single" w:color="auto" w:sz="4" w:space="0"/>
            </w:tcBorders>
            <w:vAlign w:val="center"/>
          </w:tcPr>
          <w:p w14:paraId="6F0DA3C5">
            <w:pPr>
              <w:spacing w:after="0" w:line="240" w:lineRule="auto"/>
              <w:jc w:val="center"/>
              <w:rPr>
                <w:rFonts w:ascii="宋体" w:hAnsi="宋体" w:eastAsia="宋体"/>
                <w:color w:val="auto"/>
              </w:rPr>
            </w:pPr>
          </w:p>
        </w:tc>
        <w:tc>
          <w:tcPr>
            <w:tcW w:w="1844" w:type="dxa"/>
            <w:vAlign w:val="center"/>
          </w:tcPr>
          <w:p w14:paraId="7950A444">
            <w:pPr>
              <w:spacing w:after="0" w:line="240" w:lineRule="auto"/>
              <w:jc w:val="center"/>
              <w:rPr>
                <w:rFonts w:ascii="宋体" w:hAnsi="宋体" w:eastAsia="宋体"/>
                <w:color w:val="auto"/>
              </w:rPr>
            </w:pPr>
          </w:p>
        </w:tc>
        <w:tc>
          <w:tcPr>
            <w:tcW w:w="2834" w:type="dxa"/>
            <w:tcBorders>
              <w:right w:val="single" w:color="auto" w:sz="4" w:space="0"/>
            </w:tcBorders>
            <w:vAlign w:val="center"/>
          </w:tcPr>
          <w:p w14:paraId="25BAAD88">
            <w:pPr>
              <w:spacing w:after="0" w:line="240" w:lineRule="auto"/>
              <w:jc w:val="center"/>
              <w:rPr>
                <w:rFonts w:ascii="宋体" w:hAnsi="宋体" w:eastAsia="宋体"/>
                <w:color w:val="auto"/>
              </w:rPr>
            </w:pPr>
          </w:p>
        </w:tc>
      </w:tr>
      <w:tr w14:paraId="30FFEC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77" w:type="dxa"/>
            <w:vAlign w:val="center"/>
          </w:tcPr>
          <w:p w14:paraId="64224103">
            <w:pPr>
              <w:spacing w:after="0" w:line="240" w:lineRule="auto"/>
              <w:ind w:left="-194" w:right="-163"/>
              <w:jc w:val="center"/>
              <w:rPr>
                <w:rFonts w:ascii="宋体" w:hAnsi="宋体" w:eastAsia="宋体"/>
                <w:color w:val="auto"/>
              </w:rPr>
            </w:pPr>
            <w:r>
              <w:rPr>
                <w:rFonts w:hint="eastAsia" w:ascii="宋体" w:hAnsi="宋体" w:eastAsia="宋体"/>
                <w:color w:val="auto"/>
              </w:rPr>
              <w:t>2</w:t>
            </w:r>
          </w:p>
        </w:tc>
        <w:tc>
          <w:tcPr>
            <w:tcW w:w="1560" w:type="dxa"/>
            <w:vAlign w:val="center"/>
          </w:tcPr>
          <w:p w14:paraId="1124FEC3">
            <w:pPr>
              <w:spacing w:after="0" w:line="240" w:lineRule="auto"/>
              <w:jc w:val="center"/>
              <w:rPr>
                <w:rFonts w:ascii="宋体" w:hAnsi="宋体" w:eastAsia="宋体"/>
                <w:color w:val="auto"/>
              </w:rPr>
            </w:pPr>
          </w:p>
        </w:tc>
        <w:tc>
          <w:tcPr>
            <w:tcW w:w="1984" w:type="dxa"/>
            <w:tcBorders>
              <w:right w:val="single" w:color="auto" w:sz="4" w:space="0"/>
            </w:tcBorders>
            <w:vAlign w:val="center"/>
          </w:tcPr>
          <w:p w14:paraId="534E3D2E">
            <w:pPr>
              <w:spacing w:after="0" w:line="240" w:lineRule="auto"/>
              <w:jc w:val="center"/>
              <w:rPr>
                <w:rFonts w:ascii="宋体" w:hAnsi="宋体" w:eastAsia="宋体"/>
                <w:color w:val="auto"/>
              </w:rPr>
            </w:pPr>
          </w:p>
        </w:tc>
        <w:tc>
          <w:tcPr>
            <w:tcW w:w="1844" w:type="dxa"/>
            <w:vAlign w:val="center"/>
          </w:tcPr>
          <w:p w14:paraId="7B8DEC58">
            <w:pPr>
              <w:spacing w:after="0" w:line="240" w:lineRule="auto"/>
              <w:jc w:val="center"/>
              <w:rPr>
                <w:rFonts w:ascii="宋体" w:hAnsi="宋体" w:eastAsia="宋体"/>
                <w:color w:val="auto"/>
              </w:rPr>
            </w:pPr>
          </w:p>
        </w:tc>
        <w:tc>
          <w:tcPr>
            <w:tcW w:w="2834" w:type="dxa"/>
            <w:tcBorders>
              <w:right w:val="single" w:color="auto" w:sz="4" w:space="0"/>
            </w:tcBorders>
            <w:vAlign w:val="center"/>
          </w:tcPr>
          <w:p w14:paraId="0EB0D59F">
            <w:pPr>
              <w:spacing w:after="0" w:line="240" w:lineRule="auto"/>
              <w:jc w:val="center"/>
              <w:rPr>
                <w:rFonts w:ascii="宋体" w:hAnsi="宋体" w:eastAsia="宋体"/>
                <w:color w:val="auto"/>
              </w:rPr>
            </w:pPr>
          </w:p>
        </w:tc>
      </w:tr>
      <w:tr w14:paraId="7E104F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77" w:type="dxa"/>
            <w:vAlign w:val="center"/>
          </w:tcPr>
          <w:p w14:paraId="6529B612">
            <w:pPr>
              <w:spacing w:after="0" w:line="240" w:lineRule="auto"/>
              <w:ind w:left="-194" w:right="-163"/>
              <w:jc w:val="center"/>
              <w:rPr>
                <w:rFonts w:ascii="宋体" w:hAnsi="宋体" w:eastAsia="宋体"/>
                <w:color w:val="auto"/>
              </w:rPr>
            </w:pPr>
            <w:r>
              <w:rPr>
                <w:rFonts w:hint="eastAsia" w:ascii="宋体" w:hAnsi="宋体" w:eastAsia="宋体"/>
                <w:color w:val="auto"/>
              </w:rPr>
              <w:t>3</w:t>
            </w:r>
          </w:p>
        </w:tc>
        <w:tc>
          <w:tcPr>
            <w:tcW w:w="1560" w:type="dxa"/>
            <w:vAlign w:val="center"/>
          </w:tcPr>
          <w:p w14:paraId="0C3ABF36">
            <w:pPr>
              <w:spacing w:after="0" w:line="240" w:lineRule="auto"/>
              <w:jc w:val="center"/>
              <w:rPr>
                <w:rFonts w:ascii="宋体" w:hAnsi="宋体" w:eastAsia="宋体"/>
                <w:color w:val="auto"/>
              </w:rPr>
            </w:pPr>
          </w:p>
        </w:tc>
        <w:tc>
          <w:tcPr>
            <w:tcW w:w="1984" w:type="dxa"/>
            <w:tcBorders>
              <w:right w:val="single" w:color="auto" w:sz="4" w:space="0"/>
            </w:tcBorders>
            <w:vAlign w:val="center"/>
          </w:tcPr>
          <w:p w14:paraId="44C638F5">
            <w:pPr>
              <w:spacing w:after="0" w:line="240" w:lineRule="auto"/>
              <w:jc w:val="center"/>
              <w:rPr>
                <w:rFonts w:ascii="宋体" w:hAnsi="宋体" w:eastAsia="宋体"/>
                <w:color w:val="auto"/>
              </w:rPr>
            </w:pPr>
          </w:p>
        </w:tc>
        <w:tc>
          <w:tcPr>
            <w:tcW w:w="1844" w:type="dxa"/>
            <w:vAlign w:val="center"/>
          </w:tcPr>
          <w:p w14:paraId="0383EDA4">
            <w:pPr>
              <w:spacing w:after="0" w:line="240" w:lineRule="auto"/>
              <w:jc w:val="center"/>
              <w:rPr>
                <w:rFonts w:ascii="宋体" w:hAnsi="宋体" w:eastAsia="宋体"/>
                <w:color w:val="auto"/>
              </w:rPr>
            </w:pPr>
          </w:p>
        </w:tc>
        <w:tc>
          <w:tcPr>
            <w:tcW w:w="2834" w:type="dxa"/>
            <w:tcBorders>
              <w:right w:val="single" w:color="auto" w:sz="4" w:space="0"/>
            </w:tcBorders>
            <w:vAlign w:val="center"/>
          </w:tcPr>
          <w:p w14:paraId="77406FDC">
            <w:pPr>
              <w:spacing w:after="0" w:line="240" w:lineRule="auto"/>
              <w:jc w:val="center"/>
              <w:rPr>
                <w:rFonts w:ascii="宋体" w:hAnsi="宋体" w:eastAsia="宋体"/>
                <w:color w:val="auto"/>
              </w:rPr>
            </w:pPr>
          </w:p>
        </w:tc>
      </w:tr>
      <w:tr w14:paraId="73883D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77" w:type="dxa"/>
            <w:vAlign w:val="center"/>
          </w:tcPr>
          <w:p w14:paraId="52C594DF">
            <w:pPr>
              <w:spacing w:after="0" w:line="240" w:lineRule="auto"/>
              <w:ind w:left="-194" w:right="-163"/>
              <w:jc w:val="center"/>
              <w:rPr>
                <w:rFonts w:ascii="宋体" w:hAnsi="宋体" w:eastAsia="宋体"/>
                <w:color w:val="auto"/>
              </w:rPr>
            </w:pPr>
            <w:r>
              <w:rPr>
                <w:rFonts w:hint="eastAsia" w:ascii="宋体" w:hAnsi="宋体" w:eastAsia="宋体"/>
                <w:color w:val="auto"/>
              </w:rPr>
              <w:t>4</w:t>
            </w:r>
          </w:p>
        </w:tc>
        <w:tc>
          <w:tcPr>
            <w:tcW w:w="1560" w:type="dxa"/>
            <w:vAlign w:val="center"/>
          </w:tcPr>
          <w:p w14:paraId="00ED069B">
            <w:pPr>
              <w:spacing w:after="0" w:line="240" w:lineRule="auto"/>
              <w:jc w:val="center"/>
              <w:rPr>
                <w:rFonts w:ascii="宋体" w:hAnsi="宋体" w:eastAsia="宋体"/>
                <w:color w:val="auto"/>
              </w:rPr>
            </w:pPr>
          </w:p>
        </w:tc>
        <w:tc>
          <w:tcPr>
            <w:tcW w:w="1984" w:type="dxa"/>
            <w:tcBorders>
              <w:right w:val="single" w:color="auto" w:sz="4" w:space="0"/>
            </w:tcBorders>
            <w:vAlign w:val="center"/>
          </w:tcPr>
          <w:p w14:paraId="202328C0">
            <w:pPr>
              <w:spacing w:after="0" w:line="240" w:lineRule="auto"/>
              <w:jc w:val="center"/>
              <w:rPr>
                <w:rFonts w:ascii="宋体" w:hAnsi="宋体" w:eastAsia="宋体"/>
                <w:color w:val="auto"/>
              </w:rPr>
            </w:pPr>
          </w:p>
        </w:tc>
        <w:tc>
          <w:tcPr>
            <w:tcW w:w="1844" w:type="dxa"/>
            <w:vAlign w:val="center"/>
          </w:tcPr>
          <w:p w14:paraId="7FDF0951">
            <w:pPr>
              <w:spacing w:after="0" w:line="240" w:lineRule="auto"/>
              <w:jc w:val="center"/>
              <w:rPr>
                <w:rFonts w:ascii="宋体" w:hAnsi="宋体" w:eastAsia="宋体"/>
                <w:color w:val="auto"/>
              </w:rPr>
            </w:pPr>
          </w:p>
        </w:tc>
        <w:tc>
          <w:tcPr>
            <w:tcW w:w="2834" w:type="dxa"/>
            <w:tcBorders>
              <w:right w:val="single" w:color="auto" w:sz="4" w:space="0"/>
            </w:tcBorders>
            <w:vAlign w:val="center"/>
          </w:tcPr>
          <w:p w14:paraId="2A755D47">
            <w:pPr>
              <w:spacing w:after="0" w:line="240" w:lineRule="auto"/>
              <w:jc w:val="center"/>
              <w:rPr>
                <w:rFonts w:ascii="宋体" w:hAnsi="宋体" w:eastAsia="宋体"/>
                <w:color w:val="auto"/>
              </w:rPr>
            </w:pPr>
          </w:p>
        </w:tc>
      </w:tr>
      <w:tr w14:paraId="3C1EFB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77" w:type="dxa"/>
            <w:vAlign w:val="center"/>
          </w:tcPr>
          <w:p w14:paraId="4CB755C9">
            <w:pPr>
              <w:spacing w:after="0" w:line="240" w:lineRule="auto"/>
              <w:ind w:left="-194" w:right="-163"/>
              <w:jc w:val="center"/>
              <w:rPr>
                <w:rFonts w:ascii="宋体" w:hAnsi="宋体" w:eastAsia="宋体"/>
                <w:color w:val="auto"/>
              </w:rPr>
            </w:pPr>
            <w:r>
              <w:rPr>
                <w:rFonts w:hint="eastAsia" w:ascii="宋体" w:hAnsi="宋体" w:eastAsia="宋体"/>
                <w:color w:val="auto"/>
              </w:rPr>
              <w:t>5</w:t>
            </w:r>
          </w:p>
        </w:tc>
        <w:tc>
          <w:tcPr>
            <w:tcW w:w="1560" w:type="dxa"/>
            <w:vAlign w:val="center"/>
          </w:tcPr>
          <w:p w14:paraId="3062CCF9">
            <w:pPr>
              <w:spacing w:after="0" w:line="240" w:lineRule="auto"/>
              <w:jc w:val="center"/>
              <w:rPr>
                <w:rFonts w:ascii="宋体" w:hAnsi="宋体" w:eastAsia="宋体"/>
                <w:color w:val="auto"/>
              </w:rPr>
            </w:pPr>
          </w:p>
        </w:tc>
        <w:tc>
          <w:tcPr>
            <w:tcW w:w="1984" w:type="dxa"/>
            <w:tcBorders>
              <w:right w:val="single" w:color="auto" w:sz="4" w:space="0"/>
            </w:tcBorders>
            <w:vAlign w:val="center"/>
          </w:tcPr>
          <w:p w14:paraId="595E34D6">
            <w:pPr>
              <w:spacing w:after="0" w:line="240" w:lineRule="auto"/>
              <w:jc w:val="center"/>
              <w:rPr>
                <w:rFonts w:ascii="宋体" w:hAnsi="宋体" w:eastAsia="宋体"/>
                <w:color w:val="auto"/>
              </w:rPr>
            </w:pPr>
          </w:p>
        </w:tc>
        <w:tc>
          <w:tcPr>
            <w:tcW w:w="1844" w:type="dxa"/>
            <w:vAlign w:val="center"/>
          </w:tcPr>
          <w:p w14:paraId="0E1DE16B">
            <w:pPr>
              <w:spacing w:after="0" w:line="240" w:lineRule="auto"/>
              <w:jc w:val="center"/>
              <w:rPr>
                <w:rFonts w:ascii="宋体" w:hAnsi="宋体" w:eastAsia="宋体"/>
                <w:color w:val="auto"/>
              </w:rPr>
            </w:pPr>
          </w:p>
        </w:tc>
        <w:tc>
          <w:tcPr>
            <w:tcW w:w="2834" w:type="dxa"/>
            <w:tcBorders>
              <w:right w:val="single" w:color="auto" w:sz="4" w:space="0"/>
            </w:tcBorders>
            <w:vAlign w:val="center"/>
          </w:tcPr>
          <w:p w14:paraId="2B5D7A06">
            <w:pPr>
              <w:spacing w:after="0" w:line="240" w:lineRule="auto"/>
              <w:jc w:val="center"/>
              <w:rPr>
                <w:rFonts w:ascii="宋体" w:hAnsi="宋体" w:eastAsia="宋体"/>
                <w:color w:val="auto"/>
              </w:rPr>
            </w:pPr>
          </w:p>
        </w:tc>
      </w:tr>
      <w:tr w14:paraId="521AAD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77" w:type="dxa"/>
            <w:vAlign w:val="center"/>
          </w:tcPr>
          <w:p w14:paraId="0BB041C6">
            <w:pPr>
              <w:spacing w:after="0" w:line="240" w:lineRule="auto"/>
              <w:ind w:left="-194" w:right="-163"/>
              <w:jc w:val="center"/>
              <w:rPr>
                <w:rFonts w:ascii="宋体" w:hAnsi="宋体" w:eastAsia="宋体"/>
                <w:color w:val="auto"/>
              </w:rPr>
            </w:pPr>
            <w:r>
              <w:rPr>
                <w:rFonts w:hint="eastAsia" w:ascii="宋体" w:hAnsi="宋体" w:eastAsia="宋体"/>
                <w:color w:val="auto"/>
              </w:rPr>
              <w:t>...</w:t>
            </w:r>
          </w:p>
        </w:tc>
        <w:tc>
          <w:tcPr>
            <w:tcW w:w="1560" w:type="dxa"/>
            <w:vAlign w:val="center"/>
          </w:tcPr>
          <w:p w14:paraId="03D7F42B">
            <w:pPr>
              <w:spacing w:after="0" w:line="240" w:lineRule="auto"/>
              <w:jc w:val="center"/>
              <w:rPr>
                <w:rFonts w:ascii="宋体" w:hAnsi="宋体" w:eastAsia="宋体"/>
                <w:color w:val="auto"/>
              </w:rPr>
            </w:pPr>
          </w:p>
        </w:tc>
        <w:tc>
          <w:tcPr>
            <w:tcW w:w="1984" w:type="dxa"/>
            <w:tcBorders>
              <w:right w:val="single" w:color="auto" w:sz="4" w:space="0"/>
            </w:tcBorders>
            <w:vAlign w:val="center"/>
          </w:tcPr>
          <w:p w14:paraId="0EBEC1AF">
            <w:pPr>
              <w:spacing w:after="0" w:line="240" w:lineRule="auto"/>
              <w:jc w:val="center"/>
              <w:rPr>
                <w:rFonts w:ascii="宋体" w:hAnsi="宋体" w:eastAsia="宋体"/>
                <w:color w:val="auto"/>
              </w:rPr>
            </w:pPr>
          </w:p>
        </w:tc>
        <w:tc>
          <w:tcPr>
            <w:tcW w:w="1844" w:type="dxa"/>
            <w:vAlign w:val="center"/>
          </w:tcPr>
          <w:p w14:paraId="4719028F">
            <w:pPr>
              <w:spacing w:after="0" w:line="240" w:lineRule="auto"/>
              <w:jc w:val="center"/>
              <w:rPr>
                <w:rFonts w:ascii="宋体" w:hAnsi="宋体" w:eastAsia="宋体"/>
                <w:color w:val="auto"/>
              </w:rPr>
            </w:pPr>
          </w:p>
        </w:tc>
        <w:tc>
          <w:tcPr>
            <w:tcW w:w="2834" w:type="dxa"/>
            <w:tcBorders>
              <w:right w:val="single" w:color="auto" w:sz="4" w:space="0"/>
            </w:tcBorders>
            <w:vAlign w:val="center"/>
          </w:tcPr>
          <w:p w14:paraId="2583F354">
            <w:pPr>
              <w:spacing w:after="0" w:line="240" w:lineRule="auto"/>
              <w:jc w:val="center"/>
              <w:rPr>
                <w:rFonts w:ascii="宋体" w:hAnsi="宋体" w:eastAsia="宋体"/>
                <w:color w:val="auto"/>
              </w:rPr>
            </w:pPr>
          </w:p>
        </w:tc>
      </w:tr>
    </w:tbl>
    <w:p w14:paraId="646C4193">
      <w:pPr>
        <w:spacing w:after="0" w:line="360" w:lineRule="auto"/>
        <w:ind w:left="924" w:right="112" w:hanging="924" w:hangingChars="440"/>
        <w:rPr>
          <w:rFonts w:ascii="宋体" w:hAnsi="宋体" w:eastAsia="宋体" w:cs="宋体"/>
          <w:color w:val="auto"/>
        </w:rPr>
      </w:pPr>
      <w:r>
        <w:rPr>
          <w:rFonts w:hint="eastAsia" w:ascii="宋体" w:hAnsi="宋体" w:eastAsia="宋体" w:cs="宋体"/>
          <w:bCs/>
          <w:color w:val="auto"/>
        </w:rPr>
        <w:t>注：根据评委打分表的要求提供证明材料</w:t>
      </w:r>
      <w:r>
        <w:rPr>
          <w:rFonts w:hint="eastAsia" w:ascii="宋体" w:hAnsi="宋体" w:eastAsia="宋体"/>
          <w:color w:val="auto"/>
        </w:rPr>
        <w:t>。</w:t>
      </w:r>
    </w:p>
    <w:p w14:paraId="281C9D6A">
      <w:pPr>
        <w:snapToGrid w:val="0"/>
        <w:spacing w:after="0" w:line="360" w:lineRule="auto"/>
        <w:ind w:left="-23" w:leftChars="-11" w:right="27" w:rightChars="13" w:firstLine="21" w:firstLineChars="10"/>
        <w:rPr>
          <w:rFonts w:ascii="宋体" w:hAnsi="宋体" w:eastAsia="宋体" w:cs="宋体"/>
          <w:bCs/>
          <w:color w:val="auto"/>
        </w:rPr>
      </w:pPr>
    </w:p>
    <w:p w14:paraId="6CCFAC65">
      <w:pPr>
        <w:widowControl/>
        <w:spacing w:after="0" w:line="360" w:lineRule="auto"/>
        <w:ind w:left="2167" w:right="112"/>
        <w:jc w:val="left"/>
        <w:rPr>
          <w:rFonts w:ascii="宋体" w:hAnsi="宋体" w:eastAsia="宋体" w:cs="宋体"/>
          <w:color w:val="auto"/>
        </w:rPr>
      </w:pPr>
    </w:p>
    <w:p w14:paraId="76158411">
      <w:pPr>
        <w:pStyle w:val="7"/>
        <w:spacing w:after="0" w:line="360" w:lineRule="auto"/>
        <w:ind w:left="1204" w:leftChars="0" w:right="112" w:hanging="1204"/>
        <w:jc w:val="center"/>
        <w:rPr>
          <w:rFonts w:ascii="宋体" w:hAnsi="宋体" w:eastAsia="宋体" w:cs="宋体"/>
          <w:color w:val="auto"/>
        </w:rPr>
      </w:pPr>
    </w:p>
    <w:p w14:paraId="3278773D">
      <w:pPr>
        <w:snapToGrid w:val="0"/>
        <w:spacing w:after="0" w:line="360" w:lineRule="auto"/>
        <w:ind w:left="-23" w:leftChars="-11" w:right="-214" w:rightChars="-102" w:firstLine="21" w:firstLineChars="10"/>
        <w:jc w:val="left"/>
        <w:rPr>
          <w:rFonts w:ascii="宋体" w:hAnsi="宋体" w:eastAsia="宋体"/>
          <w:b/>
          <w:color w:val="auto"/>
        </w:rPr>
      </w:pPr>
      <w:r>
        <w:rPr>
          <w:rFonts w:ascii="宋体" w:hAnsi="宋体" w:eastAsia="宋体"/>
          <w:b/>
          <w:color w:val="auto"/>
        </w:rPr>
        <w:br w:type="page"/>
      </w:r>
      <w:r>
        <w:rPr>
          <w:rFonts w:hint="eastAsia" w:ascii="宋体" w:hAnsi="宋体" w:eastAsia="宋体"/>
          <w:b/>
          <w:color w:val="auto"/>
        </w:rPr>
        <w:t>3.报价要求响应文件的有关格式</w:t>
      </w:r>
    </w:p>
    <w:p w14:paraId="52832AC3">
      <w:pPr>
        <w:pStyle w:val="7"/>
        <w:spacing w:after="0" w:line="360" w:lineRule="auto"/>
        <w:ind w:left="0" w:leftChars="0"/>
        <w:jc w:val="center"/>
        <w:rPr>
          <w:rFonts w:ascii="宋体" w:hAnsi="宋体" w:eastAsia="宋体" w:cs="宋体"/>
          <w:b/>
          <w:color w:val="auto"/>
          <w:sz w:val="21"/>
        </w:rPr>
      </w:pPr>
      <w:r>
        <w:rPr>
          <w:rFonts w:hint="eastAsia" w:ascii="宋体" w:hAnsi="宋体" w:eastAsia="宋体" w:cs="宋体"/>
          <w:b/>
          <w:color w:val="auto"/>
          <w:sz w:val="21"/>
        </w:rPr>
        <w:t>（1）开标一览表</w:t>
      </w:r>
    </w:p>
    <w:tbl>
      <w:tblPr>
        <w:tblStyle w:val="1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833"/>
      </w:tblGrid>
      <w:tr w14:paraId="7FA1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093" w:type="dxa"/>
            <w:tcBorders>
              <w:top w:val="single" w:color="auto" w:sz="4" w:space="0"/>
              <w:left w:val="single" w:color="auto" w:sz="4" w:space="0"/>
              <w:bottom w:val="single" w:color="auto" w:sz="4" w:space="0"/>
              <w:right w:val="single" w:color="auto" w:sz="4" w:space="0"/>
            </w:tcBorders>
            <w:vAlign w:val="center"/>
          </w:tcPr>
          <w:p w14:paraId="0D0C5F3F">
            <w:pPr>
              <w:spacing w:after="0" w:line="240" w:lineRule="auto"/>
              <w:ind w:right="112"/>
              <w:jc w:val="center"/>
              <w:rPr>
                <w:rFonts w:ascii="宋体" w:hAnsi="宋体" w:eastAsia="宋体"/>
                <w:color w:val="auto"/>
              </w:rPr>
            </w:pPr>
            <w:r>
              <w:rPr>
                <w:rFonts w:ascii="宋体" w:hAnsi="宋体" w:eastAsia="宋体"/>
                <w:color w:val="auto"/>
              </w:rPr>
              <w:t>项目名称</w:t>
            </w:r>
          </w:p>
        </w:tc>
        <w:tc>
          <w:tcPr>
            <w:tcW w:w="6833" w:type="dxa"/>
            <w:tcBorders>
              <w:top w:val="single" w:color="auto" w:sz="4" w:space="0"/>
              <w:left w:val="single" w:color="auto" w:sz="4" w:space="0"/>
              <w:bottom w:val="single" w:color="auto" w:sz="4" w:space="0"/>
              <w:right w:val="single" w:color="auto" w:sz="4" w:space="0"/>
            </w:tcBorders>
            <w:vAlign w:val="center"/>
          </w:tcPr>
          <w:p w14:paraId="2EAEB6A6">
            <w:pPr>
              <w:spacing w:after="0" w:line="240" w:lineRule="auto"/>
              <w:ind w:left="34" w:right="112"/>
              <w:jc w:val="center"/>
              <w:rPr>
                <w:rFonts w:ascii="宋体" w:hAnsi="宋体" w:eastAsia="宋体"/>
                <w:color w:val="auto"/>
              </w:rPr>
            </w:pPr>
            <w:r>
              <w:rPr>
                <w:rFonts w:hint="eastAsia" w:ascii="宋体" w:hAnsi="宋体" w:eastAsia="宋体"/>
                <w:color w:val="auto"/>
              </w:rPr>
              <w:t>邱隘南-环城融合区域前期研究</w:t>
            </w:r>
          </w:p>
        </w:tc>
      </w:tr>
      <w:tr w14:paraId="1C8F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093" w:type="dxa"/>
            <w:tcBorders>
              <w:top w:val="single" w:color="auto" w:sz="4" w:space="0"/>
              <w:left w:val="single" w:color="auto" w:sz="4" w:space="0"/>
              <w:right w:val="single" w:color="auto" w:sz="4" w:space="0"/>
            </w:tcBorders>
            <w:vAlign w:val="center"/>
          </w:tcPr>
          <w:p w14:paraId="7E04FF96">
            <w:pPr>
              <w:spacing w:after="0" w:line="240" w:lineRule="auto"/>
              <w:ind w:right="112"/>
              <w:jc w:val="center"/>
              <w:rPr>
                <w:rFonts w:ascii="宋体" w:hAnsi="宋体" w:eastAsia="宋体"/>
                <w:color w:val="auto"/>
              </w:rPr>
            </w:pPr>
            <w:r>
              <w:rPr>
                <w:rFonts w:hint="eastAsia" w:ascii="宋体" w:hAnsi="宋体" w:eastAsia="宋体"/>
                <w:color w:val="auto"/>
              </w:rPr>
              <w:t>项目编号</w:t>
            </w:r>
          </w:p>
        </w:tc>
        <w:tc>
          <w:tcPr>
            <w:tcW w:w="6833" w:type="dxa"/>
            <w:tcBorders>
              <w:top w:val="single" w:color="auto" w:sz="4" w:space="0"/>
              <w:left w:val="single" w:color="auto" w:sz="4" w:space="0"/>
              <w:right w:val="single" w:color="auto" w:sz="4" w:space="0"/>
            </w:tcBorders>
            <w:vAlign w:val="center"/>
          </w:tcPr>
          <w:p w14:paraId="20CE11DC">
            <w:pPr>
              <w:spacing w:after="0" w:line="240" w:lineRule="auto"/>
              <w:ind w:left="-194" w:right="112"/>
              <w:jc w:val="center"/>
              <w:rPr>
                <w:rFonts w:ascii="宋体" w:hAnsi="宋体" w:eastAsia="宋体"/>
                <w:color w:val="auto"/>
              </w:rPr>
            </w:pPr>
            <w:r>
              <w:rPr>
                <w:rFonts w:hint="eastAsia" w:ascii="宋体" w:hAnsi="宋体" w:eastAsia="宋体"/>
                <w:color w:val="auto"/>
              </w:rPr>
              <w:t>NBMC-20252145G</w:t>
            </w:r>
          </w:p>
        </w:tc>
      </w:tr>
      <w:tr w14:paraId="527B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093" w:type="dxa"/>
            <w:tcBorders>
              <w:top w:val="single" w:color="auto" w:sz="4" w:space="0"/>
              <w:left w:val="single" w:color="auto" w:sz="4" w:space="0"/>
              <w:right w:val="single" w:color="auto" w:sz="4" w:space="0"/>
            </w:tcBorders>
            <w:vAlign w:val="center"/>
          </w:tcPr>
          <w:p w14:paraId="55F1CCC7">
            <w:pPr>
              <w:spacing w:after="0" w:line="240" w:lineRule="auto"/>
              <w:ind w:right="112"/>
              <w:jc w:val="center"/>
              <w:rPr>
                <w:rFonts w:ascii="宋体" w:hAnsi="宋体" w:eastAsia="宋体"/>
                <w:color w:val="auto"/>
              </w:rPr>
            </w:pPr>
            <w:r>
              <w:rPr>
                <w:rFonts w:hint="eastAsia" w:ascii="宋体" w:hAnsi="宋体" w:eastAsia="宋体"/>
                <w:color w:val="auto"/>
              </w:rPr>
              <w:t>投标报价（元）</w:t>
            </w:r>
          </w:p>
        </w:tc>
        <w:tc>
          <w:tcPr>
            <w:tcW w:w="6833" w:type="dxa"/>
            <w:tcBorders>
              <w:top w:val="single" w:color="auto" w:sz="4" w:space="0"/>
              <w:left w:val="single" w:color="auto" w:sz="4" w:space="0"/>
              <w:right w:val="single" w:color="auto" w:sz="4" w:space="0"/>
            </w:tcBorders>
            <w:vAlign w:val="center"/>
          </w:tcPr>
          <w:p w14:paraId="3849C9EE">
            <w:pPr>
              <w:pStyle w:val="7"/>
              <w:spacing w:after="0" w:line="240" w:lineRule="auto"/>
              <w:ind w:left="457" w:leftChars="0" w:right="113" w:hanging="457" w:hangingChars="218"/>
              <w:jc w:val="left"/>
              <w:rPr>
                <w:rFonts w:ascii="宋体" w:hAnsi="宋体" w:eastAsia="宋体"/>
                <w:color w:val="auto"/>
                <w:kern w:val="2"/>
                <w:sz w:val="21"/>
              </w:rPr>
            </w:pPr>
            <w:r>
              <w:rPr>
                <w:rFonts w:hint="eastAsia" w:ascii="宋体" w:hAnsi="宋体" w:eastAsia="宋体"/>
                <w:color w:val="auto"/>
                <w:kern w:val="2"/>
                <w:sz w:val="21"/>
              </w:rPr>
              <w:t>小写：</w:t>
            </w:r>
          </w:p>
          <w:p w14:paraId="01D48EEC">
            <w:pPr>
              <w:pStyle w:val="7"/>
              <w:spacing w:after="0" w:line="240" w:lineRule="auto"/>
              <w:ind w:left="457" w:leftChars="0" w:right="113" w:hanging="457" w:hangingChars="218"/>
              <w:jc w:val="left"/>
              <w:rPr>
                <w:rFonts w:ascii="宋体" w:hAnsi="宋体" w:eastAsia="宋体"/>
                <w:color w:val="auto"/>
                <w:kern w:val="2"/>
                <w:sz w:val="21"/>
              </w:rPr>
            </w:pPr>
            <w:r>
              <w:rPr>
                <w:rFonts w:hint="eastAsia" w:ascii="宋体" w:hAnsi="宋体" w:eastAsia="宋体"/>
                <w:color w:val="auto"/>
                <w:kern w:val="2"/>
                <w:sz w:val="21"/>
              </w:rPr>
              <w:t>大写：</w:t>
            </w:r>
          </w:p>
        </w:tc>
      </w:tr>
    </w:tbl>
    <w:p w14:paraId="6F263921">
      <w:pPr>
        <w:snapToGrid w:val="0"/>
        <w:spacing w:after="0" w:line="360" w:lineRule="auto"/>
        <w:ind w:left="-23" w:leftChars="-11" w:right="-57" w:rightChars="-27" w:firstLine="21" w:firstLineChars="10"/>
        <w:rPr>
          <w:rFonts w:ascii="宋体" w:hAnsi="宋体" w:eastAsia="宋体"/>
          <w:color w:val="auto"/>
          <w:szCs w:val="22"/>
        </w:rPr>
      </w:pPr>
      <w:r>
        <w:rPr>
          <w:rFonts w:hint="eastAsia" w:ascii="宋体" w:hAnsi="宋体" w:eastAsia="宋体"/>
          <w:color w:val="auto"/>
          <w:szCs w:val="22"/>
        </w:rPr>
        <w:t>注</w:t>
      </w:r>
      <w:r>
        <w:rPr>
          <w:rFonts w:ascii="宋体" w:hAnsi="宋体" w:eastAsia="宋体"/>
          <w:color w:val="auto"/>
          <w:szCs w:val="22"/>
        </w:rPr>
        <w:t>：</w:t>
      </w:r>
    </w:p>
    <w:p w14:paraId="286AA851">
      <w:pPr>
        <w:tabs>
          <w:tab w:val="left" w:pos="312"/>
        </w:tabs>
        <w:snapToGrid w:val="0"/>
        <w:spacing w:after="0" w:line="360" w:lineRule="auto"/>
        <w:ind w:right="-57" w:rightChars="-27"/>
        <w:rPr>
          <w:rFonts w:ascii="宋体" w:hAnsi="宋体" w:eastAsia="宋体"/>
          <w:color w:val="auto"/>
          <w:szCs w:val="22"/>
        </w:rPr>
      </w:pPr>
      <w:r>
        <w:rPr>
          <w:rFonts w:hint="eastAsia" w:ascii="宋体" w:hAnsi="宋体" w:eastAsia="宋体"/>
          <w:color w:val="auto"/>
          <w:szCs w:val="22"/>
        </w:rPr>
        <w:t>1.报价一经涂改，应在涂改处加盖单位公章或由法定代表人或其授权代表签字，否则评标委员会将不接受该修改内容。本表</w:t>
      </w:r>
      <w:r>
        <w:rPr>
          <w:rFonts w:hint="eastAsia" w:ascii="宋体" w:hAnsi="宋体" w:eastAsia="宋体"/>
          <w:color w:val="auto"/>
        </w:rPr>
        <w:t>投标报价金额为投标报价组成明细表各表的汇总金额。</w:t>
      </w:r>
    </w:p>
    <w:p w14:paraId="1EC7F2AF">
      <w:pPr>
        <w:snapToGrid w:val="0"/>
        <w:spacing w:after="0" w:line="360" w:lineRule="auto"/>
        <w:ind w:left="-23" w:leftChars="-11" w:right="-57" w:rightChars="-27" w:firstLine="21" w:firstLineChars="10"/>
        <w:rPr>
          <w:rFonts w:ascii="宋体" w:hAnsi="宋体" w:eastAsia="宋体"/>
          <w:color w:val="auto"/>
          <w:szCs w:val="22"/>
        </w:rPr>
      </w:pPr>
      <w:r>
        <w:rPr>
          <w:rFonts w:hint="eastAsia" w:ascii="宋体" w:hAnsi="宋体" w:eastAsia="宋体"/>
          <w:color w:val="auto"/>
          <w:szCs w:val="22"/>
        </w:rPr>
        <w:t>2</w:t>
      </w:r>
      <w:r>
        <w:rPr>
          <w:rFonts w:ascii="宋体" w:hAnsi="宋体" w:eastAsia="宋体"/>
          <w:color w:val="auto"/>
          <w:szCs w:val="22"/>
        </w:rPr>
        <w:t>.</w:t>
      </w:r>
      <w:r>
        <w:rPr>
          <w:rFonts w:hint="eastAsia" w:ascii="宋体" w:hAnsi="宋体" w:eastAsia="宋体"/>
          <w:color w:val="auto"/>
          <w:szCs w:val="22"/>
        </w:rPr>
        <w:t>评标委员会认为投标人的报价明显低于其他通过符合性审查投标人的报价，有可能影响产品质量或者不能诚信履约的，评标委员会有权要求其在评审现场合理的时间内提供书面说明，必要时提交相关证明材料。投标人不能证明报价合理性的，评标委员会有权将其作为无效投标处理。为此，请投标人在投标前提前充分测算完成本项目所需的费用成本情况，评审现场给予提供说明及证明材料的时间不超过35分钟，如投标人在评审现场以时间不足等各种理由推脱或在规定的时间内提供的说明及材料不能充分证明其报价合理性或拒绝提交说明及材料而被认定为无效投标的后果均由投标人自行承担。</w:t>
      </w:r>
    </w:p>
    <w:p w14:paraId="77B5F372">
      <w:pPr>
        <w:spacing w:after="0" w:line="360" w:lineRule="auto"/>
        <w:ind w:left="361" w:right="112" w:firstLine="422" w:firstLineChars="200"/>
        <w:rPr>
          <w:rFonts w:ascii="宋体" w:hAnsi="宋体" w:eastAsia="宋体" w:cs="宋体"/>
          <w:b/>
          <w:color w:val="auto"/>
        </w:rPr>
      </w:pPr>
    </w:p>
    <w:p w14:paraId="1A494E62">
      <w:pPr>
        <w:spacing w:after="0" w:line="360" w:lineRule="auto"/>
        <w:ind w:left="361" w:right="112" w:firstLine="420" w:firstLineChars="200"/>
        <w:rPr>
          <w:rFonts w:ascii="宋体" w:hAnsi="宋体" w:eastAsia="宋体" w:cs="宋体"/>
          <w:color w:val="auto"/>
        </w:rPr>
      </w:pPr>
    </w:p>
    <w:p w14:paraId="0950C3B9">
      <w:pPr>
        <w:snapToGrid w:val="0"/>
        <w:spacing w:after="0" w:line="360" w:lineRule="auto"/>
        <w:ind w:left="361" w:right="112" w:firstLine="3685" w:firstLineChars="1755"/>
        <w:rPr>
          <w:rFonts w:ascii="宋体" w:hAnsi="宋体" w:eastAsia="宋体"/>
          <w:color w:val="auto"/>
        </w:rPr>
      </w:pPr>
      <w:r>
        <w:rPr>
          <w:rFonts w:hint="eastAsia" w:ascii="宋体" w:hAnsi="宋体" w:eastAsia="宋体"/>
          <w:color w:val="auto"/>
        </w:rPr>
        <w:t>投标人：</w:t>
      </w:r>
      <w:r>
        <w:rPr>
          <w:rFonts w:hint="eastAsia" w:ascii="宋体" w:hAnsi="宋体" w:eastAsia="宋体"/>
          <w:color w:val="auto"/>
          <w:u w:val="single"/>
        </w:rPr>
        <w:t>填写全称并加盖公章</w:t>
      </w:r>
    </w:p>
    <w:p w14:paraId="7A713392">
      <w:pPr>
        <w:snapToGrid w:val="0"/>
        <w:spacing w:after="0" w:line="360" w:lineRule="auto"/>
        <w:ind w:left="361" w:right="112" w:firstLine="3685" w:firstLineChars="1755"/>
        <w:rPr>
          <w:rFonts w:ascii="宋体" w:hAnsi="宋体" w:eastAsia="宋体"/>
          <w:color w:val="auto"/>
        </w:rPr>
      </w:pPr>
      <w:r>
        <w:rPr>
          <w:rFonts w:hint="eastAsia" w:ascii="宋体" w:hAnsi="宋体" w:eastAsia="宋体"/>
          <w:color w:val="auto"/>
        </w:rPr>
        <w:t xml:space="preserve">日 </w:t>
      </w:r>
      <w:r>
        <w:rPr>
          <w:rFonts w:ascii="宋体" w:hAnsi="宋体" w:eastAsia="宋体"/>
          <w:color w:val="auto"/>
        </w:rPr>
        <w:t xml:space="preserve"> </w:t>
      </w:r>
      <w:r>
        <w:rPr>
          <w:rFonts w:hint="eastAsia" w:ascii="宋体" w:hAnsi="宋体" w:eastAsia="宋体"/>
          <w:color w:val="auto"/>
        </w:rPr>
        <w:t>期：</w:t>
      </w:r>
    </w:p>
    <w:p w14:paraId="63D45E0D">
      <w:pPr>
        <w:snapToGrid w:val="0"/>
        <w:spacing w:after="0" w:line="360" w:lineRule="auto"/>
        <w:ind w:left="361" w:right="112" w:firstLine="3685" w:firstLineChars="1755"/>
        <w:rPr>
          <w:rFonts w:ascii="宋体" w:hAnsi="宋体" w:eastAsia="宋体"/>
          <w:color w:val="auto"/>
        </w:rPr>
      </w:pPr>
    </w:p>
    <w:p w14:paraId="6528F5DB">
      <w:pPr>
        <w:snapToGrid w:val="0"/>
        <w:spacing w:after="0" w:line="360" w:lineRule="auto"/>
        <w:ind w:left="361" w:right="112" w:firstLine="3685" w:firstLineChars="1755"/>
        <w:rPr>
          <w:rFonts w:ascii="宋体" w:hAnsi="宋体" w:eastAsia="宋体"/>
          <w:color w:val="auto"/>
        </w:rPr>
      </w:pPr>
    </w:p>
    <w:p w14:paraId="6F6CCA4B">
      <w:pPr>
        <w:snapToGrid w:val="0"/>
        <w:spacing w:line="360" w:lineRule="auto"/>
        <w:rPr>
          <w:rFonts w:ascii="宋体" w:hAnsi="宋体"/>
          <w:b/>
          <w:color w:val="auto"/>
        </w:rPr>
      </w:pPr>
      <w:r>
        <w:rPr>
          <w:rFonts w:hint="eastAsia" w:ascii="宋体" w:hAnsi="宋体"/>
          <w:b/>
          <w:color w:val="auto"/>
        </w:rPr>
        <w:t>注：联合体投标的，关于投标人全称双方单位名称均应填写，名称之间以顿号或斜杆区分。</w:t>
      </w:r>
    </w:p>
    <w:p w14:paraId="3B998320">
      <w:pPr>
        <w:snapToGrid w:val="0"/>
        <w:spacing w:after="0" w:line="360" w:lineRule="auto"/>
        <w:ind w:left="361" w:right="112" w:firstLine="3685" w:firstLineChars="1755"/>
        <w:rPr>
          <w:rFonts w:ascii="宋体" w:hAnsi="宋体" w:eastAsia="宋体"/>
          <w:color w:val="auto"/>
        </w:rPr>
      </w:pPr>
    </w:p>
    <w:p w14:paraId="0B48416A">
      <w:pPr>
        <w:widowControl/>
        <w:spacing w:after="0" w:line="360" w:lineRule="auto"/>
        <w:jc w:val="left"/>
        <w:rPr>
          <w:rFonts w:ascii="宋体" w:hAnsi="宋体" w:eastAsia="宋体"/>
          <w:color w:val="auto"/>
        </w:rPr>
      </w:pPr>
      <w:r>
        <w:rPr>
          <w:rFonts w:ascii="宋体" w:hAnsi="宋体" w:eastAsia="宋体"/>
          <w:color w:val="auto"/>
        </w:rPr>
        <w:br w:type="page"/>
      </w:r>
    </w:p>
    <w:p w14:paraId="6E022A5D">
      <w:pPr>
        <w:pStyle w:val="7"/>
        <w:spacing w:after="0" w:line="360" w:lineRule="auto"/>
        <w:ind w:left="0" w:leftChars="0"/>
        <w:jc w:val="center"/>
        <w:rPr>
          <w:rFonts w:ascii="宋体" w:hAnsi="宋体" w:eastAsia="宋体" w:cs="宋体"/>
          <w:b/>
          <w:color w:val="auto"/>
          <w:sz w:val="21"/>
        </w:rPr>
      </w:pPr>
      <w:r>
        <w:rPr>
          <w:rFonts w:hint="eastAsia" w:ascii="宋体" w:hAnsi="宋体" w:eastAsia="宋体" w:cs="宋体"/>
          <w:b/>
          <w:color w:val="auto"/>
          <w:sz w:val="21"/>
        </w:rPr>
        <w:t>（2）投标报价组成明细表</w:t>
      </w:r>
    </w:p>
    <w:tbl>
      <w:tblPr>
        <w:tblStyle w:val="15"/>
        <w:tblW w:w="89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2902"/>
        <w:gridCol w:w="1134"/>
        <w:gridCol w:w="1701"/>
        <w:gridCol w:w="2410"/>
      </w:tblGrid>
      <w:tr w14:paraId="3CB14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84" w:type="dxa"/>
            <w:vAlign w:val="center"/>
          </w:tcPr>
          <w:p w14:paraId="64202E17">
            <w:pPr>
              <w:spacing w:after="0" w:line="240" w:lineRule="auto"/>
              <w:jc w:val="center"/>
              <w:rPr>
                <w:rFonts w:ascii="宋体" w:hAnsi="宋体" w:eastAsia="宋体" w:cs="仿宋"/>
                <w:color w:val="auto"/>
              </w:rPr>
            </w:pPr>
            <w:r>
              <w:rPr>
                <w:rFonts w:hint="eastAsia" w:ascii="宋体" w:hAnsi="宋体" w:eastAsia="宋体" w:cs="仿宋"/>
                <w:color w:val="auto"/>
              </w:rPr>
              <w:t>序号</w:t>
            </w:r>
          </w:p>
        </w:tc>
        <w:tc>
          <w:tcPr>
            <w:tcW w:w="2902" w:type="dxa"/>
            <w:vAlign w:val="center"/>
          </w:tcPr>
          <w:p w14:paraId="41950F62">
            <w:pPr>
              <w:spacing w:after="0" w:line="240" w:lineRule="auto"/>
              <w:jc w:val="center"/>
              <w:rPr>
                <w:rFonts w:ascii="宋体" w:hAnsi="宋体" w:eastAsia="宋体" w:cs="仿宋"/>
                <w:color w:val="auto"/>
              </w:rPr>
            </w:pPr>
            <w:r>
              <w:rPr>
                <w:rFonts w:hint="eastAsia" w:ascii="宋体" w:hAnsi="宋体" w:eastAsia="宋体" w:cs="仿宋"/>
                <w:color w:val="auto"/>
              </w:rPr>
              <w:t>费用</w:t>
            </w:r>
            <w:r>
              <w:rPr>
                <w:rFonts w:ascii="宋体" w:hAnsi="宋体" w:eastAsia="宋体" w:cs="仿宋"/>
                <w:color w:val="auto"/>
              </w:rPr>
              <w:t>名称</w:t>
            </w:r>
          </w:p>
        </w:tc>
        <w:tc>
          <w:tcPr>
            <w:tcW w:w="1134" w:type="dxa"/>
            <w:vAlign w:val="center"/>
          </w:tcPr>
          <w:p w14:paraId="0E7BF314">
            <w:pPr>
              <w:spacing w:after="0" w:line="240" w:lineRule="auto"/>
              <w:jc w:val="center"/>
              <w:rPr>
                <w:rFonts w:ascii="宋体" w:hAnsi="宋体" w:eastAsia="宋体" w:cs="仿宋"/>
                <w:color w:val="auto"/>
              </w:rPr>
            </w:pPr>
            <w:r>
              <w:rPr>
                <w:rFonts w:hint="eastAsia" w:ascii="宋体" w:hAnsi="宋体" w:eastAsia="宋体" w:cs="仿宋"/>
                <w:color w:val="auto"/>
              </w:rPr>
              <w:t>数量</w:t>
            </w:r>
          </w:p>
        </w:tc>
        <w:tc>
          <w:tcPr>
            <w:tcW w:w="1701" w:type="dxa"/>
            <w:vAlign w:val="center"/>
          </w:tcPr>
          <w:p w14:paraId="4428FCE3">
            <w:pPr>
              <w:spacing w:after="0" w:line="240" w:lineRule="auto"/>
              <w:jc w:val="center"/>
              <w:rPr>
                <w:rFonts w:ascii="宋体" w:hAnsi="宋体" w:eastAsia="宋体" w:cs="仿宋"/>
                <w:color w:val="auto"/>
              </w:rPr>
            </w:pPr>
            <w:r>
              <w:rPr>
                <w:rFonts w:hint="eastAsia" w:ascii="宋体" w:hAnsi="宋体" w:eastAsia="宋体" w:cs="仿宋"/>
                <w:color w:val="auto"/>
              </w:rPr>
              <w:t>单价（元）</w:t>
            </w:r>
          </w:p>
        </w:tc>
        <w:tc>
          <w:tcPr>
            <w:tcW w:w="2410" w:type="dxa"/>
            <w:vAlign w:val="center"/>
          </w:tcPr>
          <w:p w14:paraId="737A7A43">
            <w:pPr>
              <w:spacing w:after="0" w:line="240" w:lineRule="auto"/>
              <w:jc w:val="center"/>
              <w:rPr>
                <w:rFonts w:ascii="宋体" w:hAnsi="宋体" w:eastAsia="宋体" w:cs="仿宋"/>
                <w:color w:val="auto"/>
              </w:rPr>
            </w:pPr>
            <w:r>
              <w:rPr>
                <w:rFonts w:hint="eastAsia" w:ascii="宋体" w:hAnsi="宋体" w:eastAsia="宋体" w:cs="仿宋"/>
                <w:color w:val="auto"/>
              </w:rPr>
              <w:t>合计（元）</w:t>
            </w:r>
          </w:p>
        </w:tc>
      </w:tr>
      <w:tr w14:paraId="01D2B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84" w:type="dxa"/>
            <w:vAlign w:val="center"/>
          </w:tcPr>
          <w:p w14:paraId="7835B4E6">
            <w:pPr>
              <w:spacing w:after="0" w:line="240" w:lineRule="auto"/>
              <w:jc w:val="center"/>
              <w:rPr>
                <w:rFonts w:ascii="宋体" w:hAnsi="宋体" w:eastAsia="宋体" w:cs="仿宋"/>
                <w:color w:val="auto"/>
              </w:rPr>
            </w:pPr>
            <w:r>
              <w:rPr>
                <w:rFonts w:hint="eastAsia" w:ascii="宋体" w:hAnsi="宋体" w:eastAsia="宋体" w:cs="仿宋"/>
                <w:color w:val="auto"/>
              </w:rPr>
              <w:t>1</w:t>
            </w:r>
          </w:p>
        </w:tc>
        <w:tc>
          <w:tcPr>
            <w:tcW w:w="2902" w:type="dxa"/>
            <w:vAlign w:val="center"/>
          </w:tcPr>
          <w:p w14:paraId="3F69DA2F">
            <w:pPr>
              <w:spacing w:after="0" w:line="240" w:lineRule="auto"/>
              <w:jc w:val="center"/>
              <w:rPr>
                <w:rFonts w:ascii="宋体" w:hAnsi="宋体" w:eastAsia="宋体" w:cs="仿宋"/>
                <w:color w:val="auto"/>
              </w:rPr>
            </w:pPr>
          </w:p>
        </w:tc>
        <w:tc>
          <w:tcPr>
            <w:tcW w:w="1134" w:type="dxa"/>
            <w:vAlign w:val="center"/>
          </w:tcPr>
          <w:p w14:paraId="5AE41603">
            <w:pPr>
              <w:spacing w:after="0" w:line="240" w:lineRule="auto"/>
              <w:jc w:val="center"/>
              <w:rPr>
                <w:rFonts w:ascii="宋体" w:hAnsi="宋体" w:eastAsia="宋体" w:cs="仿宋"/>
                <w:color w:val="auto"/>
              </w:rPr>
            </w:pPr>
          </w:p>
        </w:tc>
        <w:tc>
          <w:tcPr>
            <w:tcW w:w="1701" w:type="dxa"/>
            <w:vAlign w:val="center"/>
          </w:tcPr>
          <w:p w14:paraId="7B2D623A">
            <w:pPr>
              <w:spacing w:after="0" w:line="240" w:lineRule="auto"/>
              <w:jc w:val="center"/>
              <w:rPr>
                <w:rFonts w:ascii="宋体" w:hAnsi="宋体" w:eastAsia="宋体" w:cs="仿宋"/>
                <w:color w:val="auto"/>
              </w:rPr>
            </w:pPr>
          </w:p>
        </w:tc>
        <w:tc>
          <w:tcPr>
            <w:tcW w:w="2410" w:type="dxa"/>
            <w:vAlign w:val="center"/>
          </w:tcPr>
          <w:p w14:paraId="171E55EA">
            <w:pPr>
              <w:spacing w:after="0" w:line="240" w:lineRule="auto"/>
              <w:jc w:val="center"/>
              <w:rPr>
                <w:rFonts w:ascii="宋体" w:hAnsi="宋体" w:eastAsia="宋体" w:cs="仿宋"/>
                <w:color w:val="auto"/>
              </w:rPr>
            </w:pPr>
          </w:p>
        </w:tc>
      </w:tr>
      <w:tr w14:paraId="338B7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84" w:type="dxa"/>
            <w:vAlign w:val="center"/>
          </w:tcPr>
          <w:p w14:paraId="0C7BF12F">
            <w:pPr>
              <w:spacing w:after="0" w:line="240" w:lineRule="auto"/>
              <w:jc w:val="center"/>
              <w:rPr>
                <w:rFonts w:ascii="宋体" w:hAnsi="宋体" w:eastAsia="宋体" w:cs="仿宋"/>
                <w:color w:val="auto"/>
              </w:rPr>
            </w:pPr>
            <w:r>
              <w:rPr>
                <w:rFonts w:hint="eastAsia" w:ascii="宋体" w:hAnsi="宋体" w:eastAsia="宋体" w:cs="仿宋"/>
                <w:color w:val="auto"/>
              </w:rPr>
              <w:t>2</w:t>
            </w:r>
          </w:p>
        </w:tc>
        <w:tc>
          <w:tcPr>
            <w:tcW w:w="2902" w:type="dxa"/>
            <w:vAlign w:val="center"/>
          </w:tcPr>
          <w:p w14:paraId="09E04AA8">
            <w:pPr>
              <w:spacing w:after="0" w:line="240" w:lineRule="auto"/>
              <w:jc w:val="center"/>
              <w:rPr>
                <w:rFonts w:ascii="宋体" w:hAnsi="宋体" w:eastAsia="宋体" w:cs="仿宋"/>
                <w:color w:val="auto"/>
              </w:rPr>
            </w:pPr>
          </w:p>
        </w:tc>
        <w:tc>
          <w:tcPr>
            <w:tcW w:w="1134" w:type="dxa"/>
            <w:vAlign w:val="center"/>
          </w:tcPr>
          <w:p w14:paraId="7C9CCA70">
            <w:pPr>
              <w:spacing w:after="0" w:line="240" w:lineRule="auto"/>
              <w:jc w:val="center"/>
              <w:rPr>
                <w:rFonts w:ascii="宋体" w:hAnsi="宋体" w:eastAsia="宋体" w:cs="仿宋"/>
                <w:color w:val="auto"/>
              </w:rPr>
            </w:pPr>
          </w:p>
        </w:tc>
        <w:tc>
          <w:tcPr>
            <w:tcW w:w="1701" w:type="dxa"/>
            <w:vAlign w:val="center"/>
          </w:tcPr>
          <w:p w14:paraId="260F1D35">
            <w:pPr>
              <w:spacing w:after="0" w:line="240" w:lineRule="auto"/>
              <w:jc w:val="center"/>
              <w:rPr>
                <w:rFonts w:ascii="宋体" w:hAnsi="宋体" w:eastAsia="宋体" w:cs="仿宋"/>
                <w:color w:val="auto"/>
              </w:rPr>
            </w:pPr>
          </w:p>
        </w:tc>
        <w:tc>
          <w:tcPr>
            <w:tcW w:w="2410" w:type="dxa"/>
            <w:vAlign w:val="center"/>
          </w:tcPr>
          <w:p w14:paraId="2CE04A34">
            <w:pPr>
              <w:spacing w:after="0" w:line="240" w:lineRule="auto"/>
              <w:jc w:val="center"/>
              <w:rPr>
                <w:rFonts w:ascii="宋体" w:hAnsi="宋体" w:eastAsia="宋体" w:cs="仿宋"/>
                <w:color w:val="auto"/>
              </w:rPr>
            </w:pPr>
          </w:p>
        </w:tc>
      </w:tr>
      <w:tr w14:paraId="72355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84" w:type="dxa"/>
            <w:vAlign w:val="center"/>
          </w:tcPr>
          <w:p w14:paraId="09A5B227">
            <w:pPr>
              <w:spacing w:after="0" w:line="240" w:lineRule="auto"/>
              <w:jc w:val="center"/>
              <w:rPr>
                <w:rFonts w:ascii="宋体" w:hAnsi="宋体" w:eastAsia="宋体" w:cs="仿宋"/>
                <w:color w:val="auto"/>
              </w:rPr>
            </w:pPr>
            <w:r>
              <w:rPr>
                <w:rFonts w:hint="eastAsia" w:ascii="宋体" w:hAnsi="宋体" w:eastAsia="宋体" w:cs="仿宋"/>
                <w:color w:val="auto"/>
              </w:rPr>
              <w:t>3</w:t>
            </w:r>
          </w:p>
        </w:tc>
        <w:tc>
          <w:tcPr>
            <w:tcW w:w="2902" w:type="dxa"/>
            <w:vAlign w:val="center"/>
          </w:tcPr>
          <w:p w14:paraId="34B0454E">
            <w:pPr>
              <w:spacing w:after="0" w:line="240" w:lineRule="auto"/>
              <w:jc w:val="center"/>
              <w:rPr>
                <w:rFonts w:ascii="宋体" w:hAnsi="宋体" w:eastAsia="宋体" w:cs="仿宋"/>
                <w:color w:val="auto"/>
              </w:rPr>
            </w:pPr>
          </w:p>
        </w:tc>
        <w:tc>
          <w:tcPr>
            <w:tcW w:w="1134" w:type="dxa"/>
            <w:vAlign w:val="center"/>
          </w:tcPr>
          <w:p w14:paraId="695F9195">
            <w:pPr>
              <w:spacing w:after="0" w:line="240" w:lineRule="auto"/>
              <w:jc w:val="center"/>
              <w:rPr>
                <w:rFonts w:ascii="宋体" w:hAnsi="宋体" w:eastAsia="宋体" w:cs="仿宋"/>
                <w:color w:val="auto"/>
              </w:rPr>
            </w:pPr>
          </w:p>
        </w:tc>
        <w:tc>
          <w:tcPr>
            <w:tcW w:w="1701" w:type="dxa"/>
            <w:vAlign w:val="center"/>
          </w:tcPr>
          <w:p w14:paraId="1260EF94">
            <w:pPr>
              <w:spacing w:after="0" w:line="240" w:lineRule="auto"/>
              <w:jc w:val="center"/>
              <w:rPr>
                <w:rFonts w:ascii="宋体" w:hAnsi="宋体" w:eastAsia="宋体" w:cs="仿宋"/>
                <w:color w:val="auto"/>
              </w:rPr>
            </w:pPr>
          </w:p>
        </w:tc>
        <w:tc>
          <w:tcPr>
            <w:tcW w:w="2410" w:type="dxa"/>
            <w:vAlign w:val="center"/>
          </w:tcPr>
          <w:p w14:paraId="2BD3AA34">
            <w:pPr>
              <w:spacing w:after="0" w:line="240" w:lineRule="auto"/>
              <w:jc w:val="center"/>
              <w:rPr>
                <w:rFonts w:ascii="宋体" w:hAnsi="宋体" w:eastAsia="宋体" w:cs="仿宋"/>
                <w:color w:val="auto"/>
              </w:rPr>
            </w:pPr>
          </w:p>
        </w:tc>
      </w:tr>
      <w:tr w14:paraId="4ECA6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84" w:type="dxa"/>
            <w:vAlign w:val="center"/>
          </w:tcPr>
          <w:p w14:paraId="02856A35">
            <w:pPr>
              <w:spacing w:after="0" w:line="240" w:lineRule="auto"/>
              <w:jc w:val="center"/>
              <w:rPr>
                <w:rFonts w:ascii="宋体" w:hAnsi="宋体" w:eastAsia="宋体" w:cs="仿宋"/>
                <w:color w:val="auto"/>
              </w:rPr>
            </w:pPr>
            <w:r>
              <w:rPr>
                <w:rFonts w:hint="eastAsia" w:ascii="宋体" w:hAnsi="宋体" w:eastAsia="宋体" w:cs="仿宋"/>
                <w:color w:val="auto"/>
              </w:rPr>
              <w:t>4</w:t>
            </w:r>
          </w:p>
        </w:tc>
        <w:tc>
          <w:tcPr>
            <w:tcW w:w="2902" w:type="dxa"/>
            <w:vAlign w:val="center"/>
          </w:tcPr>
          <w:p w14:paraId="534835B7">
            <w:pPr>
              <w:spacing w:after="0" w:line="240" w:lineRule="auto"/>
              <w:jc w:val="center"/>
              <w:rPr>
                <w:rFonts w:ascii="宋体" w:hAnsi="宋体" w:eastAsia="宋体" w:cs="仿宋"/>
                <w:color w:val="auto"/>
              </w:rPr>
            </w:pPr>
          </w:p>
        </w:tc>
        <w:tc>
          <w:tcPr>
            <w:tcW w:w="1134" w:type="dxa"/>
            <w:vAlign w:val="center"/>
          </w:tcPr>
          <w:p w14:paraId="14418BBF">
            <w:pPr>
              <w:spacing w:after="0" w:line="240" w:lineRule="auto"/>
              <w:jc w:val="center"/>
              <w:rPr>
                <w:rFonts w:ascii="宋体" w:hAnsi="宋体" w:eastAsia="宋体" w:cs="仿宋"/>
                <w:color w:val="auto"/>
              </w:rPr>
            </w:pPr>
          </w:p>
        </w:tc>
        <w:tc>
          <w:tcPr>
            <w:tcW w:w="1701" w:type="dxa"/>
            <w:vAlign w:val="center"/>
          </w:tcPr>
          <w:p w14:paraId="319AD5D6">
            <w:pPr>
              <w:spacing w:after="0" w:line="240" w:lineRule="auto"/>
              <w:jc w:val="center"/>
              <w:rPr>
                <w:rFonts w:ascii="宋体" w:hAnsi="宋体" w:eastAsia="宋体" w:cs="仿宋"/>
                <w:color w:val="auto"/>
              </w:rPr>
            </w:pPr>
          </w:p>
        </w:tc>
        <w:tc>
          <w:tcPr>
            <w:tcW w:w="2410" w:type="dxa"/>
            <w:vAlign w:val="center"/>
          </w:tcPr>
          <w:p w14:paraId="1C0A361B">
            <w:pPr>
              <w:spacing w:after="0" w:line="240" w:lineRule="auto"/>
              <w:jc w:val="center"/>
              <w:rPr>
                <w:rFonts w:ascii="宋体" w:hAnsi="宋体" w:eastAsia="宋体" w:cs="仿宋"/>
                <w:color w:val="auto"/>
              </w:rPr>
            </w:pPr>
          </w:p>
        </w:tc>
      </w:tr>
      <w:tr w14:paraId="058BC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84" w:type="dxa"/>
            <w:vAlign w:val="center"/>
          </w:tcPr>
          <w:p w14:paraId="461B97AA">
            <w:pPr>
              <w:spacing w:after="0" w:line="240" w:lineRule="auto"/>
              <w:jc w:val="center"/>
              <w:rPr>
                <w:rFonts w:ascii="宋体" w:hAnsi="宋体" w:eastAsia="宋体" w:cs="仿宋"/>
                <w:color w:val="auto"/>
              </w:rPr>
            </w:pPr>
            <w:r>
              <w:rPr>
                <w:rFonts w:hint="eastAsia" w:ascii="宋体" w:hAnsi="宋体" w:eastAsia="宋体" w:cs="仿宋"/>
                <w:color w:val="auto"/>
              </w:rPr>
              <w:t>5</w:t>
            </w:r>
          </w:p>
        </w:tc>
        <w:tc>
          <w:tcPr>
            <w:tcW w:w="2902" w:type="dxa"/>
            <w:vAlign w:val="center"/>
          </w:tcPr>
          <w:p w14:paraId="2B9625AF">
            <w:pPr>
              <w:spacing w:after="0" w:line="240" w:lineRule="auto"/>
              <w:jc w:val="center"/>
              <w:rPr>
                <w:rFonts w:ascii="宋体" w:hAnsi="宋体" w:eastAsia="宋体" w:cs="仿宋"/>
                <w:color w:val="auto"/>
              </w:rPr>
            </w:pPr>
          </w:p>
        </w:tc>
        <w:tc>
          <w:tcPr>
            <w:tcW w:w="1134" w:type="dxa"/>
            <w:vAlign w:val="center"/>
          </w:tcPr>
          <w:p w14:paraId="3A3064A5">
            <w:pPr>
              <w:spacing w:after="0" w:line="240" w:lineRule="auto"/>
              <w:jc w:val="center"/>
              <w:rPr>
                <w:rFonts w:ascii="宋体" w:hAnsi="宋体" w:eastAsia="宋体" w:cs="仿宋"/>
                <w:color w:val="auto"/>
              </w:rPr>
            </w:pPr>
          </w:p>
        </w:tc>
        <w:tc>
          <w:tcPr>
            <w:tcW w:w="1701" w:type="dxa"/>
            <w:vAlign w:val="center"/>
          </w:tcPr>
          <w:p w14:paraId="6D91DF03">
            <w:pPr>
              <w:spacing w:after="0" w:line="240" w:lineRule="auto"/>
              <w:jc w:val="center"/>
              <w:rPr>
                <w:rFonts w:ascii="宋体" w:hAnsi="宋体" w:eastAsia="宋体" w:cs="仿宋"/>
                <w:color w:val="auto"/>
              </w:rPr>
            </w:pPr>
          </w:p>
        </w:tc>
        <w:tc>
          <w:tcPr>
            <w:tcW w:w="2410" w:type="dxa"/>
            <w:vAlign w:val="center"/>
          </w:tcPr>
          <w:p w14:paraId="10256476">
            <w:pPr>
              <w:spacing w:after="0" w:line="240" w:lineRule="auto"/>
              <w:jc w:val="center"/>
              <w:rPr>
                <w:rFonts w:ascii="宋体" w:hAnsi="宋体" w:eastAsia="宋体" w:cs="仿宋"/>
                <w:color w:val="auto"/>
              </w:rPr>
            </w:pPr>
          </w:p>
        </w:tc>
      </w:tr>
      <w:tr w14:paraId="17860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84" w:type="dxa"/>
            <w:vAlign w:val="center"/>
          </w:tcPr>
          <w:p w14:paraId="5F153AA7">
            <w:pPr>
              <w:spacing w:after="0" w:line="240" w:lineRule="auto"/>
              <w:jc w:val="center"/>
              <w:rPr>
                <w:rFonts w:ascii="宋体" w:hAnsi="宋体" w:eastAsia="宋体" w:cs="仿宋"/>
                <w:color w:val="auto"/>
              </w:rPr>
            </w:pPr>
            <w:r>
              <w:rPr>
                <w:rFonts w:ascii="宋体" w:hAnsi="宋体" w:eastAsia="宋体" w:cs="仿宋"/>
                <w:color w:val="auto"/>
              </w:rPr>
              <w:t>…</w:t>
            </w:r>
          </w:p>
        </w:tc>
        <w:tc>
          <w:tcPr>
            <w:tcW w:w="2902" w:type="dxa"/>
            <w:vAlign w:val="center"/>
          </w:tcPr>
          <w:p w14:paraId="4C77FCB2">
            <w:pPr>
              <w:spacing w:after="0" w:line="240" w:lineRule="auto"/>
              <w:jc w:val="center"/>
              <w:rPr>
                <w:rFonts w:ascii="宋体" w:hAnsi="宋体" w:eastAsia="宋体" w:cs="仿宋"/>
                <w:color w:val="auto"/>
              </w:rPr>
            </w:pPr>
          </w:p>
        </w:tc>
        <w:tc>
          <w:tcPr>
            <w:tcW w:w="1134" w:type="dxa"/>
            <w:vAlign w:val="center"/>
          </w:tcPr>
          <w:p w14:paraId="32262550">
            <w:pPr>
              <w:spacing w:after="0" w:line="240" w:lineRule="auto"/>
              <w:jc w:val="center"/>
              <w:rPr>
                <w:rFonts w:ascii="宋体" w:hAnsi="宋体" w:eastAsia="宋体" w:cs="仿宋"/>
                <w:color w:val="auto"/>
              </w:rPr>
            </w:pPr>
          </w:p>
        </w:tc>
        <w:tc>
          <w:tcPr>
            <w:tcW w:w="1701" w:type="dxa"/>
            <w:vAlign w:val="center"/>
          </w:tcPr>
          <w:p w14:paraId="7C723012">
            <w:pPr>
              <w:spacing w:after="0" w:line="240" w:lineRule="auto"/>
              <w:jc w:val="center"/>
              <w:rPr>
                <w:rFonts w:ascii="宋体" w:hAnsi="宋体" w:eastAsia="宋体" w:cs="仿宋"/>
                <w:color w:val="auto"/>
              </w:rPr>
            </w:pPr>
          </w:p>
        </w:tc>
        <w:tc>
          <w:tcPr>
            <w:tcW w:w="2410" w:type="dxa"/>
            <w:vAlign w:val="center"/>
          </w:tcPr>
          <w:p w14:paraId="43AB23B7">
            <w:pPr>
              <w:spacing w:after="0" w:line="240" w:lineRule="auto"/>
              <w:jc w:val="center"/>
              <w:rPr>
                <w:rFonts w:ascii="宋体" w:hAnsi="宋体" w:eastAsia="宋体" w:cs="仿宋"/>
                <w:color w:val="auto"/>
              </w:rPr>
            </w:pPr>
          </w:p>
        </w:tc>
      </w:tr>
      <w:tr w14:paraId="11236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931" w:type="dxa"/>
            <w:gridSpan w:val="5"/>
            <w:vAlign w:val="center"/>
          </w:tcPr>
          <w:p w14:paraId="0B2E7AA3">
            <w:pPr>
              <w:spacing w:after="0" w:line="240" w:lineRule="auto"/>
              <w:ind w:firstLine="424" w:firstLineChars="201"/>
              <w:jc w:val="left"/>
              <w:rPr>
                <w:rFonts w:ascii="宋体" w:hAnsi="宋体" w:eastAsia="宋体" w:cs="仿宋"/>
                <w:b/>
                <w:color w:val="auto"/>
              </w:rPr>
            </w:pPr>
            <w:r>
              <w:rPr>
                <w:rFonts w:hint="eastAsia" w:ascii="宋体" w:hAnsi="宋体" w:eastAsia="宋体" w:cs="仿宋"/>
                <w:b/>
                <w:color w:val="auto"/>
              </w:rPr>
              <w:t>合计（元，小写）：</w:t>
            </w:r>
          </w:p>
        </w:tc>
      </w:tr>
    </w:tbl>
    <w:p w14:paraId="16F10D9D">
      <w:pPr>
        <w:snapToGrid w:val="0"/>
        <w:spacing w:after="0" w:line="360" w:lineRule="auto"/>
        <w:ind w:left="-23" w:leftChars="-11" w:right="-57" w:rightChars="-27" w:firstLine="21" w:firstLineChars="10"/>
        <w:rPr>
          <w:rFonts w:ascii="宋体" w:hAnsi="宋体" w:eastAsia="宋体"/>
          <w:color w:val="auto"/>
        </w:rPr>
      </w:pPr>
      <w:r>
        <w:rPr>
          <w:rFonts w:hint="eastAsia" w:ascii="宋体" w:hAnsi="宋体" w:eastAsia="宋体"/>
          <w:b/>
          <w:bCs/>
          <w:color w:val="auto"/>
          <w:szCs w:val="28"/>
        </w:rPr>
        <w:t>注：</w:t>
      </w:r>
      <w:r>
        <w:rPr>
          <w:rFonts w:hint="eastAsia" w:ascii="宋体" w:hAnsi="宋体" w:eastAsia="宋体"/>
          <w:color w:val="auto"/>
          <w:szCs w:val="22"/>
        </w:rPr>
        <w:t>所列费用为对应本项目需求的全部服务内容</w:t>
      </w:r>
      <w:r>
        <w:rPr>
          <w:rFonts w:hint="eastAsia" w:ascii="宋体" w:hAnsi="宋体" w:eastAsia="宋体"/>
          <w:color w:val="auto"/>
        </w:rPr>
        <w:t>，如有漏项或缺项，采购人视为已经包含在投标报价中，投标人自行承担全部责任。</w:t>
      </w:r>
    </w:p>
    <w:p w14:paraId="38A40CB0">
      <w:pPr>
        <w:widowControl/>
        <w:spacing w:after="0" w:line="360" w:lineRule="auto"/>
        <w:jc w:val="left"/>
        <w:rPr>
          <w:rFonts w:ascii="宋体" w:hAnsi="宋体" w:eastAsia="宋体"/>
          <w:color w:val="auto"/>
        </w:rPr>
      </w:pPr>
    </w:p>
    <w:p w14:paraId="08878ED0">
      <w:pPr>
        <w:snapToGrid w:val="0"/>
        <w:spacing w:after="0" w:line="360" w:lineRule="auto"/>
        <w:ind w:left="-23" w:leftChars="-11" w:right="-57" w:rightChars="-27" w:firstLine="21" w:firstLineChars="10"/>
        <w:rPr>
          <w:rFonts w:ascii="宋体" w:hAnsi="宋体" w:eastAsia="宋体"/>
          <w:color w:val="auto"/>
        </w:rPr>
      </w:pPr>
    </w:p>
    <w:p w14:paraId="537E70FE">
      <w:pPr>
        <w:widowControl/>
        <w:spacing w:after="0" w:line="360" w:lineRule="auto"/>
        <w:jc w:val="left"/>
        <w:rPr>
          <w:rFonts w:ascii="宋体" w:hAnsi="宋体" w:eastAsia="宋体"/>
          <w:color w:val="auto"/>
        </w:rPr>
      </w:pPr>
      <w:r>
        <w:rPr>
          <w:rFonts w:ascii="宋体" w:hAnsi="宋体" w:eastAsia="宋体"/>
          <w:color w:val="auto"/>
        </w:rPr>
        <w:br w:type="page"/>
      </w:r>
    </w:p>
    <w:p w14:paraId="34C1994A">
      <w:pPr>
        <w:pStyle w:val="7"/>
        <w:spacing w:after="0" w:line="360" w:lineRule="auto"/>
        <w:ind w:left="0" w:leftChars="0"/>
        <w:jc w:val="center"/>
        <w:rPr>
          <w:rFonts w:ascii="宋体" w:hAnsi="宋体" w:eastAsia="宋体" w:cs="宋体"/>
          <w:b/>
          <w:color w:val="auto"/>
          <w:sz w:val="21"/>
        </w:rPr>
      </w:pPr>
      <w:r>
        <w:rPr>
          <w:rFonts w:hint="eastAsia" w:ascii="宋体" w:hAnsi="宋体" w:eastAsia="宋体" w:cs="宋体"/>
          <w:b/>
          <w:color w:val="auto"/>
          <w:sz w:val="21"/>
        </w:rPr>
        <w:t>（</w:t>
      </w:r>
      <w:r>
        <w:rPr>
          <w:rFonts w:ascii="宋体" w:hAnsi="宋体" w:eastAsia="宋体" w:cs="宋体"/>
          <w:b/>
          <w:color w:val="auto"/>
          <w:sz w:val="21"/>
        </w:rPr>
        <w:t>3</w:t>
      </w:r>
      <w:r>
        <w:rPr>
          <w:rFonts w:hint="eastAsia" w:ascii="宋体" w:hAnsi="宋体" w:eastAsia="宋体" w:cs="宋体"/>
          <w:b/>
          <w:color w:val="auto"/>
          <w:sz w:val="21"/>
        </w:rPr>
        <w:t>）</w:t>
      </w:r>
      <w:r>
        <w:rPr>
          <w:rFonts w:ascii="宋体" w:hAnsi="宋体" w:eastAsia="宋体" w:cs="宋体"/>
          <w:b/>
          <w:color w:val="auto"/>
          <w:sz w:val="21"/>
        </w:rPr>
        <w:t>中小企业声明函</w:t>
      </w:r>
    </w:p>
    <w:p w14:paraId="02227DA2">
      <w:pPr>
        <w:snapToGrid w:val="0"/>
        <w:spacing w:after="0" w:line="360" w:lineRule="auto"/>
        <w:ind w:left="-23" w:leftChars="-11" w:right="-214" w:rightChars="-102" w:firstLine="447" w:firstLineChars="213"/>
        <w:jc w:val="left"/>
        <w:rPr>
          <w:rFonts w:ascii="宋体" w:hAnsi="宋体" w:eastAsia="宋体"/>
          <w:color w:val="auto"/>
        </w:rPr>
      </w:pPr>
      <w:r>
        <w:rPr>
          <w:rFonts w:ascii="宋体" w:hAnsi="宋体" w:eastAsia="宋体"/>
          <w:color w:val="auto"/>
        </w:rPr>
        <w:t>本公司（联合体）郑重声明，根据《政府采购促进中小企业发展管理办法》（财库﹝2020﹞46号）的规定，本公司（联合体）参加</w:t>
      </w:r>
      <w:r>
        <w:rPr>
          <w:rFonts w:hint="eastAsia" w:ascii="宋体" w:hAnsi="宋体" w:eastAsia="宋体"/>
          <w:b/>
          <w:color w:val="auto"/>
          <w:u w:val="single"/>
        </w:rPr>
        <w:t>宁波市自然资源整治储备中心</w:t>
      </w:r>
      <w:r>
        <w:rPr>
          <w:rFonts w:ascii="宋体" w:hAnsi="宋体" w:eastAsia="宋体"/>
          <w:color w:val="auto"/>
        </w:rPr>
        <w:t>的</w:t>
      </w:r>
      <w:r>
        <w:rPr>
          <w:rFonts w:hint="eastAsia" w:ascii="宋体" w:hAnsi="宋体" w:eastAsia="宋体"/>
          <w:b/>
          <w:color w:val="auto"/>
          <w:u w:val="single"/>
        </w:rPr>
        <w:t>邱隘南-环城融合区域前期研究</w:t>
      </w:r>
      <w:r>
        <w:rPr>
          <w:rFonts w:ascii="宋体" w:hAnsi="宋体" w:eastAsia="宋体"/>
          <w:color w:val="auto"/>
        </w:rPr>
        <w:t>采购活动，服务全部由符合政策要求的中小企业承接。相关企业（含联合体中的中小企业、签订分包意向协议的中小企业）的具体情况如下：</w:t>
      </w:r>
    </w:p>
    <w:p w14:paraId="003A69DA">
      <w:pPr>
        <w:snapToGrid w:val="0"/>
        <w:spacing w:after="0" w:line="360" w:lineRule="auto"/>
        <w:ind w:left="-23" w:leftChars="-11" w:right="-214" w:rightChars="-102" w:firstLine="447" w:firstLineChars="213"/>
        <w:jc w:val="left"/>
        <w:rPr>
          <w:rFonts w:ascii="宋体" w:hAnsi="宋体" w:eastAsia="宋体"/>
          <w:color w:val="auto"/>
        </w:rPr>
      </w:pPr>
      <w:r>
        <w:rPr>
          <w:rFonts w:ascii="宋体" w:hAnsi="宋体" w:eastAsia="宋体"/>
          <w:color w:val="auto"/>
        </w:rPr>
        <w:t>1.</w:t>
      </w:r>
      <w:r>
        <w:rPr>
          <w:rFonts w:hint="eastAsia" w:ascii="宋体" w:hAnsi="宋体" w:eastAsia="宋体"/>
          <w:b/>
          <w:color w:val="auto"/>
          <w:u w:val="single"/>
        </w:rPr>
        <w:t xml:space="preserve">  邱隘南-环城融合区域前期研究  </w:t>
      </w:r>
      <w:r>
        <w:rPr>
          <w:rFonts w:ascii="宋体" w:hAnsi="宋体" w:eastAsia="宋体"/>
          <w:color w:val="auto"/>
        </w:rPr>
        <w:t>，属于</w:t>
      </w:r>
      <w:r>
        <w:rPr>
          <w:rFonts w:hint="eastAsia" w:ascii="宋体" w:hAnsi="宋体" w:eastAsia="宋体"/>
          <w:b/>
          <w:color w:val="auto"/>
          <w:u w:val="single"/>
        </w:rPr>
        <w:t xml:space="preserve">  其他未列明行业  </w:t>
      </w:r>
      <w:r>
        <w:rPr>
          <w:rFonts w:ascii="宋体" w:hAnsi="宋体" w:eastAsia="宋体"/>
          <w:color w:val="auto"/>
        </w:rPr>
        <w:t>；承接企业为</w:t>
      </w:r>
      <w:r>
        <w:rPr>
          <w:rFonts w:hint="eastAsia" w:ascii="宋体" w:hAnsi="宋体" w:eastAsia="宋体"/>
          <w:color w:val="auto"/>
          <w:u w:val="single"/>
        </w:rPr>
        <w:t xml:space="preserve"> </w:t>
      </w:r>
      <w:r>
        <w:rPr>
          <w:rFonts w:ascii="宋体" w:hAnsi="宋体" w:eastAsia="宋体"/>
          <w:color w:val="auto"/>
          <w:u w:val="single"/>
        </w:rPr>
        <w:t xml:space="preserve">  （企业名称）</w:t>
      </w:r>
      <w:r>
        <w:rPr>
          <w:rFonts w:hint="eastAsia" w:ascii="宋体" w:hAnsi="宋体" w:eastAsia="宋体"/>
          <w:color w:val="auto"/>
          <w:u w:val="single"/>
        </w:rPr>
        <w:t xml:space="preserve"> </w:t>
      </w:r>
      <w:r>
        <w:rPr>
          <w:rFonts w:ascii="宋体" w:hAnsi="宋体" w:eastAsia="宋体"/>
          <w:color w:val="auto"/>
          <w:u w:val="single"/>
        </w:rPr>
        <w:t xml:space="preserve">  </w:t>
      </w:r>
      <w:r>
        <w:rPr>
          <w:rFonts w:ascii="宋体" w:hAnsi="宋体" w:eastAsia="宋体"/>
          <w:color w:val="auto"/>
        </w:rPr>
        <w:t>，从业人员</w:t>
      </w:r>
      <w:r>
        <w:rPr>
          <w:rFonts w:hint="eastAsia" w:ascii="宋体" w:hAnsi="宋体" w:eastAsia="宋体" w:cs="仿宋"/>
          <w:color w:val="auto"/>
          <w:u w:val="single"/>
        </w:rPr>
        <w:t xml:space="preserve"> </w:t>
      </w:r>
      <w:r>
        <w:rPr>
          <w:rFonts w:ascii="宋体" w:hAnsi="宋体" w:eastAsia="宋体" w:cs="仿宋"/>
          <w:color w:val="auto"/>
          <w:u w:val="single"/>
        </w:rPr>
        <w:t xml:space="preserve">   </w:t>
      </w:r>
      <w:r>
        <w:rPr>
          <w:rFonts w:ascii="宋体" w:hAnsi="宋体" w:eastAsia="宋体"/>
          <w:color w:val="auto"/>
        </w:rPr>
        <w:t>人，营业收入为</w:t>
      </w:r>
      <w:r>
        <w:rPr>
          <w:rFonts w:hint="eastAsia" w:ascii="宋体" w:hAnsi="宋体" w:eastAsia="宋体" w:cs="仿宋"/>
          <w:color w:val="auto"/>
          <w:u w:val="single"/>
        </w:rPr>
        <w:t xml:space="preserve"> </w:t>
      </w:r>
      <w:r>
        <w:rPr>
          <w:rFonts w:ascii="宋体" w:hAnsi="宋体" w:eastAsia="宋体" w:cs="仿宋"/>
          <w:color w:val="auto"/>
          <w:u w:val="single"/>
        </w:rPr>
        <w:t xml:space="preserve">   </w:t>
      </w:r>
      <w:r>
        <w:rPr>
          <w:rFonts w:ascii="宋体" w:hAnsi="宋体" w:eastAsia="宋体"/>
          <w:color w:val="auto"/>
        </w:rPr>
        <w:t>万元，资产总额为</w:t>
      </w:r>
      <w:r>
        <w:rPr>
          <w:rFonts w:hint="eastAsia" w:ascii="宋体" w:hAnsi="宋体" w:eastAsia="宋体" w:cs="仿宋"/>
          <w:color w:val="auto"/>
          <w:u w:val="single"/>
        </w:rPr>
        <w:t xml:space="preserve"> </w:t>
      </w:r>
      <w:r>
        <w:rPr>
          <w:rFonts w:ascii="宋体" w:hAnsi="宋体" w:eastAsia="宋体" w:cs="仿宋"/>
          <w:color w:val="auto"/>
          <w:u w:val="single"/>
        </w:rPr>
        <w:t xml:space="preserve">   </w:t>
      </w:r>
      <w:r>
        <w:rPr>
          <w:rFonts w:ascii="宋体" w:hAnsi="宋体" w:eastAsia="宋体"/>
          <w:color w:val="auto"/>
        </w:rPr>
        <w:t>万元，属于</w:t>
      </w:r>
      <w:r>
        <w:rPr>
          <w:rFonts w:hint="eastAsia" w:ascii="宋体" w:hAnsi="宋体" w:eastAsia="宋体" w:cs="仿宋"/>
          <w:color w:val="auto"/>
          <w:u w:val="single"/>
        </w:rPr>
        <w:t xml:space="preserve"> </w:t>
      </w:r>
      <w:r>
        <w:rPr>
          <w:rFonts w:ascii="宋体" w:hAnsi="宋体" w:eastAsia="宋体" w:cs="仿宋"/>
          <w:color w:val="auto"/>
          <w:u w:val="single"/>
        </w:rPr>
        <w:t xml:space="preserve">   </w:t>
      </w:r>
      <w:r>
        <w:rPr>
          <w:rFonts w:ascii="宋体" w:hAnsi="宋体" w:eastAsia="宋体"/>
          <w:color w:val="auto"/>
          <w:u w:val="single"/>
        </w:rPr>
        <w:t>（中型企业、小型企业、微型企业）</w:t>
      </w:r>
      <w:r>
        <w:rPr>
          <w:rFonts w:hint="eastAsia" w:ascii="宋体" w:hAnsi="宋体" w:eastAsia="宋体"/>
          <w:color w:val="auto"/>
          <w:u w:val="single"/>
        </w:rPr>
        <w:t xml:space="preserve"> </w:t>
      </w:r>
      <w:r>
        <w:rPr>
          <w:rFonts w:ascii="宋体" w:hAnsi="宋体" w:eastAsia="宋体"/>
          <w:color w:val="auto"/>
        </w:rPr>
        <w:t>；</w:t>
      </w:r>
    </w:p>
    <w:p w14:paraId="5BFB73F0">
      <w:pPr>
        <w:snapToGrid w:val="0"/>
        <w:spacing w:after="0" w:line="360" w:lineRule="auto"/>
        <w:ind w:left="-23" w:leftChars="-11" w:right="-214" w:rightChars="-102" w:firstLine="447" w:firstLineChars="213"/>
        <w:jc w:val="left"/>
        <w:rPr>
          <w:rFonts w:ascii="宋体" w:hAnsi="宋体" w:eastAsia="宋体"/>
          <w:color w:val="auto"/>
        </w:rPr>
      </w:pPr>
      <w:r>
        <w:rPr>
          <w:rFonts w:ascii="宋体" w:hAnsi="宋体" w:eastAsia="宋体"/>
          <w:color w:val="auto"/>
        </w:rPr>
        <w:t>2.</w:t>
      </w:r>
      <w:r>
        <w:rPr>
          <w:rFonts w:hint="eastAsia" w:ascii="宋体" w:hAnsi="宋体" w:eastAsia="宋体" w:cs="仿宋"/>
          <w:color w:val="auto"/>
          <w:u w:val="single"/>
        </w:rPr>
        <w:t xml:space="preserve"> </w:t>
      </w:r>
      <w:r>
        <w:rPr>
          <w:rFonts w:ascii="宋体" w:hAnsi="宋体" w:eastAsia="宋体" w:cs="仿宋"/>
          <w:color w:val="auto"/>
          <w:u w:val="single"/>
        </w:rPr>
        <w:t xml:space="preserve">        </w:t>
      </w:r>
      <w:r>
        <w:rPr>
          <w:rFonts w:ascii="宋体" w:hAnsi="宋体" w:eastAsia="宋体"/>
          <w:color w:val="auto"/>
        </w:rPr>
        <w:t>，属于</w:t>
      </w:r>
      <w:r>
        <w:rPr>
          <w:rFonts w:hint="eastAsia" w:ascii="宋体" w:hAnsi="宋体" w:eastAsia="宋体" w:cs="仿宋"/>
          <w:color w:val="auto"/>
          <w:u w:val="single"/>
        </w:rPr>
        <w:t xml:space="preserve"> </w:t>
      </w:r>
      <w:r>
        <w:rPr>
          <w:rFonts w:ascii="宋体" w:hAnsi="宋体" w:eastAsia="宋体" w:cs="仿宋"/>
          <w:color w:val="auto"/>
          <w:u w:val="single"/>
        </w:rPr>
        <w:t xml:space="preserve">   </w:t>
      </w:r>
      <w:r>
        <w:rPr>
          <w:rFonts w:ascii="宋体" w:hAnsi="宋体" w:eastAsia="宋体"/>
          <w:color w:val="auto"/>
        </w:rPr>
        <w:t>；承接企业为</w:t>
      </w:r>
      <w:r>
        <w:rPr>
          <w:rFonts w:ascii="宋体" w:hAnsi="宋体" w:eastAsia="宋体"/>
          <w:color w:val="auto"/>
          <w:u w:val="single"/>
        </w:rPr>
        <w:t>（企业名称）</w:t>
      </w:r>
      <w:r>
        <w:rPr>
          <w:rFonts w:ascii="宋体" w:hAnsi="宋体" w:eastAsia="宋体"/>
          <w:color w:val="auto"/>
        </w:rPr>
        <w:t>，从业人员</w:t>
      </w:r>
      <w:r>
        <w:rPr>
          <w:rFonts w:hint="eastAsia" w:ascii="宋体" w:hAnsi="宋体" w:eastAsia="宋体" w:cs="仿宋"/>
          <w:color w:val="auto"/>
          <w:u w:val="single"/>
        </w:rPr>
        <w:t xml:space="preserve"> </w:t>
      </w:r>
      <w:r>
        <w:rPr>
          <w:rFonts w:ascii="宋体" w:hAnsi="宋体" w:eastAsia="宋体" w:cs="仿宋"/>
          <w:color w:val="auto"/>
          <w:u w:val="single"/>
        </w:rPr>
        <w:t xml:space="preserve">   </w:t>
      </w:r>
      <w:r>
        <w:rPr>
          <w:rFonts w:ascii="宋体" w:hAnsi="宋体" w:eastAsia="宋体"/>
          <w:color w:val="auto"/>
        </w:rPr>
        <w:t>人，营业收入为</w:t>
      </w:r>
      <w:r>
        <w:rPr>
          <w:rFonts w:hint="eastAsia" w:ascii="宋体" w:hAnsi="宋体" w:eastAsia="宋体" w:cs="仿宋"/>
          <w:color w:val="auto"/>
          <w:u w:val="single"/>
        </w:rPr>
        <w:t xml:space="preserve"> </w:t>
      </w:r>
      <w:r>
        <w:rPr>
          <w:rFonts w:ascii="宋体" w:hAnsi="宋体" w:eastAsia="宋体" w:cs="仿宋"/>
          <w:color w:val="auto"/>
          <w:u w:val="single"/>
        </w:rPr>
        <w:t xml:space="preserve">   </w:t>
      </w:r>
      <w:r>
        <w:rPr>
          <w:rFonts w:ascii="宋体" w:hAnsi="宋体" w:eastAsia="宋体"/>
          <w:color w:val="auto"/>
        </w:rPr>
        <w:t>万元，资产总额为</w:t>
      </w:r>
      <w:r>
        <w:rPr>
          <w:rFonts w:hint="eastAsia" w:ascii="宋体" w:hAnsi="宋体" w:eastAsia="宋体" w:cs="仿宋"/>
          <w:color w:val="auto"/>
          <w:u w:val="single"/>
        </w:rPr>
        <w:t xml:space="preserve"> </w:t>
      </w:r>
      <w:r>
        <w:rPr>
          <w:rFonts w:ascii="宋体" w:hAnsi="宋体" w:eastAsia="宋体" w:cs="仿宋"/>
          <w:color w:val="auto"/>
          <w:u w:val="single"/>
        </w:rPr>
        <w:t xml:space="preserve">   </w:t>
      </w:r>
      <w:r>
        <w:rPr>
          <w:rFonts w:ascii="宋体" w:hAnsi="宋体" w:eastAsia="宋体"/>
          <w:color w:val="auto"/>
        </w:rPr>
        <w:t>万元，属于</w:t>
      </w:r>
      <w:r>
        <w:rPr>
          <w:rFonts w:ascii="宋体" w:hAnsi="宋体" w:eastAsia="宋体"/>
          <w:color w:val="auto"/>
          <w:u w:val="single"/>
        </w:rPr>
        <w:t>（中型企业、小型企业、微型企业）</w:t>
      </w:r>
      <w:r>
        <w:rPr>
          <w:rFonts w:ascii="宋体" w:hAnsi="宋体" w:eastAsia="宋体"/>
          <w:color w:val="auto"/>
        </w:rPr>
        <w:t>；</w:t>
      </w:r>
    </w:p>
    <w:p w14:paraId="589BA150">
      <w:pPr>
        <w:snapToGrid w:val="0"/>
        <w:spacing w:after="0" w:line="360" w:lineRule="auto"/>
        <w:ind w:left="-23" w:leftChars="-11" w:right="-214" w:rightChars="-102" w:firstLine="447" w:firstLineChars="213"/>
        <w:jc w:val="left"/>
        <w:rPr>
          <w:rFonts w:ascii="宋体" w:hAnsi="宋体" w:eastAsia="宋体"/>
          <w:color w:val="auto"/>
        </w:rPr>
      </w:pPr>
      <w:r>
        <w:rPr>
          <w:rFonts w:ascii="宋体" w:hAnsi="宋体" w:eastAsia="宋体"/>
          <w:color w:val="auto"/>
        </w:rPr>
        <w:t>……</w:t>
      </w:r>
    </w:p>
    <w:p w14:paraId="65884F8E">
      <w:pPr>
        <w:snapToGrid w:val="0"/>
        <w:spacing w:after="0" w:line="360" w:lineRule="auto"/>
        <w:ind w:left="-23" w:leftChars="-11" w:right="-214" w:rightChars="-102" w:firstLine="447" w:firstLineChars="213"/>
        <w:jc w:val="left"/>
        <w:rPr>
          <w:rFonts w:ascii="宋体" w:hAnsi="宋体" w:eastAsia="宋体"/>
          <w:color w:val="auto"/>
        </w:rPr>
      </w:pPr>
      <w:r>
        <w:rPr>
          <w:rFonts w:ascii="宋体" w:hAnsi="宋体" w:eastAsia="宋体"/>
          <w:color w:val="auto"/>
        </w:rPr>
        <w:t>以上企业，不属于大企业的分支机构，不存在控股股东为大企业的情形，也不存在与大企业的负责人为同一人的情形。本企业对上述声明内容的真实性负责。如有虚假，将依法承担相应责任。</w:t>
      </w:r>
    </w:p>
    <w:p w14:paraId="3960DE17">
      <w:pPr>
        <w:spacing w:after="0" w:line="360" w:lineRule="auto"/>
        <w:ind w:firstLine="4676" w:firstLineChars="2227"/>
        <w:jc w:val="left"/>
        <w:rPr>
          <w:rFonts w:ascii="宋体" w:hAnsi="宋体" w:eastAsia="宋体"/>
          <w:color w:val="auto"/>
        </w:rPr>
      </w:pPr>
    </w:p>
    <w:p w14:paraId="5434FA96">
      <w:pPr>
        <w:spacing w:after="0" w:line="360" w:lineRule="auto"/>
        <w:ind w:firstLine="4676" w:firstLineChars="2227"/>
        <w:jc w:val="left"/>
        <w:rPr>
          <w:rFonts w:ascii="宋体" w:hAnsi="宋体" w:eastAsia="宋体"/>
          <w:color w:val="auto"/>
        </w:rPr>
      </w:pPr>
    </w:p>
    <w:p w14:paraId="0F7E2B5B">
      <w:pPr>
        <w:spacing w:after="0" w:line="360" w:lineRule="auto"/>
        <w:ind w:firstLine="4676" w:firstLineChars="2227"/>
        <w:jc w:val="left"/>
        <w:rPr>
          <w:rFonts w:ascii="宋体" w:hAnsi="宋体" w:eastAsia="宋体"/>
          <w:color w:val="auto"/>
        </w:rPr>
      </w:pPr>
      <w:r>
        <w:rPr>
          <w:rFonts w:ascii="宋体" w:hAnsi="宋体" w:eastAsia="宋体"/>
          <w:color w:val="auto"/>
        </w:rPr>
        <w:t>企业名称（盖章）：</w:t>
      </w:r>
    </w:p>
    <w:p w14:paraId="7651F3E2">
      <w:pPr>
        <w:spacing w:after="0" w:line="360" w:lineRule="auto"/>
        <w:ind w:firstLine="4676" w:firstLineChars="2227"/>
        <w:jc w:val="left"/>
        <w:rPr>
          <w:rFonts w:ascii="宋体" w:hAnsi="宋体" w:eastAsia="宋体"/>
          <w:color w:val="auto"/>
        </w:rPr>
      </w:pPr>
      <w:r>
        <w:rPr>
          <w:rFonts w:ascii="宋体" w:hAnsi="宋体" w:eastAsia="宋体"/>
          <w:color w:val="auto"/>
        </w:rPr>
        <w:t>日</w:t>
      </w:r>
      <w:r>
        <w:rPr>
          <w:rFonts w:hint="eastAsia" w:ascii="宋体" w:hAnsi="宋体" w:eastAsia="宋体"/>
          <w:color w:val="auto"/>
        </w:rPr>
        <w:t xml:space="preserve"> </w:t>
      </w:r>
      <w:r>
        <w:rPr>
          <w:rFonts w:ascii="宋体" w:hAnsi="宋体" w:eastAsia="宋体"/>
          <w:color w:val="auto"/>
        </w:rPr>
        <w:t xml:space="preserve"> 期</w:t>
      </w:r>
      <w:r>
        <w:rPr>
          <w:rFonts w:hint="eastAsia" w:ascii="宋体" w:hAnsi="宋体" w:eastAsia="宋体"/>
          <w:color w:val="auto"/>
        </w:rPr>
        <w:t>：</w:t>
      </w:r>
    </w:p>
    <w:p w14:paraId="41061D49">
      <w:pPr>
        <w:snapToGrid w:val="0"/>
        <w:spacing w:after="0" w:line="360" w:lineRule="auto"/>
        <w:ind w:left="-23" w:leftChars="-11" w:right="-214" w:rightChars="-102" w:firstLine="447" w:firstLineChars="213"/>
        <w:jc w:val="left"/>
        <w:rPr>
          <w:rFonts w:ascii="宋体" w:hAnsi="宋体" w:eastAsia="宋体"/>
          <w:color w:val="auto"/>
        </w:rPr>
      </w:pPr>
    </w:p>
    <w:p w14:paraId="229E60D9">
      <w:pPr>
        <w:snapToGrid w:val="0"/>
        <w:spacing w:after="0" w:line="360" w:lineRule="auto"/>
        <w:ind w:left="-23" w:leftChars="-11" w:right="-214" w:rightChars="-102" w:firstLine="21" w:firstLineChars="10"/>
        <w:jc w:val="left"/>
        <w:rPr>
          <w:rFonts w:ascii="宋体" w:hAnsi="宋体" w:eastAsia="宋体"/>
          <w:b/>
          <w:color w:val="auto"/>
        </w:rPr>
      </w:pPr>
      <w:r>
        <w:rPr>
          <w:rFonts w:ascii="宋体" w:hAnsi="宋体" w:eastAsia="宋体"/>
          <w:b/>
          <w:color w:val="auto"/>
        </w:rPr>
        <w:t>请投标人仔细阅读填写说明：</w:t>
      </w:r>
    </w:p>
    <w:p w14:paraId="30F62AD1">
      <w:pPr>
        <w:snapToGrid w:val="0"/>
        <w:spacing w:after="0" w:line="360" w:lineRule="auto"/>
        <w:ind w:right="-214" w:rightChars="-102"/>
        <w:jc w:val="left"/>
        <w:rPr>
          <w:rFonts w:ascii="宋体" w:hAnsi="宋体" w:eastAsia="宋体"/>
          <w:b/>
          <w:color w:val="auto"/>
        </w:rPr>
      </w:pPr>
      <w:r>
        <w:rPr>
          <w:rFonts w:ascii="宋体" w:hAnsi="宋体" w:eastAsia="宋体"/>
          <w:b/>
          <w:color w:val="auto"/>
        </w:rPr>
        <w:t>1.本项目为服务采购项目，服务由中小企业承接，即提供服务的人员为中小企业依照《中华人民共和国劳动合同法》订立劳动合同的从业人员。</w:t>
      </w:r>
    </w:p>
    <w:p w14:paraId="6ED5606D">
      <w:pPr>
        <w:snapToGrid w:val="0"/>
        <w:spacing w:after="0" w:line="360" w:lineRule="auto"/>
        <w:ind w:right="-214" w:rightChars="-102"/>
        <w:jc w:val="left"/>
        <w:rPr>
          <w:rFonts w:ascii="宋体" w:hAnsi="宋体" w:eastAsia="宋体"/>
          <w:b/>
          <w:color w:val="auto"/>
        </w:rPr>
      </w:pPr>
      <w:r>
        <w:rPr>
          <w:rFonts w:ascii="宋体" w:hAnsi="宋体" w:eastAsia="宋体"/>
          <w:b/>
          <w:color w:val="auto"/>
        </w:rPr>
        <w:t>2.从业人员、营业收入、资产总额填报上一年度数据，无上一年度数据的新成立企业可不填报。</w:t>
      </w:r>
    </w:p>
    <w:p w14:paraId="0AE120E6">
      <w:pPr>
        <w:snapToGrid w:val="0"/>
        <w:spacing w:after="0" w:line="360" w:lineRule="auto"/>
        <w:ind w:right="-214" w:rightChars="-102"/>
        <w:jc w:val="left"/>
        <w:rPr>
          <w:rFonts w:ascii="宋体" w:hAnsi="宋体" w:eastAsia="宋体"/>
          <w:b/>
          <w:color w:val="auto"/>
        </w:rPr>
      </w:pPr>
      <w:r>
        <w:rPr>
          <w:rFonts w:ascii="宋体" w:hAnsi="宋体" w:eastAsia="宋体"/>
          <w:b/>
          <w:color w:val="auto"/>
        </w:rPr>
        <w:t>3.投标人应当对其出具的《中小企业声明函》真实性负责，出具的《中小企业声明函》内容不实的，属于提供虚假材料。</w:t>
      </w:r>
    </w:p>
    <w:p w14:paraId="79B7CF39">
      <w:pPr>
        <w:snapToGrid w:val="0"/>
        <w:spacing w:after="0" w:line="360" w:lineRule="auto"/>
        <w:ind w:right="-214" w:rightChars="-102"/>
        <w:jc w:val="left"/>
        <w:rPr>
          <w:rFonts w:ascii="宋体" w:hAnsi="宋体" w:eastAsia="宋体"/>
          <w:b/>
          <w:color w:val="auto"/>
        </w:rPr>
      </w:pPr>
      <w:r>
        <w:rPr>
          <w:rFonts w:ascii="宋体" w:hAnsi="宋体" w:eastAsia="宋体"/>
          <w:b/>
          <w:color w:val="auto"/>
        </w:rPr>
        <w:t>4.事业单位不属于企业不应提交本声明函，其他组织形式的供应商参与本项目并提交本声明函前请仔细阅读相关政策文件。</w:t>
      </w:r>
      <w:r>
        <w:rPr>
          <w:rFonts w:hint="eastAsia" w:ascii="宋体" w:hAnsi="宋体" w:eastAsia="宋体"/>
          <w:b/>
          <w:color w:val="auto"/>
        </w:rPr>
        <w:t>联合体投标的，本声明函由联合体牵头人盖章。</w:t>
      </w:r>
    </w:p>
    <w:p w14:paraId="1B95BC57">
      <w:pPr>
        <w:snapToGrid w:val="0"/>
        <w:spacing w:after="0" w:line="360" w:lineRule="auto"/>
        <w:ind w:right="-214" w:rightChars="-102"/>
        <w:jc w:val="left"/>
        <w:rPr>
          <w:rFonts w:ascii="宋体" w:hAnsi="宋体" w:eastAsia="宋体"/>
          <w:b/>
          <w:color w:val="auto"/>
        </w:rPr>
      </w:pPr>
      <w:r>
        <w:rPr>
          <w:rFonts w:hint="eastAsia" w:ascii="宋体" w:hAnsi="宋体" w:eastAsia="宋体"/>
          <w:b/>
          <w:color w:val="auto"/>
        </w:rPr>
        <w:t>5</w:t>
      </w:r>
      <w:r>
        <w:rPr>
          <w:rFonts w:ascii="宋体" w:hAnsi="宋体" w:eastAsia="宋体"/>
          <w:b/>
          <w:color w:val="auto"/>
        </w:rPr>
        <w:t>.投标人应当谨慎填写并提供本表。</w:t>
      </w:r>
    </w:p>
    <w:p w14:paraId="5A67082E">
      <w:pPr>
        <w:snapToGrid w:val="0"/>
        <w:spacing w:after="0" w:line="360" w:lineRule="auto"/>
        <w:ind w:left="-23" w:leftChars="-11" w:right="-214" w:rightChars="-102" w:firstLine="21" w:firstLineChars="10"/>
        <w:jc w:val="left"/>
        <w:rPr>
          <w:rFonts w:ascii="宋体" w:hAnsi="宋体" w:eastAsia="宋体"/>
          <w:color w:val="auto"/>
        </w:rPr>
      </w:pPr>
      <w:r>
        <w:rPr>
          <w:rFonts w:ascii="宋体" w:hAnsi="宋体" w:eastAsia="宋体"/>
          <w:color w:val="auto"/>
        </w:rPr>
        <w:br w:type="page"/>
      </w:r>
    </w:p>
    <w:p w14:paraId="3DB1BDDA">
      <w:pPr>
        <w:pStyle w:val="7"/>
        <w:spacing w:after="0" w:line="360" w:lineRule="auto"/>
        <w:ind w:left="0" w:leftChars="0"/>
        <w:jc w:val="center"/>
        <w:rPr>
          <w:rFonts w:ascii="宋体" w:hAnsi="宋体" w:eastAsia="宋体" w:cs="宋体"/>
          <w:b/>
          <w:color w:val="auto"/>
          <w:sz w:val="21"/>
        </w:rPr>
      </w:pPr>
      <w:r>
        <w:rPr>
          <w:rFonts w:hint="eastAsia" w:ascii="宋体" w:hAnsi="宋体" w:eastAsia="宋体" w:cs="宋体"/>
          <w:b/>
          <w:color w:val="auto"/>
          <w:sz w:val="21"/>
        </w:rPr>
        <w:t>（</w:t>
      </w:r>
      <w:r>
        <w:rPr>
          <w:rFonts w:ascii="宋体" w:hAnsi="宋体" w:eastAsia="宋体" w:cs="宋体"/>
          <w:b/>
          <w:color w:val="auto"/>
          <w:sz w:val="21"/>
        </w:rPr>
        <w:t>4</w:t>
      </w:r>
      <w:r>
        <w:rPr>
          <w:rFonts w:hint="eastAsia" w:ascii="宋体" w:hAnsi="宋体" w:eastAsia="宋体" w:cs="宋体"/>
          <w:b/>
          <w:color w:val="auto"/>
          <w:sz w:val="21"/>
        </w:rPr>
        <w:t>）残疾人福利性单位声明函</w:t>
      </w:r>
    </w:p>
    <w:p w14:paraId="66CD38AC">
      <w:pPr>
        <w:spacing w:after="0" w:line="360" w:lineRule="auto"/>
        <w:ind w:firstLine="444" w:firstLineChars="200"/>
        <w:rPr>
          <w:rFonts w:ascii="宋体" w:hAnsi="宋体" w:eastAsia="宋体"/>
          <w:color w:val="auto"/>
          <w:spacing w:val="6"/>
        </w:rPr>
      </w:pPr>
      <w:r>
        <w:rPr>
          <w:rFonts w:hint="eastAsia" w:ascii="宋体" w:hAnsi="宋体" w:eastAsia="宋体"/>
          <w:color w:val="auto"/>
          <w:spacing w:val="6"/>
        </w:rPr>
        <w:t>本单位郑重声明，根据《财政部 民政部 中国残疾人联合会关于促进残疾人就业政府采购政策的通知》（财库</w:t>
      </w:r>
      <w:r>
        <w:rPr>
          <w:rFonts w:hint="eastAsia" w:ascii="宋体" w:hAnsi="宋体" w:eastAsia="宋体"/>
          <w:color w:val="auto"/>
        </w:rPr>
        <w:t>〔2017〕 141</w:t>
      </w:r>
      <w:r>
        <w:rPr>
          <w:rFonts w:hint="eastAsia" w:ascii="宋体" w:hAnsi="宋体" w:eastAsia="宋体"/>
          <w:color w:val="auto"/>
          <w:spacing w:val="6"/>
        </w:rPr>
        <w:t>号）的规定，本单位为符合条件的残疾人福利性单位，且本单位参加</w:t>
      </w:r>
      <w:r>
        <w:rPr>
          <w:rFonts w:hint="eastAsia" w:ascii="宋体" w:hAnsi="宋体" w:eastAsia="宋体" w:cs="仿宋"/>
          <w:color w:val="auto"/>
          <w:u w:val="single"/>
        </w:rPr>
        <w:t xml:space="preserve"> </w:t>
      </w:r>
      <w:r>
        <w:rPr>
          <w:rFonts w:ascii="宋体" w:hAnsi="宋体" w:eastAsia="宋体" w:cs="仿宋"/>
          <w:color w:val="auto"/>
          <w:u w:val="single"/>
        </w:rPr>
        <w:t xml:space="preserve">   </w:t>
      </w:r>
      <w:r>
        <w:rPr>
          <w:rFonts w:hint="eastAsia" w:ascii="宋体" w:hAnsi="宋体" w:eastAsia="宋体"/>
          <w:color w:val="auto"/>
          <w:spacing w:val="6"/>
          <w:u w:val="single"/>
        </w:rPr>
        <w:t xml:space="preserve">（填采购人名称）    </w:t>
      </w:r>
      <w:r>
        <w:rPr>
          <w:rFonts w:hint="eastAsia" w:ascii="宋体" w:hAnsi="宋体" w:eastAsia="宋体"/>
          <w:color w:val="auto"/>
          <w:spacing w:val="6"/>
        </w:rPr>
        <w:t>单位的</w:t>
      </w:r>
      <w:r>
        <w:rPr>
          <w:rFonts w:hint="eastAsia" w:ascii="宋体" w:hAnsi="宋体" w:eastAsia="宋体"/>
          <w:color w:val="auto"/>
          <w:spacing w:val="6"/>
          <w:u w:val="single"/>
        </w:rPr>
        <w:t xml:space="preserve">（填项目名称）    </w:t>
      </w:r>
      <w:r>
        <w:rPr>
          <w:rFonts w:hint="eastAsia" w:ascii="宋体" w:hAnsi="宋体" w:eastAsia="宋体"/>
          <w:color w:val="auto"/>
          <w:spacing w:val="6"/>
        </w:rPr>
        <w:t>项目采购活动提供本单位制造的货物（由本单位承担工程/提供服务），或者提供其他残疾人福利性单位制造的货物（不包括使用非残疾人福利性单位注册商标的货物）。</w:t>
      </w:r>
    </w:p>
    <w:p w14:paraId="6A040E93">
      <w:pPr>
        <w:spacing w:after="0" w:line="360" w:lineRule="auto"/>
        <w:ind w:firstLine="444" w:firstLineChars="200"/>
        <w:rPr>
          <w:rFonts w:ascii="宋体" w:hAnsi="宋体" w:eastAsia="宋体"/>
          <w:color w:val="auto"/>
          <w:spacing w:val="6"/>
        </w:rPr>
      </w:pPr>
      <w:r>
        <w:rPr>
          <w:rFonts w:hint="eastAsia" w:ascii="宋体" w:hAnsi="宋体" w:eastAsia="宋体"/>
          <w:color w:val="auto"/>
          <w:spacing w:val="6"/>
        </w:rPr>
        <w:t>本单位对上述声明的真实性负责。如有虚假，将依法承担相应责任。</w:t>
      </w:r>
    </w:p>
    <w:p w14:paraId="38B0136A">
      <w:pPr>
        <w:spacing w:after="0" w:line="360" w:lineRule="auto"/>
        <w:ind w:firstLine="444" w:firstLineChars="200"/>
        <w:rPr>
          <w:rFonts w:ascii="宋体" w:hAnsi="宋体" w:eastAsia="宋体"/>
          <w:color w:val="auto"/>
          <w:spacing w:val="6"/>
        </w:rPr>
      </w:pPr>
    </w:p>
    <w:p w14:paraId="55E5A691">
      <w:pPr>
        <w:spacing w:after="0" w:line="360" w:lineRule="auto"/>
        <w:ind w:firstLine="444" w:firstLineChars="200"/>
        <w:rPr>
          <w:rFonts w:ascii="宋体" w:hAnsi="宋体" w:eastAsia="宋体"/>
          <w:color w:val="auto"/>
          <w:spacing w:val="6"/>
        </w:rPr>
      </w:pPr>
    </w:p>
    <w:p w14:paraId="6633F971">
      <w:pPr>
        <w:tabs>
          <w:tab w:val="left" w:pos="4860"/>
        </w:tabs>
        <w:spacing w:after="0" w:line="360" w:lineRule="auto"/>
        <w:ind w:right="1560" w:firstLine="444" w:firstLineChars="200"/>
        <w:jc w:val="center"/>
        <w:rPr>
          <w:rFonts w:ascii="宋体" w:hAnsi="宋体" w:eastAsia="宋体"/>
          <w:color w:val="auto"/>
          <w:spacing w:val="6"/>
        </w:rPr>
      </w:pPr>
      <w:r>
        <w:rPr>
          <w:rFonts w:hint="eastAsia" w:ascii="宋体" w:hAnsi="宋体" w:eastAsia="宋体"/>
          <w:color w:val="auto"/>
          <w:spacing w:val="6"/>
        </w:rPr>
        <w:t>单位名称（盖章）：</w:t>
      </w:r>
    </w:p>
    <w:p w14:paraId="72F54C0C">
      <w:pPr>
        <w:tabs>
          <w:tab w:val="left" w:pos="4860"/>
        </w:tabs>
        <w:spacing w:after="0" w:line="360" w:lineRule="auto"/>
        <w:ind w:right="1560" w:firstLine="444" w:firstLineChars="200"/>
        <w:jc w:val="center"/>
        <w:rPr>
          <w:rFonts w:ascii="宋体" w:hAnsi="宋体" w:eastAsia="宋体"/>
          <w:color w:val="auto"/>
          <w:spacing w:val="6"/>
        </w:rPr>
      </w:pPr>
      <w:r>
        <w:rPr>
          <w:rFonts w:hint="eastAsia" w:ascii="宋体" w:hAnsi="宋体" w:eastAsia="宋体"/>
          <w:color w:val="auto"/>
          <w:spacing w:val="6"/>
        </w:rPr>
        <w:t xml:space="preserve">日 </w:t>
      </w:r>
      <w:r>
        <w:rPr>
          <w:rFonts w:ascii="宋体" w:hAnsi="宋体" w:eastAsia="宋体"/>
          <w:color w:val="auto"/>
          <w:spacing w:val="6"/>
        </w:rPr>
        <w:t xml:space="preserve"> </w:t>
      </w:r>
      <w:r>
        <w:rPr>
          <w:rFonts w:hint="eastAsia" w:ascii="宋体" w:hAnsi="宋体" w:eastAsia="宋体"/>
          <w:color w:val="auto"/>
          <w:spacing w:val="6"/>
        </w:rPr>
        <w:t>期：</w:t>
      </w:r>
    </w:p>
    <w:p w14:paraId="47736D0F">
      <w:pPr>
        <w:pStyle w:val="7"/>
        <w:snapToGrid w:val="0"/>
        <w:spacing w:after="0" w:line="360" w:lineRule="auto"/>
        <w:ind w:firstLine="437" w:firstLineChars="196"/>
        <w:rPr>
          <w:rFonts w:ascii="宋体" w:hAnsi="宋体" w:eastAsia="宋体" w:cs="宋体"/>
          <w:b/>
          <w:color w:val="auto"/>
          <w:spacing w:val="6"/>
          <w:sz w:val="21"/>
        </w:rPr>
      </w:pPr>
    </w:p>
    <w:p w14:paraId="322BA64D">
      <w:pPr>
        <w:pStyle w:val="7"/>
        <w:snapToGrid w:val="0"/>
        <w:spacing w:after="0" w:line="360" w:lineRule="auto"/>
        <w:ind w:firstLine="437" w:firstLineChars="196"/>
        <w:rPr>
          <w:rFonts w:ascii="宋体" w:hAnsi="宋体" w:eastAsia="宋体" w:cs="宋体"/>
          <w:b/>
          <w:color w:val="auto"/>
          <w:spacing w:val="6"/>
          <w:sz w:val="21"/>
        </w:rPr>
      </w:pPr>
    </w:p>
    <w:p w14:paraId="4F97A73F">
      <w:pPr>
        <w:pStyle w:val="7"/>
        <w:snapToGrid w:val="0"/>
        <w:spacing w:after="0" w:line="360" w:lineRule="auto"/>
        <w:ind w:firstLine="437" w:firstLineChars="196"/>
        <w:rPr>
          <w:rFonts w:ascii="宋体" w:hAnsi="宋体" w:eastAsia="宋体" w:cs="宋体"/>
          <w:b/>
          <w:color w:val="auto"/>
          <w:spacing w:val="6"/>
          <w:sz w:val="21"/>
        </w:rPr>
      </w:pPr>
    </w:p>
    <w:p w14:paraId="07F7FC79">
      <w:pPr>
        <w:pStyle w:val="7"/>
        <w:snapToGrid w:val="0"/>
        <w:spacing w:after="0" w:line="360" w:lineRule="auto"/>
        <w:ind w:firstLine="437" w:firstLineChars="196"/>
        <w:rPr>
          <w:rFonts w:ascii="宋体" w:hAnsi="宋体" w:eastAsia="宋体" w:cs="宋体"/>
          <w:b/>
          <w:color w:val="auto"/>
          <w:spacing w:val="6"/>
          <w:sz w:val="21"/>
        </w:rPr>
      </w:pPr>
    </w:p>
    <w:p w14:paraId="4F9D669A">
      <w:pPr>
        <w:spacing w:after="0" w:line="360" w:lineRule="auto"/>
        <w:ind w:firstLine="422"/>
        <w:rPr>
          <w:rFonts w:ascii="宋体" w:hAnsi="宋体" w:eastAsia="宋体"/>
          <w:b/>
          <w:color w:val="auto"/>
        </w:rPr>
      </w:pPr>
    </w:p>
    <w:p w14:paraId="64760812">
      <w:pPr>
        <w:snapToGrid w:val="0"/>
        <w:spacing w:after="0" w:line="360" w:lineRule="auto"/>
        <w:ind w:left="-23" w:leftChars="-11" w:right="-214" w:rightChars="-102" w:firstLine="21" w:firstLineChars="10"/>
        <w:jc w:val="left"/>
        <w:rPr>
          <w:rFonts w:ascii="宋体" w:hAnsi="宋体" w:eastAsia="宋体"/>
          <w:b/>
          <w:color w:val="auto"/>
        </w:rPr>
      </w:pPr>
      <w:r>
        <w:rPr>
          <w:rFonts w:hint="eastAsia" w:ascii="宋体" w:hAnsi="宋体" w:eastAsia="宋体"/>
          <w:b/>
          <w:color w:val="auto"/>
        </w:rPr>
        <w:t>填写说明：投标人不属于残疾人福利性单位无需且不应当提供本声明函，否则自行承担相应的责任。</w:t>
      </w:r>
    </w:p>
    <w:p w14:paraId="1F208A7C">
      <w:pPr>
        <w:widowControl/>
        <w:spacing w:after="0" w:line="360" w:lineRule="auto"/>
        <w:ind w:right="112"/>
        <w:jc w:val="left"/>
        <w:rPr>
          <w:rFonts w:ascii="宋体" w:hAnsi="宋体" w:eastAsia="宋体"/>
          <w:color w:val="auto"/>
        </w:rPr>
      </w:pPr>
    </w:p>
    <w:p w14:paraId="3E6D78C2">
      <w:pPr>
        <w:spacing w:after="0" w:line="360" w:lineRule="auto"/>
        <w:rPr>
          <w:rFonts w:ascii="宋体" w:hAnsi="宋体" w:eastAsia="宋体"/>
          <w:color w:val="auto"/>
        </w:rPr>
      </w:pPr>
    </w:p>
    <w:p w14:paraId="08BE8FC9">
      <w:pPr>
        <w:spacing w:after="0" w:line="360" w:lineRule="auto"/>
        <w:rPr>
          <w:rFonts w:ascii="宋体" w:hAnsi="宋体" w:eastAsia="宋体"/>
          <w:color w:val="auto"/>
        </w:rPr>
      </w:pPr>
    </w:p>
    <w:p w14:paraId="119EB550">
      <w:pPr>
        <w:spacing w:after="0" w:line="360" w:lineRule="auto"/>
        <w:rPr>
          <w:rFonts w:ascii="宋体" w:hAnsi="宋体" w:eastAsia="宋体"/>
          <w:color w:val="auto"/>
        </w:rPr>
      </w:pPr>
    </w:p>
    <w:p w14:paraId="109E86BF">
      <w:pPr>
        <w:spacing w:after="0" w:line="360" w:lineRule="auto"/>
        <w:rPr>
          <w:rFonts w:ascii="宋体" w:hAnsi="宋体" w:eastAsia="宋体"/>
          <w:color w:val="auto"/>
        </w:rPr>
      </w:pPr>
    </w:p>
    <w:p w14:paraId="2CA40835">
      <w:pPr>
        <w:spacing w:after="0" w:line="360" w:lineRule="auto"/>
        <w:rPr>
          <w:rFonts w:ascii="宋体" w:hAnsi="宋体" w:eastAsia="宋体"/>
          <w:color w:val="auto"/>
        </w:rPr>
      </w:pPr>
    </w:p>
    <w:p w14:paraId="2BDBA349">
      <w:pPr>
        <w:rPr>
          <w:rFonts w:ascii="宋体" w:hAnsi="宋体" w:eastAsia="宋体"/>
          <w:color w:val="auto"/>
        </w:rPr>
      </w:pPr>
    </w:p>
    <w:p w14:paraId="2413ECAE">
      <w:pPr>
        <w:rPr>
          <w:rFonts w:ascii="宋体" w:hAnsi="宋体" w:eastAsia="宋体"/>
          <w:color w:val="auto"/>
        </w:rPr>
      </w:pPr>
    </w:p>
    <w:p w14:paraId="2B6B9BCA">
      <w:pPr>
        <w:rPr>
          <w:color w:val="auto"/>
        </w:rPr>
      </w:pPr>
    </w:p>
    <w:p w14:paraId="5297F15D">
      <w:bookmarkStart w:id="104" w:name="_GoBack"/>
      <w:bookmarkEnd w:id="104"/>
    </w:p>
    <w:sectPr>
      <w:footerReference r:id="rId9" w:type="default"/>
      <w:pgSz w:w="11906" w:h="16838"/>
      <w:pgMar w:top="1276" w:right="1558" w:bottom="1276" w:left="1610" w:header="851" w:footer="851"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Wingdings 2">
    <w:altName w:val="Webdings"/>
    <w:panose1 w:val="00000000000000000000"/>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Webdings">
    <w:panose1 w:val="05030102010509060703"/>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20C6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242B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5F7D1">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49" name="文本框 344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1864349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ql5uc8AAAAFAQAADwAAAAAAAAABACAAAAAiAAAAZHJz&#10;L2Rvd25yZXYueG1sUEsBAhQAFAAAAAgAh07iQIXpOOMNAgAAGAQAAA4AAAAAAAAAAQAgAAAAHgEA&#10;AGRycy9lMm9Eb2MueG1sUEsFBgAAAAAGAAYAWQEAAJ0FAAAAAA==&#10;">
              <v:fill on="f" focussize="0,0"/>
              <v:stroke on="f"/>
              <v:imagedata o:title=""/>
              <o:lock v:ext="edit" aspectratio="f"/>
              <v:textbox inset="0mm,0mm,0mm,0mm" style="mso-fit-shape-to-text:t;">
                <w:txbxContent>
                  <w:p w14:paraId="1864349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830E9">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635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263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F2CE3">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0.75pt;width:9.15pt;mso-position-horizontal:center;mso-position-horizontal-relative:margin;mso-wrap-style:none;z-index:251660288;mso-width-relative:page;mso-height-relative:page;" filled="f" stroked="f" coordsize="21600,21600" o:gfxdata="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W0pdP0gAAAAMBAAAPAAAAAAAAAAEAIAAAACIAAABkcnMvZG93bnJldi54bWxQSwECFAAUAAAA&#10;CACHTuJAFkoQMi0CAABTBAAADgAAAAAAAAABACAAAAAhAQAAZHJzL2Uyb0RvYy54bWxQSwUGAAAA&#10;AAYABgBZAQAAwAUAAAAA&#10;">
              <v:fill on="f" focussize="0,0"/>
              <v:stroke on="f" weight="0.5pt"/>
              <v:imagedata o:title=""/>
              <o:lock v:ext="edit" aspectratio="f"/>
              <v:textbox inset="0mm,0mm,0mm,0mm" style="mso-fit-shape-to-text:t;">
                <w:txbxContent>
                  <w:p w14:paraId="4E5F2CE3">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DDD6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53705"/>
    <w:multiLevelType w:val="singleLevel"/>
    <w:tmpl w:val="02E53705"/>
    <w:lvl w:ilvl="0" w:tentative="0">
      <w:start w:val="1"/>
      <w:numFmt w:val="decimal"/>
      <w:pStyle w:val="4"/>
      <w:lvlText w:val="%1."/>
      <w:lvlJc w:val="left"/>
      <w:pPr>
        <w:tabs>
          <w:tab w:val="left" w:pos="360"/>
        </w:tabs>
        <w:ind w:left="360" w:hanging="360"/>
      </w:pPr>
    </w:lvl>
  </w:abstractNum>
  <w:abstractNum w:abstractNumId="1">
    <w:nsid w:val="643DDE5F"/>
    <w:multiLevelType w:val="singleLevel"/>
    <w:tmpl w:val="643DDE5F"/>
    <w:lvl w:ilvl="0" w:tentative="0">
      <w:start w:val="1"/>
      <w:numFmt w:val="decimal"/>
      <w:lvlText w:val="%1"/>
      <w:lvlJc w:val="center"/>
      <w:pPr>
        <w:tabs>
          <w:tab w:val="left" w:pos="312"/>
        </w:tabs>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374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qFormat/>
    <w:uiPriority w:val="0"/>
    <w:pPr>
      <w:keepNext/>
      <w:keepLines/>
      <w:spacing w:before="20" w:after="20" w:line="360" w:lineRule="auto"/>
      <w:jc w:val="center"/>
      <w:outlineLvl w:val="0"/>
    </w:pPr>
    <w:rPr>
      <w:b/>
      <w:bCs/>
      <w:color w:val="000000" w:themeColor="text1"/>
      <w:kern w:val="44"/>
      <w:sz w:val="24"/>
      <w:szCs w:val="44"/>
      <w14:textFill>
        <w14:solidFill>
          <w14:schemeClr w14:val="tx1"/>
        </w14:solidFill>
      </w14:textFill>
    </w:rPr>
  </w:style>
  <w:style w:type="paragraph" w:styleId="3">
    <w:name w:val="heading 2"/>
    <w:basedOn w:val="1"/>
    <w:next w:val="1"/>
    <w:qFormat/>
    <w:uiPriority w:val="0"/>
    <w:pPr>
      <w:keepNext/>
      <w:keepLines/>
      <w:spacing w:before="260" w:after="260" w:line="415" w:lineRule="auto"/>
      <w:outlineLvl w:val="1"/>
    </w:pPr>
    <w:rPr>
      <w:rFonts w:ascii="Arial" w:hAnsi="Arial" w:eastAsia="黑体" w:cstheme="majorBidi"/>
      <w:b/>
      <w:bCs/>
      <w:kern w:val="0"/>
      <w:sz w:val="32"/>
      <w:szCs w:val="32"/>
    </w:rPr>
  </w:style>
  <w:style w:type="character" w:default="1" w:styleId="17">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4">
    <w:name w:val="List Number"/>
    <w:basedOn w:val="1"/>
    <w:uiPriority w:val="0"/>
    <w:pPr>
      <w:numPr>
        <w:ilvl w:val="0"/>
        <w:numId w:val="1"/>
      </w:numPr>
    </w:pPr>
  </w:style>
  <w:style w:type="paragraph" w:styleId="5">
    <w:name w:val="Body Text"/>
    <w:basedOn w:val="1"/>
    <w:next w:val="6"/>
    <w:qFormat/>
    <w:uiPriority w:val="0"/>
    <w:pPr>
      <w:spacing w:after="120"/>
    </w:pPr>
    <w:rPr>
      <w:rFonts w:ascii="Calibri" w:hAnsi="Calibri"/>
      <w:kern w:val="0"/>
      <w:sz w:val="28"/>
    </w:rPr>
  </w:style>
  <w:style w:type="paragraph" w:styleId="6">
    <w:name w:val="Body Text First Indent"/>
    <w:basedOn w:val="5"/>
    <w:next w:val="1"/>
    <w:unhideWhenUsed/>
    <w:qFormat/>
    <w:uiPriority w:val="0"/>
    <w:pPr>
      <w:ind w:firstLine="420" w:firstLineChars="100"/>
    </w:pPr>
  </w:style>
  <w:style w:type="paragraph" w:styleId="7">
    <w:name w:val="Body Text Indent"/>
    <w:basedOn w:val="1"/>
    <w:next w:val="1"/>
    <w:unhideWhenUsed/>
    <w:qFormat/>
    <w:uiPriority w:val="0"/>
    <w:pPr>
      <w:spacing w:after="120"/>
      <w:ind w:left="420" w:leftChars="200"/>
    </w:pPr>
    <w:rPr>
      <w:kern w:val="0"/>
      <w:sz w:val="20"/>
    </w:rPr>
  </w:style>
  <w:style w:type="paragraph" w:styleId="8">
    <w:name w:val="Plain Text"/>
    <w:basedOn w:val="1"/>
    <w:qFormat/>
    <w:uiPriority w:val="0"/>
    <w:pPr>
      <w:spacing w:beforeLines="50" w:afterLines="50" w:line="400" w:lineRule="exact"/>
    </w:pPr>
    <w:rPr>
      <w:rFonts w:ascii="宋体" w:hAnsi="Courier New" w:cs="Courier New"/>
      <w:kern w:val="0"/>
      <w:sz w:val="24"/>
    </w:rPr>
  </w:style>
  <w:style w:type="paragraph" w:styleId="9">
    <w:name w:val="Date"/>
    <w:basedOn w:val="1"/>
    <w:next w:val="1"/>
    <w:qFormat/>
    <w:uiPriority w:val="0"/>
    <w:pPr>
      <w:ind w:left="2500" w:leftChars="2500"/>
    </w:pPr>
    <w:rPr>
      <w:rFonts w:ascii="Calibri" w:hAnsi="Calibri" w:eastAsia="楷体_GB2312"/>
      <w:kern w:val="0"/>
      <w:sz w:val="32"/>
      <w:szCs w:val="20"/>
    </w:rPr>
  </w:style>
  <w:style w:type="paragraph" w:styleId="10">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39"/>
    <w:pPr>
      <w:tabs>
        <w:tab w:val="right" w:leader="dot" w:pos="8846"/>
      </w:tabs>
      <w:spacing w:line="360" w:lineRule="auto"/>
    </w:pPr>
  </w:style>
  <w:style w:type="paragraph" w:styleId="13">
    <w:name w:val="toc 2"/>
    <w:basedOn w:val="1"/>
    <w:next w:val="1"/>
    <w:unhideWhenUsed/>
    <w:qFormat/>
    <w:uiPriority w:val="39"/>
    <w:pPr>
      <w:ind w:left="420" w:leftChars="200"/>
    </w:pPr>
  </w:style>
  <w:style w:type="paragraph" w:styleId="14">
    <w:name w:val="index 1"/>
    <w:basedOn w:val="1"/>
    <w:next w:val="1"/>
    <w:qFormat/>
    <w:uiPriority w:val="0"/>
    <w:pPr>
      <w:spacing w:after="0" w:line="240" w:lineRule="auto"/>
      <w:jc w:val="center"/>
    </w:pPr>
    <w:rPr>
      <w:rFonts w:ascii="Arial" w:hAnsi="Arial" w:eastAsia="Arial" w:cs="Arial"/>
      <w:b/>
      <w:bCs/>
      <w:sz w:val="28"/>
      <w:szCs w:val="20"/>
    </w:rPr>
  </w:style>
  <w:style w:type="table" w:styleId="16">
    <w:name w:val="Table Grid"/>
    <w:basedOn w:val="15"/>
    <w:qFormat/>
    <w:uiPriority w:val="39"/>
    <w:pPr>
      <w:spacing w:after="160" w:line="278" w:lineRule="auto"/>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0000FF"/>
      <w:u w:val="single"/>
    </w:rPr>
  </w:style>
  <w:style w:type="paragraph" w:customStyle="1" w:styleId="19">
    <w:name w:val="*正文"/>
    <w:basedOn w:val="1"/>
    <w:next w:val="1"/>
    <w:qFormat/>
    <w:uiPriority w:val="0"/>
    <w:pPr>
      <w:widowControl/>
      <w:ind w:left="361" w:right="112" w:firstLine="480" w:firstLineChars="200"/>
    </w:pPr>
    <w:rPr>
      <w:rFonts w:ascii="仿宋_GB2312" w:eastAsia="仿宋_GB2312" w:cs="仿宋_GB2312"/>
      <w:sz w:val="24"/>
    </w:rPr>
  </w:style>
  <w:style w:type="paragraph" w:customStyle="1" w:styleId="20">
    <w:name w:val="TOC 标题1"/>
    <w:basedOn w:val="2"/>
    <w:next w:val="1"/>
    <w:qFormat/>
    <w:uiPriority w:val="39"/>
    <w:pPr>
      <w:outlineLvl w:val="9"/>
    </w:pPr>
  </w:style>
  <w:style w:type="character" w:customStyle="1" w:styleId="21">
    <w:name w:val="fontstyle01"/>
    <w:qFormat/>
    <w:uiPriority w:val="0"/>
    <w:rPr>
      <w:rFonts w:hint="eastAsia" w:ascii="宋体" w:hAnsi="宋体" w:eastAsia="宋体"/>
      <w:color w:val="000000"/>
      <w:sz w:val="22"/>
      <w:szCs w:val="22"/>
    </w:rPr>
  </w:style>
  <w:style w:type="paragraph" w:customStyle="1" w:styleId="22">
    <w:name w:val="xl31"/>
    <w:basedOn w:val="1"/>
    <w:qFormat/>
    <w:uiPriority w:val="0"/>
    <w:pPr>
      <w:widowControl/>
      <w:spacing w:before="100" w:beforeAutospacing="1" w:afterAutospacing="1"/>
      <w:jc w:val="center"/>
    </w:pPr>
    <w:rPr>
      <w:rFonts w:ascii="宋体" w:hAnsi="宋体"/>
      <w:kern w:val="0"/>
      <w:sz w:val="28"/>
      <w:szCs w:val="28"/>
    </w:rPr>
  </w:style>
  <w:style w:type="paragraph" w:customStyle="1" w:styleId="23">
    <w:name w:val="_标题2"/>
    <w:basedOn w:val="3"/>
    <w:next w:val="24"/>
    <w:qFormat/>
    <w:uiPriority w:val="0"/>
    <w:pPr>
      <w:tabs>
        <w:tab w:val="left" w:pos="860"/>
      </w:tabs>
      <w:spacing w:beforeLines="50" w:afterLines="50" w:line="413" w:lineRule="auto"/>
      <w:ind w:left="1418" w:hanging="1418"/>
    </w:pPr>
    <w:rPr>
      <w:rFonts w:ascii="Tahoma" w:hAnsi="Tahoma" w:cs="Times New Roman"/>
    </w:rPr>
  </w:style>
  <w:style w:type="paragraph" w:customStyle="1" w:styleId="24">
    <w:name w:val="_正文段落"/>
    <w:basedOn w:val="1"/>
    <w:qFormat/>
    <w:uiPriority w:val="0"/>
    <w:pPr>
      <w:spacing w:beforeLines="15" w:afterLines="15" w:line="360" w:lineRule="auto"/>
      <w:ind w:firstLine="200" w:firstLineChars="200"/>
    </w:pPr>
  </w:style>
  <w:style w:type="paragraph" w:customStyle="1" w:styleId="25">
    <w:name w:val="正文段"/>
    <w:basedOn w:val="1"/>
    <w:qFormat/>
    <w:uiPriority w:val="0"/>
    <w:pPr>
      <w:widowControl/>
      <w:snapToGrid w:val="0"/>
      <w:spacing w:afterLines="50"/>
      <w:ind w:firstLine="200" w:firstLineChars="200"/>
    </w:pPr>
    <w:rPr>
      <w:kern w:val="0"/>
      <w:sz w:val="24"/>
      <w:szCs w:val="20"/>
    </w:rPr>
  </w:style>
  <w:style w:type="paragraph" w:customStyle="1" w:styleId="26">
    <w:name w:val="D&amp;L"/>
    <w:basedOn w:val="11"/>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
    <w:name w:val="Body Text First Indent 21"/>
    <w:basedOn w:val="28"/>
    <w:qFormat/>
    <w:uiPriority w:val="0"/>
    <w:pPr>
      <w:ind w:firstLine="420"/>
    </w:pPr>
  </w:style>
  <w:style w:type="paragraph" w:customStyle="1" w:styleId="28">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2025-07-01T08:44:05Z</dcterms:created>
  <dc:creator>Administrator</dc:creator>
  <cp:lastModifiedBy>Limerence</cp:lastModifiedBy>
  <dcterms:modified xsi:type="dcterms:W3CDTF">2025-07-01T08:44:15Z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eyJoZGlkIjoiOGIwYmQzMzE0NGM4NDg4MzZmNWMxMzI3OGJmMjdkODEiLCJ1c2VySWQiOiIzODU0MzkyODkifQ==</vt:lpwstr>
  </property>
  <property fmtid="{D5CDD505-2E9C-101B-9397-08002B2CF9AE}" pid="4" name="ICV">
    <vt:lpwstr>1EA1DE6F15E14B48BE9525BE9BD3A3F4_12</vt:lpwstr>
  </property>
</Properties>
</file>