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19EDD">
      <w:pPr>
        <w:tabs>
          <w:tab w:val="left" w:pos="426"/>
        </w:tabs>
        <w:spacing w:line="360" w:lineRule="auto"/>
        <w:ind w:firstLine="964"/>
        <w:jc w:val="center"/>
        <w:rPr>
          <w:rFonts w:ascii="宋体" w:hAnsi="宋体"/>
          <w:b/>
          <w:bCs/>
          <w:color w:val="auto"/>
          <w:sz w:val="48"/>
          <w:szCs w:val="48"/>
          <w:highlight w:val="none"/>
        </w:rPr>
      </w:pPr>
    </w:p>
    <w:p w14:paraId="26E865EB">
      <w:pPr>
        <w:spacing w:after="240"/>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竞争性磋商文件</w:t>
      </w:r>
    </w:p>
    <w:p w14:paraId="3C9AB5D9">
      <w:pPr>
        <w:pStyle w:val="2"/>
        <w:rPr>
          <w:rFonts w:ascii="宋体" w:hAnsi="宋体"/>
          <w:color w:val="auto"/>
          <w:highlight w:val="none"/>
        </w:rPr>
      </w:pPr>
    </w:p>
    <w:p w14:paraId="163F18A1">
      <w:pPr>
        <w:pStyle w:val="2"/>
        <w:ind w:firstLine="442"/>
        <w:rPr>
          <w:rFonts w:ascii="宋体" w:hAnsi="宋体"/>
          <w:b/>
          <w:bCs/>
          <w:color w:val="auto"/>
          <w:sz w:val="44"/>
          <w:szCs w:val="44"/>
          <w:highlight w:val="none"/>
        </w:rPr>
      </w:pPr>
    </w:p>
    <w:p w14:paraId="0DA0A751">
      <w:pPr>
        <w:pStyle w:val="2"/>
        <w:ind w:firstLine="442"/>
        <w:rPr>
          <w:rFonts w:ascii="宋体" w:hAnsi="宋体"/>
          <w:b/>
          <w:bCs/>
          <w:color w:val="auto"/>
          <w:sz w:val="44"/>
          <w:szCs w:val="44"/>
          <w:highlight w:val="none"/>
        </w:rPr>
      </w:pPr>
    </w:p>
    <w:p w14:paraId="673F8532">
      <w:pPr>
        <w:pStyle w:val="2"/>
        <w:ind w:firstLine="442"/>
        <w:rPr>
          <w:rFonts w:ascii="宋体" w:hAnsi="宋体"/>
          <w:b/>
          <w:bCs/>
          <w:color w:val="auto"/>
          <w:sz w:val="44"/>
          <w:szCs w:val="44"/>
          <w:highlight w:val="none"/>
        </w:rPr>
      </w:pPr>
    </w:p>
    <w:p w14:paraId="0AE5C6E7">
      <w:pPr>
        <w:pStyle w:val="2"/>
        <w:ind w:firstLine="442"/>
        <w:rPr>
          <w:rFonts w:ascii="宋体" w:hAnsi="宋体"/>
          <w:b/>
          <w:bCs/>
          <w:color w:val="auto"/>
          <w:sz w:val="44"/>
          <w:szCs w:val="44"/>
          <w:highlight w:val="none"/>
        </w:rPr>
      </w:pPr>
    </w:p>
    <w:p w14:paraId="2C0C4970">
      <w:pPr>
        <w:pStyle w:val="2"/>
        <w:ind w:firstLine="442"/>
        <w:rPr>
          <w:rFonts w:ascii="宋体" w:hAnsi="宋体"/>
          <w:b/>
          <w:bCs/>
          <w:color w:val="auto"/>
          <w:sz w:val="44"/>
          <w:szCs w:val="44"/>
          <w:highlight w:val="none"/>
        </w:rPr>
      </w:pPr>
    </w:p>
    <w:p w14:paraId="6E6A0608">
      <w:pPr>
        <w:pStyle w:val="2"/>
        <w:rPr>
          <w:rFonts w:ascii="宋体" w:hAnsi="宋体"/>
          <w:color w:val="auto"/>
          <w:highlight w:val="none"/>
        </w:rPr>
      </w:pPr>
    </w:p>
    <w:p w14:paraId="74765185">
      <w:pPr>
        <w:tabs>
          <w:tab w:val="left" w:pos="2410"/>
        </w:tabs>
        <w:autoSpaceDE w:val="0"/>
        <w:autoSpaceDN w:val="0"/>
        <w:adjustRightInd w:val="0"/>
        <w:snapToGrid w:val="0"/>
        <w:spacing w:line="480" w:lineRule="auto"/>
        <w:ind w:firstLine="723" w:firstLineChars="200"/>
        <w:rPr>
          <w:rFonts w:ascii="宋体" w:hAnsi="宋体"/>
          <w:b/>
          <w:color w:val="auto"/>
          <w:spacing w:val="20"/>
          <w:kern w:val="0"/>
          <w:sz w:val="32"/>
          <w:szCs w:val="32"/>
          <w:highlight w:val="none"/>
        </w:rPr>
      </w:pPr>
    </w:p>
    <w:p w14:paraId="7A225BD1">
      <w:pPr>
        <w:tabs>
          <w:tab w:val="left" w:pos="2410"/>
        </w:tabs>
        <w:autoSpaceDE w:val="0"/>
        <w:autoSpaceDN w:val="0"/>
        <w:adjustRightInd w:val="0"/>
        <w:snapToGrid w:val="0"/>
        <w:spacing w:after="120" w:afterLines="50" w:line="480" w:lineRule="auto"/>
        <w:ind w:left="1558" w:right="208" w:rightChars="99" w:hanging="1558" w:hangingChars="485"/>
        <w:rPr>
          <w:rFonts w:ascii="宋体" w:hAnsi="宋体"/>
          <w:b/>
          <w:color w:val="auto"/>
          <w:spacing w:val="-20"/>
          <w:kern w:val="0"/>
          <w:sz w:val="32"/>
          <w:szCs w:val="32"/>
          <w:highlight w:val="none"/>
          <w:u w:val="single"/>
        </w:rPr>
      </w:pPr>
      <w:r>
        <w:rPr>
          <w:rFonts w:hint="eastAsia" w:ascii="宋体" w:hAnsi="宋体"/>
          <w:b/>
          <w:color w:val="auto"/>
          <w:kern w:val="0"/>
          <w:sz w:val="32"/>
          <w:szCs w:val="32"/>
          <w:highlight w:val="none"/>
        </w:rPr>
        <w:t>项目名称：</w:t>
      </w:r>
      <w:r>
        <w:rPr>
          <w:rFonts w:hint="eastAsia" w:ascii="宋体" w:hAnsi="宋体"/>
          <w:b/>
          <w:color w:val="auto"/>
          <w:kern w:val="0"/>
          <w:sz w:val="32"/>
          <w:szCs w:val="32"/>
          <w:highlight w:val="none"/>
          <w:u w:val="single"/>
        </w:rPr>
        <w:t>浙江工商职业技术学院学生文体活动中心改造项目</w:t>
      </w:r>
    </w:p>
    <w:p w14:paraId="13294E8D">
      <w:pPr>
        <w:tabs>
          <w:tab w:val="left" w:pos="2410"/>
        </w:tabs>
        <w:autoSpaceDE w:val="0"/>
        <w:autoSpaceDN w:val="0"/>
        <w:adjustRightInd w:val="0"/>
        <w:snapToGrid w:val="0"/>
        <w:spacing w:after="120" w:afterLines="50" w:line="480" w:lineRule="auto"/>
        <w:ind w:left="1846" w:leftChars="1" w:right="351" w:rightChars="167" w:hanging="1844" w:hangingChars="574"/>
        <w:rPr>
          <w:rFonts w:ascii="宋体" w:hAnsi="宋体"/>
          <w:b/>
          <w:color w:val="auto"/>
          <w:spacing w:val="20"/>
          <w:kern w:val="0"/>
          <w:sz w:val="32"/>
          <w:szCs w:val="32"/>
          <w:highlight w:val="none"/>
        </w:rPr>
      </w:pPr>
      <w:r>
        <w:rPr>
          <w:rFonts w:hint="eastAsia" w:ascii="宋体" w:hAnsi="宋体"/>
          <w:b/>
          <w:color w:val="auto"/>
          <w:kern w:val="0"/>
          <w:sz w:val="32"/>
          <w:szCs w:val="32"/>
          <w:highlight w:val="none"/>
        </w:rPr>
        <w:t>项目编号</w:t>
      </w:r>
      <w:r>
        <w:rPr>
          <w:rFonts w:hint="eastAsia" w:ascii="宋体" w:hAnsi="宋体"/>
          <w:b/>
          <w:color w:val="auto"/>
          <w:spacing w:val="20"/>
          <w:kern w:val="0"/>
          <w:sz w:val="32"/>
          <w:szCs w:val="32"/>
          <w:highlight w:val="none"/>
        </w:rPr>
        <w:t>：</w:t>
      </w:r>
      <w:r>
        <w:rPr>
          <w:rFonts w:hint="eastAsia" w:ascii="宋体" w:hAnsi="宋体"/>
          <w:b/>
          <w:color w:val="auto"/>
          <w:spacing w:val="20"/>
          <w:kern w:val="0"/>
          <w:sz w:val="32"/>
          <w:szCs w:val="32"/>
          <w:highlight w:val="none"/>
          <w:u w:val="single"/>
        </w:rPr>
        <w:t>NBMC-20252170G磋</w:t>
      </w:r>
    </w:p>
    <w:p w14:paraId="32B720CF">
      <w:pPr>
        <w:tabs>
          <w:tab w:val="left" w:pos="2410"/>
        </w:tabs>
        <w:autoSpaceDE w:val="0"/>
        <w:autoSpaceDN w:val="0"/>
        <w:adjustRightInd w:val="0"/>
        <w:snapToGrid w:val="0"/>
        <w:spacing w:after="120" w:afterLines="50" w:line="480" w:lineRule="auto"/>
        <w:ind w:left="1846" w:leftChars="1" w:right="351" w:rightChars="167" w:hanging="1844" w:hangingChars="574"/>
        <w:rPr>
          <w:rFonts w:ascii="宋体" w:hAnsi="宋体"/>
          <w:b/>
          <w:color w:val="auto"/>
          <w:kern w:val="0"/>
          <w:sz w:val="32"/>
          <w:szCs w:val="32"/>
          <w:highlight w:val="none"/>
          <w:u w:val="single"/>
        </w:rPr>
      </w:pPr>
      <w:r>
        <w:rPr>
          <w:rFonts w:hint="eastAsia" w:ascii="宋体" w:hAnsi="宋体"/>
          <w:b/>
          <w:color w:val="auto"/>
          <w:kern w:val="0"/>
          <w:sz w:val="32"/>
          <w:szCs w:val="32"/>
          <w:highlight w:val="none"/>
        </w:rPr>
        <w:t>采 购 人：</w:t>
      </w:r>
      <w:r>
        <w:rPr>
          <w:rFonts w:hint="eastAsia" w:ascii="宋体" w:hAnsi="宋体"/>
          <w:b/>
          <w:color w:val="auto"/>
          <w:kern w:val="0"/>
          <w:sz w:val="32"/>
          <w:szCs w:val="32"/>
          <w:highlight w:val="none"/>
          <w:u w:val="single"/>
        </w:rPr>
        <w:t>浙江工商职业技术学院</w:t>
      </w:r>
    </w:p>
    <w:p w14:paraId="367277C5">
      <w:pPr>
        <w:tabs>
          <w:tab w:val="left" w:pos="2410"/>
        </w:tabs>
        <w:autoSpaceDE w:val="0"/>
        <w:autoSpaceDN w:val="0"/>
        <w:adjustRightInd w:val="0"/>
        <w:snapToGrid w:val="0"/>
        <w:spacing w:after="120" w:afterLines="50" w:line="480" w:lineRule="auto"/>
        <w:ind w:left="1846" w:leftChars="1" w:right="351" w:rightChars="167" w:hanging="1844" w:hangingChars="574"/>
        <w:rPr>
          <w:rFonts w:ascii="宋体" w:hAnsi="宋体"/>
          <w:b/>
          <w:color w:val="auto"/>
          <w:spacing w:val="20"/>
          <w:kern w:val="0"/>
          <w:sz w:val="32"/>
          <w:szCs w:val="32"/>
          <w:highlight w:val="none"/>
        </w:rPr>
      </w:pPr>
      <w:r>
        <w:rPr>
          <w:rFonts w:hint="eastAsia" w:ascii="宋体" w:hAnsi="宋体"/>
          <w:b/>
          <w:color w:val="auto"/>
          <w:kern w:val="0"/>
          <w:sz w:val="32"/>
          <w:szCs w:val="32"/>
          <w:highlight w:val="none"/>
        </w:rPr>
        <w:t>采购代理机构：</w:t>
      </w:r>
      <w:r>
        <w:rPr>
          <w:rFonts w:hint="eastAsia" w:ascii="宋体" w:hAnsi="宋体"/>
          <w:b/>
          <w:color w:val="auto"/>
          <w:spacing w:val="20"/>
          <w:kern w:val="0"/>
          <w:sz w:val="32"/>
          <w:szCs w:val="32"/>
          <w:highlight w:val="none"/>
          <w:u w:val="single"/>
        </w:rPr>
        <w:t>宁波名诚招标代理有限公司</w:t>
      </w:r>
    </w:p>
    <w:p w14:paraId="6069A0D9">
      <w:pPr>
        <w:pStyle w:val="9"/>
        <w:rPr>
          <w:color w:val="auto"/>
          <w:highlight w:val="none"/>
        </w:rPr>
      </w:pPr>
    </w:p>
    <w:p w14:paraId="4F4C8E55">
      <w:pPr>
        <w:pStyle w:val="9"/>
        <w:rPr>
          <w:color w:val="auto"/>
          <w:highlight w:val="none"/>
        </w:rPr>
        <w:sectPr>
          <w:headerReference r:id="rId3" w:type="default"/>
          <w:pgSz w:w="11906" w:h="16838"/>
          <w:pgMar w:top="1440" w:right="1440" w:bottom="1440" w:left="1610" w:header="851" w:footer="851" w:gutter="0"/>
          <w:cols w:space="720" w:num="1"/>
          <w:titlePg/>
          <w:docGrid w:linePitch="312" w:charSpace="0"/>
        </w:sectPr>
      </w:pPr>
    </w:p>
    <w:p w14:paraId="46FD2321">
      <w:pPr>
        <w:pStyle w:val="23"/>
        <w:rPr>
          <w:rFonts w:ascii="宋体" w:hAnsi="宋体"/>
          <w:color w:val="auto"/>
          <w:highlight w:val="none"/>
        </w:rPr>
      </w:pPr>
      <w:r>
        <w:rPr>
          <w:rFonts w:ascii="宋体" w:hAnsi="宋体"/>
          <w:color w:val="auto"/>
          <w:highlight w:val="none"/>
          <w:lang w:val="zh-CN"/>
        </w:rPr>
        <w:t>目录</w:t>
      </w:r>
    </w:p>
    <w:p w14:paraId="78397111">
      <w:pPr>
        <w:pStyle w:val="13"/>
        <w:rPr>
          <w:rFonts w:ascii="宋体" w:hAnsi="宋体" w:cs="黑体"/>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"_Toc86053871" </w:instrText>
      </w:r>
      <w:r>
        <w:rPr>
          <w:color w:val="auto"/>
          <w:highlight w:val="none"/>
        </w:rPr>
        <w:fldChar w:fldCharType="separate"/>
      </w:r>
      <w:r>
        <w:rPr>
          <w:rStyle w:val="21"/>
          <w:rFonts w:ascii="宋体" w:hAnsi="宋体"/>
          <w:color w:val="auto"/>
          <w:sz w:val="24"/>
          <w:highlight w:val="none"/>
        </w:rPr>
        <w:t>第一章  采购公告</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_Toc86053871 \h </w:instrText>
      </w:r>
      <w:r>
        <w:rPr>
          <w:rFonts w:ascii="宋体" w:hAnsi="宋体"/>
          <w:color w:val="auto"/>
          <w:highlight w:val="none"/>
        </w:rPr>
        <w:fldChar w:fldCharType="separate"/>
      </w:r>
      <w:r>
        <w:rPr>
          <w:rFonts w:ascii="宋体" w:hAnsi="宋体"/>
          <w:color w:val="auto"/>
          <w:highlight w:val="none"/>
        </w:rPr>
        <w:t>1</w:t>
      </w:r>
      <w:r>
        <w:rPr>
          <w:rFonts w:ascii="宋体" w:hAnsi="宋体"/>
          <w:color w:val="auto"/>
          <w:highlight w:val="none"/>
        </w:rPr>
        <w:fldChar w:fldCharType="end"/>
      </w:r>
      <w:r>
        <w:rPr>
          <w:rFonts w:ascii="宋体" w:hAnsi="宋体"/>
          <w:color w:val="auto"/>
          <w:highlight w:val="none"/>
        </w:rPr>
        <w:fldChar w:fldCharType="end"/>
      </w:r>
    </w:p>
    <w:p w14:paraId="4EB38F56">
      <w:pPr>
        <w:pStyle w:val="13"/>
        <w:rPr>
          <w:rFonts w:ascii="宋体" w:hAnsi="宋体" w:cs="黑体"/>
          <w:color w:val="auto"/>
          <w:highlight w:val="none"/>
        </w:rPr>
      </w:pPr>
      <w:r>
        <w:rPr>
          <w:color w:val="auto"/>
          <w:highlight w:val="none"/>
        </w:rPr>
        <w:fldChar w:fldCharType="begin"/>
      </w:r>
      <w:r>
        <w:rPr>
          <w:color w:val="auto"/>
          <w:highlight w:val="none"/>
        </w:rPr>
        <w:instrText xml:space="preserve"> HYPERLINK \l "_Toc86053872" </w:instrText>
      </w:r>
      <w:r>
        <w:rPr>
          <w:color w:val="auto"/>
          <w:highlight w:val="none"/>
        </w:rPr>
        <w:fldChar w:fldCharType="separate"/>
      </w:r>
      <w:r>
        <w:rPr>
          <w:rStyle w:val="21"/>
          <w:rFonts w:ascii="宋体" w:hAnsi="宋体"/>
          <w:color w:val="auto"/>
          <w:sz w:val="24"/>
          <w:highlight w:val="none"/>
        </w:rPr>
        <w:t>第二章  采购需求</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_Toc86053872 \h </w:instrText>
      </w:r>
      <w:r>
        <w:rPr>
          <w:rFonts w:ascii="宋体" w:hAnsi="宋体"/>
          <w:color w:val="auto"/>
          <w:highlight w:val="none"/>
        </w:rPr>
        <w:fldChar w:fldCharType="separate"/>
      </w:r>
      <w:r>
        <w:rPr>
          <w:rFonts w:ascii="宋体" w:hAnsi="宋体"/>
          <w:color w:val="auto"/>
          <w:highlight w:val="none"/>
        </w:rPr>
        <w:t>5</w:t>
      </w:r>
      <w:r>
        <w:rPr>
          <w:rFonts w:ascii="宋体" w:hAnsi="宋体"/>
          <w:color w:val="auto"/>
          <w:highlight w:val="none"/>
        </w:rPr>
        <w:fldChar w:fldCharType="end"/>
      </w:r>
      <w:r>
        <w:rPr>
          <w:rFonts w:ascii="宋体" w:hAnsi="宋体"/>
          <w:color w:val="auto"/>
          <w:highlight w:val="none"/>
        </w:rPr>
        <w:fldChar w:fldCharType="end"/>
      </w:r>
    </w:p>
    <w:p w14:paraId="598EC150">
      <w:pPr>
        <w:pStyle w:val="13"/>
        <w:rPr>
          <w:rFonts w:ascii="宋体" w:hAnsi="宋体" w:cs="黑体"/>
          <w:color w:val="auto"/>
          <w:highlight w:val="none"/>
        </w:rPr>
      </w:pPr>
      <w:r>
        <w:rPr>
          <w:color w:val="auto"/>
          <w:highlight w:val="none"/>
        </w:rPr>
        <w:fldChar w:fldCharType="begin"/>
      </w:r>
      <w:r>
        <w:rPr>
          <w:color w:val="auto"/>
          <w:highlight w:val="none"/>
        </w:rPr>
        <w:instrText xml:space="preserve"> HYPERLINK \l "_Toc86053873" </w:instrText>
      </w:r>
      <w:r>
        <w:rPr>
          <w:color w:val="auto"/>
          <w:highlight w:val="none"/>
        </w:rPr>
        <w:fldChar w:fldCharType="separate"/>
      </w:r>
      <w:r>
        <w:rPr>
          <w:rStyle w:val="21"/>
          <w:rFonts w:ascii="宋体" w:hAnsi="宋体"/>
          <w:color w:val="auto"/>
          <w:sz w:val="24"/>
          <w:highlight w:val="none"/>
        </w:rPr>
        <w:t>第三章  供应商须知</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_Toc86053873 \h </w:instrText>
      </w:r>
      <w:r>
        <w:rPr>
          <w:rFonts w:ascii="宋体" w:hAnsi="宋体"/>
          <w:color w:val="auto"/>
          <w:highlight w:val="none"/>
        </w:rPr>
        <w:fldChar w:fldCharType="separate"/>
      </w:r>
      <w:r>
        <w:rPr>
          <w:rFonts w:ascii="宋体" w:hAnsi="宋体"/>
          <w:color w:val="auto"/>
          <w:highlight w:val="none"/>
        </w:rPr>
        <w:t>11</w:t>
      </w:r>
      <w:r>
        <w:rPr>
          <w:rFonts w:ascii="宋体" w:hAnsi="宋体"/>
          <w:color w:val="auto"/>
          <w:highlight w:val="none"/>
        </w:rPr>
        <w:fldChar w:fldCharType="end"/>
      </w:r>
      <w:r>
        <w:rPr>
          <w:rFonts w:ascii="宋体" w:hAnsi="宋体"/>
          <w:color w:val="auto"/>
          <w:highlight w:val="none"/>
        </w:rPr>
        <w:fldChar w:fldCharType="end"/>
      </w:r>
    </w:p>
    <w:p w14:paraId="549B098E">
      <w:pPr>
        <w:pStyle w:val="13"/>
        <w:rPr>
          <w:rFonts w:ascii="宋体" w:hAnsi="宋体" w:cs="黑体"/>
          <w:color w:val="auto"/>
          <w:highlight w:val="none"/>
        </w:rPr>
      </w:pPr>
      <w:r>
        <w:rPr>
          <w:color w:val="auto"/>
          <w:highlight w:val="none"/>
        </w:rPr>
        <w:fldChar w:fldCharType="begin"/>
      </w:r>
      <w:r>
        <w:rPr>
          <w:color w:val="auto"/>
          <w:highlight w:val="none"/>
        </w:rPr>
        <w:instrText xml:space="preserve"> HYPERLINK \l "_Toc86053874" </w:instrText>
      </w:r>
      <w:r>
        <w:rPr>
          <w:color w:val="auto"/>
          <w:highlight w:val="none"/>
        </w:rPr>
        <w:fldChar w:fldCharType="separate"/>
      </w:r>
      <w:r>
        <w:rPr>
          <w:rStyle w:val="21"/>
          <w:rFonts w:ascii="宋体" w:hAnsi="宋体"/>
          <w:color w:val="auto"/>
          <w:sz w:val="24"/>
          <w:highlight w:val="none"/>
        </w:rPr>
        <w:t>第四章  评审方法和评审标准</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_Toc86053874 \h </w:instrText>
      </w:r>
      <w:r>
        <w:rPr>
          <w:rFonts w:ascii="宋体" w:hAnsi="宋体"/>
          <w:color w:val="auto"/>
          <w:highlight w:val="none"/>
        </w:rPr>
        <w:fldChar w:fldCharType="separate"/>
      </w:r>
      <w:r>
        <w:rPr>
          <w:rFonts w:ascii="宋体" w:hAnsi="宋体"/>
          <w:color w:val="auto"/>
          <w:highlight w:val="none"/>
        </w:rPr>
        <w:t>25</w:t>
      </w:r>
      <w:r>
        <w:rPr>
          <w:rFonts w:ascii="宋体" w:hAnsi="宋体"/>
          <w:color w:val="auto"/>
          <w:highlight w:val="none"/>
        </w:rPr>
        <w:fldChar w:fldCharType="end"/>
      </w:r>
      <w:r>
        <w:rPr>
          <w:rFonts w:ascii="宋体" w:hAnsi="宋体"/>
          <w:color w:val="auto"/>
          <w:highlight w:val="none"/>
        </w:rPr>
        <w:fldChar w:fldCharType="end"/>
      </w:r>
    </w:p>
    <w:p w14:paraId="5ACA7137">
      <w:pPr>
        <w:pStyle w:val="13"/>
        <w:rPr>
          <w:rFonts w:ascii="宋体" w:hAnsi="宋体" w:cs="黑体"/>
          <w:color w:val="auto"/>
          <w:highlight w:val="none"/>
        </w:rPr>
      </w:pPr>
      <w:r>
        <w:rPr>
          <w:color w:val="auto"/>
          <w:highlight w:val="none"/>
        </w:rPr>
        <w:fldChar w:fldCharType="begin"/>
      </w:r>
      <w:r>
        <w:rPr>
          <w:color w:val="auto"/>
          <w:highlight w:val="none"/>
        </w:rPr>
        <w:instrText xml:space="preserve"> HYPERLINK \l "_Toc86053875" </w:instrText>
      </w:r>
      <w:r>
        <w:rPr>
          <w:color w:val="auto"/>
          <w:highlight w:val="none"/>
        </w:rPr>
        <w:fldChar w:fldCharType="separate"/>
      </w:r>
      <w:r>
        <w:rPr>
          <w:rStyle w:val="21"/>
          <w:rFonts w:ascii="宋体" w:hAnsi="宋体"/>
          <w:color w:val="auto"/>
          <w:sz w:val="24"/>
          <w:highlight w:val="none"/>
        </w:rPr>
        <w:t>第五章  合同草案条款</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_Toc86053875 \h </w:instrText>
      </w:r>
      <w:r>
        <w:rPr>
          <w:rFonts w:ascii="宋体" w:hAnsi="宋体"/>
          <w:color w:val="auto"/>
          <w:highlight w:val="none"/>
        </w:rPr>
        <w:fldChar w:fldCharType="separate"/>
      </w:r>
      <w:r>
        <w:rPr>
          <w:rFonts w:ascii="宋体" w:hAnsi="宋体"/>
          <w:color w:val="auto"/>
          <w:highlight w:val="none"/>
        </w:rPr>
        <w:t>31</w:t>
      </w:r>
      <w:r>
        <w:rPr>
          <w:rFonts w:ascii="宋体" w:hAnsi="宋体"/>
          <w:color w:val="auto"/>
          <w:highlight w:val="none"/>
        </w:rPr>
        <w:fldChar w:fldCharType="end"/>
      </w:r>
      <w:r>
        <w:rPr>
          <w:rFonts w:ascii="宋体" w:hAnsi="宋体"/>
          <w:color w:val="auto"/>
          <w:highlight w:val="none"/>
        </w:rPr>
        <w:fldChar w:fldCharType="end"/>
      </w:r>
    </w:p>
    <w:p w14:paraId="236622A6">
      <w:pPr>
        <w:pStyle w:val="13"/>
        <w:rPr>
          <w:rFonts w:ascii="宋体" w:hAnsi="宋体" w:cs="黑体"/>
          <w:color w:val="auto"/>
          <w:highlight w:val="none"/>
        </w:rPr>
      </w:pPr>
      <w:r>
        <w:rPr>
          <w:color w:val="auto"/>
          <w:highlight w:val="none"/>
        </w:rPr>
        <w:fldChar w:fldCharType="begin"/>
      </w:r>
      <w:r>
        <w:rPr>
          <w:color w:val="auto"/>
          <w:highlight w:val="none"/>
        </w:rPr>
        <w:instrText xml:space="preserve"> HYPERLINK \l "_Toc86053876" </w:instrText>
      </w:r>
      <w:r>
        <w:rPr>
          <w:color w:val="auto"/>
          <w:highlight w:val="none"/>
        </w:rPr>
        <w:fldChar w:fldCharType="separate"/>
      </w:r>
      <w:r>
        <w:rPr>
          <w:rStyle w:val="21"/>
          <w:rFonts w:ascii="宋体" w:hAnsi="宋体"/>
          <w:color w:val="auto"/>
          <w:sz w:val="24"/>
          <w:highlight w:val="none"/>
        </w:rPr>
        <w:t>第六章  响应文件格式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_Toc86053876 \h </w:instrText>
      </w:r>
      <w:r>
        <w:rPr>
          <w:rFonts w:ascii="宋体" w:hAnsi="宋体"/>
          <w:color w:val="auto"/>
          <w:highlight w:val="none"/>
        </w:rPr>
        <w:fldChar w:fldCharType="separate"/>
      </w:r>
      <w:r>
        <w:rPr>
          <w:rFonts w:ascii="宋体" w:hAnsi="宋体"/>
          <w:color w:val="auto"/>
          <w:highlight w:val="none"/>
        </w:rPr>
        <w:t>56</w:t>
      </w:r>
      <w:r>
        <w:rPr>
          <w:rFonts w:ascii="宋体" w:hAnsi="宋体"/>
          <w:color w:val="auto"/>
          <w:highlight w:val="none"/>
        </w:rPr>
        <w:fldChar w:fldCharType="end"/>
      </w:r>
      <w:r>
        <w:rPr>
          <w:rFonts w:ascii="宋体" w:hAnsi="宋体"/>
          <w:color w:val="auto"/>
          <w:highlight w:val="none"/>
        </w:rPr>
        <w:fldChar w:fldCharType="end"/>
      </w:r>
    </w:p>
    <w:p w14:paraId="204C01B7">
      <w:pPr>
        <w:spacing w:line="360" w:lineRule="auto"/>
        <w:ind w:firstLine="482"/>
        <w:rPr>
          <w:rFonts w:ascii="宋体" w:hAnsi="宋体"/>
          <w:color w:val="auto"/>
          <w:highlight w:val="none"/>
        </w:rPr>
      </w:pPr>
      <w:r>
        <w:rPr>
          <w:rFonts w:ascii="宋体" w:hAnsi="宋体"/>
          <w:b/>
          <w:bCs/>
          <w:color w:val="auto"/>
          <w:sz w:val="24"/>
          <w:highlight w:val="none"/>
          <w:lang w:val="zh-CN"/>
        </w:rPr>
        <w:fldChar w:fldCharType="end"/>
      </w:r>
    </w:p>
    <w:p w14:paraId="1EEA80EE">
      <w:pPr>
        <w:spacing w:line="360" w:lineRule="auto"/>
        <w:ind w:firstLine="560"/>
        <w:rPr>
          <w:rFonts w:ascii="宋体" w:hAnsi="宋体"/>
          <w:color w:val="auto"/>
          <w:kern w:val="0"/>
          <w:sz w:val="28"/>
          <w:szCs w:val="28"/>
          <w:highlight w:val="none"/>
        </w:rPr>
      </w:pPr>
    </w:p>
    <w:p w14:paraId="2560EDD3">
      <w:pPr>
        <w:pStyle w:val="9"/>
        <w:rPr>
          <w:color w:val="auto"/>
          <w:highlight w:val="none"/>
        </w:rPr>
        <w:sectPr>
          <w:footerReference r:id="rId5" w:type="first"/>
          <w:footerReference r:id="rId4" w:type="default"/>
          <w:pgSz w:w="11906" w:h="16838"/>
          <w:pgMar w:top="1440" w:right="1558" w:bottom="1440" w:left="1610" w:header="851" w:footer="851" w:gutter="0"/>
          <w:pgNumType w:start="1"/>
          <w:cols w:space="720" w:num="1"/>
          <w:docGrid w:linePitch="312" w:charSpace="0"/>
        </w:sectPr>
      </w:pPr>
    </w:p>
    <w:p w14:paraId="12907672">
      <w:pPr>
        <w:pStyle w:val="4"/>
        <w:rPr>
          <w:rFonts w:ascii="宋体" w:hAnsi="宋体" w:cs="宋体"/>
          <w:color w:val="auto"/>
          <w:szCs w:val="30"/>
          <w:highlight w:val="none"/>
        </w:rPr>
      </w:pPr>
      <w:bookmarkStart w:id="0" w:name="_Toc86053871"/>
      <w:bookmarkStart w:id="1" w:name="_Toc34844741"/>
      <w:r>
        <w:rPr>
          <w:rFonts w:hint="eastAsia" w:ascii="宋体" w:hAnsi="宋体"/>
          <w:color w:val="auto"/>
          <w:highlight w:val="none"/>
        </w:rPr>
        <w:t>第一章</w:t>
      </w:r>
      <w:bookmarkEnd w:id="0"/>
      <w:bookmarkEnd w:id="1"/>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s="宋体"/>
          <w:color w:val="auto"/>
          <w:szCs w:val="30"/>
          <w:highlight w:val="none"/>
        </w:rPr>
        <w:t>采购公告</w:t>
      </w:r>
    </w:p>
    <w:p w14:paraId="4B1CAF22">
      <w:pPr>
        <w:pBdr>
          <w:top w:val="single" w:color="auto" w:sz="4" w:space="1"/>
          <w:left w:val="single" w:color="auto" w:sz="4" w:space="4"/>
          <w:bottom w:val="single" w:color="auto" w:sz="4" w:space="0"/>
          <w:right w:val="single" w:color="auto" w:sz="4" w:space="4"/>
        </w:pBdr>
        <w:spacing w:line="360" w:lineRule="auto"/>
        <w:ind w:firstLine="420" w:firstLineChars="200"/>
        <w:rPr>
          <w:rFonts w:ascii="宋体" w:hAnsi="宋体"/>
          <w:color w:val="auto"/>
          <w:highlight w:val="none"/>
        </w:rPr>
      </w:pPr>
      <w:r>
        <w:rPr>
          <w:rFonts w:hint="eastAsia" w:ascii="宋体" w:hAnsi="宋体"/>
          <w:color w:val="auto"/>
          <w:highlight w:val="none"/>
        </w:rPr>
        <w:t>项目概况</w:t>
      </w:r>
    </w:p>
    <w:p w14:paraId="26777C47">
      <w:pPr>
        <w:pBdr>
          <w:top w:val="single" w:color="auto" w:sz="4" w:space="1"/>
          <w:left w:val="single" w:color="auto" w:sz="4" w:space="4"/>
          <w:bottom w:val="single" w:color="auto" w:sz="4" w:space="0"/>
          <w:right w:val="single" w:color="auto" w:sz="4" w:space="4"/>
        </w:pBdr>
        <w:spacing w:line="360" w:lineRule="auto"/>
        <w:ind w:firstLine="420" w:firstLineChars="200"/>
        <w:rPr>
          <w:rFonts w:ascii="宋体" w:hAnsi="宋体"/>
          <w:color w:val="auto"/>
          <w:highlight w:val="none"/>
        </w:rPr>
      </w:pPr>
      <w:r>
        <w:rPr>
          <w:rFonts w:hint="eastAsia" w:ascii="宋体" w:hAnsi="宋体"/>
          <w:color w:val="auto"/>
          <w:szCs w:val="21"/>
          <w:highlight w:val="none"/>
          <w:u w:val="single"/>
        </w:rPr>
        <w:t>浙江工商职业技术学院学生文体活动中心改造项目</w:t>
      </w:r>
      <w:r>
        <w:rPr>
          <w:rFonts w:hint="eastAsia" w:ascii="宋体" w:hAnsi="宋体"/>
          <w:color w:val="auto"/>
          <w:highlight w:val="none"/>
        </w:rPr>
        <w:t>采购项目的潜在供应商应在政采云平台（</w:t>
      </w:r>
      <w:r>
        <w:rPr>
          <w:color w:val="auto"/>
          <w:highlight w:val="none"/>
        </w:rPr>
        <w:fldChar w:fldCharType="begin"/>
      </w:r>
      <w:r>
        <w:rPr>
          <w:color w:val="auto"/>
          <w:highlight w:val="none"/>
        </w:rPr>
        <w:instrText xml:space="preserve"> HYPERLINK </w:instrText>
      </w:r>
      <w:r>
        <w:rPr>
          <w:color w:val="auto"/>
          <w:highlight w:val="none"/>
        </w:rPr>
        <w:fldChar w:fldCharType="separate"/>
      </w:r>
      <w:r>
        <w:rPr>
          <w:rStyle w:val="21"/>
          <w:rFonts w:ascii="宋体" w:hAnsi="宋体"/>
          <w:bCs/>
          <w:color w:val="auto"/>
          <w:highlight w:val="none"/>
        </w:rPr>
        <w:t>https://www.zcygov.cn）获取（下载）采购文件，并于2025年</w:t>
      </w:r>
      <w:r>
        <w:rPr>
          <w:rStyle w:val="21"/>
          <w:rFonts w:hint="eastAsia" w:ascii="宋体" w:hAnsi="宋体"/>
          <w:bCs/>
          <w:color w:val="auto"/>
          <w:highlight w:val="none"/>
        </w:rPr>
        <w:t>7月</w:t>
      </w:r>
      <w:r>
        <w:rPr>
          <w:rStyle w:val="21"/>
          <w:rFonts w:hint="eastAsia" w:ascii="宋体" w:hAnsi="宋体"/>
          <w:bCs/>
          <w:color w:val="auto"/>
          <w:highlight w:val="none"/>
        </w:rPr>
        <w:fldChar w:fldCharType="end"/>
      </w:r>
      <w:r>
        <w:rPr>
          <w:rFonts w:hint="eastAsia" w:ascii="宋体" w:hAnsi="宋体"/>
          <w:bCs/>
          <w:color w:val="auto"/>
          <w:highlight w:val="none"/>
          <w:u w:val="single"/>
          <w:lang w:val="en-US" w:eastAsia="zh-CN"/>
        </w:rPr>
        <w:t>4</w:t>
      </w:r>
      <w:r>
        <w:rPr>
          <w:rFonts w:hint="eastAsia" w:ascii="宋体" w:hAnsi="宋体"/>
          <w:bCs/>
          <w:color w:val="auto"/>
          <w:highlight w:val="none"/>
          <w:u w:val="single"/>
        </w:rPr>
        <w:t>日</w:t>
      </w:r>
      <w:r>
        <w:rPr>
          <w:rFonts w:hint="eastAsia" w:ascii="宋体" w:hAnsi="宋体"/>
          <w:bCs/>
          <w:color w:val="auto"/>
          <w:highlight w:val="none"/>
          <w:u w:val="single"/>
          <w:lang w:val="en-US" w:eastAsia="zh-CN"/>
        </w:rPr>
        <w:t>09</w:t>
      </w:r>
      <w:r>
        <w:rPr>
          <w:rFonts w:hint="eastAsia" w:ascii="宋体" w:hAnsi="宋体"/>
          <w:bCs/>
          <w:color w:val="auto"/>
          <w:highlight w:val="none"/>
          <w:u w:val="single"/>
        </w:rPr>
        <w:t>：</w:t>
      </w:r>
      <w:r>
        <w:rPr>
          <w:rFonts w:hint="eastAsia" w:ascii="宋体" w:hAnsi="宋体"/>
          <w:bCs/>
          <w:color w:val="auto"/>
          <w:highlight w:val="none"/>
          <w:u w:val="single"/>
          <w:lang w:val="en-US" w:eastAsia="zh-CN"/>
        </w:rPr>
        <w:t>3</w:t>
      </w:r>
      <w:r>
        <w:rPr>
          <w:rFonts w:hint="eastAsia" w:ascii="宋体" w:hAnsi="宋体"/>
          <w:bCs/>
          <w:color w:val="auto"/>
          <w:highlight w:val="none"/>
          <w:u w:val="single"/>
        </w:rPr>
        <w:t>0</w:t>
      </w:r>
      <w:r>
        <w:rPr>
          <w:rFonts w:hint="eastAsia" w:ascii="宋体" w:hAnsi="宋体"/>
          <w:bCs/>
          <w:color w:val="auto"/>
          <w:highlight w:val="none"/>
        </w:rPr>
        <w:t>（北京时间）前提交（上传）响应</w:t>
      </w:r>
      <w:r>
        <w:rPr>
          <w:rFonts w:ascii="宋体" w:hAnsi="宋体"/>
          <w:bCs/>
          <w:color w:val="auto"/>
          <w:highlight w:val="none"/>
        </w:rPr>
        <w:t>文件</w:t>
      </w:r>
      <w:r>
        <w:rPr>
          <w:rFonts w:hint="eastAsia" w:ascii="宋体" w:hAnsi="宋体"/>
          <w:color w:val="auto"/>
          <w:highlight w:val="none"/>
        </w:rPr>
        <w:t>。</w:t>
      </w:r>
    </w:p>
    <w:p w14:paraId="50E769DD">
      <w:pPr>
        <w:spacing w:line="360" w:lineRule="auto"/>
        <w:ind w:firstLine="422" w:firstLineChars="200"/>
        <w:rPr>
          <w:rFonts w:ascii="宋体" w:hAnsi="宋体"/>
          <w:b/>
          <w:color w:val="auto"/>
          <w:szCs w:val="21"/>
          <w:highlight w:val="none"/>
        </w:rPr>
      </w:pPr>
      <w:bookmarkStart w:id="2" w:name="_Toc28359089"/>
      <w:bookmarkStart w:id="3" w:name="_Toc35393629"/>
      <w:bookmarkStart w:id="4" w:name="_Toc35393798"/>
      <w:bookmarkStart w:id="5" w:name="_Toc28359012"/>
      <w:r>
        <w:rPr>
          <w:rFonts w:hint="eastAsia" w:ascii="宋体" w:hAnsi="宋体"/>
          <w:b/>
          <w:color w:val="auto"/>
          <w:szCs w:val="21"/>
          <w:highlight w:val="none"/>
        </w:rPr>
        <w:t>一、项目基本情况</w:t>
      </w:r>
      <w:bookmarkEnd w:id="2"/>
      <w:bookmarkEnd w:id="3"/>
      <w:bookmarkEnd w:id="4"/>
      <w:bookmarkEnd w:id="5"/>
    </w:p>
    <w:p w14:paraId="58D5145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项目编号：NBMC-20252170G磋</w:t>
      </w:r>
    </w:p>
    <w:p w14:paraId="017AD56F">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项目名称：浙江工商职业技术学院学生文体活动中心改造项目</w:t>
      </w:r>
    </w:p>
    <w:p w14:paraId="605AA5C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109725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w:t>
      </w:r>
      <w:r>
        <w:rPr>
          <w:rFonts w:ascii="宋体" w:hAnsi="宋体"/>
          <w:color w:val="auto"/>
          <w:szCs w:val="21"/>
          <w:highlight w:val="none"/>
        </w:rPr>
        <w:t>（元）</w:t>
      </w:r>
      <w:r>
        <w:rPr>
          <w:rFonts w:hint="eastAsia" w:ascii="宋体" w:hAnsi="宋体"/>
          <w:color w:val="auto"/>
          <w:szCs w:val="21"/>
          <w:highlight w:val="none"/>
        </w:rPr>
        <w:t>：1810127</w:t>
      </w:r>
    </w:p>
    <w:p w14:paraId="118693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w:t>
      </w:r>
      <w:r>
        <w:rPr>
          <w:rFonts w:ascii="宋体" w:hAnsi="宋体"/>
          <w:color w:val="auto"/>
          <w:szCs w:val="21"/>
          <w:highlight w:val="none"/>
        </w:rPr>
        <w:t>（元）</w:t>
      </w:r>
      <w:r>
        <w:rPr>
          <w:rFonts w:hint="eastAsia" w:ascii="宋体" w:hAnsi="宋体"/>
          <w:color w:val="auto"/>
          <w:szCs w:val="21"/>
          <w:highlight w:val="none"/>
        </w:rPr>
        <w:t>：1810050</w:t>
      </w:r>
    </w:p>
    <w:p w14:paraId="72C6A3C9">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采购需求：</w:t>
      </w:r>
    </w:p>
    <w:p w14:paraId="498657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标项名称：浙江工商职业技术学院学生文体活动中心改造项目</w:t>
      </w:r>
    </w:p>
    <w:p w14:paraId="41DA582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数量：1</w:t>
      </w:r>
    </w:p>
    <w:p w14:paraId="7073A6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预算金额（元）：1810127</w:t>
      </w:r>
    </w:p>
    <w:p w14:paraId="1FC880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w:t>
      </w:r>
    </w:p>
    <w:p w14:paraId="69ED172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1.建设地点：浙江工商职业技术学院（宁波市机场路1988号）</w:t>
      </w:r>
    </w:p>
    <w:p w14:paraId="479E0F5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2.采购范围：浙江工商职业技术学院学生文体活动中心改造,具体见工程量清单（招标控制价编制报告）和图纸；</w:t>
      </w:r>
    </w:p>
    <w:p w14:paraId="15BEF364">
      <w:pPr>
        <w:spacing w:line="360" w:lineRule="auto"/>
        <w:ind w:firstLine="420" w:firstLineChars="200"/>
        <w:rPr>
          <w:rFonts w:ascii="宋体" w:hAnsi="宋体"/>
          <w:color w:val="auto"/>
          <w:szCs w:val="21"/>
          <w:highlight w:val="none"/>
        </w:rPr>
      </w:pPr>
      <w:r>
        <w:rPr>
          <w:rFonts w:ascii="宋体" w:hAnsi="宋体"/>
          <w:color w:val="auto"/>
          <w:szCs w:val="21"/>
          <w:highlight w:val="none"/>
        </w:rPr>
        <w:t>3.计划工期：45</w:t>
      </w:r>
      <w:r>
        <w:rPr>
          <w:rFonts w:hint="eastAsia" w:ascii="宋体" w:hAnsi="宋体" w:cs="宋体"/>
          <w:color w:val="auto"/>
          <w:kern w:val="0"/>
          <w:szCs w:val="21"/>
          <w:highlight w:val="none"/>
          <w:lang w:bidi="ar"/>
        </w:rPr>
        <w:t>个</w:t>
      </w:r>
      <w:r>
        <w:rPr>
          <w:rFonts w:hint="eastAsia" w:ascii="宋体" w:hAnsi="宋体"/>
          <w:color w:val="auto"/>
          <w:szCs w:val="21"/>
          <w:highlight w:val="none"/>
        </w:rPr>
        <w:t>日历天；</w:t>
      </w:r>
    </w:p>
    <w:p w14:paraId="598C10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4.质量要求：按国家施工验收规范一次性验收合格标准；</w:t>
      </w:r>
    </w:p>
    <w:p w14:paraId="6D50C2E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5.安全要求：合格，无安全事故。</w:t>
      </w:r>
    </w:p>
    <w:p w14:paraId="4E52CFC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合同履约期限：标项1，自合同签订之日起至合同全部义务履行完毕止。</w:t>
      </w:r>
    </w:p>
    <w:p w14:paraId="59F992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w:t>
      </w:r>
      <w:r>
        <w:rPr>
          <w:rFonts w:hint="eastAsia" w:ascii="宋体" w:hAnsi="宋体" w:cs="宋体"/>
          <w:color w:val="auto"/>
          <w:sz w:val="22"/>
          <w:szCs w:val="22"/>
          <w:highlight w:val="none"/>
        </w:rPr>
        <w:t>（否）</w:t>
      </w:r>
      <w:r>
        <w:rPr>
          <w:rFonts w:hint="eastAsia" w:ascii="宋体" w:hAnsi="宋体"/>
          <w:color w:val="auto"/>
          <w:szCs w:val="21"/>
          <w:highlight w:val="none"/>
        </w:rPr>
        <w:t>接受联合体参加磋商。</w:t>
      </w:r>
    </w:p>
    <w:p w14:paraId="5666F1F8">
      <w:pPr>
        <w:spacing w:line="360" w:lineRule="auto"/>
        <w:ind w:firstLine="422" w:firstLineChars="200"/>
        <w:rPr>
          <w:rFonts w:ascii="宋体" w:hAnsi="宋体"/>
          <w:b/>
          <w:color w:val="auto"/>
          <w:szCs w:val="21"/>
          <w:highlight w:val="none"/>
        </w:rPr>
      </w:pPr>
      <w:bookmarkStart w:id="6" w:name="_Toc35393630"/>
      <w:bookmarkStart w:id="7" w:name="_Toc28359013"/>
      <w:bookmarkStart w:id="8" w:name="_Toc28359090"/>
      <w:bookmarkStart w:id="9" w:name="_Toc35393799"/>
      <w:r>
        <w:rPr>
          <w:rFonts w:hint="eastAsia" w:ascii="宋体" w:hAnsi="宋体"/>
          <w:b/>
          <w:color w:val="auto"/>
          <w:szCs w:val="21"/>
          <w:highlight w:val="none"/>
        </w:rPr>
        <w:t>二、申请人的资格要求：</w:t>
      </w:r>
      <w:bookmarkEnd w:id="6"/>
      <w:bookmarkEnd w:id="7"/>
      <w:bookmarkEnd w:id="8"/>
      <w:bookmarkEnd w:id="9"/>
    </w:p>
    <w:p w14:paraId="465DA0F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10F516D3">
      <w:pPr>
        <w:spacing w:line="360" w:lineRule="auto"/>
        <w:ind w:firstLine="420" w:firstLineChars="200"/>
        <w:rPr>
          <w:rFonts w:ascii="宋体" w:hAnsi="宋体"/>
          <w:b/>
          <w:color w:val="auto"/>
          <w:szCs w:val="21"/>
          <w:highlight w:val="none"/>
        </w:rPr>
      </w:pPr>
      <w:bookmarkStart w:id="10" w:name="_Toc28359014"/>
      <w:bookmarkStart w:id="11" w:name="_Toc28359091"/>
      <w:r>
        <w:rPr>
          <w:rFonts w:hint="eastAsia" w:ascii="宋体" w:hAnsi="宋体"/>
          <w:color w:val="auto"/>
          <w:szCs w:val="21"/>
          <w:highlight w:val="none"/>
        </w:rPr>
        <w:t>2.落实采购政策需满足的资格要求：</w:t>
      </w:r>
      <w:r>
        <w:rPr>
          <w:rFonts w:hint="eastAsia" w:ascii="宋体" w:hAnsi="宋体"/>
          <w:color w:val="auto"/>
          <w:szCs w:val="21"/>
          <w:highlight w:val="none"/>
          <w:u w:val="single"/>
        </w:rPr>
        <w:t>本项目专门面向中小企业采购，承接工程的企业属于“建筑业”的中型、小型、微型企业以及监狱企业、残疾人福利性单位。</w:t>
      </w:r>
    </w:p>
    <w:p w14:paraId="2579502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olor w:val="auto"/>
          <w:szCs w:val="21"/>
          <w:highlight w:val="none"/>
          <w:u w:val="single"/>
        </w:rPr>
        <w:t>具有有效的建筑装修装饰工程专业承包贰级及以上资质，具有建设行政主管部门颁发的有效的安全生产许可证。</w:t>
      </w:r>
    </w:p>
    <w:p w14:paraId="3A03D3A9">
      <w:pPr>
        <w:spacing w:line="360" w:lineRule="auto"/>
        <w:ind w:firstLine="422" w:firstLineChars="200"/>
        <w:rPr>
          <w:rFonts w:ascii="宋体" w:hAnsi="宋体"/>
          <w:b/>
          <w:color w:val="auto"/>
          <w:szCs w:val="21"/>
          <w:highlight w:val="none"/>
        </w:rPr>
      </w:pPr>
      <w:bookmarkStart w:id="12" w:name="_Toc35393800"/>
      <w:bookmarkStart w:id="13" w:name="_Toc35393631"/>
      <w:r>
        <w:rPr>
          <w:rFonts w:hint="eastAsia" w:ascii="宋体" w:hAnsi="宋体"/>
          <w:b/>
          <w:color w:val="auto"/>
          <w:szCs w:val="21"/>
          <w:highlight w:val="none"/>
        </w:rPr>
        <w:t>三、获取</w:t>
      </w:r>
      <w:bookmarkEnd w:id="10"/>
      <w:bookmarkEnd w:id="11"/>
      <w:bookmarkEnd w:id="12"/>
      <w:bookmarkEnd w:id="13"/>
      <w:r>
        <w:rPr>
          <w:rFonts w:hint="eastAsia" w:ascii="宋体" w:hAnsi="宋体"/>
          <w:b/>
          <w:color w:val="auto"/>
          <w:szCs w:val="21"/>
          <w:highlight w:val="none"/>
        </w:rPr>
        <w:t>（下载）采购文件</w:t>
      </w:r>
    </w:p>
    <w:p w14:paraId="3FDBD3C9">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时间：2025年6月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日至2025年7月</w:t>
      </w:r>
      <w:r>
        <w:rPr>
          <w:rFonts w:hint="eastAsia" w:ascii="宋体" w:hAnsi="宋体" w:cs="宋体"/>
          <w:color w:val="auto"/>
          <w:szCs w:val="21"/>
          <w:highlight w:val="none"/>
          <w:lang w:val="en-US" w:eastAsia="zh-CN"/>
        </w:rPr>
        <w:t>4</w:t>
      </w:r>
      <w:bookmarkStart w:id="103" w:name="_GoBack"/>
      <w:bookmarkEnd w:id="103"/>
      <w:r>
        <w:rPr>
          <w:rFonts w:hint="eastAsia" w:ascii="宋体" w:hAnsi="宋体" w:cs="宋体"/>
          <w:color w:val="auto"/>
          <w:szCs w:val="21"/>
          <w:highlight w:val="none"/>
        </w:rPr>
        <w:t>日，每天上午00:00至12:00，下午12:00至23:59（北京时间，线上获取法定节假日均可，线下获取文件法定节假日除外）</w:t>
      </w:r>
    </w:p>
    <w:p w14:paraId="6F58943E">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地点（网址）：政采云平台（https://www.zcygov.cn）</w:t>
      </w:r>
    </w:p>
    <w:p w14:paraId="343C00A4">
      <w:pPr>
        <w:spacing w:line="360" w:lineRule="auto"/>
        <w:ind w:firstLine="420" w:firstLineChars="200"/>
        <w:rPr>
          <w:rFonts w:ascii="宋体" w:hAnsi="宋体" w:cs="Arial"/>
          <w:color w:val="auto"/>
          <w:szCs w:val="21"/>
          <w:highlight w:val="none"/>
        </w:rPr>
      </w:pPr>
      <w:r>
        <w:rPr>
          <w:rFonts w:hint="eastAsia" w:ascii="宋体" w:hAnsi="宋体" w:cs="宋体"/>
          <w:color w:val="auto"/>
          <w:szCs w:val="21"/>
          <w:highlight w:val="none"/>
        </w:rPr>
        <w:t>方式：</w:t>
      </w:r>
      <w:r>
        <w:rPr>
          <w:rFonts w:hint="eastAsia" w:ascii="宋体" w:hAnsi="宋体" w:cs="Arial"/>
          <w:color w:val="auto"/>
          <w:szCs w:val="21"/>
          <w:highlight w:val="none"/>
        </w:rPr>
        <w:t>供应商登录政采云平台https://www.zcygov.cn/在线申请获取采购文件（进入“项目采购”应用，在获取采购文件菜单中选择项目，申请获取采购文件）</w:t>
      </w:r>
    </w:p>
    <w:p w14:paraId="7CF15FA0">
      <w:pPr>
        <w:spacing w:line="360" w:lineRule="auto"/>
        <w:ind w:firstLine="420" w:firstLineChars="200"/>
        <w:rPr>
          <w:rFonts w:ascii="宋体" w:hAnsi="宋体" w:cs="宋体"/>
          <w:color w:val="auto"/>
          <w:szCs w:val="21"/>
          <w:highlight w:val="none"/>
        </w:rPr>
      </w:pPr>
      <w:bookmarkStart w:id="14" w:name="_Toc28359092"/>
      <w:bookmarkStart w:id="15" w:name="_Toc28359015"/>
      <w:bookmarkStart w:id="16" w:name="_Toc35393632"/>
      <w:bookmarkStart w:id="17" w:name="_Toc35393801"/>
      <w:r>
        <w:rPr>
          <w:rFonts w:hint="eastAsia" w:ascii="宋体" w:hAnsi="宋体" w:cs="宋体"/>
          <w:color w:val="auto"/>
          <w:szCs w:val="21"/>
          <w:highlight w:val="none"/>
        </w:rPr>
        <w:t>售价（元）：0</w:t>
      </w:r>
    </w:p>
    <w:p w14:paraId="52EE8B5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四、响应文件提交</w:t>
      </w:r>
      <w:bookmarkEnd w:id="14"/>
      <w:bookmarkEnd w:id="15"/>
      <w:bookmarkEnd w:id="16"/>
      <w:bookmarkEnd w:id="17"/>
      <w:r>
        <w:rPr>
          <w:rFonts w:hint="eastAsia" w:ascii="宋体" w:hAnsi="宋体"/>
          <w:b/>
          <w:color w:val="auto"/>
          <w:szCs w:val="21"/>
          <w:highlight w:val="none"/>
        </w:rPr>
        <w:t>（上传）</w:t>
      </w:r>
    </w:p>
    <w:p w14:paraId="24645928">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截止时间：2025年7月</w:t>
      </w:r>
      <w:r>
        <w:rPr>
          <w:rFonts w:hint="eastAsia" w:ascii="宋体" w:hAnsi="宋体"/>
          <w:color w:val="auto"/>
          <w:szCs w:val="21"/>
          <w:highlight w:val="none"/>
          <w:lang w:val="en-US" w:eastAsia="zh-CN"/>
        </w:rPr>
        <w:t>4</w:t>
      </w:r>
      <w:r>
        <w:rPr>
          <w:rFonts w:hint="eastAsia" w:ascii="宋体" w:hAnsi="宋体"/>
          <w:color w:val="auto"/>
          <w:szCs w:val="21"/>
          <w:highlight w:val="none"/>
        </w:rPr>
        <w:t>日</w:t>
      </w:r>
      <w:r>
        <w:rPr>
          <w:rFonts w:hint="eastAsia" w:ascii="宋体" w:hAnsi="宋体"/>
          <w:color w:val="auto"/>
          <w:szCs w:val="21"/>
          <w:highlight w:val="none"/>
          <w:lang w:val="en-US" w:eastAsia="zh-CN"/>
        </w:rPr>
        <w:t>09</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0（北京时间）</w:t>
      </w:r>
    </w:p>
    <w:p w14:paraId="38BD112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地点（网址）：</w:t>
      </w:r>
      <w:r>
        <w:rPr>
          <w:rFonts w:hint="eastAsia" w:ascii="宋体" w:hAnsi="宋体"/>
          <w:color w:val="auto"/>
          <w:szCs w:val="21"/>
          <w:highlight w:val="none"/>
          <w:u w:val="single"/>
        </w:rPr>
        <w:t>政采云平台（</w:t>
      </w:r>
      <w:r>
        <w:rPr>
          <w:rFonts w:ascii="宋体" w:hAnsi="宋体"/>
          <w:color w:val="auto"/>
          <w:szCs w:val="21"/>
          <w:highlight w:val="none"/>
          <w:u w:val="single"/>
        </w:rPr>
        <w:t>https://www.zcygov.cn）</w:t>
      </w:r>
    </w:p>
    <w:p w14:paraId="4846B7F0">
      <w:pPr>
        <w:spacing w:line="360" w:lineRule="auto"/>
        <w:ind w:firstLine="422" w:firstLineChars="200"/>
        <w:rPr>
          <w:rFonts w:ascii="宋体" w:hAnsi="宋体"/>
          <w:b/>
          <w:color w:val="auto"/>
          <w:szCs w:val="21"/>
          <w:highlight w:val="none"/>
        </w:rPr>
      </w:pPr>
      <w:bookmarkStart w:id="18" w:name="_Toc28359016"/>
      <w:bookmarkStart w:id="19" w:name="_Toc35393802"/>
      <w:bookmarkStart w:id="20" w:name="_Toc35393633"/>
      <w:bookmarkStart w:id="21" w:name="_Toc28359093"/>
      <w:r>
        <w:rPr>
          <w:rFonts w:hint="eastAsia" w:ascii="宋体" w:hAnsi="宋体"/>
          <w:b/>
          <w:color w:val="auto"/>
          <w:szCs w:val="21"/>
          <w:highlight w:val="none"/>
        </w:rPr>
        <w:t>五、响应文件开启</w:t>
      </w:r>
      <w:bookmarkEnd w:id="18"/>
      <w:bookmarkEnd w:id="19"/>
      <w:bookmarkEnd w:id="20"/>
      <w:bookmarkEnd w:id="21"/>
    </w:p>
    <w:p w14:paraId="5C0B5EAF">
      <w:pPr>
        <w:spacing w:line="360" w:lineRule="auto"/>
        <w:ind w:firstLine="420" w:firstLineChars="200"/>
        <w:rPr>
          <w:rFonts w:ascii="宋体" w:hAnsi="宋体"/>
          <w:color w:val="auto"/>
          <w:szCs w:val="21"/>
          <w:highlight w:val="none"/>
        </w:rPr>
      </w:pPr>
      <w:bookmarkStart w:id="22" w:name="_Toc35393634"/>
      <w:bookmarkStart w:id="23" w:name="_Toc28359017"/>
      <w:bookmarkStart w:id="24" w:name="_Toc35393803"/>
      <w:bookmarkStart w:id="25" w:name="_Toc28359094"/>
      <w:r>
        <w:rPr>
          <w:rFonts w:hint="eastAsia" w:ascii="宋体" w:hAnsi="宋体"/>
          <w:color w:val="auto"/>
          <w:szCs w:val="21"/>
          <w:highlight w:val="none"/>
        </w:rPr>
        <w:t>开启时间：2025年7月</w:t>
      </w:r>
      <w:r>
        <w:rPr>
          <w:rFonts w:hint="eastAsia" w:ascii="宋体" w:hAnsi="宋体"/>
          <w:color w:val="auto"/>
          <w:szCs w:val="21"/>
          <w:highlight w:val="none"/>
          <w:lang w:val="en-US" w:eastAsia="zh-CN"/>
        </w:rPr>
        <w:t>4</w:t>
      </w:r>
      <w:r>
        <w:rPr>
          <w:rFonts w:hint="eastAsia" w:ascii="宋体" w:hAnsi="宋体"/>
          <w:color w:val="auto"/>
          <w:szCs w:val="21"/>
          <w:highlight w:val="none"/>
        </w:rPr>
        <w:t>日</w:t>
      </w:r>
      <w:r>
        <w:rPr>
          <w:rFonts w:hint="eastAsia" w:ascii="宋体" w:hAnsi="宋体"/>
          <w:color w:val="auto"/>
          <w:szCs w:val="21"/>
          <w:highlight w:val="none"/>
          <w:lang w:val="en-US" w:eastAsia="zh-CN"/>
        </w:rPr>
        <w:t>09</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0（北京时间）</w:t>
      </w:r>
    </w:p>
    <w:p w14:paraId="3B3C3A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地点（网址）：</w:t>
      </w:r>
      <w:r>
        <w:rPr>
          <w:rFonts w:hint="eastAsia" w:ascii="宋体" w:hAnsi="宋体"/>
          <w:color w:val="auto"/>
          <w:szCs w:val="21"/>
          <w:highlight w:val="none"/>
          <w:u w:val="single"/>
        </w:rPr>
        <w:t>政采云平台（</w:t>
      </w:r>
      <w:r>
        <w:rPr>
          <w:rFonts w:ascii="宋体" w:hAnsi="宋体"/>
          <w:color w:val="auto"/>
          <w:szCs w:val="21"/>
          <w:highlight w:val="none"/>
          <w:u w:val="single"/>
        </w:rPr>
        <w:t>https://www.zcygov.cn）</w:t>
      </w:r>
    </w:p>
    <w:p w14:paraId="108A6826">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六、公告期限</w:t>
      </w:r>
      <w:bookmarkEnd w:id="22"/>
      <w:bookmarkEnd w:id="23"/>
      <w:bookmarkEnd w:id="24"/>
      <w:bookmarkEnd w:id="25"/>
    </w:p>
    <w:p w14:paraId="28CA323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6FF5AC4A">
      <w:pPr>
        <w:spacing w:line="360" w:lineRule="auto"/>
        <w:ind w:firstLine="422" w:firstLineChars="200"/>
        <w:rPr>
          <w:rFonts w:ascii="宋体" w:hAnsi="宋体"/>
          <w:b/>
          <w:color w:val="auto"/>
          <w:szCs w:val="21"/>
          <w:highlight w:val="none"/>
        </w:rPr>
      </w:pPr>
      <w:bookmarkStart w:id="26" w:name="_Toc35393635"/>
      <w:bookmarkStart w:id="27" w:name="_Toc35393804"/>
      <w:r>
        <w:rPr>
          <w:rFonts w:hint="eastAsia" w:ascii="宋体" w:hAnsi="宋体"/>
          <w:b/>
          <w:color w:val="auto"/>
          <w:szCs w:val="21"/>
          <w:highlight w:val="none"/>
        </w:rPr>
        <w:t>七、其他补充事宜</w:t>
      </w:r>
      <w:bookmarkEnd w:id="26"/>
      <w:bookmarkEnd w:id="27"/>
    </w:p>
    <w:p w14:paraId="3EDF8F30">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1850B77">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815A4B5">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5C6A60">
      <w:pPr>
        <w:snapToGrid w:val="0"/>
        <w:spacing w:line="360" w:lineRule="auto"/>
        <w:ind w:firstLine="411" w:firstLineChars="196"/>
        <w:rPr>
          <w:rFonts w:ascii="宋体" w:hAnsi="宋体" w:cs="Arial"/>
          <w:color w:val="auto"/>
          <w:szCs w:val="21"/>
          <w:highlight w:val="none"/>
        </w:rPr>
      </w:pPr>
      <w:r>
        <w:rPr>
          <w:rFonts w:ascii="宋体" w:hAnsi="宋体" w:cs="Arial"/>
          <w:color w:val="auto"/>
          <w:szCs w:val="21"/>
          <w:highlight w:val="none"/>
        </w:rPr>
        <w:t>4</w:t>
      </w:r>
      <w:r>
        <w:rPr>
          <w:rFonts w:hint="eastAsia" w:ascii="宋体" w:hAnsi="宋体" w:cs="Arial"/>
          <w:color w:val="auto"/>
          <w:szCs w:val="21"/>
          <w:highlight w:val="none"/>
        </w:rPr>
        <w:t>.其他事项：</w:t>
      </w:r>
    </w:p>
    <w:p w14:paraId="1169CEAD">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（1）为依法获取本项目磋商文件及响应，潜在供应商应当按照《浙江省政府采购供应商注册及诚信管理暂行办法》的规定在“浙江政府采购网(</w:t>
      </w:r>
      <w:r>
        <w:rPr>
          <w:rFonts w:ascii="宋体" w:hAnsi="宋体" w:cs="Arial"/>
          <w:color w:val="auto"/>
          <w:szCs w:val="21"/>
          <w:highlight w:val="none"/>
        </w:rPr>
        <w:t>http://zfcg.czt.zj.gov.cn/</w:t>
      </w:r>
      <w:r>
        <w:rPr>
          <w:rFonts w:hint="eastAsia" w:ascii="宋体" w:hAnsi="宋体" w:cs="Arial"/>
          <w:color w:val="auto"/>
          <w:szCs w:val="21"/>
          <w:highlight w:val="none"/>
        </w:rPr>
        <w:t>)”政采云平台注册登记。</w:t>
      </w:r>
    </w:p>
    <w:p w14:paraId="232A889C">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2）本项目依据《浙江省政府采购项目电子交易管理暂行办法》采用电子交易方式实施采购，电子交易平台为政采云平台(https：//www.zcygov.cn）。潜在供应商在参与本项目磋商响应前应当完成政采云平台的账号注册、身份认证（CA数字证书申领）、“政采云电子交易客户端”下载安装。</w:t>
      </w:r>
    </w:p>
    <w:p w14:paraId="31C78045">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（3）本项目采购文件实行“政府采购云平台”在线获取，不提供采购文件纸质版。</w:t>
      </w:r>
    </w:p>
    <w:p w14:paraId="4D90A85D">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4）采购公告附件内的采购文件仅供阅览使用，供应商只有在“政府采购云平台”完成获取采购文件申请并下载了采购文件后才视作获取采购文件（供应商获取采购文件时间以供应商完成获取采购文件申请后下载采购文件的时间为准）。</w:t>
      </w:r>
    </w:p>
    <w:p w14:paraId="4197D4B2">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注：供应商应按要求获取采购文件，如未在“政采云”系统内完成相关流程而引起后果自负。</w:t>
      </w:r>
    </w:p>
    <w:p w14:paraId="78C7937E">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5</w:t>
      </w:r>
      <w:r>
        <w:rPr>
          <w:rFonts w:hint="eastAsia" w:ascii="宋体" w:hAnsi="宋体" w:cs="Arial"/>
          <w:color w:val="auto"/>
          <w:szCs w:val="21"/>
          <w:highlight w:val="none"/>
        </w:rPr>
        <w:t>）供应商</w:t>
      </w:r>
      <w:r>
        <w:rPr>
          <w:rFonts w:ascii="宋体" w:hAnsi="宋体" w:cs="宋体"/>
          <w:color w:val="auto"/>
          <w:szCs w:val="21"/>
          <w:highlight w:val="none"/>
        </w:rPr>
        <w:t>如提供备份</w:t>
      </w:r>
      <w:r>
        <w:rPr>
          <w:rFonts w:hint="eastAsia" w:ascii="宋体" w:hAnsi="宋体" w:cs="宋体"/>
          <w:color w:val="auto"/>
          <w:szCs w:val="21"/>
          <w:highlight w:val="none"/>
        </w:rPr>
        <w:t>响应</w:t>
      </w:r>
      <w:r>
        <w:rPr>
          <w:rFonts w:ascii="宋体" w:hAnsi="宋体" w:cs="宋体"/>
          <w:color w:val="auto"/>
          <w:szCs w:val="21"/>
          <w:highlight w:val="none"/>
        </w:rPr>
        <w:t>文件的，应于提交</w:t>
      </w:r>
      <w:r>
        <w:rPr>
          <w:rFonts w:hint="eastAsia" w:ascii="宋体" w:hAnsi="宋体" w:cs="宋体"/>
          <w:color w:val="auto"/>
          <w:szCs w:val="21"/>
          <w:highlight w:val="none"/>
        </w:rPr>
        <w:t>响应</w:t>
      </w:r>
      <w:r>
        <w:rPr>
          <w:rFonts w:ascii="宋体" w:hAnsi="宋体" w:cs="宋体"/>
          <w:color w:val="auto"/>
          <w:szCs w:val="21"/>
          <w:highlight w:val="none"/>
        </w:rPr>
        <w:t>文件截止时间前，将以U盘存储的电子备份</w:t>
      </w:r>
      <w:r>
        <w:rPr>
          <w:rFonts w:hint="eastAsia" w:ascii="宋体" w:hAnsi="宋体" w:cs="宋体"/>
          <w:color w:val="auto"/>
          <w:szCs w:val="21"/>
          <w:highlight w:val="none"/>
        </w:rPr>
        <w:t>响应</w:t>
      </w:r>
      <w:r>
        <w:rPr>
          <w:rFonts w:ascii="宋体" w:hAnsi="宋体" w:cs="宋体"/>
          <w:color w:val="auto"/>
          <w:szCs w:val="21"/>
          <w:highlight w:val="none"/>
        </w:rPr>
        <w:t>文件</w:t>
      </w:r>
      <w:r>
        <w:rPr>
          <w:rFonts w:hint="eastAsia" w:ascii="宋体" w:hAnsi="宋体" w:cs="宋体"/>
          <w:color w:val="auto"/>
          <w:szCs w:val="21"/>
          <w:highlight w:val="none"/>
        </w:rPr>
        <w:t>按照磋商文件的规定密封、标注并盖章后</w:t>
      </w:r>
      <w:r>
        <w:rPr>
          <w:rFonts w:ascii="宋体" w:hAnsi="宋体" w:cs="宋体"/>
          <w:color w:val="auto"/>
          <w:szCs w:val="21"/>
          <w:highlight w:val="none"/>
        </w:rPr>
        <w:t>，递交至</w:t>
      </w:r>
      <w:r>
        <w:rPr>
          <w:rFonts w:hint="eastAsia" w:ascii="宋体" w:hAnsi="宋体" w:cs="Arial"/>
          <w:b/>
          <w:color w:val="auto"/>
          <w:szCs w:val="21"/>
          <w:highlight w:val="none"/>
        </w:rPr>
        <w:t>宁波市海曙区江汇城496号姚江时代14幢3楼</w:t>
      </w:r>
      <w:r>
        <w:rPr>
          <w:rFonts w:ascii="宋体" w:hAnsi="宋体" w:cs="宋体"/>
          <w:color w:val="auto"/>
          <w:szCs w:val="21"/>
          <w:highlight w:val="none"/>
        </w:rPr>
        <w:t>，逾期送达或未</w:t>
      </w:r>
      <w:r>
        <w:rPr>
          <w:rFonts w:hint="eastAsia" w:ascii="宋体" w:hAnsi="宋体" w:cs="宋体"/>
          <w:color w:val="auto"/>
          <w:szCs w:val="21"/>
          <w:highlight w:val="none"/>
        </w:rPr>
        <w:t>按照规定</w:t>
      </w:r>
      <w:r>
        <w:rPr>
          <w:rFonts w:ascii="宋体" w:hAnsi="宋体" w:cs="宋体"/>
          <w:color w:val="auto"/>
          <w:szCs w:val="21"/>
          <w:highlight w:val="none"/>
        </w:rPr>
        <w:t>密封</w:t>
      </w:r>
      <w:r>
        <w:rPr>
          <w:rFonts w:hint="eastAsia" w:ascii="宋体" w:hAnsi="宋体" w:cs="宋体"/>
          <w:color w:val="auto"/>
          <w:szCs w:val="21"/>
          <w:highlight w:val="none"/>
        </w:rPr>
        <w:t>包装的</w:t>
      </w:r>
      <w:r>
        <w:rPr>
          <w:rFonts w:ascii="宋体" w:hAnsi="宋体" w:cs="宋体"/>
          <w:color w:val="auto"/>
          <w:szCs w:val="21"/>
          <w:highlight w:val="none"/>
        </w:rPr>
        <w:t>备份</w:t>
      </w:r>
      <w:r>
        <w:rPr>
          <w:rFonts w:hint="eastAsia" w:ascii="宋体" w:hAnsi="宋体" w:cs="宋体"/>
          <w:color w:val="auto"/>
          <w:szCs w:val="21"/>
          <w:highlight w:val="none"/>
        </w:rPr>
        <w:t>响应</w:t>
      </w:r>
      <w:r>
        <w:rPr>
          <w:rFonts w:ascii="宋体" w:hAnsi="宋体" w:cs="宋体"/>
          <w:color w:val="auto"/>
          <w:szCs w:val="21"/>
          <w:highlight w:val="none"/>
        </w:rPr>
        <w:t>文件</w:t>
      </w:r>
      <w:r>
        <w:rPr>
          <w:rFonts w:hint="eastAsia" w:ascii="宋体" w:hAnsi="宋体" w:cs="宋体"/>
          <w:color w:val="auto"/>
          <w:szCs w:val="21"/>
          <w:highlight w:val="none"/>
        </w:rPr>
        <w:t>采购代理机构有权拒绝接收</w:t>
      </w:r>
      <w:r>
        <w:rPr>
          <w:rFonts w:ascii="宋体" w:hAnsi="宋体" w:cs="宋体"/>
          <w:color w:val="auto"/>
          <w:szCs w:val="21"/>
          <w:highlight w:val="none"/>
        </w:rPr>
        <w:t>。</w:t>
      </w:r>
    </w:p>
    <w:p w14:paraId="1B723905">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6</w:t>
      </w:r>
      <w:r>
        <w:rPr>
          <w:rFonts w:hint="eastAsia" w:ascii="宋体" w:hAnsi="宋体" w:cs="Arial"/>
          <w:color w:val="auto"/>
          <w:szCs w:val="21"/>
          <w:highlight w:val="none"/>
        </w:rPr>
        <w:t>）本次采购活动有关信息在浙江政府采购网公布，视同送达所有潜在供应商。</w:t>
      </w:r>
    </w:p>
    <w:p w14:paraId="08022C3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）单位负责人为同一人或者存在直接控股、管理关系的不同供应商，不得参加同一项目的磋商响应</w:t>
      </w:r>
      <w:r>
        <w:rPr>
          <w:rFonts w:hint="eastAsia" w:ascii="宋体" w:hAnsi="宋体" w:cs="宋体"/>
          <w:color w:val="auto"/>
          <w:szCs w:val="21"/>
          <w:highlight w:val="none"/>
        </w:rPr>
        <w:t>。为本项目提供整体设计、规范编制或者项目管理、监理、检测等服务的供应商，不得再参加本项目的磋商响应。</w:t>
      </w:r>
    </w:p>
    <w:p w14:paraId="5666103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2488111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9</w:t>
      </w:r>
      <w:r>
        <w:rPr>
          <w:rFonts w:hint="eastAsia" w:ascii="宋体" w:hAnsi="宋体" w:cs="宋体"/>
          <w:color w:val="auto"/>
          <w:szCs w:val="21"/>
          <w:highlight w:val="none"/>
        </w:rPr>
        <w:t>）落实的政策：</w:t>
      </w:r>
      <w:r>
        <w:rPr>
          <w:rFonts w:hint="eastAsia" w:ascii="宋体" w:hAnsi="宋体" w:cs="宋体"/>
          <w:color w:val="auto"/>
          <w:highlight w:val="none"/>
        </w:rPr>
        <w:t>（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1303E79D">
      <w:pPr>
        <w:spacing w:line="360" w:lineRule="auto"/>
        <w:ind w:firstLine="422" w:firstLineChars="200"/>
        <w:rPr>
          <w:rFonts w:ascii="宋体" w:hAnsi="宋体"/>
          <w:b/>
          <w:color w:val="auto"/>
          <w:szCs w:val="21"/>
          <w:highlight w:val="none"/>
        </w:rPr>
      </w:pPr>
      <w:bookmarkStart w:id="28" w:name="_Toc28359018"/>
      <w:bookmarkStart w:id="29" w:name="_Toc28359095"/>
      <w:bookmarkStart w:id="30" w:name="_Toc35393636"/>
      <w:bookmarkStart w:id="31" w:name="_Toc35393805"/>
      <w:r>
        <w:rPr>
          <w:rFonts w:hint="eastAsia" w:ascii="宋体" w:hAnsi="宋体"/>
          <w:b/>
          <w:color w:val="auto"/>
          <w:szCs w:val="21"/>
          <w:highlight w:val="none"/>
        </w:rPr>
        <w:t>八、凡对本次采购提出询问、质疑、投诉，请按</w:t>
      </w:r>
      <w:r>
        <w:rPr>
          <w:rFonts w:ascii="宋体" w:hAnsi="宋体"/>
          <w:b/>
          <w:color w:val="auto"/>
          <w:szCs w:val="21"/>
          <w:highlight w:val="none"/>
        </w:rPr>
        <w:t>以下方式</w:t>
      </w:r>
      <w:r>
        <w:rPr>
          <w:rFonts w:hint="eastAsia" w:ascii="宋体" w:hAnsi="宋体"/>
          <w:b/>
          <w:color w:val="auto"/>
          <w:szCs w:val="21"/>
          <w:highlight w:val="none"/>
        </w:rPr>
        <w:t>联系</w:t>
      </w:r>
      <w:bookmarkEnd w:id="28"/>
      <w:bookmarkEnd w:id="29"/>
      <w:bookmarkEnd w:id="30"/>
      <w:bookmarkEnd w:id="31"/>
    </w:p>
    <w:p w14:paraId="17D9201E">
      <w:pPr>
        <w:tabs>
          <w:tab w:val="left" w:pos="5727"/>
        </w:tabs>
        <w:snapToGrid w:val="0"/>
        <w:spacing w:line="360" w:lineRule="auto"/>
        <w:ind w:firstLine="411" w:firstLineChars="196"/>
        <w:rPr>
          <w:rFonts w:ascii="宋体" w:hAnsi="宋体" w:cs="宋体"/>
          <w:color w:val="auto"/>
          <w:szCs w:val="21"/>
          <w:highlight w:val="none"/>
        </w:rPr>
      </w:pPr>
      <w:bookmarkStart w:id="32" w:name="_Toc28359019"/>
      <w:bookmarkStart w:id="33" w:name="_Toc28359096"/>
      <w:bookmarkStart w:id="34" w:name="_Toc35393806"/>
      <w:bookmarkStart w:id="35" w:name="_Toc35393637"/>
      <w:r>
        <w:rPr>
          <w:rFonts w:hint="eastAsia" w:ascii="宋体" w:hAnsi="宋体" w:cs="宋体"/>
          <w:color w:val="auto"/>
          <w:szCs w:val="21"/>
          <w:highlight w:val="none"/>
        </w:rPr>
        <w:t>1.采购人信息</w:t>
      </w:r>
      <w:bookmarkEnd w:id="32"/>
      <w:bookmarkEnd w:id="33"/>
      <w:bookmarkEnd w:id="34"/>
      <w:bookmarkEnd w:id="35"/>
    </w:p>
    <w:p w14:paraId="7FB1ED92">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名称：浙江工商职业技术学院</w:t>
      </w:r>
    </w:p>
    <w:p w14:paraId="67F3EF99">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地址：</w:t>
      </w:r>
      <w:bookmarkStart w:id="36" w:name="_Toc35393638"/>
      <w:bookmarkStart w:id="37" w:name="_Toc28359097"/>
      <w:bookmarkStart w:id="38" w:name="_Toc35393807"/>
      <w:bookmarkStart w:id="39" w:name="_Toc28359020"/>
      <w:r>
        <w:rPr>
          <w:rFonts w:hint="eastAsia" w:ascii="宋体" w:hAnsi="宋体" w:cs="宋体"/>
          <w:color w:val="auto"/>
          <w:szCs w:val="21"/>
          <w:highlight w:val="none"/>
        </w:rPr>
        <w:t>宁波市机场路1988号</w:t>
      </w:r>
    </w:p>
    <w:p w14:paraId="143BC0A3">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传真：/</w:t>
      </w:r>
    </w:p>
    <w:p w14:paraId="5359F0F3">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项目联系人（询问）：王</w:t>
      </w:r>
      <w:r>
        <w:rPr>
          <w:rFonts w:hint="eastAsia" w:ascii="宋体" w:hAnsi="宋体" w:cs="宋体"/>
          <w:color w:val="auto"/>
          <w:szCs w:val="21"/>
          <w:highlight w:val="none"/>
        </w:rPr>
        <w:t>老师</w:t>
      </w:r>
    </w:p>
    <w:p w14:paraId="3C7D7BE9">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项目联系方式（询问）：</w:t>
      </w:r>
      <w:r>
        <w:rPr>
          <w:rFonts w:hint="eastAsia" w:ascii="宋体" w:hAnsi="宋体"/>
          <w:color w:val="auto"/>
          <w:highlight w:val="none"/>
        </w:rPr>
        <w:t>0574-87422007</w:t>
      </w:r>
    </w:p>
    <w:p w14:paraId="3507671F">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质疑联系人：</w:t>
      </w:r>
      <w:r>
        <w:rPr>
          <w:rFonts w:hint="eastAsia" w:ascii="宋体" w:hAnsi="宋体" w:cs="宋体"/>
          <w:color w:val="auto"/>
          <w:szCs w:val="21"/>
          <w:highlight w:val="none"/>
        </w:rPr>
        <w:t>陈老师</w:t>
      </w:r>
    </w:p>
    <w:p w14:paraId="780BE30E">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质疑联系方式：</w:t>
      </w:r>
      <w:r>
        <w:rPr>
          <w:rFonts w:ascii="宋体" w:hAnsi="宋体" w:cs="宋体"/>
          <w:color w:val="auto"/>
          <w:szCs w:val="21"/>
          <w:highlight w:val="none"/>
        </w:rPr>
        <w:t>0574-87422200</w:t>
      </w:r>
    </w:p>
    <w:p w14:paraId="7B128545">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2.采购代理机构信息</w:t>
      </w:r>
      <w:bookmarkEnd w:id="36"/>
      <w:bookmarkEnd w:id="37"/>
      <w:bookmarkEnd w:id="38"/>
      <w:bookmarkEnd w:id="39"/>
    </w:p>
    <w:p w14:paraId="108FAB92">
      <w:pPr>
        <w:snapToGrid w:val="0"/>
        <w:spacing w:line="360" w:lineRule="auto"/>
        <w:ind w:firstLine="411" w:firstLineChars="196"/>
        <w:rPr>
          <w:rFonts w:ascii="宋体" w:hAnsi="宋体" w:cs="宋体"/>
          <w:color w:val="auto"/>
          <w:szCs w:val="21"/>
          <w:highlight w:val="none"/>
        </w:rPr>
      </w:pPr>
      <w:bookmarkStart w:id="40" w:name="_Toc35393808"/>
      <w:bookmarkStart w:id="41" w:name="_Toc28359098"/>
      <w:bookmarkStart w:id="42" w:name="_Toc35393639"/>
      <w:bookmarkStart w:id="43" w:name="_Toc28359021"/>
      <w:r>
        <w:rPr>
          <w:rFonts w:hint="eastAsia" w:ascii="宋体" w:hAnsi="宋体" w:cs="宋体"/>
          <w:color w:val="auto"/>
          <w:szCs w:val="21"/>
          <w:highlight w:val="none"/>
        </w:rPr>
        <w:t>名称：宁波名诚招标代理有限公司</w:t>
      </w:r>
    </w:p>
    <w:p w14:paraId="72B5AB1F">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地址：宁波市海曙区江汇城496号姚江时代14幢3楼</w:t>
      </w:r>
    </w:p>
    <w:p w14:paraId="3E72AF1C">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传真：</w:t>
      </w:r>
      <w:r>
        <w:rPr>
          <w:rFonts w:ascii="宋体" w:hAnsi="宋体" w:cs="宋体"/>
          <w:color w:val="auto"/>
          <w:szCs w:val="21"/>
          <w:highlight w:val="none"/>
        </w:rPr>
        <w:t>/</w:t>
      </w:r>
    </w:p>
    <w:p w14:paraId="50B49FE9">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项目联系人（询问）：王立挺、何晟昊、江森杰、金生华、王裕挺</w:t>
      </w:r>
    </w:p>
    <w:p w14:paraId="3C678636">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项目联系方式（询问）：0</w:t>
      </w:r>
      <w:r>
        <w:rPr>
          <w:rFonts w:ascii="宋体" w:hAnsi="宋体" w:cs="宋体"/>
          <w:color w:val="auto"/>
          <w:szCs w:val="21"/>
          <w:highlight w:val="none"/>
        </w:rPr>
        <w:t>574-</w:t>
      </w:r>
      <w:r>
        <w:rPr>
          <w:rFonts w:hint="eastAsia" w:ascii="宋体" w:hAnsi="宋体" w:cs="宋体"/>
          <w:color w:val="auto"/>
          <w:szCs w:val="21"/>
          <w:highlight w:val="none"/>
        </w:rPr>
        <w:t>87101259</w:t>
      </w:r>
    </w:p>
    <w:p w14:paraId="6A9493EA">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质疑联系人：方芳</w:t>
      </w:r>
    </w:p>
    <w:p w14:paraId="60FB7117">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质疑联系方式：0574-87101271</w:t>
      </w:r>
    </w:p>
    <w:bookmarkEnd w:id="40"/>
    <w:bookmarkEnd w:id="41"/>
    <w:bookmarkEnd w:id="42"/>
    <w:bookmarkEnd w:id="43"/>
    <w:p w14:paraId="292E6D94">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olor w:val="auto"/>
          <w:szCs w:val="21"/>
          <w:highlight w:val="none"/>
        </w:rPr>
        <w:t>同级政府采购监督管理部门</w:t>
      </w:r>
    </w:p>
    <w:p w14:paraId="752E81A8">
      <w:pPr>
        <w:snapToGrid w:val="0"/>
        <w:spacing w:line="360" w:lineRule="auto"/>
        <w:ind w:firstLine="411" w:firstLineChars="196"/>
        <w:rPr>
          <w:rFonts w:ascii="宋体" w:hAnsi="宋体" w:cs="宋体"/>
          <w:color w:val="auto"/>
          <w:szCs w:val="21"/>
          <w:highlight w:val="none"/>
        </w:rPr>
      </w:pPr>
      <w:r>
        <w:rPr>
          <w:rFonts w:ascii="宋体" w:hAnsi="宋体" w:cs="宋体"/>
          <w:color w:val="auto"/>
          <w:szCs w:val="21"/>
          <w:highlight w:val="none"/>
        </w:rPr>
        <w:t>名称：浙江省政府采购行政裁决服务中心（杭州）</w:t>
      </w:r>
    </w:p>
    <w:p w14:paraId="14310165">
      <w:pPr>
        <w:snapToGrid w:val="0"/>
        <w:spacing w:line="360" w:lineRule="auto"/>
        <w:ind w:firstLine="411" w:firstLineChars="196"/>
        <w:rPr>
          <w:rFonts w:ascii="宋体" w:hAnsi="宋体" w:cs="宋体"/>
          <w:color w:val="auto"/>
          <w:szCs w:val="21"/>
          <w:highlight w:val="none"/>
        </w:rPr>
      </w:pPr>
      <w:r>
        <w:rPr>
          <w:rFonts w:ascii="宋体" w:hAnsi="宋体" w:cs="宋体"/>
          <w:color w:val="auto"/>
          <w:szCs w:val="21"/>
          <w:highlight w:val="none"/>
        </w:rPr>
        <w:t>地址：杭州市上城区清泰街549号城建综合大楼11楼</w:t>
      </w:r>
    </w:p>
    <w:p w14:paraId="370F40CE">
      <w:pPr>
        <w:snapToGrid w:val="0"/>
        <w:spacing w:line="360" w:lineRule="auto"/>
        <w:ind w:firstLine="411" w:firstLineChars="196"/>
        <w:rPr>
          <w:rFonts w:ascii="宋体" w:hAnsi="宋体" w:cs="宋体"/>
          <w:color w:val="auto"/>
          <w:szCs w:val="21"/>
          <w:highlight w:val="none"/>
        </w:rPr>
      </w:pPr>
      <w:r>
        <w:rPr>
          <w:rFonts w:ascii="宋体" w:hAnsi="宋体" w:cs="宋体"/>
          <w:color w:val="auto"/>
          <w:szCs w:val="21"/>
          <w:highlight w:val="none"/>
        </w:rPr>
        <w:t>传真：/</w:t>
      </w:r>
    </w:p>
    <w:p w14:paraId="5F35F2C1">
      <w:pPr>
        <w:snapToGrid w:val="0"/>
        <w:spacing w:line="360" w:lineRule="auto"/>
        <w:ind w:firstLine="411" w:firstLineChars="196"/>
        <w:rPr>
          <w:rFonts w:ascii="宋体" w:hAnsi="宋体" w:cs="宋体"/>
          <w:color w:val="auto"/>
          <w:szCs w:val="21"/>
          <w:highlight w:val="none"/>
        </w:rPr>
      </w:pPr>
      <w:r>
        <w:rPr>
          <w:rFonts w:ascii="宋体" w:hAnsi="宋体" w:cs="宋体"/>
          <w:color w:val="auto"/>
          <w:szCs w:val="21"/>
          <w:highlight w:val="none"/>
        </w:rPr>
        <w:t>联系人：朱老师、王老师、匡老师</w:t>
      </w:r>
    </w:p>
    <w:p w14:paraId="33AEC0BD">
      <w:pPr>
        <w:snapToGrid w:val="0"/>
        <w:spacing w:line="360" w:lineRule="auto"/>
        <w:ind w:firstLine="411" w:firstLineChars="196"/>
        <w:rPr>
          <w:rFonts w:ascii="宋体" w:hAnsi="宋体" w:cs="宋体"/>
          <w:color w:val="auto"/>
          <w:szCs w:val="21"/>
          <w:highlight w:val="none"/>
        </w:rPr>
      </w:pPr>
      <w:r>
        <w:rPr>
          <w:rFonts w:ascii="宋体" w:hAnsi="宋体" w:cs="宋体"/>
          <w:color w:val="auto"/>
          <w:szCs w:val="21"/>
          <w:highlight w:val="none"/>
        </w:rPr>
        <w:t>监督投诉电话：0571-87800218，0571-87227671</w:t>
      </w:r>
    </w:p>
    <w:p w14:paraId="5224D858">
      <w:pPr>
        <w:snapToGrid w:val="0"/>
        <w:spacing w:line="360" w:lineRule="auto"/>
        <w:ind w:firstLine="411" w:firstLineChars="196"/>
        <w:rPr>
          <w:rFonts w:ascii="宋体" w:hAnsi="宋体" w:cs="宋体"/>
          <w:color w:val="auto"/>
          <w:szCs w:val="21"/>
          <w:highlight w:val="none"/>
        </w:rPr>
      </w:pPr>
    </w:p>
    <w:p w14:paraId="6A8C7EF5">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政策咨询：何一平、冯华，0571-87058424、87055741</w:t>
      </w:r>
    </w:p>
    <w:p w14:paraId="2AEF78C9">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预算金额未达100万元的采购项目，由采购人处理采购争议。</w:t>
      </w:r>
    </w:p>
    <w:p w14:paraId="3FF9938E">
      <w:pPr>
        <w:pStyle w:val="2"/>
        <w:rPr>
          <w:rFonts w:ascii="宋体" w:hAnsi="宋体"/>
          <w:color w:val="auto"/>
          <w:highlight w:val="none"/>
        </w:rPr>
      </w:pPr>
    </w:p>
    <w:p w14:paraId="649E94F0">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若对项目采购电子交易系统操作有疑问，可登录政采云（https://www.zcygov.cn/），点击右侧咨询小采，获取采小蜜智能服务管家帮助，或拨打政采云服务热线</w:t>
      </w:r>
      <w:r>
        <w:rPr>
          <w:rFonts w:ascii="宋体" w:hAnsi="宋体"/>
          <w:color w:val="auto"/>
          <w:szCs w:val="21"/>
          <w:highlight w:val="none"/>
        </w:rPr>
        <w:t>95763</w:t>
      </w:r>
      <w:r>
        <w:rPr>
          <w:rFonts w:hint="eastAsia" w:ascii="宋体" w:hAnsi="宋体"/>
          <w:color w:val="auto"/>
          <w:szCs w:val="21"/>
          <w:highlight w:val="none"/>
        </w:rPr>
        <w:t>获取热线服务帮助。</w:t>
      </w:r>
    </w:p>
    <w:p w14:paraId="32C499AC">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CA问题联系电话（人工）：汇信CA 400-888-4636；天谷CA 400-087-8198。</w:t>
      </w:r>
    </w:p>
    <w:p w14:paraId="3B483732">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br w:type="page"/>
      </w:r>
    </w:p>
    <w:p w14:paraId="5C7A5F97">
      <w:pPr>
        <w:pStyle w:val="4"/>
        <w:rPr>
          <w:rFonts w:ascii="宋体" w:hAnsi="宋体"/>
          <w:color w:val="auto"/>
          <w:sz w:val="32"/>
          <w:highlight w:val="none"/>
        </w:rPr>
      </w:pPr>
      <w:bookmarkStart w:id="44" w:name="_Toc86053872"/>
      <w:bookmarkStart w:id="45" w:name="_Toc34844742"/>
      <w:r>
        <w:rPr>
          <w:rFonts w:hint="eastAsia" w:ascii="宋体" w:hAnsi="宋体"/>
          <w:color w:val="auto"/>
          <w:highlight w:val="none"/>
        </w:rPr>
        <w:t>第二章  采购需求</w:t>
      </w:r>
      <w:bookmarkEnd w:id="44"/>
      <w:bookmarkEnd w:id="45"/>
    </w:p>
    <w:p w14:paraId="5DB2094F">
      <w:pPr>
        <w:spacing w:line="360" w:lineRule="auto"/>
        <w:ind w:firstLine="424" w:firstLineChars="202"/>
        <w:rPr>
          <w:rFonts w:ascii="宋体" w:hAnsi="宋体"/>
          <w:b/>
          <w:color w:val="auto"/>
          <w:szCs w:val="21"/>
          <w:highlight w:val="none"/>
        </w:rPr>
      </w:pPr>
      <w:r>
        <w:rPr>
          <w:rFonts w:ascii="宋体" w:hAnsi="宋体" w:cs="Arial"/>
          <w:color w:val="auto"/>
          <w:szCs w:val="21"/>
          <w:highlight w:val="none"/>
        </w:rPr>
        <w:t>▲</w:t>
      </w:r>
      <w:r>
        <w:rPr>
          <w:rFonts w:hint="eastAsia" w:ascii="宋体" w:hAnsi="宋体"/>
          <w:b/>
          <w:color w:val="auto"/>
          <w:szCs w:val="21"/>
          <w:highlight w:val="none"/>
        </w:rPr>
        <w:t>一、商务要求</w:t>
      </w:r>
    </w:p>
    <w:tbl>
      <w:tblPr>
        <w:tblStyle w:val="17"/>
        <w:tblW w:w="8364" w:type="dxa"/>
        <w:tblInd w:w="108" w:type="dxa"/>
        <w:tblLayout w:type="fixed"/>
        <w:tblCellMar>
          <w:top w:w="0" w:type="dxa"/>
          <w:left w:w="108" w:type="dxa"/>
          <w:bottom w:w="0" w:type="dxa"/>
          <w:right w:w="108" w:type="dxa"/>
        </w:tblCellMar>
      </w:tblPr>
      <w:tblGrid>
        <w:gridCol w:w="709"/>
        <w:gridCol w:w="1276"/>
        <w:gridCol w:w="6379"/>
      </w:tblGrid>
      <w:tr w14:paraId="7E597135">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21BF34B">
            <w:pPr>
              <w:ind w:firstLine="32" w:firstLineChars="15"/>
              <w:jc w:val="center"/>
              <w:rPr>
                <w:rFonts w:ascii="宋体" w:hAnsi="宋体"/>
                <w:b/>
                <w:color w:val="auto"/>
                <w:highlight w:val="none"/>
              </w:rPr>
            </w:pPr>
            <w:r>
              <w:rPr>
                <w:rFonts w:hint="eastAsia" w:ascii="宋体" w:hAnsi="宋体"/>
                <w:b/>
                <w:color w:val="auto"/>
                <w:highlight w:val="none"/>
              </w:rPr>
              <w:t>序号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555144AF">
            <w:pPr>
              <w:ind w:firstLine="32" w:firstLineChars="15"/>
              <w:jc w:val="center"/>
              <w:rPr>
                <w:rFonts w:ascii="宋体" w:hAnsi="宋体"/>
                <w:b/>
                <w:color w:val="auto"/>
                <w:highlight w:val="none"/>
              </w:rPr>
            </w:pPr>
            <w:r>
              <w:rPr>
                <w:rFonts w:ascii="宋体" w:hAnsi="宋体"/>
                <w:b/>
                <w:color w:val="auto"/>
                <w:highlight w:val="none"/>
              </w:rPr>
              <w:t>项目</w:t>
            </w:r>
          </w:p>
        </w:tc>
        <w:tc>
          <w:tcPr>
            <w:tcW w:w="6379" w:type="dxa"/>
            <w:tcBorders>
              <w:top w:val="single" w:color="000000" w:sz="4" w:space="0"/>
              <w:left w:val="single" w:color="000000" w:sz="4" w:space="0"/>
              <w:bottom w:val="single" w:color="000000" w:sz="4" w:space="0"/>
              <w:right w:val="single" w:color="000000" w:sz="4" w:space="0"/>
            </w:tcBorders>
            <w:vAlign w:val="center"/>
          </w:tcPr>
          <w:p w14:paraId="29C4CF82">
            <w:pPr>
              <w:ind w:firstLine="32" w:firstLineChars="15"/>
              <w:jc w:val="center"/>
              <w:rPr>
                <w:rFonts w:ascii="宋体" w:hAnsi="宋体"/>
                <w:b/>
                <w:color w:val="auto"/>
                <w:highlight w:val="none"/>
              </w:rPr>
            </w:pPr>
            <w:r>
              <w:rPr>
                <w:rFonts w:ascii="宋体" w:hAnsi="宋体"/>
                <w:b/>
                <w:color w:val="auto"/>
                <w:highlight w:val="none"/>
              </w:rPr>
              <w:t>要求</w:t>
            </w:r>
          </w:p>
        </w:tc>
      </w:tr>
      <w:tr w14:paraId="78710DEC">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8590D4B">
            <w:pPr>
              <w:jc w:val="center"/>
              <w:rPr>
                <w:rFonts w:ascii="宋体" w:hAnsi="宋体"/>
                <w:color w:val="auto"/>
                <w:highlight w:val="none"/>
              </w:rPr>
            </w:pPr>
            <w:r>
              <w:rPr>
                <w:rFonts w:ascii="宋体" w:hAnsi="宋体"/>
                <w:color w:val="auto"/>
                <w:highlight w:val="none"/>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1B5FC6A6">
            <w:pPr>
              <w:jc w:val="center"/>
              <w:rPr>
                <w:rFonts w:ascii="宋体" w:hAnsi="宋体" w:cs="宋体"/>
                <w:color w:val="auto"/>
                <w:szCs w:val="21"/>
                <w:highlight w:val="none"/>
              </w:rPr>
            </w:pPr>
            <w:r>
              <w:rPr>
                <w:rFonts w:hint="eastAsia" w:ascii="宋体" w:hAnsi="宋体" w:cs="宋体"/>
                <w:color w:val="auto"/>
                <w:szCs w:val="21"/>
                <w:highlight w:val="none"/>
              </w:rPr>
              <w:t>工程缺陷责任期</w:t>
            </w:r>
          </w:p>
        </w:tc>
        <w:tc>
          <w:tcPr>
            <w:tcW w:w="6379" w:type="dxa"/>
            <w:tcBorders>
              <w:top w:val="single" w:color="000000" w:sz="4" w:space="0"/>
              <w:left w:val="single" w:color="000000" w:sz="4" w:space="0"/>
              <w:bottom w:val="single" w:color="000000" w:sz="4" w:space="0"/>
              <w:right w:val="single" w:color="000000" w:sz="4" w:space="0"/>
            </w:tcBorders>
            <w:vAlign w:val="center"/>
          </w:tcPr>
          <w:p w14:paraId="44547DF6">
            <w:pPr>
              <w:adjustRightInd w:val="0"/>
              <w:snapToGrid w:val="0"/>
              <w:rPr>
                <w:rFonts w:ascii="宋体" w:hAnsi="宋体" w:cs="宋体"/>
                <w:color w:val="auto"/>
                <w:szCs w:val="21"/>
                <w:highlight w:val="none"/>
              </w:rPr>
            </w:pPr>
            <w:r>
              <w:rPr>
                <w:rFonts w:hint="eastAsia" w:ascii="宋体" w:hAnsi="宋体" w:cs="宋体"/>
                <w:color w:val="auto"/>
                <w:szCs w:val="21"/>
                <w:highlight w:val="none"/>
              </w:rPr>
              <w:t>自整体项目竣工并验收合格之日起</w:t>
            </w:r>
            <w:r>
              <w:rPr>
                <w:rFonts w:ascii="宋体" w:hAnsi="宋体" w:cs="宋体"/>
                <w:color w:val="auto"/>
                <w:szCs w:val="21"/>
                <w:highlight w:val="none"/>
              </w:rPr>
              <w:t>2</w:t>
            </w:r>
            <w:r>
              <w:rPr>
                <w:rFonts w:hint="eastAsia" w:ascii="宋体" w:hAnsi="宋体" w:cs="宋体"/>
                <w:color w:val="auto"/>
                <w:szCs w:val="21"/>
                <w:highlight w:val="none"/>
              </w:rPr>
              <w:t>年</w:t>
            </w:r>
            <w:r>
              <w:rPr>
                <w:rFonts w:hint="eastAsia" w:ascii="宋体" w:hAnsi="宋体"/>
                <w:color w:val="auto"/>
                <w:highlight w:val="none"/>
              </w:rPr>
              <w:t>，防水部位</w:t>
            </w:r>
            <w:r>
              <w:rPr>
                <w:rFonts w:ascii="宋体" w:hAnsi="宋体"/>
                <w:color w:val="auto"/>
                <w:highlight w:val="none"/>
              </w:rPr>
              <w:t>5</w:t>
            </w:r>
            <w:r>
              <w:rPr>
                <w:rFonts w:hint="eastAsia" w:ascii="宋体" w:hAnsi="宋体"/>
                <w:color w:val="auto"/>
                <w:highlight w:val="none"/>
              </w:rPr>
              <w:t>年。</w:t>
            </w:r>
          </w:p>
        </w:tc>
      </w:tr>
      <w:tr w14:paraId="1D047AB7">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430027C">
            <w:pPr>
              <w:jc w:val="center"/>
              <w:rPr>
                <w:rFonts w:ascii="宋体" w:hAnsi="宋体"/>
                <w:color w:val="auto"/>
                <w:highlight w:val="none"/>
              </w:rPr>
            </w:pPr>
            <w:r>
              <w:rPr>
                <w:rFonts w:ascii="宋体" w:hAnsi="宋体"/>
                <w:color w:val="auto"/>
                <w:highlight w:val="none"/>
              </w:rPr>
              <w:t>2</w:t>
            </w:r>
          </w:p>
        </w:tc>
        <w:tc>
          <w:tcPr>
            <w:tcW w:w="1276" w:type="dxa"/>
            <w:tcBorders>
              <w:top w:val="single" w:color="000000" w:sz="4" w:space="0"/>
              <w:left w:val="single" w:color="000000" w:sz="4" w:space="0"/>
              <w:bottom w:val="single" w:color="000000" w:sz="4" w:space="0"/>
              <w:right w:val="single" w:color="000000" w:sz="4" w:space="0"/>
            </w:tcBorders>
            <w:vAlign w:val="center"/>
          </w:tcPr>
          <w:p w14:paraId="60DC0A50">
            <w:pPr>
              <w:rPr>
                <w:rFonts w:ascii="宋体" w:hAnsi="宋体"/>
                <w:color w:val="auto"/>
                <w:highlight w:val="none"/>
              </w:rPr>
            </w:pPr>
            <w:r>
              <w:rPr>
                <w:rFonts w:hint="eastAsia" w:ascii="宋体" w:hAnsi="宋体"/>
                <w:color w:val="auto"/>
                <w:highlight w:val="none"/>
              </w:rPr>
              <w:t>实施地点</w:t>
            </w:r>
          </w:p>
        </w:tc>
        <w:tc>
          <w:tcPr>
            <w:tcW w:w="6379" w:type="dxa"/>
            <w:tcBorders>
              <w:top w:val="single" w:color="000000" w:sz="4" w:space="0"/>
              <w:left w:val="single" w:color="000000" w:sz="4" w:space="0"/>
              <w:bottom w:val="single" w:color="000000" w:sz="4" w:space="0"/>
              <w:right w:val="single" w:color="000000" w:sz="4" w:space="0"/>
            </w:tcBorders>
            <w:vAlign w:val="center"/>
          </w:tcPr>
          <w:p w14:paraId="748492E6">
            <w:pPr>
              <w:rPr>
                <w:rFonts w:ascii="宋体" w:hAnsi="宋体"/>
                <w:color w:val="auto"/>
                <w:highlight w:val="none"/>
              </w:rPr>
            </w:pPr>
            <w:r>
              <w:rPr>
                <w:rFonts w:hint="eastAsia" w:ascii="宋体" w:hAnsi="宋体"/>
                <w:color w:val="auto"/>
                <w:szCs w:val="21"/>
                <w:highlight w:val="none"/>
              </w:rPr>
              <w:t>宁波市机场路1988号</w:t>
            </w:r>
          </w:p>
        </w:tc>
      </w:tr>
      <w:tr w14:paraId="7EB48798">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FE48D61">
            <w:pPr>
              <w:jc w:val="center"/>
              <w:rPr>
                <w:rFonts w:ascii="宋体" w:hAnsi="宋体"/>
                <w:color w:val="auto"/>
                <w:highlight w:val="none"/>
              </w:rPr>
            </w:pPr>
            <w:r>
              <w:rPr>
                <w:rFonts w:ascii="宋体" w:hAnsi="宋体"/>
                <w:color w:val="auto"/>
                <w:highlight w:val="none"/>
              </w:rPr>
              <w:t>3</w:t>
            </w:r>
          </w:p>
        </w:tc>
        <w:tc>
          <w:tcPr>
            <w:tcW w:w="1276" w:type="dxa"/>
            <w:tcBorders>
              <w:top w:val="single" w:color="000000" w:sz="4" w:space="0"/>
              <w:left w:val="single" w:color="000000" w:sz="4" w:space="0"/>
              <w:bottom w:val="single" w:color="000000" w:sz="4" w:space="0"/>
              <w:right w:val="single" w:color="000000" w:sz="4" w:space="0"/>
            </w:tcBorders>
            <w:vAlign w:val="center"/>
          </w:tcPr>
          <w:p w14:paraId="0E10A659">
            <w:pPr>
              <w:rPr>
                <w:rFonts w:ascii="宋体" w:hAnsi="宋体" w:cs="宋体"/>
                <w:color w:val="auto"/>
                <w:kern w:val="0"/>
                <w:szCs w:val="21"/>
                <w:highlight w:val="none"/>
                <w:lang w:bidi="ar"/>
              </w:rPr>
            </w:pPr>
            <w:r>
              <w:rPr>
                <w:rFonts w:hint="eastAsia" w:ascii="宋体" w:hAnsi="宋体"/>
                <w:color w:val="auto"/>
                <w:highlight w:val="none"/>
              </w:rPr>
              <w:t>安全要求</w:t>
            </w:r>
          </w:p>
        </w:tc>
        <w:tc>
          <w:tcPr>
            <w:tcW w:w="6379" w:type="dxa"/>
            <w:tcBorders>
              <w:top w:val="single" w:color="000000" w:sz="4" w:space="0"/>
              <w:left w:val="single" w:color="000000" w:sz="4" w:space="0"/>
              <w:bottom w:val="single" w:color="000000" w:sz="4" w:space="0"/>
              <w:right w:val="single" w:color="000000" w:sz="4" w:space="0"/>
            </w:tcBorders>
            <w:vAlign w:val="center"/>
          </w:tcPr>
          <w:p w14:paraId="2FCA4B39">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合格，无安全事故。</w:t>
            </w:r>
          </w:p>
        </w:tc>
      </w:tr>
      <w:tr w14:paraId="7C6D6B9A">
        <w:tblPrEx>
          <w:tblCellMar>
            <w:top w:w="0" w:type="dxa"/>
            <w:left w:w="108" w:type="dxa"/>
            <w:bottom w:w="0" w:type="dxa"/>
            <w:right w:w="108" w:type="dxa"/>
          </w:tblCellMar>
        </w:tblPrEx>
        <w:trPr>
          <w:trHeight w:val="1611"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EC2D3C4">
            <w:pPr>
              <w:jc w:val="center"/>
              <w:rPr>
                <w:rFonts w:ascii="宋体" w:hAnsi="宋体"/>
                <w:color w:val="auto"/>
                <w:highlight w:val="none"/>
              </w:rPr>
            </w:pPr>
            <w:r>
              <w:rPr>
                <w:rFonts w:ascii="宋体" w:hAnsi="宋体"/>
                <w:color w:val="auto"/>
                <w:highlight w:val="none"/>
              </w:rPr>
              <w:t>4</w:t>
            </w:r>
          </w:p>
        </w:tc>
        <w:tc>
          <w:tcPr>
            <w:tcW w:w="1276" w:type="dxa"/>
            <w:tcBorders>
              <w:top w:val="single" w:color="000000" w:sz="4" w:space="0"/>
              <w:left w:val="single" w:color="000000" w:sz="4" w:space="0"/>
              <w:bottom w:val="single" w:color="000000" w:sz="4" w:space="0"/>
              <w:right w:val="single" w:color="000000" w:sz="4" w:space="0"/>
            </w:tcBorders>
            <w:vAlign w:val="center"/>
          </w:tcPr>
          <w:p w14:paraId="434308A7">
            <w:pPr>
              <w:rPr>
                <w:rFonts w:ascii="宋体" w:hAnsi="宋体"/>
                <w:color w:val="auto"/>
                <w:highlight w:val="none"/>
              </w:rPr>
            </w:pPr>
            <w:r>
              <w:rPr>
                <w:rFonts w:hint="eastAsia" w:ascii="宋体" w:hAnsi="宋体"/>
                <w:color w:val="auto"/>
                <w:highlight w:val="none"/>
              </w:rPr>
              <w:t>质量标准</w:t>
            </w:r>
          </w:p>
        </w:tc>
        <w:tc>
          <w:tcPr>
            <w:tcW w:w="6379" w:type="dxa"/>
            <w:tcBorders>
              <w:top w:val="single" w:color="000000" w:sz="4" w:space="0"/>
              <w:left w:val="single" w:color="000000" w:sz="4" w:space="0"/>
              <w:bottom w:val="single" w:color="000000" w:sz="4" w:space="0"/>
              <w:right w:val="single" w:color="000000" w:sz="4" w:space="0"/>
            </w:tcBorders>
            <w:vAlign w:val="center"/>
          </w:tcPr>
          <w:p w14:paraId="7DAFD1A5">
            <w:pPr>
              <w:rPr>
                <w:rFonts w:ascii="宋体" w:hAnsi="宋体" w:cs="宋体"/>
                <w:bCs/>
                <w:color w:val="auto"/>
                <w:highlight w:val="none"/>
              </w:rPr>
            </w:pPr>
            <w:r>
              <w:rPr>
                <w:rFonts w:hint="eastAsia" w:ascii="宋体" w:hAnsi="宋体" w:cs="宋体"/>
                <w:bCs/>
                <w:color w:val="auto"/>
                <w:highlight w:val="none"/>
              </w:rPr>
              <w:t>（1）项目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无相关标准及规范的，按照满足磋商文件采购需求的规定执行。</w:t>
            </w:r>
          </w:p>
          <w:p w14:paraId="5D0AA51F">
            <w:pPr>
              <w:rPr>
                <w:rFonts w:ascii="宋体" w:hAnsi="宋体" w:cs="宋体"/>
                <w:bCs/>
                <w:color w:val="auto"/>
                <w:highlight w:val="none"/>
              </w:rPr>
            </w:pPr>
            <w:r>
              <w:rPr>
                <w:rFonts w:hint="eastAsia" w:ascii="宋体" w:hAnsi="宋体" w:cs="宋体"/>
                <w:bCs/>
                <w:color w:val="auto"/>
                <w:highlight w:val="none"/>
              </w:rPr>
              <w:t>（2）按国家施工验收规范一次性验收合格标准。</w:t>
            </w:r>
          </w:p>
        </w:tc>
      </w:tr>
      <w:tr w14:paraId="0CE1A392">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CC5EEE1">
            <w:pPr>
              <w:jc w:val="center"/>
              <w:rPr>
                <w:rFonts w:ascii="宋体" w:hAnsi="宋体"/>
                <w:color w:val="auto"/>
                <w:highlight w:val="none"/>
              </w:rPr>
            </w:pPr>
            <w:r>
              <w:rPr>
                <w:rFonts w:ascii="宋体" w:hAnsi="宋体"/>
                <w:color w:val="auto"/>
                <w:highlight w:val="none"/>
              </w:rPr>
              <w:t>5</w:t>
            </w:r>
          </w:p>
        </w:tc>
        <w:tc>
          <w:tcPr>
            <w:tcW w:w="1276" w:type="dxa"/>
            <w:tcBorders>
              <w:top w:val="single" w:color="000000" w:sz="4" w:space="0"/>
              <w:left w:val="single" w:color="000000" w:sz="4" w:space="0"/>
              <w:bottom w:val="single" w:color="000000" w:sz="4" w:space="0"/>
              <w:right w:val="single" w:color="000000" w:sz="4" w:space="0"/>
            </w:tcBorders>
            <w:vAlign w:val="center"/>
          </w:tcPr>
          <w:p w14:paraId="2069F200">
            <w:pPr>
              <w:rPr>
                <w:rFonts w:ascii="宋体" w:hAnsi="宋体"/>
                <w:color w:val="auto"/>
                <w:highlight w:val="none"/>
              </w:rPr>
            </w:pPr>
            <w:r>
              <w:rPr>
                <w:rFonts w:hint="eastAsia" w:ascii="宋体" w:hAnsi="宋体"/>
                <w:color w:val="auto"/>
                <w:highlight w:val="none"/>
              </w:rPr>
              <w:t>验收</w:t>
            </w:r>
          </w:p>
        </w:tc>
        <w:tc>
          <w:tcPr>
            <w:tcW w:w="6379" w:type="dxa"/>
            <w:tcBorders>
              <w:top w:val="single" w:color="000000" w:sz="4" w:space="0"/>
              <w:left w:val="single" w:color="000000" w:sz="4" w:space="0"/>
              <w:bottom w:val="single" w:color="000000" w:sz="4" w:space="0"/>
              <w:right w:val="single" w:color="000000" w:sz="4" w:space="0"/>
            </w:tcBorders>
            <w:vAlign w:val="center"/>
          </w:tcPr>
          <w:p w14:paraId="1B75AFB0">
            <w:pPr>
              <w:rPr>
                <w:rFonts w:ascii="宋体" w:hAnsi="宋体" w:cs="宋体"/>
                <w:bCs/>
                <w:color w:val="auto"/>
                <w:highlight w:val="none"/>
              </w:rPr>
            </w:pPr>
            <w:r>
              <w:rPr>
                <w:rFonts w:hint="eastAsia" w:ascii="宋体" w:hAnsi="宋体" w:cs="宋体"/>
                <w:bCs/>
                <w:color w:val="auto"/>
                <w:highlight w:val="none"/>
              </w:rPr>
              <w:t>双方按照确定的技术标准进行验收。验收前，乙方应向甲方提交所有验收必备资料。</w:t>
            </w:r>
          </w:p>
        </w:tc>
      </w:tr>
      <w:tr w14:paraId="64E1D937">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74CC718">
            <w:pPr>
              <w:jc w:val="center"/>
              <w:rPr>
                <w:rFonts w:ascii="宋体" w:hAnsi="宋体"/>
                <w:color w:val="auto"/>
                <w:highlight w:val="none"/>
              </w:rPr>
            </w:pPr>
            <w:r>
              <w:rPr>
                <w:rFonts w:ascii="宋体" w:hAnsi="宋体"/>
                <w:color w:val="auto"/>
                <w:highlight w:val="none"/>
              </w:rPr>
              <w:t>6</w:t>
            </w:r>
          </w:p>
        </w:tc>
        <w:tc>
          <w:tcPr>
            <w:tcW w:w="1276" w:type="dxa"/>
            <w:tcBorders>
              <w:top w:val="single" w:color="000000" w:sz="4" w:space="0"/>
              <w:left w:val="single" w:color="000000" w:sz="4" w:space="0"/>
              <w:bottom w:val="single" w:color="000000" w:sz="4" w:space="0"/>
              <w:right w:val="single" w:color="000000" w:sz="4" w:space="0"/>
            </w:tcBorders>
            <w:vAlign w:val="center"/>
          </w:tcPr>
          <w:p w14:paraId="677EC041">
            <w:pPr>
              <w:rPr>
                <w:rFonts w:ascii="宋体" w:hAnsi="宋体"/>
                <w:color w:val="auto"/>
                <w:highlight w:val="none"/>
              </w:rPr>
            </w:pPr>
            <w:r>
              <w:rPr>
                <w:rFonts w:hint="eastAsia" w:ascii="宋体" w:hAnsi="宋体"/>
                <w:color w:val="auto"/>
                <w:highlight w:val="none"/>
              </w:rPr>
              <w:t>签订合同时间</w:t>
            </w:r>
          </w:p>
        </w:tc>
        <w:tc>
          <w:tcPr>
            <w:tcW w:w="6379" w:type="dxa"/>
            <w:tcBorders>
              <w:top w:val="single" w:color="000000" w:sz="4" w:space="0"/>
              <w:left w:val="single" w:color="000000" w:sz="4" w:space="0"/>
              <w:bottom w:val="single" w:color="000000" w:sz="4" w:space="0"/>
              <w:right w:val="single" w:color="000000" w:sz="4" w:space="0"/>
            </w:tcBorders>
            <w:vAlign w:val="center"/>
          </w:tcPr>
          <w:p w14:paraId="04A263F8">
            <w:pPr>
              <w:rPr>
                <w:rFonts w:ascii="宋体" w:hAnsi="宋体"/>
                <w:color w:val="auto"/>
                <w:highlight w:val="none"/>
              </w:rPr>
            </w:pPr>
            <w:r>
              <w:rPr>
                <w:rFonts w:hint="eastAsia" w:ascii="宋体" w:hAnsi="宋体"/>
                <w:color w:val="auto"/>
                <w:highlight w:val="none"/>
              </w:rPr>
              <w:t>采购人在成交通知书发出之日起30日内与成交供应商签订书面合同，具体签约时间以采购人通知为准。</w:t>
            </w:r>
          </w:p>
        </w:tc>
      </w:tr>
      <w:tr w14:paraId="7604C802">
        <w:tblPrEx>
          <w:tblCellMar>
            <w:top w:w="0" w:type="dxa"/>
            <w:left w:w="108" w:type="dxa"/>
            <w:bottom w:w="0" w:type="dxa"/>
            <w:right w:w="108"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756EEB1">
            <w:pPr>
              <w:jc w:val="center"/>
              <w:rPr>
                <w:rFonts w:ascii="宋体" w:hAnsi="宋体"/>
                <w:color w:val="auto"/>
                <w:highlight w:val="none"/>
              </w:rPr>
            </w:pPr>
            <w:r>
              <w:rPr>
                <w:rFonts w:ascii="宋体" w:hAnsi="宋体"/>
                <w:color w:val="auto"/>
                <w:highlight w:val="none"/>
              </w:rPr>
              <w:t>7</w:t>
            </w:r>
          </w:p>
        </w:tc>
        <w:tc>
          <w:tcPr>
            <w:tcW w:w="1276" w:type="dxa"/>
            <w:tcBorders>
              <w:top w:val="single" w:color="000000" w:sz="4" w:space="0"/>
              <w:left w:val="single" w:color="000000" w:sz="4" w:space="0"/>
              <w:bottom w:val="single" w:color="000000" w:sz="4" w:space="0"/>
              <w:right w:val="single" w:color="000000" w:sz="4" w:space="0"/>
            </w:tcBorders>
            <w:vAlign w:val="center"/>
          </w:tcPr>
          <w:p w14:paraId="6D0FE2BA">
            <w:pPr>
              <w:rPr>
                <w:rFonts w:ascii="宋体" w:hAnsi="宋体"/>
                <w:color w:val="auto"/>
                <w:highlight w:val="none"/>
              </w:rPr>
            </w:pPr>
            <w:r>
              <w:rPr>
                <w:rFonts w:hint="eastAsia" w:ascii="宋体" w:hAnsi="宋体"/>
                <w:color w:val="auto"/>
                <w:highlight w:val="none"/>
              </w:rPr>
              <w:t>合同款项支付条件及方式</w:t>
            </w:r>
          </w:p>
        </w:tc>
        <w:tc>
          <w:tcPr>
            <w:tcW w:w="6379" w:type="dxa"/>
            <w:tcBorders>
              <w:top w:val="single" w:color="000000" w:sz="4" w:space="0"/>
              <w:left w:val="single" w:color="000000" w:sz="4" w:space="0"/>
              <w:bottom w:val="single" w:color="000000" w:sz="4" w:space="0"/>
              <w:right w:val="single" w:color="000000" w:sz="4" w:space="0"/>
            </w:tcBorders>
            <w:vAlign w:val="center"/>
          </w:tcPr>
          <w:p w14:paraId="1579DF07">
            <w:pPr>
              <w:pStyle w:val="24"/>
              <w:spacing w:line="240" w:lineRule="auto"/>
              <w:rPr>
                <w:rFonts w:hAnsi="宋体" w:cs="宋体"/>
                <w:b w:val="0"/>
                <w:color w:val="auto"/>
                <w:kern w:val="0"/>
                <w:sz w:val="21"/>
                <w:szCs w:val="21"/>
                <w:highlight w:val="none"/>
              </w:rPr>
            </w:pPr>
            <w:r>
              <w:rPr>
                <w:rFonts w:hint="eastAsia" w:hAnsi="宋体" w:cs="宋体"/>
                <w:b w:val="0"/>
                <w:color w:val="auto"/>
                <w:kern w:val="0"/>
                <w:sz w:val="21"/>
                <w:szCs w:val="21"/>
                <w:highlight w:val="none"/>
              </w:rPr>
              <w:t>（</w:t>
            </w:r>
            <w:r>
              <w:rPr>
                <w:rFonts w:hAnsi="宋体" w:cs="宋体"/>
                <w:b w:val="0"/>
                <w:color w:val="auto"/>
                <w:kern w:val="0"/>
                <w:sz w:val="21"/>
                <w:szCs w:val="21"/>
                <w:highlight w:val="none"/>
              </w:rPr>
              <w:t>1）合同生效以及具备实施条件后7个工作日内，采购人向成交供应商支付合同总额的40%的预付款（供应商需提交银行、保险公司等金融机构出具的预付款保函或其他担保措施。供应商在签订合同时，表示无需预付款或主动要求降低预付款比例的，可不适用本条款）给学校。</w:t>
            </w:r>
          </w:p>
          <w:p w14:paraId="7F6DC0EB">
            <w:pPr>
              <w:pStyle w:val="24"/>
              <w:spacing w:line="240" w:lineRule="auto"/>
              <w:rPr>
                <w:rFonts w:hAnsi="宋体" w:cs="宋体"/>
                <w:b w:val="0"/>
                <w:bCs/>
                <w:color w:val="auto"/>
                <w:kern w:val="0"/>
                <w:sz w:val="21"/>
                <w:szCs w:val="21"/>
                <w:highlight w:val="none"/>
              </w:rPr>
            </w:pPr>
            <w:r>
              <w:rPr>
                <w:rFonts w:hint="eastAsia" w:hAnsi="宋体" w:cs="宋体"/>
                <w:b w:val="0"/>
                <w:bCs/>
                <w:color w:val="auto"/>
                <w:kern w:val="0"/>
                <w:sz w:val="21"/>
                <w:szCs w:val="21"/>
                <w:highlight w:val="none"/>
              </w:rPr>
              <w:t>（</w:t>
            </w:r>
            <w:r>
              <w:rPr>
                <w:rFonts w:hAnsi="宋体" w:cs="宋体"/>
                <w:b w:val="0"/>
                <w:bCs/>
                <w:color w:val="auto"/>
                <w:kern w:val="0"/>
                <w:sz w:val="21"/>
                <w:szCs w:val="21"/>
                <w:highlight w:val="none"/>
              </w:rPr>
              <w:t>2）项目竣工验收后支付至合同价款的80%，</w:t>
            </w:r>
            <w:r>
              <w:rPr>
                <w:rFonts w:hint="eastAsia" w:hAnsi="宋体" w:cs="宋体"/>
                <w:b w:val="0"/>
                <w:color w:val="auto"/>
                <w:kern w:val="0"/>
                <w:sz w:val="21"/>
                <w:szCs w:val="21"/>
                <w:highlight w:val="none"/>
              </w:rPr>
              <w:t>结算审核</w:t>
            </w:r>
            <w:r>
              <w:rPr>
                <w:rFonts w:hint="eastAsia" w:hAnsi="宋体" w:cs="宋体"/>
                <w:b w:val="0"/>
                <w:bCs/>
                <w:color w:val="auto"/>
                <w:kern w:val="0"/>
                <w:sz w:val="21"/>
                <w:szCs w:val="21"/>
                <w:highlight w:val="none"/>
              </w:rPr>
              <w:t>结束后支付至审定价的</w:t>
            </w:r>
            <w:r>
              <w:rPr>
                <w:rFonts w:hAnsi="宋体" w:cs="宋体"/>
                <w:b w:val="0"/>
                <w:bCs/>
                <w:color w:val="auto"/>
                <w:kern w:val="0"/>
                <w:sz w:val="21"/>
                <w:szCs w:val="21"/>
                <w:highlight w:val="none"/>
              </w:rPr>
              <w:t>100%。</w:t>
            </w:r>
          </w:p>
          <w:p w14:paraId="308EEC1C">
            <w:pPr>
              <w:pStyle w:val="24"/>
              <w:spacing w:line="240" w:lineRule="auto"/>
              <w:rPr>
                <w:rFonts w:hAnsi="宋体"/>
                <w:color w:val="auto"/>
                <w:highlight w:val="none"/>
              </w:rPr>
            </w:pPr>
            <w:r>
              <w:rPr>
                <w:rFonts w:hint="eastAsia" w:hAnsi="宋体" w:cs="宋体"/>
                <w:b w:val="0"/>
                <w:bCs/>
                <w:color w:val="auto"/>
                <w:kern w:val="0"/>
                <w:sz w:val="21"/>
                <w:szCs w:val="21"/>
                <w:highlight w:val="none"/>
                <w:lang w:val="zh-CN"/>
              </w:rPr>
              <w:t>（</w:t>
            </w:r>
            <w:r>
              <w:rPr>
                <w:rFonts w:hAnsi="宋体" w:cs="宋体"/>
                <w:b w:val="0"/>
                <w:bCs/>
                <w:color w:val="auto"/>
                <w:kern w:val="0"/>
                <w:sz w:val="21"/>
                <w:szCs w:val="21"/>
                <w:highlight w:val="none"/>
                <w:lang w:val="zh-CN"/>
              </w:rPr>
              <w:t>3）采购人为实行国库集中支付改革的单位，采购人需向财政国库支付机构提出申请支付令、办理国库支付手续，财政国库支付机构支付流程时间不计入采购人付款期限。</w:t>
            </w:r>
          </w:p>
        </w:tc>
      </w:tr>
      <w:tr w14:paraId="5E4DF430">
        <w:tblPrEx>
          <w:tblCellMar>
            <w:top w:w="0" w:type="dxa"/>
            <w:left w:w="108" w:type="dxa"/>
            <w:bottom w:w="0" w:type="dxa"/>
            <w:right w:w="108"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079ECC3">
            <w:pPr>
              <w:jc w:val="center"/>
              <w:rPr>
                <w:rFonts w:ascii="宋体" w:hAnsi="宋体"/>
                <w:color w:val="auto"/>
                <w:highlight w:val="none"/>
              </w:rPr>
            </w:pPr>
            <w:r>
              <w:rPr>
                <w:rFonts w:ascii="宋体" w:hAnsi="宋体"/>
                <w:color w:val="auto"/>
                <w:highlight w:val="none"/>
              </w:rPr>
              <w:t>8</w:t>
            </w:r>
          </w:p>
        </w:tc>
        <w:tc>
          <w:tcPr>
            <w:tcW w:w="1276" w:type="dxa"/>
            <w:tcBorders>
              <w:top w:val="single" w:color="000000" w:sz="4" w:space="0"/>
              <w:left w:val="single" w:color="000000" w:sz="4" w:space="0"/>
              <w:bottom w:val="single" w:color="000000" w:sz="4" w:space="0"/>
              <w:right w:val="single" w:color="000000" w:sz="4" w:space="0"/>
            </w:tcBorders>
            <w:vAlign w:val="center"/>
          </w:tcPr>
          <w:p w14:paraId="507CCE61">
            <w:pPr>
              <w:rPr>
                <w:rFonts w:ascii="宋体" w:hAnsi="宋体"/>
                <w:color w:val="auto"/>
                <w:highlight w:val="none"/>
              </w:rPr>
            </w:pPr>
            <w:r>
              <w:rPr>
                <w:rFonts w:hint="eastAsia" w:ascii="宋体" w:hAnsi="宋体" w:cs="宋体"/>
                <w:color w:val="auto"/>
                <w:szCs w:val="22"/>
                <w:highlight w:val="none"/>
              </w:rPr>
              <w:t>工程质量保证金金额</w:t>
            </w:r>
          </w:p>
        </w:tc>
        <w:tc>
          <w:tcPr>
            <w:tcW w:w="6379" w:type="dxa"/>
            <w:tcBorders>
              <w:top w:val="single" w:color="000000" w:sz="4" w:space="0"/>
              <w:left w:val="single" w:color="000000" w:sz="4" w:space="0"/>
              <w:bottom w:val="single" w:color="000000" w:sz="4" w:space="0"/>
              <w:right w:val="single" w:color="000000" w:sz="4" w:space="0"/>
            </w:tcBorders>
            <w:vAlign w:val="center"/>
          </w:tcPr>
          <w:p w14:paraId="5F063B66">
            <w:pPr>
              <w:rPr>
                <w:rFonts w:ascii="宋体" w:hAnsi="宋体" w:cs="宋体"/>
                <w:color w:val="auto"/>
                <w:szCs w:val="22"/>
                <w:highlight w:val="none"/>
              </w:rPr>
            </w:pPr>
            <w:r>
              <w:rPr>
                <w:rFonts w:hint="eastAsia" w:ascii="宋体" w:hAnsi="宋体" w:cs="宋体"/>
                <w:color w:val="auto"/>
                <w:szCs w:val="22"/>
                <w:highlight w:val="none"/>
              </w:rPr>
              <w:t>（</w:t>
            </w:r>
            <w:r>
              <w:rPr>
                <w:rFonts w:ascii="宋体" w:hAnsi="宋体" w:cs="宋体"/>
                <w:color w:val="auto"/>
                <w:szCs w:val="22"/>
                <w:highlight w:val="none"/>
              </w:rPr>
              <w:t>1）合同总额的1.5%。</w:t>
            </w:r>
            <w:r>
              <w:rPr>
                <w:rFonts w:hint="eastAsia" w:ascii="宋体" w:hAnsi="宋体" w:cs="宋体"/>
                <w:color w:val="auto"/>
                <w:szCs w:val="22"/>
                <w:highlight w:val="none"/>
              </w:rPr>
              <w:t>乙方最迟在缺陷责任期开始前7日内向甲方提交质量保证金。</w:t>
            </w:r>
          </w:p>
          <w:p w14:paraId="0D21A1EF">
            <w:pPr>
              <w:rPr>
                <w:rFonts w:ascii="宋体" w:hAnsi="宋体"/>
                <w:color w:val="auto"/>
                <w:highlight w:val="none"/>
              </w:rPr>
            </w:pPr>
            <w:r>
              <w:rPr>
                <w:rFonts w:hint="eastAsia" w:ascii="宋体" w:hAnsi="宋体" w:cs="宋体"/>
                <w:color w:val="auto"/>
                <w:szCs w:val="21"/>
                <w:highlight w:val="none"/>
              </w:rPr>
              <w:t>（</w:t>
            </w:r>
            <w:r>
              <w:rPr>
                <w:rFonts w:ascii="宋体" w:hAnsi="宋体" w:cs="宋体"/>
                <w:color w:val="auto"/>
                <w:szCs w:val="21"/>
                <w:highlight w:val="none"/>
              </w:rPr>
              <w:t>2）银行电汇、由金融机构出具的银行保函。</w:t>
            </w:r>
            <w:r>
              <w:rPr>
                <w:rFonts w:hint="eastAsia" w:ascii="宋体" w:hAnsi="宋体" w:cs="宋体"/>
                <w:b/>
                <w:color w:val="auto"/>
                <w:szCs w:val="21"/>
                <w:highlight w:val="none"/>
              </w:rPr>
              <w:t>不接受现金交纳形式。</w:t>
            </w:r>
          </w:p>
        </w:tc>
      </w:tr>
      <w:tr w14:paraId="3FFAC942">
        <w:tblPrEx>
          <w:tblCellMar>
            <w:top w:w="0" w:type="dxa"/>
            <w:left w:w="108" w:type="dxa"/>
            <w:bottom w:w="0" w:type="dxa"/>
            <w:right w:w="108" w:type="dxa"/>
          </w:tblCellMar>
        </w:tblPrEx>
        <w:trPr>
          <w:trHeight w:val="66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F9DAF46">
            <w:pPr>
              <w:jc w:val="center"/>
              <w:rPr>
                <w:rFonts w:ascii="宋体" w:hAnsi="宋体"/>
                <w:color w:val="auto"/>
                <w:highlight w:val="none"/>
              </w:rPr>
            </w:pPr>
            <w:r>
              <w:rPr>
                <w:rFonts w:ascii="宋体" w:hAnsi="宋体"/>
                <w:color w:val="auto"/>
                <w:highlight w:val="none"/>
              </w:rPr>
              <w:t>9</w:t>
            </w:r>
          </w:p>
        </w:tc>
        <w:tc>
          <w:tcPr>
            <w:tcW w:w="1276" w:type="dxa"/>
            <w:tcBorders>
              <w:top w:val="single" w:color="000000" w:sz="4" w:space="0"/>
              <w:left w:val="single" w:color="000000" w:sz="4" w:space="0"/>
              <w:bottom w:val="single" w:color="000000" w:sz="4" w:space="0"/>
              <w:right w:val="single" w:color="000000" w:sz="4" w:space="0"/>
            </w:tcBorders>
            <w:vAlign w:val="center"/>
          </w:tcPr>
          <w:p w14:paraId="0F5A0878">
            <w:pPr>
              <w:rPr>
                <w:rFonts w:ascii="宋体" w:hAnsi="宋体"/>
                <w:color w:val="auto"/>
                <w:highlight w:val="none"/>
              </w:rPr>
            </w:pPr>
            <w:r>
              <w:rPr>
                <w:rFonts w:hint="eastAsia" w:ascii="宋体" w:hAnsi="宋体"/>
                <w:color w:val="auto"/>
                <w:highlight w:val="none"/>
              </w:rPr>
              <w:t>履约保证金</w:t>
            </w:r>
          </w:p>
        </w:tc>
        <w:tc>
          <w:tcPr>
            <w:tcW w:w="6379" w:type="dxa"/>
            <w:tcBorders>
              <w:top w:val="single" w:color="000000" w:sz="4" w:space="0"/>
              <w:left w:val="single" w:color="000000" w:sz="4" w:space="0"/>
              <w:bottom w:val="single" w:color="000000" w:sz="4" w:space="0"/>
              <w:right w:val="single" w:color="000000" w:sz="4" w:space="0"/>
            </w:tcBorders>
            <w:vAlign w:val="center"/>
          </w:tcPr>
          <w:p w14:paraId="0C0396C6">
            <w:pPr>
              <w:rPr>
                <w:rFonts w:ascii="宋体" w:hAnsi="宋体"/>
                <w:color w:val="auto"/>
                <w:szCs w:val="21"/>
                <w:highlight w:val="none"/>
              </w:rPr>
            </w:pPr>
            <w:r>
              <w:rPr>
                <w:rFonts w:hint="eastAsia" w:ascii="宋体" w:hAnsi="宋体"/>
                <w:color w:val="auto"/>
                <w:szCs w:val="21"/>
                <w:highlight w:val="none"/>
              </w:rPr>
              <w:t>(1)履约保证金金额：合同金额的 1%。</w:t>
            </w:r>
          </w:p>
          <w:p w14:paraId="00BBDFBB">
            <w:pPr>
              <w:rPr>
                <w:rFonts w:ascii="宋体" w:hAnsi="宋体"/>
                <w:color w:val="auto"/>
                <w:szCs w:val="21"/>
                <w:highlight w:val="none"/>
              </w:rPr>
            </w:pPr>
            <w:r>
              <w:rPr>
                <w:rFonts w:hint="eastAsia" w:ascii="宋体" w:hAnsi="宋体"/>
                <w:color w:val="auto"/>
                <w:szCs w:val="21"/>
                <w:highlight w:val="none"/>
              </w:rPr>
              <w:t>(2)履约保证金形式：以转账、支票、汇票、本票或者金融机构、担保机构出具的保函等非现金形式提交。</w:t>
            </w:r>
          </w:p>
          <w:p w14:paraId="4282CC72">
            <w:pPr>
              <w:rPr>
                <w:rFonts w:ascii="宋体" w:hAnsi="宋体"/>
                <w:color w:val="auto"/>
                <w:szCs w:val="21"/>
                <w:highlight w:val="none"/>
              </w:rPr>
            </w:pPr>
            <w:r>
              <w:rPr>
                <w:rFonts w:hint="eastAsia" w:ascii="宋体" w:hAnsi="宋体"/>
                <w:color w:val="auto"/>
                <w:szCs w:val="21"/>
                <w:highlight w:val="none"/>
              </w:rPr>
              <w:t>(3)履约保证金收件人：浙江工商职业技术学院。</w:t>
            </w:r>
          </w:p>
          <w:p w14:paraId="2EE9FE25">
            <w:pPr>
              <w:rPr>
                <w:rFonts w:ascii="宋体" w:hAnsi="宋体"/>
                <w:color w:val="auto"/>
                <w:szCs w:val="21"/>
                <w:highlight w:val="none"/>
              </w:rPr>
            </w:pPr>
            <w:r>
              <w:rPr>
                <w:rFonts w:hint="eastAsia" w:ascii="宋体" w:hAnsi="宋体"/>
                <w:color w:val="auto"/>
                <w:szCs w:val="21"/>
                <w:highlight w:val="none"/>
              </w:rPr>
              <w:t>(4)提交时间：成交供应商于合同签订后 10 个工作日内提交。</w:t>
            </w:r>
          </w:p>
          <w:p w14:paraId="61C79061">
            <w:pPr>
              <w:rPr>
                <w:rFonts w:ascii="宋体" w:hAnsi="宋体"/>
                <w:color w:val="auto"/>
                <w:szCs w:val="21"/>
                <w:highlight w:val="none"/>
              </w:rPr>
            </w:pPr>
            <w:r>
              <w:rPr>
                <w:rFonts w:hint="eastAsia" w:ascii="宋体" w:hAnsi="宋体"/>
                <w:color w:val="auto"/>
                <w:szCs w:val="21"/>
                <w:highlight w:val="none"/>
              </w:rPr>
              <w:t>(5)履约保证金退还：履约担保在工程验收合格后 10 日内根据实际履约情况退还。</w:t>
            </w:r>
          </w:p>
        </w:tc>
      </w:tr>
      <w:tr w14:paraId="35CBCAD4">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307B1A9">
            <w:pPr>
              <w:jc w:val="center"/>
              <w:rPr>
                <w:rFonts w:ascii="宋体" w:hAnsi="宋体"/>
                <w:color w:val="auto"/>
                <w:highlight w:val="none"/>
              </w:rPr>
            </w:pPr>
            <w:r>
              <w:rPr>
                <w:rFonts w:ascii="宋体" w:hAnsi="宋体"/>
                <w:color w:val="auto"/>
                <w:highlight w:val="none"/>
              </w:rPr>
              <w:t>10</w:t>
            </w:r>
          </w:p>
        </w:tc>
        <w:tc>
          <w:tcPr>
            <w:tcW w:w="1276" w:type="dxa"/>
            <w:tcBorders>
              <w:top w:val="single" w:color="000000" w:sz="4" w:space="0"/>
              <w:left w:val="single" w:color="000000" w:sz="4" w:space="0"/>
              <w:bottom w:val="single" w:color="000000" w:sz="4" w:space="0"/>
              <w:right w:val="single" w:color="000000" w:sz="4" w:space="0"/>
            </w:tcBorders>
            <w:vAlign w:val="center"/>
          </w:tcPr>
          <w:p w14:paraId="29375B37">
            <w:pPr>
              <w:rPr>
                <w:rFonts w:ascii="宋体" w:hAnsi="宋体"/>
                <w:color w:val="auto"/>
                <w:highlight w:val="none"/>
              </w:rPr>
            </w:pPr>
            <w:r>
              <w:rPr>
                <w:rFonts w:hint="eastAsia" w:ascii="宋体" w:hAnsi="宋体"/>
                <w:color w:val="auto"/>
                <w:highlight w:val="none"/>
              </w:rPr>
              <w:t>发票要求</w:t>
            </w:r>
          </w:p>
        </w:tc>
        <w:tc>
          <w:tcPr>
            <w:tcW w:w="6379" w:type="dxa"/>
            <w:tcBorders>
              <w:top w:val="single" w:color="000000" w:sz="4" w:space="0"/>
              <w:left w:val="single" w:color="000000" w:sz="4" w:space="0"/>
              <w:bottom w:val="single" w:color="000000" w:sz="4" w:space="0"/>
              <w:right w:val="single" w:color="000000" w:sz="4" w:space="0"/>
            </w:tcBorders>
            <w:vAlign w:val="center"/>
          </w:tcPr>
          <w:p w14:paraId="4BB31702">
            <w:pPr>
              <w:rPr>
                <w:rFonts w:ascii="宋体" w:hAnsi="宋体"/>
                <w:color w:val="auto"/>
                <w:highlight w:val="none"/>
              </w:rPr>
            </w:pPr>
            <w:r>
              <w:rPr>
                <w:rFonts w:hint="eastAsia" w:ascii="宋体" w:hAnsi="宋体"/>
                <w:color w:val="auto"/>
                <w:highlight w:val="none"/>
              </w:rPr>
              <w:t>（1）成交供应商应在采购人支付费用前，依据相应的金额，先行向采购人提供足额且符合税法规定的发票。采购人在收到成交供应商提供的发票后在合同约定的时间内支付相应款项，否则采购人有权延迟支付而不被视为违约，亦无须承担任何责任。</w:t>
            </w:r>
          </w:p>
          <w:p w14:paraId="30869340">
            <w:pPr>
              <w:rPr>
                <w:rFonts w:ascii="宋体" w:hAnsi="宋体"/>
                <w:color w:val="auto"/>
                <w:highlight w:val="none"/>
              </w:rPr>
            </w:pPr>
            <w:r>
              <w:rPr>
                <w:rFonts w:hint="eastAsia" w:ascii="宋体" w:hAnsi="宋体"/>
                <w:color w:val="auto"/>
                <w:highlight w:val="none"/>
              </w:rPr>
              <w:t>（2）本项目合同签署的成交供应商名称与发票开具单位及收款单位必须一致，成交供应商不得以任何理由在合同执行过程中要求调整发票开具单位或收款单位（成交供应商依法变更单位名称或存在其他特殊情况符合规定要求除外），否则视为成交供应商违约并自行承担相关责任，且须承担由此对采购人造成的一切损失。</w:t>
            </w:r>
          </w:p>
        </w:tc>
      </w:tr>
      <w:tr w14:paraId="30DC123D">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630F2EA">
            <w:pPr>
              <w:jc w:val="center"/>
              <w:rPr>
                <w:rFonts w:ascii="宋体" w:hAnsi="宋体"/>
                <w:color w:val="auto"/>
                <w:highlight w:val="none"/>
              </w:rPr>
            </w:pPr>
            <w:r>
              <w:rPr>
                <w:rFonts w:ascii="宋体" w:hAnsi="宋体"/>
                <w:color w:val="auto"/>
                <w:highlight w:val="none"/>
              </w:rPr>
              <w:t>11</w:t>
            </w:r>
          </w:p>
        </w:tc>
        <w:tc>
          <w:tcPr>
            <w:tcW w:w="1276" w:type="dxa"/>
            <w:tcBorders>
              <w:top w:val="single" w:color="000000" w:sz="4" w:space="0"/>
              <w:left w:val="single" w:color="000000" w:sz="4" w:space="0"/>
              <w:bottom w:val="single" w:color="000000" w:sz="4" w:space="0"/>
              <w:right w:val="single" w:color="000000" w:sz="4" w:space="0"/>
            </w:tcBorders>
            <w:vAlign w:val="center"/>
          </w:tcPr>
          <w:p w14:paraId="7EE3FB48">
            <w:pPr>
              <w:rPr>
                <w:rFonts w:ascii="宋体" w:hAnsi="宋体"/>
                <w:color w:val="auto"/>
                <w:highlight w:val="none"/>
              </w:rPr>
            </w:pPr>
            <w:r>
              <w:rPr>
                <w:rFonts w:hint="eastAsia" w:ascii="宋体" w:hAnsi="宋体"/>
                <w:color w:val="auto"/>
                <w:highlight w:val="none"/>
              </w:rPr>
              <w:t>其他</w:t>
            </w:r>
          </w:p>
        </w:tc>
        <w:tc>
          <w:tcPr>
            <w:tcW w:w="6379" w:type="dxa"/>
            <w:tcBorders>
              <w:top w:val="single" w:color="000000" w:sz="4" w:space="0"/>
              <w:left w:val="single" w:color="000000" w:sz="4" w:space="0"/>
              <w:bottom w:val="single" w:color="000000" w:sz="4" w:space="0"/>
              <w:right w:val="single" w:color="000000" w:sz="4" w:space="0"/>
            </w:tcBorders>
            <w:vAlign w:val="center"/>
          </w:tcPr>
          <w:p w14:paraId="0B2BF82A">
            <w:pPr>
              <w:rPr>
                <w:rFonts w:ascii="宋体" w:hAnsi="宋体"/>
                <w:color w:val="auto"/>
                <w:highlight w:val="none"/>
              </w:rPr>
            </w:pPr>
            <w:r>
              <w:rPr>
                <w:rFonts w:hint="eastAsia" w:ascii="宋体" w:hAnsi="宋体"/>
                <w:color w:val="auto"/>
                <w:szCs w:val="21"/>
                <w:highlight w:val="none"/>
              </w:rPr>
              <w:t>在合同履行过程中，成交供应商应承担由于其行为所造成的采购人或第三人的人身伤害、财产损失或损坏的责任，无论何种原因所造成，与采购人无涉，由此导致的损失由成交供应商承担，无论何种原因采购人先行支付的，采购人有权向成交供应商进行追偿。</w:t>
            </w:r>
          </w:p>
        </w:tc>
      </w:tr>
      <w:tr w14:paraId="58F6080B">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5B483BB">
            <w:pPr>
              <w:jc w:val="center"/>
              <w:rPr>
                <w:rFonts w:ascii="宋体" w:hAnsi="宋体"/>
                <w:color w:val="auto"/>
                <w:highlight w:val="none"/>
              </w:rPr>
            </w:pPr>
            <w:r>
              <w:rPr>
                <w:rFonts w:ascii="宋体" w:hAnsi="宋体"/>
                <w:color w:val="auto"/>
                <w:highlight w:val="none"/>
              </w:rPr>
              <w:t>12</w:t>
            </w:r>
          </w:p>
        </w:tc>
        <w:tc>
          <w:tcPr>
            <w:tcW w:w="1276" w:type="dxa"/>
            <w:tcBorders>
              <w:top w:val="single" w:color="000000" w:sz="4" w:space="0"/>
              <w:left w:val="single" w:color="000000" w:sz="4" w:space="0"/>
              <w:bottom w:val="single" w:color="000000" w:sz="4" w:space="0"/>
              <w:right w:val="single" w:color="000000" w:sz="4" w:space="0"/>
            </w:tcBorders>
            <w:vAlign w:val="center"/>
          </w:tcPr>
          <w:p w14:paraId="792E610A">
            <w:pPr>
              <w:rPr>
                <w:rFonts w:ascii="宋体" w:hAnsi="宋体"/>
                <w:color w:val="auto"/>
                <w:highlight w:val="none"/>
              </w:rPr>
            </w:pPr>
            <w:r>
              <w:rPr>
                <w:rFonts w:hint="eastAsia" w:ascii="宋体" w:hAnsi="宋体"/>
                <w:color w:val="auto"/>
                <w:highlight w:val="none"/>
              </w:rPr>
              <w:t>知识产权要求</w:t>
            </w:r>
          </w:p>
        </w:tc>
        <w:tc>
          <w:tcPr>
            <w:tcW w:w="6379" w:type="dxa"/>
            <w:tcBorders>
              <w:top w:val="single" w:color="000000" w:sz="4" w:space="0"/>
              <w:left w:val="single" w:color="000000" w:sz="4" w:space="0"/>
              <w:bottom w:val="single" w:color="000000" w:sz="4" w:space="0"/>
              <w:right w:val="single" w:color="000000" w:sz="4" w:space="0"/>
            </w:tcBorders>
            <w:vAlign w:val="center"/>
          </w:tcPr>
          <w:p w14:paraId="034DC11C">
            <w:pPr>
              <w:rPr>
                <w:rFonts w:ascii="宋体" w:hAnsi="宋体"/>
                <w:color w:val="auto"/>
                <w:szCs w:val="28"/>
                <w:highlight w:val="none"/>
              </w:rPr>
            </w:pPr>
            <w:r>
              <w:rPr>
                <w:rFonts w:hint="eastAsia" w:ascii="宋体" w:hAnsi="宋体"/>
                <w:color w:val="auto"/>
                <w:szCs w:val="21"/>
                <w:highlight w:val="none"/>
              </w:rPr>
              <w:t>供应商提供的产品未侵犯他人的知识产权。</w:t>
            </w:r>
          </w:p>
        </w:tc>
      </w:tr>
    </w:tbl>
    <w:p w14:paraId="719F62AA">
      <w:pPr>
        <w:spacing w:before="120" w:beforeLines="50" w:line="360" w:lineRule="auto"/>
        <w:ind w:firstLine="426" w:firstLineChars="202"/>
        <w:rPr>
          <w:rFonts w:ascii="宋体" w:hAnsi="宋体" w:cs="宋体"/>
          <w:b/>
          <w:bCs/>
          <w:color w:val="auto"/>
          <w:highlight w:val="none"/>
          <w:lang w:val="zh-CN"/>
        </w:rPr>
      </w:pPr>
      <w:bookmarkStart w:id="46" w:name="_Toc7729"/>
      <w:r>
        <w:rPr>
          <w:rFonts w:hint="eastAsia" w:ascii="宋体" w:hAnsi="宋体" w:cs="宋体"/>
          <w:b/>
          <w:bCs/>
          <w:color w:val="auto"/>
          <w:highlight w:val="none"/>
          <w:lang w:val="zh-CN"/>
        </w:rPr>
        <w:t>二、工程概况：</w:t>
      </w:r>
    </w:p>
    <w:p w14:paraId="0A990E58">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1.项目名称：浙江工商职业技术学院学生文体活动中心改造项目</w:t>
      </w:r>
    </w:p>
    <w:p w14:paraId="2CC7FFBD">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（一）工程内容主要包括：浙江工商职业技术学院学生文体活动中心改造。</w:t>
      </w:r>
    </w:p>
    <w:p w14:paraId="0FAAD13A">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（二）工程规模及内容：详见施工图纸、工程量清单及现场勘查。</w:t>
      </w:r>
    </w:p>
    <w:p w14:paraId="27295033">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2.承包方式：本工程承包方式采用包工包料，成交供应商应按磋商文件的要求实行造价、质量、工期、安全、文明施工管理等全面承包方式。</w:t>
      </w:r>
    </w:p>
    <w:p w14:paraId="76F67BDB">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3.现场条件和现场踏勘</w:t>
      </w:r>
    </w:p>
    <w:p w14:paraId="68FA7DC3">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（1）现场具备施工条件。</w:t>
      </w:r>
    </w:p>
    <w:p w14:paraId="6CB78FC2">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2）成交供应商应自行对工程现场和周围环境进行踏勘和了解，以获取有关编制响应文件和签署合同所需的各种资料，并应充分考虑影响磋商报价的因素、预计实施过程中各种不利因素，由此可能发生的费用均由供应商考虑并包含在磋商报价中。成交后，成交供应商不得再以不完全了解现场情况等为理由而提出额外付款或延长工期等要求，若有此类要求，采购人将不作任何答复与考虑，供应商应承担现场踏勘的责任和风险，踏勘现场的费用由供应商自行承担。</w:t>
      </w:r>
    </w:p>
    <w:p w14:paraId="5912F139">
      <w:pPr>
        <w:spacing w:line="360" w:lineRule="auto"/>
        <w:ind w:firstLine="426" w:firstLineChars="202"/>
        <w:rPr>
          <w:rFonts w:ascii="宋体" w:hAnsi="宋体" w:cs="宋体"/>
          <w:b/>
          <w:color w:val="auto"/>
          <w:highlight w:val="none"/>
          <w:lang w:val="zh-CN"/>
        </w:rPr>
      </w:pPr>
      <w:r>
        <w:rPr>
          <w:rFonts w:hint="eastAsia" w:ascii="宋体" w:hAnsi="宋体" w:cs="宋体"/>
          <w:b/>
          <w:color w:val="auto"/>
          <w:highlight w:val="none"/>
          <w:lang w:val="zh-CN"/>
        </w:rPr>
        <w:t>三、工期要求及奖罚措施</w:t>
      </w:r>
    </w:p>
    <w:p w14:paraId="46BCF957">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1.工期要求：合同生效后45日历天内。</w:t>
      </w:r>
    </w:p>
    <w:p w14:paraId="5AB64C14">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2.供应商根据自身情况填写响应工期。工期从开工之日开始至本工程磋商范围内容全部完工，并通过竣工验收之日止。如遇不可抗力因素或非供应商的原因不能正常施工，经采购人签字同意后，工期顺延计算。因供应商原因导致工期延误，逾期竣工5天以内的按10000元人民币/天扣除工期延误费，逾期竣工5天以上的，则以上天数按20000元人民币/天计算，逾期竣工10天以上的，则以上天数按100000元人民币/天计算，（以上含本数，以下不含）。</w:t>
      </w:r>
    </w:p>
    <w:p w14:paraId="1E91946D">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3.从开工之日起5天没有进场施工的，视为供应商自动放弃，采购人有权上报浙江省财政厅并另行确定施工单位。</w:t>
      </w:r>
    </w:p>
    <w:p w14:paraId="51F7E86C">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4.竣工日期以监理单位和采购人批复的竣工验收申请日期为准。</w:t>
      </w:r>
    </w:p>
    <w:p w14:paraId="2E9C545F">
      <w:pPr>
        <w:spacing w:line="360" w:lineRule="auto"/>
        <w:ind w:firstLine="426" w:firstLineChars="202"/>
        <w:rPr>
          <w:rFonts w:ascii="宋体" w:hAnsi="宋体" w:cs="宋体"/>
          <w:b/>
          <w:color w:val="auto"/>
          <w:highlight w:val="none"/>
          <w:lang w:val="zh-CN"/>
        </w:rPr>
      </w:pPr>
      <w:r>
        <w:rPr>
          <w:rFonts w:hint="eastAsia" w:ascii="宋体" w:hAnsi="宋体" w:cs="宋体"/>
          <w:b/>
          <w:color w:val="auto"/>
          <w:highlight w:val="none"/>
          <w:lang w:val="zh-CN"/>
        </w:rPr>
        <w:t>四、质量及保修要求</w:t>
      </w:r>
    </w:p>
    <w:p w14:paraId="3E5D91E2">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1.供应商必须严格按照有关现行施工规范精心组织施工，严格把好各道施工工序的质量关，杜绝工程质量事故。</w:t>
      </w:r>
    </w:p>
    <w:p w14:paraId="26B26EFC">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2.在施工过程中，由于供应商原因造成采购人财物损毁由供应商自行负责。</w:t>
      </w:r>
    </w:p>
    <w:p w14:paraId="265871E5">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3.本工程的保修范围和期限按《建设工程质量管理条例》（国务院令第279号）及《房屋建筑工程质量保修办法》（建设部令第80号）规定：“在正常使用条件下，房屋建筑工程的最低保修期限为：地基基础工程和主体结构工程，为设计文件规定的该工程的合理使用年限；屋面防水工程、有防水要求的卫生间、房间和外墙面的防渗漏，为5年；供热与供冷系统，为2个采暖期、供冷期；电气管线、给排水管道、设备安装为2年；装修工程为2年。其他项目的保修期限由建设单位和施工单位约定。”</w:t>
      </w:r>
    </w:p>
    <w:p w14:paraId="2A162872">
      <w:pPr>
        <w:spacing w:line="360" w:lineRule="auto"/>
        <w:ind w:firstLine="426" w:firstLineChars="202"/>
        <w:rPr>
          <w:rFonts w:ascii="宋体" w:hAnsi="宋体" w:cs="宋体"/>
          <w:b/>
          <w:color w:val="auto"/>
          <w:highlight w:val="none"/>
          <w:lang w:val="zh-CN"/>
        </w:rPr>
      </w:pPr>
      <w:r>
        <w:rPr>
          <w:rFonts w:hint="eastAsia" w:ascii="宋体" w:hAnsi="宋体" w:cs="宋体"/>
          <w:b/>
          <w:color w:val="auto"/>
          <w:highlight w:val="none"/>
          <w:lang w:val="zh-CN"/>
        </w:rPr>
        <w:t>五、项目经理及项目组成员要求</w:t>
      </w:r>
    </w:p>
    <w:p w14:paraId="2F1A777B">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1.供应商拟派项目经理须具备建筑工程注册建造师二级及以上资质，且具备有效的安全生产考核合格证（B证）。</w:t>
      </w:r>
    </w:p>
    <w:p w14:paraId="256669E6">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2.供应商拟派施工现场专职安全生产管理人员，具有“三类人员”C类证书（须在有效期内）,人数符合中华人民共和国住房和城乡建设部建质[2015]91 号《建筑施工企业安全生产管理机构设置及专职安全生产管理人员配备办法》的规定。</w:t>
      </w:r>
    </w:p>
    <w:p w14:paraId="64F96994">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3.供应商拟派项目负责人、安全员均须为供应商在册职工，在响应文件中提供社保机构出具的社保缴费证明（缴费单位和供应商名称必须一致）以及上述人员的资质证明复印件。</w:t>
      </w:r>
    </w:p>
    <w:p w14:paraId="4F54487A">
      <w:pPr>
        <w:spacing w:line="360" w:lineRule="auto"/>
        <w:ind w:firstLine="426" w:firstLineChars="202"/>
        <w:rPr>
          <w:rFonts w:ascii="宋体" w:hAnsi="宋体" w:cs="宋体"/>
          <w:color w:val="auto"/>
          <w:highlight w:val="none"/>
          <w:lang w:val="zh-CN"/>
        </w:rPr>
      </w:pPr>
      <w:r>
        <w:rPr>
          <w:rFonts w:hint="eastAsia" w:ascii="宋体" w:hAnsi="宋体" w:cs="宋体"/>
          <w:b/>
          <w:color w:val="auto"/>
          <w:highlight w:val="none"/>
          <w:lang w:val="zh-CN"/>
        </w:rPr>
        <w:t>六、材料的供应方式及要求</w:t>
      </w:r>
    </w:p>
    <w:p w14:paraId="6F6D57DE">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1.工程所需材料必须符合国家标准，供应商负责采购。</w:t>
      </w:r>
    </w:p>
    <w:p w14:paraId="50D0E0E6">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2.材料须响应本磋商文件要求并详细提供各项主要用材的具体品牌、规格、型号、等级等专一规定标准。</w:t>
      </w:r>
    </w:p>
    <w:p w14:paraId="7850BE21">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3.材料进场需报验，不合格材料不得进入施工现场。如果出现原材料检验不合格的情况，所有责任由供应商自行承担，并及时更换为符合要求的材料。</w:t>
      </w:r>
    </w:p>
    <w:p w14:paraId="4C9AEB61">
      <w:pPr>
        <w:spacing w:line="360" w:lineRule="auto"/>
        <w:ind w:firstLine="426" w:firstLineChars="202"/>
        <w:rPr>
          <w:rFonts w:ascii="宋体" w:hAnsi="宋体" w:cs="宋体"/>
          <w:b/>
          <w:color w:val="auto"/>
          <w:highlight w:val="none"/>
          <w:lang w:val="zh-CN"/>
        </w:rPr>
      </w:pPr>
      <w:r>
        <w:rPr>
          <w:rFonts w:hint="eastAsia" w:ascii="宋体" w:hAnsi="宋体" w:cs="宋体"/>
          <w:b/>
          <w:color w:val="auto"/>
          <w:highlight w:val="none"/>
          <w:lang w:val="zh-CN"/>
        </w:rPr>
        <w:t>七、工程报价</w:t>
      </w:r>
    </w:p>
    <w:p w14:paraId="6E44B796">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1.图纸和工程量清单有冲突时以工程量清单为准。</w:t>
      </w:r>
    </w:p>
    <w:p w14:paraId="5D43DD0B">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2.图纸未明确及清单未描述，但规范有要求的，供应商不得另外收取相关费用。</w:t>
      </w:r>
    </w:p>
    <w:p w14:paraId="0F83CA0A">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3.本项目工程水电费由供应商承担。</w:t>
      </w:r>
    </w:p>
    <w:p w14:paraId="4DEA8958">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4.施工过程中供应商应保护好校园公共设施，并在报价中考虑。</w:t>
      </w:r>
    </w:p>
    <w:p w14:paraId="39A3D926">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5.报价方式：按照定额计价法及附件“工程量清单”计算工程价款，供应商在“工程量清单”基础上填报下浮率，成交后，以磋商承诺的成交费率并经审定后进行结算。磋商报价应包括本项目所有采购内容的费用，凡影响磋商报价的所有相关费用应列入本次报价中。获得成交后，不得以不完全了解竞争性磋商采购文件、图纸、施工现场、周围环境、施工工序等情况为借口，而提出额外补偿或延长工期等的要求。如漏报，最终所发生的费用均由供应商承担，采购人一律不予承担。</w:t>
      </w:r>
    </w:p>
    <w:p w14:paraId="5DCE5B06">
      <w:pPr>
        <w:spacing w:line="360" w:lineRule="auto"/>
        <w:ind w:firstLine="426" w:firstLineChars="202"/>
        <w:rPr>
          <w:rFonts w:ascii="宋体" w:hAnsi="宋体" w:cs="宋体"/>
          <w:b/>
          <w:color w:val="auto"/>
          <w:highlight w:val="none"/>
          <w:lang w:val="zh-CN"/>
        </w:rPr>
      </w:pPr>
      <w:r>
        <w:rPr>
          <w:rFonts w:hint="eastAsia" w:ascii="宋体" w:hAnsi="宋体" w:cs="宋体"/>
          <w:b/>
          <w:color w:val="auto"/>
          <w:highlight w:val="none"/>
          <w:lang w:val="zh-CN"/>
        </w:rPr>
        <w:t>八、其它要求</w:t>
      </w:r>
    </w:p>
    <w:p w14:paraId="5086D550">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1.协作要求：本项目由各使用部门作为项目建设单位，后勤服务处作为项目管理归口部门，采购人聘请监理单位进行质量、进度现场的监督和管理，供应商必须服从各管理部门的统一协调、管理。材料进场和隐蔽工程等必须进行报验，监理单位和采购人同意后方可进行下一道工序。具体施工计划需至少提前3天报项目管理部门，以便项目管理部门与其它工组统筹、协调等全面管理，以免延误工期。</w:t>
      </w:r>
    </w:p>
    <w:p w14:paraId="5FB239A0">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2.安全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5359879D">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3.文明要求：在施工过程中，必须做到文明施工。工序衔接交叉合理，交接责任明确，施工场地整洁、卫生、道路畅通，有必要的围护和遮挡措施等。建筑垃圾必须及时清运至校外专用场所处理，费用自理。如供应商未能及时清理，由采购人安排清理的，费用在结算时从工程款项中扣除。</w:t>
      </w:r>
    </w:p>
    <w:p w14:paraId="2CB47FBB">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施工过程中应做好对现有公共设施和绿化以及地下管线等学校财产的保护措施，如有损坏由供应商全额赔偿。</w:t>
      </w:r>
    </w:p>
    <w:p w14:paraId="2394FFC7">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4.供应商必须包括但不限于二次搬运、税金、材料运输等费用考虑在综合报价中，不得以其它理由增加相关费用。</w:t>
      </w:r>
    </w:p>
    <w:p w14:paraId="26253CC7">
      <w:pPr>
        <w:spacing w:line="360" w:lineRule="auto"/>
        <w:ind w:firstLine="426" w:firstLineChars="202"/>
        <w:rPr>
          <w:rFonts w:ascii="宋体" w:hAnsi="宋体" w:cs="宋体"/>
          <w:b/>
          <w:color w:val="auto"/>
          <w:highlight w:val="none"/>
          <w:lang w:val="zh-CN"/>
        </w:rPr>
      </w:pPr>
      <w:r>
        <w:rPr>
          <w:rFonts w:hint="eastAsia" w:ascii="宋体" w:hAnsi="宋体" w:cs="宋体"/>
          <w:b/>
          <w:color w:val="auto"/>
          <w:highlight w:val="none"/>
          <w:lang w:val="zh-CN"/>
        </w:rPr>
        <w:t>九、踏勘现场</w:t>
      </w:r>
    </w:p>
    <w:p w14:paraId="7D995CB4">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1.供应商须知前附表规定组织踏勘现场的，采购人按供应商须知前附表规定的时间、地点组织供应商踏勘项目现场。</w:t>
      </w:r>
    </w:p>
    <w:p w14:paraId="7F86715A">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2.供应商踏勘现场发生的费用自理。</w:t>
      </w:r>
    </w:p>
    <w:p w14:paraId="63B79596">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3.除采购人的原因外，供应商自行负责在踏勘现场中所发生的人员伤亡和财产损失。</w:t>
      </w:r>
    </w:p>
    <w:p w14:paraId="14F27A21">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4.采购人在踏勘现场中介绍的场地和相关的周边环境情况，供应商在编制响应文件时参考，采购人不对供应商据此作出的判断和决策负责。</w:t>
      </w:r>
    </w:p>
    <w:p w14:paraId="35440746">
      <w:pPr>
        <w:spacing w:line="360" w:lineRule="auto"/>
        <w:ind w:firstLine="426" w:firstLineChars="202"/>
        <w:rPr>
          <w:rFonts w:ascii="宋体" w:hAnsi="宋体" w:cs="宋体"/>
          <w:b/>
          <w:color w:val="auto"/>
          <w:highlight w:val="none"/>
          <w:lang w:val="zh-CN"/>
        </w:rPr>
      </w:pPr>
      <w:r>
        <w:rPr>
          <w:rFonts w:hint="eastAsia" w:ascii="宋体" w:hAnsi="宋体" w:cs="宋体"/>
          <w:b/>
          <w:color w:val="auto"/>
          <w:highlight w:val="none"/>
          <w:lang w:val="zh-CN"/>
        </w:rPr>
        <w:t>十、其它补充</w:t>
      </w:r>
    </w:p>
    <w:p w14:paraId="0DD7E69E">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1.供应商以采购文件、合同条款、答疑文件、施工规范（标准）、施工现场特点、供应商制定的施工组织设计等为依据，参照国家、行业和地方现行相关计价定额和文件，按企业定额，结合市场行情和本企业技术、经济、管理等综合实力，综合考虑各种报价风险因素，在保证质量、工期、安全的前提下，以保本微利为原则进行报价。</w:t>
      </w:r>
    </w:p>
    <w:p w14:paraId="2EB6FB3D">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2.供应商的报价应在充分履行合同条款的基础上，并满足采购文件规定的工期、质量、安全要求，完成采购文件规定的报价范围内全部工作内容所发生的全部费用，包括政策性文件规定的费用和由以下费用引起的各种税费。</w:t>
      </w:r>
    </w:p>
    <w:p w14:paraId="3CD123B5">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3.工程费用：包括工程项目的成本、成品保护、竣工保洁、利润、税金、开办费、与施工方案相关的技术措施费、施工组织措施费、风险费、政策性文件规定费用、第三方环保检测费用、施工脚手架搭建（如有）等所有费用。采购人不接受任何有选择的报价。</w:t>
      </w:r>
    </w:p>
    <w:p w14:paraId="3E53BAB5">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4.供应商在报价中要充分考虑合同规定的各种风险因素引起的费用变化。</w:t>
      </w:r>
    </w:p>
    <w:p w14:paraId="2D2E976F">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5.供应商应根据采购人提供的资料，自行仔细踏勘施工现场的地质、地貌情况，进行全面、科学的设计，供应商要根据现场的实际情况结合自身经验，考虑各种可能存在的风险因素进行报价。</w:t>
      </w:r>
    </w:p>
    <w:p w14:paraId="6F744374">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6.供应商应到施工现场踏勘以充分了解工地位置、情况、道路、储存空间、装卸限制及任何其他足以影响报价的情况。任何因忽视或误解工地情况而导致的索赔或工期延长申请将不被批准。采购人对供应商在磋商响应时自主作出的推论、解释和结论概不负责。</w:t>
      </w:r>
    </w:p>
    <w:p w14:paraId="5A4CB9F1">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7.以项为单位的暂估价及暂列金额按实际发生结算，结算方式以合同签订为准。</w:t>
      </w:r>
    </w:p>
    <w:p w14:paraId="4C8635AE">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8.供应商发现采购人提供的工程量有误差的，获得成交后5天内，将误差部分工程量提交采购人，同时提供计算底稿和相关说明，并加盖单位公章，经采购人核实，采购人认为确有调整必要的，采购人将予以调整，如采购人认为无调整必要的，采购人将不予调整。</w:t>
      </w:r>
    </w:p>
    <w:p w14:paraId="53C639F6">
      <w:pPr>
        <w:spacing w:line="360" w:lineRule="auto"/>
        <w:ind w:firstLine="424" w:firstLineChars="202"/>
        <w:rPr>
          <w:rFonts w:ascii="宋体" w:hAnsi="宋体" w:cs="宋体"/>
          <w:color w:val="auto"/>
          <w:highlight w:val="none"/>
          <w:lang w:val="zh-CN"/>
        </w:rPr>
      </w:pPr>
      <w:r>
        <w:rPr>
          <w:rFonts w:ascii="宋体" w:hAnsi="宋体" w:cs="宋体"/>
          <w:color w:val="auto"/>
          <w:highlight w:val="none"/>
          <w:lang w:val="zh-CN"/>
        </w:rPr>
        <w:t>9.如工程量清单与施工图不一致的，以施工图为准。</w:t>
      </w:r>
    </w:p>
    <w:p w14:paraId="76AA85D4">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10.构件等拆除费用及建筑垃圾外运处置费用单价包干，结算时不作调整。</w:t>
      </w:r>
    </w:p>
    <w:p w14:paraId="06DD12B3">
      <w:pPr>
        <w:spacing w:line="360" w:lineRule="auto"/>
        <w:ind w:firstLine="426" w:firstLineChars="202"/>
        <w:rPr>
          <w:rFonts w:ascii="宋体" w:hAnsi="宋体"/>
          <w:b/>
          <w:color w:val="auto"/>
          <w:highlight w:val="none"/>
        </w:rPr>
      </w:pPr>
      <w:r>
        <w:rPr>
          <w:rFonts w:hint="eastAsia" w:ascii="宋体" w:hAnsi="宋体"/>
          <w:b/>
          <w:color w:val="auto"/>
          <w:highlight w:val="none"/>
        </w:rPr>
        <w:t>十一、材料备选品牌一览表</w:t>
      </w:r>
    </w:p>
    <w:tbl>
      <w:tblPr>
        <w:tblStyle w:val="1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835"/>
        <w:gridCol w:w="1662"/>
        <w:gridCol w:w="1418"/>
        <w:gridCol w:w="1559"/>
      </w:tblGrid>
      <w:tr w14:paraId="0BC0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56" w:type="dxa"/>
            <w:tcBorders>
              <w:top w:val="single" w:color="auto" w:sz="4" w:space="0"/>
              <w:left w:val="single" w:color="auto" w:sz="4" w:space="0"/>
              <w:bottom w:val="single" w:color="auto" w:sz="4" w:space="0"/>
              <w:right w:val="single" w:color="auto" w:sz="4" w:space="0"/>
            </w:tcBorders>
            <w:vAlign w:val="center"/>
          </w:tcPr>
          <w:p w14:paraId="6A231A17">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2835" w:type="dxa"/>
            <w:tcBorders>
              <w:top w:val="single" w:color="auto" w:sz="4" w:space="0"/>
              <w:left w:val="single" w:color="auto" w:sz="4" w:space="0"/>
              <w:bottom w:val="single" w:color="auto" w:sz="4" w:space="0"/>
              <w:right w:val="single" w:color="auto" w:sz="4" w:space="0"/>
            </w:tcBorders>
            <w:vAlign w:val="center"/>
          </w:tcPr>
          <w:p w14:paraId="5FACE5FB">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材料、设备名称</w:t>
            </w:r>
          </w:p>
        </w:tc>
        <w:tc>
          <w:tcPr>
            <w:tcW w:w="1662" w:type="dxa"/>
            <w:tcBorders>
              <w:top w:val="single" w:color="auto" w:sz="4" w:space="0"/>
              <w:left w:val="single" w:color="auto" w:sz="4" w:space="0"/>
              <w:bottom w:val="single" w:color="auto" w:sz="4" w:space="0"/>
              <w:right w:val="single" w:color="auto" w:sz="4" w:space="0"/>
            </w:tcBorders>
            <w:vAlign w:val="center"/>
          </w:tcPr>
          <w:p w14:paraId="06FFB12B">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参考品牌一</w:t>
            </w:r>
          </w:p>
        </w:tc>
        <w:tc>
          <w:tcPr>
            <w:tcW w:w="1418" w:type="dxa"/>
            <w:tcBorders>
              <w:top w:val="single" w:color="auto" w:sz="4" w:space="0"/>
              <w:left w:val="single" w:color="auto" w:sz="4" w:space="0"/>
              <w:bottom w:val="single" w:color="auto" w:sz="4" w:space="0"/>
              <w:right w:val="single" w:color="auto" w:sz="4" w:space="0"/>
            </w:tcBorders>
            <w:vAlign w:val="center"/>
          </w:tcPr>
          <w:p w14:paraId="1A3C7014">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参考品牌二</w:t>
            </w:r>
          </w:p>
        </w:tc>
        <w:tc>
          <w:tcPr>
            <w:tcW w:w="1559" w:type="dxa"/>
            <w:tcBorders>
              <w:top w:val="single" w:color="auto" w:sz="4" w:space="0"/>
              <w:left w:val="single" w:color="auto" w:sz="4" w:space="0"/>
              <w:bottom w:val="single" w:color="auto" w:sz="4" w:space="0"/>
              <w:right w:val="single" w:color="auto" w:sz="4" w:space="0"/>
            </w:tcBorders>
            <w:vAlign w:val="center"/>
          </w:tcPr>
          <w:p w14:paraId="1BA45E40">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参考品牌三</w:t>
            </w:r>
          </w:p>
        </w:tc>
      </w:tr>
      <w:tr w14:paraId="0E38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56" w:type="dxa"/>
            <w:tcBorders>
              <w:top w:val="single" w:color="auto" w:sz="4" w:space="0"/>
              <w:left w:val="single" w:color="auto" w:sz="4" w:space="0"/>
              <w:bottom w:val="single" w:color="auto" w:sz="4" w:space="0"/>
              <w:right w:val="single" w:color="auto" w:sz="4" w:space="0"/>
            </w:tcBorders>
            <w:vAlign w:val="center"/>
          </w:tcPr>
          <w:p w14:paraId="700D889C">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2835" w:type="dxa"/>
            <w:tcBorders>
              <w:top w:val="single" w:color="auto" w:sz="4" w:space="0"/>
              <w:left w:val="single" w:color="auto" w:sz="4" w:space="0"/>
              <w:bottom w:val="single" w:color="auto" w:sz="4" w:space="0"/>
              <w:right w:val="single" w:color="auto" w:sz="4" w:space="0"/>
            </w:tcBorders>
            <w:vAlign w:val="center"/>
          </w:tcPr>
          <w:p w14:paraId="523ECD25">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乳胶漆</w:t>
            </w:r>
          </w:p>
        </w:tc>
        <w:tc>
          <w:tcPr>
            <w:tcW w:w="1662" w:type="dxa"/>
            <w:tcBorders>
              <w:top w:val="single" w:color="auto" w:sz="4" w:space="0"/>
              <w:left w:val="single" w:color="auto" w:sz="4" w:space="0"/>
              <w:bottom w:val="single" w:color="auto" w:sz="4" w:space="0"/>
              <w:right w:val="single" w:color="auto" w:sz="4" w:space="0"/>
            </w:tcBorders>
            <w:vAlign w:val="center"/>
          </w:tcPr>
          <w:p w14:paraId="4E50E3AD">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立邦</w:t>
            </w:r>
          </w:p>
        </w:tc>
        <w:tc>
          <w:tcPr>
            <w:tcW w:w="1418" w:type="dxa"/>
            <w:tcBorders>
              <w:top w:val="single" w:color="auto" w:sz="4" w:space="0"/>
              <w:left w:val="single" w:color="auto" w:sz="4" w:space="0"/>
              <w:bottom w:val="single" w:color="auto" w:sz="4" w:space="0"/>
              <w:right w:val="single" w:color="auto" w:sz="4" w:space="0"/>
            </w:tcBorders>
            <w:vAlign w:val="center"/>
          </w:tcPr>
          <w:p w14:paraId="103B3885">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多乐士</w:t>
            </w:r>
          </w:p>
        </w:tc>
        <w:tc>
          <w:tcPr>
            <w:tcW w:w="1559" w:type="dxa"/>
            <w:tcBorders>
              <w:top w:val="single" w:color="auto" w:sz="4" w:space="0"/>
              <w:left w:val="single" w:color="auto" w:sz="4" w:space="0"/>
              <w:bottom w:val="single" w:color="auto" w:sz="4" w:space="0"/>
              <w:right w:val="single" w:color="auto" w:sz="4" w:space="0"/>
            </w:tcBorders>
            <w:vAlign w:val="center"/>
          </w:tcPr>
          <w:p w14:paraId="4AF40388">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华润</w:t>
            </w:r>
          </w:p>
        </w:tc>
      </w:tr>
      <w:tr w14:paraId="3EC8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56" w:type="dxa"/>
            <w:tcBorders>
              <w:top w:val="single" w:color="auto" w:sz="4" w:space="0"/>
              <w:left w:val="single" w:color="auto" w:sz="4" w:space="0"/>
              <w:bottom w:val="single" w:color="auto" w:sz="4" w:space="0"/>
              <w:right w:val="single" w:color="auto" w:sz="4" w:space="0"/>
            </w:tcBorders>
            <w:vAlign w:val="center"/>
          </w:tcPr>
          <w:p w14:paraId="2405520C">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2835" w:type="dxa"/>
            <w:tcBorders>
              <w:top w:val="single" w:color="auto" w:sz="4" w:space="0"/>
              <w:left w:val="single" w:color="auto" w:sz="4" w:space="0"/>
              <w:bottom w:val="single" w:color="auto" w:sz="4" w:space="0"/>
              <w:right w:val="single" w:color="auto" w:sz="4" w:space="0"/>
            </w:tcBorders>
            <w:vAlign w:val="center"/>
          </w:tcPr>
          <w:p w14:paraId="7B296EEC">
            <w:pPr>
              <w:jc w:val="center"/>
              <w:rPr>
                <w:rFonts w:ascii="宋体" w:hAnsi="宋体" w:cs="宋体"/>
                <w:color w:val="auto"/>
                <w:sz w:val="22"/>
                <w:szCs w:val="22"/>
                <w:highlight w:val="none"/>
              </w:rPr>
            </w:pPr>
            <w:r>
              <w:rPr>
                <w:rFonts w:hint="eastAsia" w:ascii="宋体" w:hAnsi="宋体" w:cs="宋体"/>
                <w:color w:val="auto"/>
                <w:sz w:val="22"/>
                <w:szCs w:val="22"/>
                <w:highlight w:val="none"/>
              </w:rPr>
              <w:t>三夹板、九夹板、细木工板、木饰面、阻燃板等</w:t>
            </w:r>
          </w:p>
        </w:tc>
        <w:tc>
          <w:tcPr>
            <w:tcW w:w="1662" w:type="dxa"/>
            <w:tcBorders>
              <w:top w:val="single" w:color="auto" w:sz="4" w:space="0"/>
              <w:left w:val="single" w:color="auto" w:sz="4" w:space="0"/>
              <w:bottom w:val="single" w:color="auto" w:sz="4" w:space="0"/>
              <w:right w:val="single" w:color="auto" w:sz="4" w:space="0"/>
            </w:tcBorders>
            <w:vAlign w:val="center"/>
          </w:tcPr>
          <w:p w14:paraId="7F914865">
            <w:pPr>
              <w:jc w:val="center"/>
              <w:rPr>
                <w:rFonts w:ascii="宋体" w:hAnsi="宋体" w:cs="宋体"/>
                <w:color w:val="auto"/>
                <w:sz w:val="22"/>
                <w:szCs w:val="22"/>
                <w:highlight w:val="none"/>
              </w:rPr>
            </w:pPr>
            <w:r>
              <w:rPr>
                <w:rFonts w:hint="eastAsia" w:ascii="宋体" w:hAnsi="宋体" w:cs="宋体"/>
                <w:color w:val="auto"/>
                <w:sz w:val="22"/>
                <w:szCs w:val="22"/>
                <w:highlight w:val="none"/>
              </w:rPr>
              <w:t>千年舟</w:t>
            </w:r>
          </w:p>
        </w:tc>
        <w:tc>
          <w:tcPr>
            <w:tcW w:w="1418" w:type="dxa"/>
            <w:tcBorders>
              <w:top w:val="single" w:color="auto" w:sz="4" w:space="0"/>
              <w:left w:val="single" w:color="auto" w:sz="4" w:space="0"/>
              <w:bottom w:val="single" w:color="auto" w:sz="4" w:space="0"/>
              <w:right w:val="single" w:color="auto" w:sz="4" w:space="0"/>
            </w:tcBorders>
            <w:vAlign w:val="center"/>
          </w:tcPr>
          <w:p w14:paraId="039343DB">
            <w:pPr>
              <w:jc w:val="center"/>
              <w:rPr>
                <w:rFonts w:ascii="宋体" w:hAnsi="宋体" w:cs="宋体"/>
                <w:color w:val="auto"/>
                <w:sz w:val="22"/>
                <w:szCs w:val="22"/>
                <w:highlight w:val="none"/>
              </w:rPr>
            </w:pPr>
            <w:r>
              <w:rPr>
                <w:rFonts w:hint="eastAsia" w:ascii="宋体" w:hAnsi="宋体" w:cs="宋体"/>
                <w:color w:val="auto"/>
                <w:sz w:val="22"/>
                <w:szCs w:val="22"/>
                <w:highlight w:val="none"/>
              </w:rPr>
              <w:t>莫干山</w:t>
            </w:r>
          </w:p>
        </w:tc>
        <w:tc>
          <w:tcPr>
            <w:tcW w:w="1559" w:type="dxa"/>
            <w:tcBorders>
              <w:top w:val="single" w:color="auto" w:sz="4" w:space="0"/>
              <w:left w:val="single" w:color="auto" w:sz="4" w:space="0"/>
              <w:bottom w:val="single" w:color="auto" w:sz="4" w:space="0"/>
              <w:right w:val="single" w:color="auto" w:sz="4" w:space="0"/>
            </w:tcBorders>
            <w:vAlign w:val="center"/>
          </w:tcPr>
          <w:p w14:paraId="439ED118">
            <w:pPr>
              <w:jc w:val="center"/>
              <w:rPr>
                <w:rFonts w:ascii="宋体" w:hAnsi="宋体" w:cs="宋体"/>
                <w:color w:val="auto"/>
                <w:sz w:val="22"/>
                <w:szCs w:val="22"/>
                <w:highlight w:val="none"/>
              </w:rPr>
            </w:pPr>
            <w:r>
              <w:rPr>
                <w:rFonts w:hint="eastAsia" w:ascii="宋体" w:hAnsi="宋体" w:cs="宋体"/>
                <w:color w:val="auto"/>
                <w:sz w:val="22"/>
                <w:szCs w:val="22"/>
                <w:highlight w:val="none"/>
              </w:rPr>
              <w:t>兔宝宝</w:t>
            </w:r>
          </w:p>
        </w:tc>
      </w:tr>
      <w:tr w14:paraId="126E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56" w:type="dxa"/>
            <w:tcBorders>
              <w:top w:val="single" w:color="auto" w:sz="4" w:space="0"/>
              <w:left w:val="single" w:color="auto" w:sz="4" w:space="0"/>
              <w:bottom w:val="single" w:color="auto" w:sz="4" w:space="0"/>
              <w:right w:val="single" w:color="auto" w:sz="4" w:space="0"/>
            </w:tcBorders>
            <w:vAlign w:val="center"/>
          </w:tcPr>
          <w:p w14:paraId="299090E8">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2835" w:type="dxa"/>
            <w:tcBorders>
              <w:top w:val="single" w:color="auto" w:sz="4" w:space="0"/>
              <w:left w:val="single" w:color="auto" w:sz="4" w:space="0"/>
              <w:bottom w:val="single" w:color="auto" w:sz="4" w:space="0"/>
              <w:right w:val="single" w:color="auto" w:sz="4" w:space="0"/>
            </w:tcBorders>
            <w:vAlign w:val="center"/>
          </w:tcPr>
          <w:p w14:paraId="2A13D22C">
            <w:pPr>
              <w:jc w:val="center"/>
              <w:rPr>
                <w:color w:val="auto"/>
                <w:sz w:val="22"/>
                <w:szCs w:val="22"/>
                <w:highlight w:val="none"/>
              </w:rPr>
            </w:pPr>
            <w:r>
              <w:rPr>
                <w:rFonts w:hint="eastAsia"/>
                <w:color w:val="auto"/>
                <w:sz w:val="22"/>
                <w:szCs w:val="22"/>
                <w:highlight w:val="none"/>
              </w:rPr>
              <w:t>电表</w:t>
            </w:r>
          </w:p>
        </w:tc>
        <w:tc>
          <w:tcPr>
            <w:tcW w:w="1662" w:type="dxa"/>
            <w:tcBorders>
              <w:top w:val="single" w:color="auto" w:sz="4" w:space="0"/>
              <w:left w:val="single" w:color="auto" w:sz="4" w:space="0"/>
              <w:bottom w:val="single" w:color="auto" w:sz="4" w:space="0"/>
              <w:right w:val="single" w:color="auto" w:sz="4" w:space="0"/>
            </w:tcBorders>
            <w:vAlign w:val="center"/>
          </w:tcPr>
          <w:p w14:paraId="5572BD2C">
            <w:pPr>
              <w:jc w:val="center"/>
              <w:rPr>
                <w:color w:val="auto"/>
                <w:sz w:val="22"/>
                <w:szCs w:val="22"/>
                <w:highlight w:val="none"/>
              </w:rPr>
            </w:pPr>
            <w:r>
              <w:rPr>
                <w:rFonts w:hint="eastAsia"/>
                <w:color w:val="auto"/>
                <w:sz w:val="22"/>
                <w:szCs w:val="22"/>
                <w:highlight w:val="none"/>
              </w:rPr>
              <w:t>德力西</w:t>
            </w:r>
          </w:p>
        </w:tc>
        <w:tc>
          <w:tcPr>
            <w:tcW w:w="1418" w:type="dxa"/>
            <w:tcBorders>
              <w:top w:val="single" w:color="auto" w:sz="4" w:space="0"/>
              <w:left w:val="single" w:color="auto" w:sz="4" w:space="0"/>
              <w:bottom w:val="single" w:color="auto" w:sz="4" w:space="0"/>
              <w:right w:val="single" w:color="auto" w:sz="4" w:space="0"/>
            </w:tcBorders>
            <w:vAlign w:val="center"/>
          </w:tcPr>
          <w:p w14:paraId="2DD01CFF">
            <w:pPr>
              <w:jc w:val="center"/>
              <w:rPr>
                <w:color w:val="auto"/>
                <w:sz w:val="22"/>
                <w:szCs w:val="22"/>
                <w:highlight w:val="none"/>
              </w:rPr>
            </w:pPr>
            <w:r>
              <w:rPr>
                <w:rFonts w:hint="eastAsia"/>
                <w:color w:val="auto"/>
                <w:sz w:val="22"/>
                <w:szCs w:val="22"/>
                <w:highlight w:val="none"/>
              </w:rPr>
              <w:t>正泰</w:t>
            </w:r>
          </w:p>
        </w:tc>
        <w:tc>
          <w:tcPr>
            <w:tcW w:w="1559" w:type="dxa"/>
            <w:tcBorders>
              <w:top w:val="single" w:color="auto" w:sz="4" w:space="0"/>
              <w:left w:val="single" w:color="auto" w:sz="4" w:space="0"/>
              <w:bottom w:val="single" w:color="auto" w:sz="4" w:space="0"/>
              <w:right w:val="single" w:color="auto" w:sz="4" w:space="0"/>
            </w:tcBorders>
            <w:vAlign w:val="center"/>
          </w:tcPr>
          <w:p w14:paraId="23F53E93">
            <w:pPr>
              <w:jc w:val="center"/>
              <w:rPr>
                <w:color w:val="auto"/>
                <w:sz w:val="22"/>
                <w:szCs w:val="22"/>
                <w:highlight w:val="none"/>
              </w:rPr>
            </w:pPr>
            <w:r>
              <w:rPr>
                <w:rFonts w:hint="eastAsia"/>
                <w:color w:val="auto"/>
                <w:sz w:val="22"/>
                <w:szCs w:val="22"/>
                <w:highlight w:val="none"/>
              </w:rPr>
              <w:t>上海人民</w:t>
            </w:r>
          </w:p>
        </w:tc>
      </w:tr>
      <w:tr w14:paraId="776E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56" w:type="dxa"/>
            <w:tcBorders>
              <w:top w:val="single" w:color="auto" w:sz="4" w:space="0"/>
              <w:left w:val="single" w:color="auto" w:sz="4" w:space="0"/>
              <w:bottom w:val="single" w:color="auto" w:sz="4" w:space="0"/>
              <w:right w:val="single" w:color="auto" w:sz="4" w:space="0"/>
            </w:tcBorders>
            <w:vAlign w:val="center"/>
          </w:tcPr>
          <w:p w14:paraId="2FC0AF9A">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2835" w:type="dxa"/>
            <w:tcBorders>
              <w:top w:val="single" w:color="auto" w:sz="4" w:space="0"/>
              <w:left w:val="single" w:color="auto" w:sz="4" w:space="0"/>
              <w:bottom w:val="single" w:color="auto" w:sz="4" w:space="0"/>
              <w:right w:val="single" w:color="auto" w:sz="4" w:space="0"/>
            </w:tcBorders>
            <w:vAlign w:val="center"/>
          </w:tcPr>
          <w:p w14:paraId="0E1D7FAA">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墙砖、地砖</w:t>
            </w:r>
          </w:p>
        </w:tc>
        <w:tc>
          <w:tcPr>
            <w:tcW w:w="1662" w:type="dxa"/>
            <w:tcBorders>
              <w:top w:val="single" w:color="auto" w:sz="4" w:space="0"/>
              <w:left w:val="single" w:color="auto" w:sz="4" w:space="0"/>
              <w:bottom w:val="single" w:color="auto" w:sz="4" w:space="0"/>
              <w:right w:val="single" w:color="auto" w:sz="4" w:space="0"/>
            </w:tcBorders>
            <w:vAlign w:val="center"/>
          </w:tcPr>
          <w:p w14:paraId="1CB752A2">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东鹏</w:t>
            </w:r>
          </w:p>
        </w:tc>
        <w:tc>
          <w:tcPr>
            <w:tcW w:w="1418" w:type="dxa"/>
            <w:tcBorders>
              <w:top w:val="single" w:color="auto" w:sz="4" w:space="0"/>
              <w:left w:val="single" w:color="auto" w:sz="4" w:space="0"/>
              <w:bottom w:val="single" w:color="auto" w:sz="4" w:space="0"/>
              <w:right w:val="single" w:color="auto" w:sz="4" w:space="0"/>
            </w:tcBorders>
            <w:vAlign w:val="center"/>
          </w:tcPr>
          <w:p w14:paraId="3FE9DB55">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马可波罗</w:t>
            </w:r>
          </w:p>
        </w:tc>
        <w:tc>
          <w:tcPr>
            <w:tcW w:w="1559" w:type="dxa"/>
            <w:tcBorders>
              <w:top w:val="single" w:color="auto" w:sz="4" w:space="0"/>
              <w:left w:val="single" w:color="auto" w:sz="4" w:space="0"/>
              <w:bottom w:val="single" w:color="auto" w:sz="4" w:space="0"/>
              <w:right w:val="single" w:color="auto" w:sz="4" w:space="0"/>
            </w:tcBorders>
            <w:vAlign w:val="center"/>
          </w:tcPr>
          <w:p w14:paraId="0990147D">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斯米克</w:t>
            </w:r>
          </w:p>
        </w:tc>
      </w:tr>
      <w:tr w14:paraId="0C3E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56" w:type="dxa"/>
            <w:tcBorders>
              <w:top w:val="single" w:color="auto" w:sz="4" w:space="0"/>
              <w:left w:val="single" w:color="auto" w:sz="4" w:space="0"/>
              <w:bottom w:val="single" w:color="auto" w:sz="4" w:space="0"/>
              <w:right w:val="single" w:color="auto" w:sz="4" w:space="0"/>
            </w:tcBorders>
            <w:vAlign w:val="center"/>
          </w:tcPr>
          <w:p w14:paraId="6CDFDF7D">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2835" w:type="dxa"/>
            <w:tcBorders>
              <w:top w:val="single" w:color="auto" w:sz="4" w:space="0"/>
              <w:left w:val="single" w:color="auto" w:sz="4" w:space="0"/>
              <w:bottom w:val="single" w:color="auto" w:sz="4" w:space="0"/>
              <w:right w:val="single" w:color="auto" w:sz="4" w:space="0"/>
            </w:tcBorders>
            <w:vAlign w:val="center"/>
          </w:tcPr>
          <w:p w14:paraId="638DA9A1">
            <w:pPr>
              <w:jc w:val="center"/>
              <w:rPr>
                <w:rFonts w:ascii="宋体" w:hAnsi="宋体" w:cs="宋体"/>
                <w:color w:val="auto"/>
                <w:sz w:val="22"/>
                <w:szCs w:val="22"/>
                <w:highlight w:val="none"/>
              </w:rPr>
            </w:pPr>
            <w:r>
              <w:rPr>
                <w:rFonts w:hint="eastAsia" w:ascii="宋体" w:hAnsi="宋体" w:cs="宋体"/>
                <w:color w:val="auto"/>
                <w:sz w:val="22"/>
                <w:szCs w:val="22"/>
                <w:highlight w:val="none"/>
              </w:rPr>
              <w:t>开关、插座</w:t>
            </w:r>
          </w:p>
        </w:tc>
        <w:tc>
          <w:tcPr>
            <w:tcW w:w="1662" w:type="dxa"/>
            <w:tcBorders>
              <w:top w:val="single" w:color="auto" w:sz="4" w:space="0"/>
              <w:left w:val="single" w:color="auto" w:sz="4" w:space="0"/>
              <w:bottom w:val="single" w:color="auto" w:sz="4" w:space="0"/>
              <w:right w:val="single" w:color="auto" w:sz="4" w:space="0"/>
            </w:tcBorders>
            <w:vAlign w:val="center"/>
          </w:tcPr>
          <w:p w14:paraId="4CB182FE">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德力西</w:t>
            </w:r>
          </w:p>
        </w:tc>
        <w:tc>
          <w:tcPr>
            <w:tcW w:w="1418" w:type="dxa"/>
            <w:tcBorders>
              <w:top w:val="single" w:color="auto" w:sz="4" w:space="0"/>
              <w:left w:val="single" w:color="auto" w:sz="4" w:space="0"/>
              <w:bottom w:val="single" w:color="auto" w:sz="4" w:space="0"/>
              <w:right w:val="single" w:color="auto" w:sz="4" w:space="0"/>
            </w:tcBorders>
            <w:vAlign w:val="center"/>
          </w:tcPr>
          <w:p w14:paraId="50FB2DA1">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公牛</w:t>
            </w:r>
          </w:p>
        </w:tc>
        <w:tc>
          <w:tcPr>
            <w:tcW w:w="1559" w:type="dxa"/>
            <w:tcBorders>
              <w:top w:val="single" w:color="auto" w:sz="4" w:space="0"/>
              <w:left w:val="single" w:color="auto" w:sz="4" w:space="0"/>
              <w:bottom w:val="single" w:color="auto" w:sz="4" w:space="0"/>
              <w:right w:val="single" w:color="auto" w:sz="4" w:space="0"/>
            </w:tcBorders>
            <w:vAlign w:val="center"/>
          </w:tcPr>
          <w:p w14:paraId="4F124DC8">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正泰</w:t>
            </w:r>
          </w:p>
        </w:tc>
      </w:tr>
      <w:tr w14:paraId="699F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56" w:type="dxa"/>
            <w:tcBorders>
              <w:top w:val="single" w:color="auto" w:sz="4" w:space="0"/>
              <w:left w:val="single" w:color="auto" w:sz="4" w:space="0"/>
              <w:bottom w:val="single" w:color="auto" w:sz="4" w:space="0"/>
              <w:right w:val="single" w:color="auto" w:sz="4" w:space="0"/>
            </w:tcBorders>
            <w:vAlign w:val="center"/>
          </w:tcPr>
          <w:p w14:paraId="620E61EB">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2835" w:type="dxa"/>
            <w:tcBorders>
              <w:top w:val="single" w:color="auto" w:sz="4" w:space="0"/>
              <w:left w:val="single" w:color="auto" w:sz="4" w:space="0"/>
              <w:bottom w:val="single" w:color="auto" w:sz="4" w:space="0"/>
              <w:right w:val="single" w:color="auto" w:sz="4" w:space="0"/>
            </w:tcBorders>
            <w:vAlign w:val="center"/>
          </w:tcPr>
          <w:p w14:paraId="5CCF4D3C">
            <w:pPr>
              <w:jc w:val="center"/>
              <w:rPr>
                <w:rFonts w:ascii="宋体" w:hAnsi="宋体" w:cs="宋体"/>
                <w:color w:val="auto"/>
                <w:sz w:val="22"/>
                <w:szCs w:val="22"/>
                <w:highlight w:val="none"/>
              </w:rPr>
            </w:pPr>
            <w:r>
              <w:rPr>
                <w:rFonts w:hint="eastAsia" w:ascii="宋体" w:hAnsi="宋体" w:cs="宋体"/>
                <w:color w:val="auto"/>
                <w:sz w:val="22"/>
                <w:szCs w:val="22"/>
                <w:highlight w:val="none"/>
              </w:rPr>
              <w:t>空气开关</w:t>
            </w:r>
          </w:p>
        </w:tc>
        <w:tc>
          <w:tcPr>
            <w:tcW w:w="1662" w:type="dxa"/>
            <w:tcBorders>
              <w:top w:val="single" w:color="auto" w:sz="4" w:space="0"/>
              <w:left w:val="single" w:color="auto" w:sz="4" w:space="0"/>
              <w:bottom w:val="single" w:color="auto" w:sz="4" w:space="0"/>
              <w:right w:val="single" w:color="auto" w:sz="4" w:space="0"/>
            </w:tcBorders>
            <w:vAlign w:val="center"/>
          </w:tcPr>
          <w:p w14:paraId="17D2E0F9">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施耐德</w:t>
            </w:r>
          </w:p>
        </w:tc>
        <w:tc>
          <w:tcPr>
            <w:tcW w:w="1418" w:type="dxa"/>
            <w:tcBorders>
              <w:top w:val="single" w:color="auto" w:sz="4" w:space="0"/>
              <w:left w:val="single" w:color="auto" w:sz="4" w:space="0"/>
              <w:bottom w:val="single" w:color="auto" w:sz="4" w:space="0"/>
              <w:right w:val="single" w:color="auto" w:sz="4" w:space="0"/>
            </w:tcBorders>
            <w:vAlign w:val="center"/>
          </w:tcPr>
          <w:p w14:paraId="100D72B2">
            <w:pPr>
              <w:widowControl/>
              <w:jc w:val="center"/>
              <w:rPr>
                <w:rFonts w:ascii="宋体" w:hAnsi="宋体" w:cs="宋体"/>
                <w:color w:val="auto"/>
                <w:kern w:val="0"/>
                <w:sz w:val="22"/>
                <w:szCs w:val="22"/>
                <w:highlight w:val="none"/>
              </w:rPr>
            </w:pPr>
            <w:r>
              <w:rPr>
                <w:rFonts w:ascii="宋体" w:hAnsi="宋体" w:cs="宋体"/>
                <w:color w:val="auto"/>
                <w:kern w:val="0"/>
                <w:sz w:val="22"/>
                <w:szCs w:val="22"/>
                <w:highlight w:val="none"/>
              </w:rPr>
              <w:t>ABB</w:t>
            </w:r>
          </w:p>
        </w:tc>
        <w:tc>
          <w:tcPr>
            <w:tcW w:w="1559" w:type="dxa"/>
            <w:tcBorders>
              <w:top w:val="single" w:color="auto" w:sz="4" w:space="0"/>
              <w:left w:val="single" w:color="auto" w:sz="4" w:space="0"/>
              <w:bottom w:val="single" w:color="auto" w:sz="4" w:space="0"/>
              <w:right w:val="single" w:color="auto" w:sz="4" w:space="0"/>
            </w:tcBorders>
            <w:vAlign w:val="center"/>
          </w:tcPr>
          <w:p w14:paraId="6EF5E004">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西门子</w:t>
            </w:r>
          </w:p>
        </w:tc>
      </w:tr>
      <w:tr w14:paraId="5228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56" w:type="dxa"/>
            <w:tcBorders>
              <w:top w:val="single" w:color="auto" w:sz="4" w:space="0"/>
              <w:left w:val="single" w:color="auto" w:sz="4" w:space="0"/>
              <w:bottom w:val="single" w:color="auto" w:sz="4" w:space="0"/>
              <w:right w:val="single" w:color="auto" w:sz="4" w:space="0"/>
            </w:tcBorders>
            <w:vAlign w:val="center"/>
          </w:tcPr>
          <w:p w14:paraId="38399F5D">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2835" w:type="dxa"/>
            <w:tcBorders>
              <w:top w:val="single" w:color="auto" w:sz="4" w:space="0"/>
              <w:left w:val="single" w:color="auto" w:sz="4" w:space="0"/>
              <w:bottom w:val="single" w:color="auto" w:sz="4" w:space="0"/>
              <w:right w:val="single" w:color="auto" w:sz="4" w:space="0"/>
            </w:tcBorders>
            <w:vAlign w:val="center"/>
          </w:tcPr>
          <w:p w14:paraId="15A38941">
            <w:pPr>
              <w:jc w:val="center"/>
              <w:rPr>
                <w:rFonts w:ascii="宋体" w:hAnsi="宋体" w:cs="宋体"/>
                <w:color w:val="auto"/>
                <w:sz w:val="22"/>
                <w:szCs w:val="22"/>
                <w:highlight w:val="none"/>
              </w:rPr>
            </w:pPr>
            <w:r>
              <w:rPr>
                <w:rFonts w:hint="eastAsia" w:ascii="宋体" w:hAnsi="宋体" w:cs="宋体"/>
                <w:color w:val="auto"/>
                <w:sz w:val="22"/>
                <w:szCs w:val="22"/>
                <w:highlight w:val="none"/>
              </w:rPr>
              <w:t>灯具照明</w:t>
            </w:r>
          </w:p>
        </w:tc>
        <w:tc>
          <w:tcPr>
            <w:tcW w:w="1662" w:type="dxa"/>
            <w:tcBorders>
              <w:top w:val="single" w:color="auto" w:sz="4" w:space="0"/>
              <w:left w:val="single" w:color="auto" w:sz="4" w:space="0"/>
              <w:bottom w:val="single" w:color="auto" w:sz="4" w:space="0"/>
              <w:right w:val="single" w:color="auto" w:sz="4" w:space="0"/>
            </w:tcBorders>
            <w:vAlign w:val="center"/>
          </w:tcPr>
          <w:p w14:paraId="3DD54D9E">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雷士</w:t>
            </w:r>
          </w:p>
        </w:tc>
        <w:tc>
          <w:tcPr>
            <w:tcW w:w="1418" w:type="dxa"/>
            <w:tcBorders>
              <w:top w:val="single" w:color="auto" w:sz="4" w:space="0"/>
              <w:left w:val="single" w:color="auto" w:sz="4" w:space="0"/>
              <w:bottom w:val="single" w:color="auto" w:sz="4" w:space="0"/>
              <w:right w:val="single" w:color="auto" w:sz="4" w:space="0"/>
            </w:tcBorders>
            <w:vAlign w:val="center"/>
          </w:tcPr>
          <w:p w14:paraId="3B0F796B">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欧普</w:t>
            </w:r>
          </w:p>
        </w:tc>
        <w:tc>
          <w:tcPr>
            <w:tcW w:w="1559" w:type="dxa"/>
            <w:tcBorders>
              <w:top w:val="single" w:color="auto" w:sz="4" w:space="0"/>
              <w:left w:val="single" w:color="auto" w:sz="4" w:space="0"/>
              <w:bottom w:val="single" w:color="auto" w:sz="4" w:space="0"/>
              <w:right w:val="single" w:color="auto" w:sz="4" w:space="0"/>
            </w:tcBorders>
            <w:vAlign w:val="center"/>
          </w:tcPr>
          <w:p w14:paraId="5BB1E199">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三雄极光</w:t>
            </w:r>
          </w:p>
        </w:tc>
      </w:tr>
      <w:tr w14:paraId="762D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56" w:type="dxa"/>
            <w:tcBorders>
              <w:top w:val="single" w:color="auto" w:sz="4" w:space="0"/>
              <w:left w:val="single" w:color="auto" w:sz="4" w:space="0"/>
              <w:bottom w:val="single" w:color="auto" w:sz="4" w:space="0"/>
              <w:right w:val="single" w:color="auto" w:sz="4" w:space="0"/>
            </w:tcBorders>
            <w:vAlign w:val="center"/>
          </w:tcPr>
          <w:p w14:paraId="7BD0E256">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2835" w:type="dxa"/>
            <w:tcBorders>
              <w:top w:val="single" w:color="auto" w:sz="4" w:space="0"/>
              <w:left w:val="single" w:color="auto" w:sz="4" w:space="0"/>
              <w:bottom w:val="single" w:color="auto" w:sz="4" w:space="0"/>
              <w:right w:val="single" w:color="auto" w:sz="4" w:space="0"/>
            </w:tcBorders>
            <w:vAlign w:val="center"/>
          </w:tcPr>
          <w:p w14:paraId="1787FCEC">
            <w:pPr>
              <w:jc w:val="center"/>
              <w:rPr>
                <w:rFonts w:ascii="宋体" w:hAnsi="宋体" w:cs="宋体"/>
                <w:color w:val="auto"/>
                <w:sz w:val="22"/>
                <w:szCs w:val="22"/>
                <w:highlight w:val="none"/>
              </w:rPr>
            </w:pPr>
            <w:r>
              <w:rPr>
                <w:rFonts w:hint="eastAsia" w:ascii="宋体" w:hAnsi="宋体" w:cs="宋体"/>
                <w:color w:val="auto"/>
                <w:sz w:val="22"/>
                <w:szCs w:val="22"/>
                <w:highlight w:val="none"/>
              </w:rPr>
              <w:t>电线、电缆</w:t>
            </w:r>
          </w:p>
        </w:tc>
        <w:tc>
          <w:tcPr>
            <w:tcW w:w="1662" w:type="dxa"/>
            <w:tcBorders>
              <w:top w:val="single" w:color="auto" w:sz="4" w:space="0"/>
              <w:left w:val="single" w:color="auto" w:sz="4" w:space="0"/>
              <w:bottom w:val="single" w:color="auto" w:sz="4" w:space="0"/>
              <w:right w:val="single" w:color="auto" w:sz="4" w:space="0"/>
            </w:tcBorders>
            <w:vAlign w:val="center"/>
          </w:tcPr>
          <w:p w14:paraId="56FEB0FD">
            <w:pPr>
              <w:jc w:val="center"/>
              <w:rPr>
                <w:rFonts w:ascii="宋体" w:hAnsi="宋体" w:cs="宋体"/>
                <w:color w:val="auto"/>
                <w:sz w:val="22"/>
                <w:szCs w:val="22"/>
                <w:highlight w:val="none"/>
              </w:rPr>
            </w:pPr>
            <w:r>
              <w:rPr>
                <w:rFonts w:hint="eastAsia" w:ascii="宋体" w:hAnsi="宋体" w:cs="宋体"/>
                <w:color w:val="auto"/>
                <w:sz w:val="22"/>
                <w:szCs w:val="22"/>
                <w:highlight w:val="none"/>
              </w:rPr>
              <w:t>宁波东方</w:t>
            </w:r>
          </w:p>
        </w:tc>
        <w:tc>
          <w:tcPr>
            <w:tcW w:w="1418" w:type="dxa"/>
            <w:tcBorders>
              <w:top w:val="single" w:color="auto" w:sz="4" w:space="0"/>
              <w:left w:val="single" w:color="auto" w:sz="4" w:space="0"/>
              <w:bottom w:val="single" w:color="auto" w:sz="4" w:space="0"/>
              <w:right w:val="single" w:color="auto" w:sz="4" w:space="0"/>
            </w:tcBorders>
            <w:vAlign w:val="center"/>
          </w:tcPr>
          <w:p w14:paraId="03D8D027">
            <w:pPr>
              <w:jc w:val="center"/>
              <w:rPr>
                <w:rFonts w:ascii="宋体" w:hAnsi="宋体" w:cs="宋体"/>
                <w:color w:val="auto"/>
                <w:sz w:val="22"/>
                <w:szCs w:val="22"/>
                <w:highlight w:val="none"/>
              </w:rPr>
            </w:pPr>
            <w:r>
              <w:rPr>
                <w:rFonts w:hint="eastAsia" w:ascii="宋体" w:hAnsi="宋体" w:cs="宋体"/>
                <w:color w:val="auto"/>
                <w:sz w:val="22"/>
                <w:szCs w:val="22"/>
                <w:highlight w:val="none"/>
              </w:rPr>
              <w:t>宁波球冠</w:t>
            </w:r>
          </w:p>
        </w:tc>
        <w:tc>
          <w:tcPr>
            <w:tcW w:w="1559" w:type="dxa"/>
            <w:tcBorders>
              <w:top w:val="single" w:color="auto" w:sz="4" w:space="0"/>
              <w:left w:val="single" w:color="auto" w:sz="4" w:space="0"/>
              <w:bottom w:val="single" w:color="auto" w:sz="4" w:space="0"/>
              <w:right w:val="single" w:color="auto" w:sz="4" w:space="0"/>
            </w:tcBorders>
            <w:vAlign w:val="center"/>
          </w:tcPr>
          <w:p w14:paraId="2FB60D69">
            <w:pPr>
              <w:jc w:val="center"/>
              <w:rPr>
                <w:rFonts w:ascii="宋体" w:hAnsi="宋体" w:cs="宋体"/>
                <w:color w:val="auto"/>
                <w:sz w:val="22"/>
                <w:szCs w:val="22"/>
                <w:highlight w:val="none"/>
              </w:rPr>
            </w:pPr>
            <w:r>
              <w:rPr>
                <w:rFonts w:hint="eastAsia" w:ascii="宋体" w:hAnsi="宋体" w:cs="宋体"/>
                <w:color w:val="auto"/>
                <w:sz w:val="22"/>
                <w:szCs w:val="22"/>
                <w:highlight w:val="none"/>
              </w:rPr>
              <w:t>杭州中策</w:t>
            </w:r>
          </w:p>
        </w:tc>
      </w:tr>
      <w:tr w14:paraId="213D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56" w:type="dxa"/>
            <w:tcBorders>
              <w:top w:val="single" w:color="auto" w:sz="4" w:space="0"/>
              <w:left w:val="single" w:color="auto" w:sz="4" w:space="0"/>
              <w:bottom w:val="single" w:color="auto" w:sz="4" w:space="0"/>
              <w:right w:val="single" w:color="auto" w:sz="4" w:space="0"/>
            </w:tcBorders>
            <w:vAlign w:val="center"/>
          </w:tcPr>
          <w:p w14:paraId="3F117B33">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2835" w:type="dxa"/>
            <w:tcBorders>
              <w:top w:val="single" w:color="auto" w:sz="4" w:space="0"/>
              <w:left w:val="single" w:color="auto" w:sz="4" w:space="0"/>
              <w:bottom w:val="single" w:color="auto" w:sz="4" w:space="0"/>
              <w:right w:val="single" w:color="auto" w:sz="4" w:space="0"/>
            </w:tcBorders>
            <w:vAlign w:val="center"/>
          </w:tcPr>
          <w:p w14:paraId="1CB02760">
            <w:pPr>
              <w:jc w:val="center"/>
              <w:rPr>
                <w:rFonts w:ascii="宋体" w:hAnsi="宋体" w:cs="宋体"/>
                <w:color w:val="auto"/>
                <w:sz w:val="22"/>
                <w:szCs w:val="22"/>
                <w:highlight w:val="none"/>
              </w:rPr>
            </w:pPr>
            <w:r>
              <w:rPr>
                <w:rFonts w:hint="eastAsia" w:ascii="宋体" w:hAnsi="宋体" w:cs="宋体"/>
                <w:color w:val="auto"/>
                <w:sz w:val="22"/>
                <w:szCs w:val="22"/>
                <w:highlight w:val="none"/>
              </w:rPr>
              <w:t>卫生洁具（坐便器、蹲便器、洗脸盆、水龙头、花洒、冲水阀、地漏、配套五金件等）节水型</w:t>
            </w:r>
          </w:p>
        </w:tc>
        <w:tc>
          <w:tcPr>
            <w:tcW w:w="1662" w:type="dxa"/>
            <w:tcBorders>
              <w:top w:val="single" w:color="auto" w:sz="4" w:space="0"/>
              <w:left w:val="single" w:color="auto" w:sz="4" w:space="0"/>
              <w:bottom w:val="single" w:color="auto" w:sz="4" w:space="0"/>
              <w:right w:val="single" w:color="auto" w:sz="4" w:space="0"/>
            </w:tcBorders>
            <w:vAlign w:val="center"/>
          </w:tcPr>
          <w:p w14:paraId="2CE34B2B">
            <w:pPr>
              <w:jc w:val="center"/>
              <w:rPr>
                <w:rFonts w:ascii="宋体" w:hAnsi="宋体" w:cs="宋体"/>
                <w:color w:val="auto"/>
                <w:sz w:val="22"/>
                <w:szCs w:val="22"/>
                <w:highlight w:val="none"/>
              </w:rPr>
            </w:pPr>
            <w:r>
              <w:rPr>
                <w:rFonts w:hint="eastAsia" w:ascii="宋体" w:hAnsi="宋体" w:cs="宋体"/>
                <w:color w:val="auto"/>
                <w:sz w:val="22"/>
                <w:szCs w:val="22"/>
                <w:highlight w:val="none"/>
              </w:rPr>
              <w:t>箭牌ARROW</w:t>
            </w:r>
          </w:p>
        </w:tc>
        <w:tc>
          <w:tcPr>
            <w:tcW w:w="1418" w:type="dxa"/>
            <w:tcBorders>
              <w:top w:val="single" w:color="auto" w:sz="4" w:space="0"/>
              <w:left w:val="single" w:color="auto" w:sz="4" w:space="0"/>
              <w:bottom w:val="single" w:color="auto" w:sz="4" w:space="0"/>
              <w:right w:val="single" w:color="auto" w:sz="4" w:space="0"/>
            </w:tcBorders>
            <w:vAlign w:val="center"/>
          </w:tcPr>
          <w:p w14:paraId="26C77A6D">
            <w:pPr>
              <w:jc w:val="center"/>
              <w:rPr>
                <w:rFonts w:ascii="宋体" w:hAnsi="宋体" w:cs="宋体"/>
                <w:color w:val="auto"/>
                <w:sz w:val="22"/>
                <w:szCs w:val="22"/>
                <w:highlight w:val="none"/>
              </w:rPr>
            </w:pPr>
            <w:r>
              <w:rPr>
                <w:rFonts w:hint="eastAsia" w:ascii="宋体" w:hAnsi="宋体" w:cs="宋体"/>
                <w:color w:val="auto"/>
                <w:sz w:val="22"/>
                <w:szCs w:val="22"/>
                <w:highlight w:val="none"/>
              </w:rPr>
              <w:t>美标</w:t>
            </w:r>
          </w:p>
          <w:p w14:paraId="4DB07E37">
            <w:pPr>
              <w:jc w:val="center"/>
              <w:rPr>
                <w:rFonts w:ascii="宋体" w:hAnsi="宋体" w:cs="宋体"/>
                <w:color w:val="auto"/>
                <w:sz w:val="22"/>
                <w:szCs w:val="22"/>
                <w:highlight w:val="none"/>
              </w:rPr>
            </w:pPr>
            <w:r>
              <w:rPr>
                <w:rFonts w:hint="eastAsia" w:ascii="宋体" w:hAnsi="宋体" w:cs="宋体"/>
                <w:color w:val="auto"/>
                <w:sz w:val="22"/>
                <w:szCs w:val="22"/>
                <w:highlight w:val="none"/>
              </w:rPr>
              <w:t>American Standard</w:t>
            </w:r>
          </w:p>
        </w:tc>
        <w:tc>
          <w:tcPr>
            <w:tcW w:w="1559" w:type="dxa"/>
            <w:tcBorders>
              <w:top w:val="single" w:color="auto" w:sz="4" w:space="0"/>
              <w:left w:val="single" w:color="auto" w:sz="4" w:space="0"/>
              <w:bottom w:val="single" w:color="auto" w:sz="4" w:space="0"/>
              <w:right w:val="single" w:color="auto" w:sz="4" w:space="0"/>
            </w:tcBorders>
            <w:vAlign w:val="center"/>
          </w:tcPr>
          <w:p w14:paraId="06E6DCED">
            <w:pPr>
              <w:jc w:val="center"/>
              <w:rPr>
                <w:rFonts w:ascii="宋体" w:hAnsi="宋体" w:cs="宋体"/>
                <w:color w:val="auto"/>
                <w:sz w:val="22"/>
                <w:szCs w:val="22"/>
                <w:highlight w:val="none"/>
              </w:rPr>
            </w:pPr>
            <w:r>
              <w:rPr>
                <w:rFonts w:hint="eastAsia" w:ascii="宋体" w:hAnsi="宋体" w:cs="宋体"/>
                <w:color w:val="auto"/>
                <w:sz w:val="22"/>
                <w:szCs w:val="22"/>
                <w:highlight w:val="none"/>
              </w:rPr>
              <w:t>恒洁</w:t>
            </w:r>
          </w:p>
          <w:p w14:paraId="61B61483">
            <w:pPr>
              <w:jc w:val="center"/>
              <w:rPr>
                <w:rFonts w:ascii="宋体" w:hAnsi="宋体" w:cs="宋体"/>
                <w:color w:val="auto"/>
                <w:sz w:val="22"/>
                <w:szCs w:val="22"/>
                <w:highlight w:val="none"/>
              </w:rPr>
            </w:pPr>
            <w:r>
              <w:rPr>
                <w:rFonts w:hint="eastAsia" w:ascii="宋体" w:hAnsi="宋体" w:cs="宋体"/>
                <w:color w:val="auto"/>
                <w:sz w:val="22"/>
                <w:szCs w:val="22"/>
                <w:highlight w:val="none"/>
              </w:rPr>
              <w:t>HEGII</w:t>
            </w:r>
          </w:p>
        </w:tc>
      </w:tr>
      <w:tr w14:paraId="780F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56" w:type="dxa"/>
            <w:tcBorders>
              <w:top w:val="single" w:color="auto" w:sz="4" w:space="0"/>
              <w:left w:val="single" w:color="auto" w:sz="4" w:space="0"/>
              <w:bottom w:val="single" w:color="auto" w:sz="4" w:space="0"/>
              <w:right w:val="single" w:color="auto" w:sz="4" w:space="0"/>
            </w:tcBorders>
            <w:vAlign w:val="center"/>
          </w:tcPr>
          <w:p w14:paraId="5A7DDE44">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2835" w:type="dxa"/>
            <w:tcBorders>
              <w:top w:val="single" w:color="auto" w:sz="4" w:space="0"/>
              <w:left w:val="single" w:color="auto" w:sz="4" w:space="0"/>
              <w:bottom w:val="single" w:color="auto" w:sz="4" w:space="0"/>
              <w:right w:val="single" w:color="auto" w:sz="4" w:space="0"/>
            </w:tcBorders>
            <w:vAlign w:val="center"/>
          </w:tcPr>
          <w:p w14:paraId="29C4CCB8">
            <w:pPr>
              <w:jc w:val="center"/>
              <w:rPr>
                <w:rFonts w:ascii="宋体" w:hAnsi="宋体" w:cs="宋体"/>
                <w:color w:val="auto"/>
                <w:sz w:val="22"/>
                <w:szCs w:val="22"/>
                <w:highlight w:val="none"/>
              </w:rPr>
            </w:pPr>
            <w:r>
              <w:rPr>
                <w:rFonts w:hint="eastAsia" w:ascii="宋体" w:hAnsi="宋体" w:cs="宋体"/>
                <w:color w:val="auto"/>
                <w:sz w:val="22"/>
                <w:szCs w:val="22"/>
                <w:highlight w:val="none"/>
              </w:rPr>
              <w:t>水表</w:t>
            </w:r>
          </w:p>
        </w:tc>
        <w:tc>
          <w:tcPr>
            <w:tcW w:w="1662" w:type="dxa"/>
            <w:tcBorders>
              <w:top w:val="single" w:color="auto" w:sz="4" w:space="0"/>
              <w:left w:val="single" w:color="auto" w:sz="4" w:space="0"/>
              <w:bottom w:val="single" w:color="auto" w:sz="4" w:space="0"/>
              <w:right w:val="single" w:color="auto" w:sz="4" w:space="0"/>
            </w:tcBorders>
            <w:vAlign w:val="center"/>
          </w:tcPr>
          <w:p w14:paraId="7DEE658A">
            <w:pPr>
              <w:jc w:val="center"/>
              <w:rPr>
                <w:rFonts w:ascii="宋体" w:hAnsi="宋体" w:cs="宋体"/>
                <w:color w:val="auto"/>
                <w:sz w:val="22"/>
                <w:szCs w:val="22"/>
                <w:highlight w:val="none"/>
              </w:rPr>
            </w:pPr>
            <w:r>
              <w:rPr>
                <w:rFonts w:hint="eastAsia" w:ascii="宋体" w:hAnsi="宋体" w:cs="宋体"/>
                <w:color w:val="auto"/>
                <w:sz w:val="22"/>
                <w:szCs w:val="22"/>
                <w:highlight w:val="none"/>
              </w:rPr>
              <w:t>宁波牌</w:t>
            </w:r>
          </w:p>
        </w:tc>
        <w:tc>
          <w:tcPr>
            <w:tcW w:w="1418" w:type="dxa"/>
            <w:tcBorders>
              <w:top w:val="single" w:color="auto" w:sz="4" w:space="0"/>
              <w:left w:val="single" w:color="auto" w:sz="4" w:space="0"/>
              <w:bottom w:val="single" w:color="auto" w:sz="4" w:space="0"/>
              <w:right w:val="single" w:color="auto" w:sz="4" w:space="0"/>
            </w:tcBorders>
            <w:vAlign w:val="center"/>
          </w:tcPr>
          <w:p w14:paraId="3DBA4FE6">
            <w:pPr>
              <w:jc w:val="center"/>
              <w:rPr>
                <w:rFonts w:ascii="宋体" w:hAnsi="宋体" w:cs="宋体"/>
                <w:color w:val="auto"/>
                <w:sz w:val="22"/>
                <w:szCs w:val="22"/>
                <w:highlight w:val="none"/>
              </w:rPr>
            </w:pPr>
            <w:r>
              <w:rPr>
                <w:rFonts w:hint="eastAsia" w:ascii="宋体" w:hAnsi="宋体" w:cs="宋体"/>
                <w:color w:val="auto"/>
                <w:sz w:val="22"/>
                <w:szCs w:val="22"/>
                <w:highlight w:val="none"/>
              </w:rPr>
              <w:t>埃美柯</w:t>
            </w:r>
          </w:p>
        </w:tc>
        <w:tc>
          <w:tcPr>
            <w:tcW w:w="1559" w:type="dxa"/>
            <w:tcBorders>
              <w:top w:val="single" w:color="auto" w:sz="4" w:space="0"/>
              <w:left w:val="single" w:color="auto" w:sz="4" w:space="0"/>
              <w:bottom w:val="single" w:color="auto" w:sz="4" w:space="0"/>
              <w:right w:val="single" w:color="auto" w:sz="4" w:space="0"/>
            </w:tcBorders>
            <w:vAlign w:val="center"/>
          </w:tcPr>
          <w:p w14:paraId="2F9812A2">
            <w:pPr>
              <w:jc w:val="center"/>
              <w:rPr>
                <w:rFonts w:ascii="宋体" w:hAnsi="宋体" w:cs="宋体"/>
                <w:color w:val="auto"/>
                <w:sz w:val="22"/>
                <w:szCs w:val="22"/>
                <w:highlight w:val="none"/>
              </w:rPr>
            </w:pPr>
            <w:r>
              <w:rPr>
                <w:rFonts w:hint="eastAsia" w:ascii="宋体" w:hAnsi="宋体" w:cs="宋体"/>
                <w:color w:val="auto"/>
                <w:sz w:val="22"/>
                <w:szCs w:val="22"/>
                <w:highlight w:val="none"/>
              </w:rPr>
              <w:t>东海牌</w:t>
            </w:r>
          </w:p>
        </w:tc>
      </w:tr>
      <w:tr w14:paraId="4686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56" w:type="dxa"/>
            <w:tcBorders>
              <w:top w:val="single" w:color="auto" w:sz="4" w:space="0"/>
              <w:left w:val="single" w:color="auto" w:sz="4" w:space="0"/>
              <w:bottom w:val="single" w:color="auto" w:sz="4" w:space="0"/>
              <w:right w:val="single" w:color="auto" w:sz="4" w:space="0"/>
            </w:tcBorders>
            <w:vAlign w:val="center"/>
          </w:tcPr>
          <w:p w14:paraId="080C2868">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2835" w:type="dxa"/>
            <w:tcBorders>
              <w:top w:val="single" w:color="auto" w:sz="4" w:space="0"/>
              <w:left w:val="single" w:color="auto" w:sz="4" w:space="0"/>
              <w:bottom w:val="single" w:color="auto" w:sz="4" w:space="0"/>
              <w:right w:val="single" w:color="auto" w:sz="4" w:space="0"/>
            </w:tcBorders>
            <w:vAlign w:val="center"/>
          </w:tcPr>
          <w:p w14:paraId="5576C02C">
            <w:pPr>
              <w:jc w:val="center"/>
              <w:rPr>
                <w:rFonts w:ascii="宋体" w:hAnsi="宋体" w:cs="宋体"/>
                <w:color w:val="auto"/>
                <w:sz w:val="22"/>
                <w:szCs w:val="22"/>
                <w:highlight w:val="none"/>
              </w:rPr>
            </w:pPr>
            <w:r>
              <w:rPr>
                <w:rFonts w:hint="eastAsia" w:ascii="宋体" w:hAnsi="宋体" w:cs="宋体"/>
                <w:color w:val="auto"/>
                <w:sz w:val="22"/>
                <w:szCs w:val="22"/>
                <w:highlight w:val="none"/>
              </w:rPr>
              <w:t>PVC-U排水管、PP-R给水管</w:t>
            </w:r>
          </w:p>
        </w:tc>
        <w:tc>
          <w:tcPr>
            <w:tcW w:w="1662" w:type="dxa"/>
            <w:tcBorders>
              <w:top w:val="single" w:color="auto" w:sz="4" w:space="0"/>
              <w:left w:val="single" w:color="auto" w:sz="4" w:space="0"/>
              <w:bottom w:val="single" w:color="auto" w:sz="4" w:space="0"/>
              <w:right w:val="single" w:color="auto" w:sz="4" w:space="0"/>
            </w:tcBorders>
            <w:vAlign w:val="center"/>
          </w:tcPr>
          <w:p w14:paraId="47B74022">
            <w:pPr>
              <w:jc w:val="center"/>
              <w:rPr>
                <w:rFonts w:ascii="宋体" w:hAnsi="宋体" w:cs="宋体"/>
                <w:color w:val="auto"/>
                <w:sz w:val="22"/>
                <w:szCs w:val="22"/>
                <w:highlight w:val="none"/>
              </w:rPr>
            </w:pPr>
            <w:r>
              <w:rPr>
                <w:rFonts w:hint="eastAsia" w:ascii="宋体" w:hAnsi="宋体" w:cs="宋体"/>
                <w:color w:val="auto"/>
                <w:sz w:val="22"/>
                <w:szCs w:val="22"/>
                <w:highlight w:val="none"/>
              </w:rPr>
              <w:t>伟星</w:t>
            </w:r>
          </w:p>
        </w:tc>
        <w:tc>
          <w:tcPr>
            <w:tcW w:w="1418" w:type="dxa"/>
            <w:tcBorders>
              <w:top w:val="single" w:color="auto" w:sz="4" w:space="0"/>
              <w:left w:val="single" w:color="auto" w:sz="4" w:space="0"/>
              <w:bottom w:val="single" w:color="auto" w:sz="4" w:space="0"/>
              <w:right w:val="single" w:color="auto" w:sz="4" w:space="0"/>
            </w:tcBorders>
            <w:vAlign w:val="center"/>
          </w:tcPr>
          <w:p w14:paraId="5C24449F">
            <w:pPr>
              <w:jc w:val="center"/>
              <w:rPr>
                <w:rFonts w:ascii="宋体" w:hAnsi="宋体" w:cs="宋体"/>
                <w:color w:val="auto"/>
                <w:sz w:val="22"/>
                <w:szCs w:val="22"/>
                <w:highlight w:val="none"/>
              </w:rPr>
            </w:pPr>
            <w:r>
              <w:rPr>
                <w:rFonts w:hint="eastAsia" w:ascii="宋体" w:hAnsi="宋体" w:cs="宋体"/>
                <w:color w:val="auto"/>
                <w:sz w:val="22"/>
                <w:szCs w:val="22"/>
                <w:highlight w:val="none"/>
              </w:rPr>
              <w:t>浙江中财</w:t>
            </w:r>
          </w:p>
        </w:tc>
        <w:tc>
          <w:tcPr>
            <w:tcW w:w="1559" w:type="dxa"/>
            <w:tcBorders>
              <w:top w:val="single" w:color="auto" w:sz="4" w:space="0"/>
              <w:left w:val="single" w:color="auto" w:sz="4" w:space="0"/>
              <w:bottom w:val="single" w:color="auto" w:sz="4" w:space="0"/>
              <w:right w:val="single" w:color="auto" w:sz="4" w:space="0"/>
            </w:tcBorders>
            <w:vAlign w:val="center"/>
          </w:tcPr>
          <w:p w14:paraId="766973A8">
            <w:pPr>
              <w:jc w:val="center"/>
              <w:rPr>
                <w:rFonts w:ascii="宋体" w:hAnsi="宋体" w:cs="宋体"/>
                <w:color w:val="auto"/>
                <w:sz w:val="22"/>
                <w:szCs w:val="22"/>
                <w:highlight w:val="none"/>
              </w:rPr>
            </w:pPr>
            <w:r>
              <w:rPr>
                <w:rFonts w:hint="eastAsia" w:ascii="宋体" w:hAnsi="宋体" w:cs="宋体"/>
                <w:color w:val="auto"/>
                <w:sz w:val="22"/>
                <w:szCs w:val="22"/>
                <w:highlight w:val="none"/>
              </w:rPr>
              <w:t>波尔</w:t>
            </w:r>
          </w:p>
        </w:tc>
      </w:tr>
      <w:tr w14:paraId="7EDB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856" w:type="dxa"/>
            <w:tcBorders>
              <w:top w:val="single" w:color="auto" w:sz="4" w:space="0"/>
              <w:left w:val="single" w:color="auto" w:sz="4" w:space="0"/>
              <w:bottom w:val="single" w:color="auto" w:sz="4" w:space="0"/>
              <w:right w:val="single" w:color="auto" w:sz="4" w:space="0"/>
            </w:tcBorders>
            <w:vAlign w:val="center"/>
          </w:tcPr>
          <w:p w14:paraId="3FD09083">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2835" w:type="dxa"/>
            <w:tcBorders>
              <w:top w:val="single" w:color="auto" w:sz="4" w:space="0"/>
              <w:left w:val="single" w:color="auto" w:sz="4" w:space="0"/>
              <w:bottom w:val="single" w:color="auto" w:sz="4" w:space="0"/>
              <w:right w:val="single" w:color="auto" w:sz="4" w:space="0"/>
            </w:tcBorders>
            <w:vAlign w:val="center"/>
          </w:tcPr>
          <w:p w14:paraId="3F44D458">
            <w:pPr>
              <w:jc w:val="center"/>
              <w:rPr>
                <w:rFonts w:ascii="宋体" w:hAnsi="宋体" w:cs="宋体"/>
                <w:color w:val="auto"/>
                <w:sz w:val="22"/>
                <w:szCs w:val="22"/>
                <w:highlight w:val="none"/>
              </w:rPr>
            </w:pPr>
            <w:r>
              <w:rPr>
                <w:rFonts w:hint="eastAsia" w:ascii="宋体" w:hAnsi="宋体" w:cs="宋体"/>
                <w:color w:val="auto"/>
                <w:sz w:val="22"/>
                <w:szCs w:val="22"/>
                <w:highlight w:val="none"/>
              </w:rPr>
              <w:t>综合布线系统（网线超六类等）</w:t>
            </w:r>
          </w:p>
        </w:tc>
        <w:tc>
          <w:tcPr>
            <w:tcW w:w="1662" w:type="dxa"/>
            <w:tcBorders>
              <w:top w:val="single" w:color="auto" w:sz="4" w:space="0"/>
              <w:left w:val="single" w:color="auto" w:sz="4" w:space="0"/>
              <w:bottom w:val="single" w:color="auto" w:sz="4" w:space="0"/>
              <w:right w:val="single" w:color="auto" w:sz="4" w:space="0"/>
            </w:tcBorders>
            <w:vAlign w:val="center"/>
          </w:tcPr>
          <w:p w14:paraId="4E931D3E">
            <w:pPr>
              <w:jc w:val="center"/>
              <w:rPr>
                <w:rFonts w:ascii="宋体" w:hAnsi="宋体" w:cs="宋体"/>
                <w:color w:val="auto"/>
                <w:sz w:val="22"/>
                <w:szCs w:val="22"/>
                <w:highlight w:val="none"/>
              </w:rPr>
            </w:pPr>
            <w:r>
              <w:rPr>
                <w:rFonts w:hint="eastAsia" w:ascii="宋体" w:hAnsi="宋体" w:cs="宋体"/>
                <w:color w:val="auto"/>
                <w:sz w:val="22"/>
                <w:szCs w:val="22"/>
                <w:highlight w:val="none"/>
              </w:rPr>
              <w:t>康普</w:t>
            </w:r>
          </w:p>
        </w:tc>
        <w:tc>
          <w:tcPr>
            <w:tcW w:w="1418" w:type="dxa"/>
            <w:tcBorders>
              <w:top w:val="single" w:color="auto" w:sz="4" w:space="0"/>
              <w:left w:val="single" w:color="auto" w:sz="4" w:space="0"/>
              <w:bottom w:val="single" w:color="auto" w:sz="4" w:space="0"/>
              <w:right w:val="single" w:color="auto" w:sz="4" w:space="0"/>
            </w:tcBorders>
            <w:vAlign w:val="center"/>
          </w:tcPr>
          <w:p w14:paraId="7CD5B53A">
            <w:pPr>
              <w:jc w:val="center"/>
              <w:rPr>
                <w:rFonts w:ascii="宋体" w:hAnsi="宋体" w:cs="宋体"/>
                <w:color w:val="auto"/>
                <w:sz w:val="22"/>
                <w:szCs w:val="22"/>
                <w:highlight w:val="none"/>
              </w:rPr>
            </w:pPr>
            <w:r>
              <w:rPr>
                <w:rFonts w:hint="eastAsia" w:ascii="宋体" w:hAnsi="宋体" w:cs="宋体"/>
                <w:color w:val="auto"/>
                <w:sz w:val="22"/>
                <w:szCs w:val="22"/>
                <w:highlight w:val="none"/>
              </w:rPr>
              <w:t>西蒙</w:t>
            </w:r>
          </w:p>
        </w:tc>
        <w:tc>
          <w:tcPr>
            <w:tcW w:w="1559" w:type="dxa"/>
            <w:tcBorders>
              <w:top w:val="single" w:color="auto" w:sz="4" w:space="0"/>
              <w:left w:val="single" w:color="auto" w:sz="4" w:space="0"/>
              <w:bottom w:val="single" w:color="auto" w:sz="4" w:space="0"/>
              <w:right w:val="single" w:color="auto" w:sz="4" w:space="0"/>
            </w:tcBorders>
            <w:vAlign w:val="center"/>
          </w:tcPr>
          <w:p w14:paraId="2D966CE1">
            <w:pPr>
              <w:jc w:val="center"/>
              <w:rPr>
                <w:rFonts w:ascii="宋体" w:hAnsi="宋体" w:cs="宋体"/>
                <w:color w:val="auto"/>
                <w:sz w:val="22"/>
                <w:szCs w:val="22"/>
                <w:highlight w:val="none"/>
              </w:rPr>
            </w:pPr>
            <w:r>
              <w:rPr>
                <w:rFonts w:hint="eastAsia" w:ascii="宋体" w:hAnsi="宋体" w:cs="宋体"/>
                <w:color w:val="auto"/>
                <w:sz w:val="22"/>
                <w:szCs w:val="22"/>
                <w:highlight w:val="none"/>
              </w:rPr>
              <w:t>康宁</w:t>
            </w:r>
          </w:p>
        </w:tc>
      </w:tr>
      <w:tr w14:paraId="4979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856" w:type="dxa"/>
            <w:tcBorders>
              <w:top w:val="single" w:color="auto" w:sz="4" w:space="0"/>
              <w:left w:val="single" w:color="auto" w:sz="4" w:space="0"/>
              <w:bottom w:val="single" w:color="auto" w:sz="4" w:space="0"/>
              <w:right w:val="single" w:color="auto" w:sz="4" w:space="0"/>
            </w:tcBorders>
            <w:vAlign w:val="center"/>
          </w:tcPr>
          <w:p w14:paraId="4FC10B94">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2835" w:type="dxa"/>
            <w:tcBorders>
              <w:top w:val="single" w:color="auto" w:sz="4" w:space="0"/>
              <w:left w:val="single" w:color="auto" w:sz="4" w:space="0"/>
              <w:bottom w:val="single" w:color="auto" w:sz="4" w:space="0"/>
              <w:right w:val="single" w:color="auto" w:sz="4" w:space="0"/>
            </w:tcBorders>
            <w:vAlign w:val="center"/>
          </w:tcPr>
          <w:p w14:paraId="3BE60269">
            <w:pPr>
              <w:jc w:val="center"/>
              <w:rPr>
                <w:rFonts w:ascii="宋体" w:hAnsi="宋体" w:cs="宋体"/>
                <w:color w:val="auto"/>
                <w:sz w:val="22"/>
                <w:szCs w:val="22"/>
                <w:highlight w:val="none"/>
              </w:rPr>
            </w:pPr>
            <w:r>
              <w:rPr>
                <w:rFonts w:hint="eastAsia" w:ascii="宋体" w:hAnsi="宋体" w:cs="宋体"/>
                <w:color w:val="auto"/>
                <w:sz w:val="22"/>
                <w:szCs w:val="22"/>
                <w:highlight w:val="none"/>
              </w:rPr>
              <w:t>阀门</w:t>
            </w:r>
          </w:p>
        </w:tc>
        <w:tc>
          <w:tcPr>
            <w:tcW w:w="1662" w:type="dxa"/>
            <w:tcBorders>
              <w:top w:val="single" w:color="auto" w:sz="4" w:space="0"/>
              <w:left w:val="single" w:color="auto" w:sz="4" w:space="0"/>
              <w:bottom w:val="single" w:color="auto" w:sz="4" w:space="0"/>
              <w:right w:val="single" w:color="auto" w:sz="4" w:space="0"/>
            </w:tcBorders>
            <w:vAlign w:val="center"/>
          </w:tcPr>
          <w:p w14:paraId="01F7413A">
            <w:pPr>
              <w:jc w:val="center"/>
              <w:rPr>
                <w:rFonts w:ascii="宋体" w:hAnsi="宋体" w:cs="宋体"/>
                <w:color w:val="auto"/>
                <w:sz w:val="22"/>
                <w:szCs w:val="22"/>
                <w:highlight w:val="none"/>
              </w:rPr>
            </w:pPr>
            <w:r>
              <w:rPr>
                <w:rFonts w:hint="eastAsia" w:ascii="宋体" w:hAnsi="宋体" w:cs="宋体"/>
                <w:color w:val="auto"/>
                <w:sz w:val="22"/>
                <w:szCs w:val="22"/>
                <w:highlight w:val="none"/>
              </w:rPr>
              <w:t>宁波埃美柯</w:t>
            </w:r>
          </w:p>
        </w:tc>
        <w:tc>
          <w:tcPr>
            <w:tcW w:w="1418" w:type="dxa"/>
            <w:tcBorders>
              <w:top w:val="single" w:color="auto" w:sz="4" w:space="0"/>
              <w:left w:val="single" w:color="auto" w:sz="4" w:space="0"/>
              <w:bottom w:val="single" w:color="auto" w:sz="4" w:space="0"/>
              <w:right w:val="single" w:color="auto" w:sz="4" w:space="0"/>
            </w:tcBorders>
            <w:vAlign w:val="center"/>
          </w:tcPr>
          <w:p w14:paraId="058E01B3">
            <w:pPr>
              <w:jc w:val="center"/>
              <w:rPr>
                <w:rFonts w:ascii="宋体" w:hAnsi="宋体" w:cs="宋体"/>
                <w:color w:val="auto"/>
                <w:sz w:val="22"/>
                <w:szCs w:val="22"/>
                <w:highlight w:val="none"/>
              </w:rPr>
            </w:pPr>
            <w:r>
              <w:rPr>
                <w:rFonts w:hint="eastAsia" w:ascii="宋体" w:hAnsi="宋体" w:cs="宋体"/>
                <w:color w:val="auto"/>
                <w:sz w:val="22"/>
                <w:szCs w:val="22"/>
                <w:highlight w:val="none"/>
              </w:rPr>
              <w:t>宁波杰克龙</w:t>
            </w:r>
          </w:p>
        </w:tc>
        <w:tc>
          <w:tcPr>
            <w:tcW w:w="1559" w:type="dxa"/>
            <w:tcBorders>
              <w:top w:val="single" w:color="auto" w:sz="4" w:space="0"/>
              <w:left w:val="single" w:color="auto" w:sz="4" w:space="0"/>
              <w:bottom w:val="single" w:color="auto" w:sz="4" w:space="0"/>
              <w:right w:val="single" w:color="auto" w:sz="4" w:space="0"/>
            </w:tcBorders>
            <w:vAlign w:val="center"/>
          </w:tcPr>
          <w:p w14:paraId="33E3E947">
            <w:pPr>
              <w:jc w:val="center"/>
              <w:rPr>
                <w:rFonts w:ascii="宋体" w:hAnsi="宋体" w:cs="宋体"/>
                <w:color w:val="auto"/>
                <w:sz w:val="22"/>
                <w:szCs w:val="22"/>
                <w:highlight w:val="none"/>
              </w:rPr>
            </w:pPr>
            <w:r>
              <w:rPr>
                <w:rFonts w:hint="eastAsia" w:ascii="宋体" w:hAnsi="宋体" w:cs="宋体"/>
                <w:color w:val="auto"/>
                <w:sz w:val="22"/>
                <w:szCs w:val="22"/>
                <w:highlight w:val="none"/>
              </w:rPr>
              <w:t>永享</w:t>
            </w:r>
          </w:p>
        </w:tc>
      </w:tr>
    </w:tbl>
    <w:p w14:paraId="43976010">
      <w:pPr>
        <w:spacing w:line="360" w:lineRule="auto"/>
        <w:ind w:firstLine="424" w:firstLineChars="202"/>
        <w:rPr>
          <w:rFonts w:ascii="宋体" w:hAnsi="宋体"/>
          <w:color w:val="auto"/>
          <w:highlight w:val="none"/>
        </w:rPr>
      </w:pPr>
      <w:r>
        <w:rPr>
          <w:rFonts w:ascii="宋体" w:hAnsi="宋体"/>
          <w:color w:val="auto"/>
          <w:highlight w:val="none"/>
        </w:rPr>
        <w:t>注：采购人在本章节中推荐的</w:t>
      </w:r>
      <w:r>
        <w:rPr>
          <w:rFonts w:hint="eastAsia" w:ascii="宋体" w:hAnsi="宋体"/>
          <w:color w:val="auto"/>
          <w:highlight w:val="none"/>
        </w:rPr>
        <w:t>参考</w:t>
      </w:r>
      <w:r>
        <w:rPr>
          <w:rFonts w:ascii="宋体" w:hAnsi="宋体"/>
          <w:color w:val="auto"/>
          <w:highlight w:val="none"/>
        </w:rPr>
        <w:t>品牌是采购人认为最适合本项目的品牌，供应商应予以积极响应。供应商可以选择能满足本项目技术需求且性能与参考品牌相当的产品进行磋商响应。</w:t>
      </w:r>
    </w:p>
    <w:p w14:paraId="214D1FE1">
      <w:pPr>
        <w:spacing w:line="360" w:lineRule="auto"/>
        <w:ind w:firstLine="426" w:firstLineChars="202"/>
        <w:rPr>
          <w:rFonts w:ascii="宋体" w:hAnsi="宋体"/>
          <w:b/>
          <w:color w:val="auto"/>
          <w:highlight w:val="none"/>
        </w:rPr>
      </w:pPr>
      <w:r>
        <w:rPr>
          <w:rFonts w:hint="eastAsia" w:ascii="宋体" w:hAnsi="宋体"/>
          <w:b/>
          <w:color w:val="auto"/>
          <w:highlight w:val="none"/>
        </w:rPr>
        <w:t>十二、原材料小样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3686"/>
        <w:gridCol w:w="2268"/>
      </w:tblGrid>
      <w:tr w14:paraId="18B5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26CCBAF4">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序号</w:t>
            </w:r>
          </w:p>
        </w:tc>
        <w:tc>
          <w:tcPr>
            <w:tcW w:w="1559" w:type="dxa"/>
            <w:vAlign w:val="center"/>
          </w:tcPr>
          <w:p w14:paraId="172CEFAB">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名称</w:t>
            </w:r>
          </w:p>
        </w:tc>
        <w:tc>
          <w:tcPr>
            <w:tcW w:w="3686" w:type="dxa"/>
            <w:vAlign w:val="center"/>
          </w:tcPr>
          <w:p w14:paraId="31F34279">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规格</w:t>
            </w:r>
          </w:p>
        </w:tc>
        <w:tc>
          <w:tcPr>
            <w:tcW w:w="2268" w:type="dxa"/>
            <w:vAlign w:val="center"/>
          </w:tcPr>
          <w:p w14:paraId="5C49DD25">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备注</w:t>
            </w:r>
          </w:p>
        </w:tc>
      </w:tr>
      <w:tr w14:paraId="5C12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0D141005">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1</w:t>
            </w:r>
          </w:p>
        </w:tc>
        <w:tc>
          <w:tcPr>
            <w:tcW w:w="1559" w:type="dxa"/>
            <w:vAlign w:val="center"/>
          </w:tcPr>
          <w:p w14:paraId="55B755E0">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塑木地板</w:t>
            </w:r>
          </w:p>
        </w:tc>
        <w:tc>
          <w:tcPr>
            <w:tcW w:w="3686" w:type="dxa"/>
            <w:vAlign w:val="center"/>
          </w:tcPr>
          <w:p w14:paraId="756645D8">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25mm厚实心塑木地板</w:t>
            </w:r>
          </w:p>
        </w:tc>
        <w:tc>
          <w:tcPr>
            <w:tcW w:w="2268" w:type="dxa"/>
            <w:vAlign w:val="center"/>
          </w:tcPr>
          <w:p w14:paraId="6F9256A4">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长度不小于50cm，一块</w:t>
            </w:r>
          </w:p>
        </w:tc>
      </w:tr>
      <w:tr w14:paraId="5A2C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59B8EF62">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2</w:t>
            </w:r>
          </w:p>
        </w:tc>
        <w:tc>
          <w:tcPr>
            <w:tcW w:w="1559" w:type="dxa"/>
            <w:vAlign w:val="center"/>
          </w:tcPr>
          <w:p w14:paraId="26C47000">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复合地板</w:t>
            </w:r>
          </w:p>
        </w:tc>
        <w:tc>
          <w:tcPr>
            <w:tcW w:w="3686" w:type="dxa"/>
            <w:vAlign w:val="center"/>
          </w:tcPr>
          <w:p w14:paraId="59096AF8">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12mm厚强化复合地板</w:t>
            </w:r>
          </w:p>
        </w:tc>
        <w:tc>
          <w:tcPr>
            <w:tcW w:w="2268" w:type="dxa"/>
            <w:vAlign w:val="center"/>
          </w:tcPr>
          <w:p w14:paraId="5959840F">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长度不小于50cm，一块</w:t>
            </w:r>
          </w:p>
        </w:tc>
      </w:tr>
      <w:tr w14:paraId="2687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6870D142">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3</w:t>
            </w:r>
          </w:p>
        </w:tc>
        <w:tc>
          <w:tcPr>
            <w:tcW w:w="1559" w:type="dxa"/>
            <w:vAlign w:val="center"/>
          </w:tcPr>
          <w:p w14:paraId="4B18BC33">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墙砖</w:t>
            </w:r>
          </w:p>
        </w:tc>
        <w:tc>
          <w:tcPr>
            <w:tcW w:w="3686" w:type="dxa"/>
            <w:vAlign w:val="center"/>
          </w:tcPr>
          <w:p w14:paraId="0EF8C799">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400mm*800mm通体砖</w:t>
            </w:r>
          </w:p>
        </w:tc>
        <w:tc>
          <w:tcPr>
            <w:tcW w:w="2268" w:type="dxa"/>
            <w:vAlign w:val="center"/>
          </w:tcPr>
          <w:p w14:paraId="790DEE9A">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400mm*800mm，一块</w:t>
            </w:r>
          </w:p>
        </w:tc>
      </w:tr>
    </w:tbl>
    <w:p w14:paraId="389507EF">
      <w:pPr>
        <w:pStyle w:val="2"/>
        <w:spacing w:after="0" w:line="360" w:lineRule="auto"/>
        <w:ind w:firstLine="210"/>
        <w:jc w:val="left"/>
        <w:rPr>
          <w:rFonts w:ascii="宋体" w:hAnsi="宋体"/>
          <w:color w:val="auto"/>
          <w:sz w:val="21"/>
          <w:szCs w:val="21"/>
          <w:highlight w:val="none"/>
        </w:rPr>
      </w:pPr>
      <w:r>
        <w:rPr>
          <w:rFonts w:hint="eastAsia" w:ascii="宋体" w:hAnsi="宋体"/>
          <w:color w:val="auto"/>
          <w:sz w:val="21"/>
          <w:szCs w:val="21"/>
          <w:highlight w:val="none"/>
        </w:rPr>
        <w:t>注：在响应截止时间前送至采购代理机构办公地址（宁波市海曙区江汇城496号姚江时代14幢3楼），小样标注品牌及供应商名称，成交供应商提供的小样在项目评审结束后进行封存，未成交供应商提供的小样在评审结束后退回。</w:t>
      </w:r>
      <w:bookmarkEnd w:id="46"/>
      <w:r>
        <w:rPr>
          <w:rFonts w:hint="eastAsia" w:ascii="宋体" w:hAnsi="宋体"/>
          <w:color w:val="auto"/>
          <w:sz w:val="21"/>
          <w:szCs w:val="21"/>
          <w:highlight w:val="none"/>
        </w:rPr>
        <w:t>供应商未提供样品或样品不全（未提供塑木地板</w:t>
      </w:r>
      <w:r>
        <w:rPr>
          <w:rFonts w:hint="eastAsia" w:ascii="宋体" w:hAnsi="宋体" w:cs="宋体"/>
          <w:color w:val="auto"/>
          <w:sz w:val="21"/>
          <w:szCs w:val="21"/>
          <w:highlight w:val="none"/>
        </w:rPr>
        <w:t>、</w:t>
      </w:r>
      <w:r>
        <w:rPr>
          <w:rFonts w:hint="eastAsia" w:ascii="宋体" w:hAnsi="宋体"/>
          <w:color w:val="auto"/>
          <w:sz w:val="21"/>
          <w:szCs w:val="21"/>
          <w:highlight w:val="none"/>
        </w:rPr>
        <w:t>复合地板、墙砖</w:t>
      </w:r>
      <w:r>
        <w:rPr>
          <w:rFonts w:hint="eastAsia" w:ascii="宋体" w:hAnsi="宋体" w:cs="宋体"/>
          <w:color w:val="auto"/>
          <w:sz w:val="21"/>
          <w:szCs w:val="21"/>
          <w:highlight w:val="none"/>
        </w:rPr>
        <w:t>其中一样及以上</w:t>
      </w:r>
      <w:r>
        <w:rPr>
          <w:rFonts w:hint="eastAsia" w:ascii="宋体" w:hAnsi="宋体"/>
          <w:color w:val="auto"/>
          <w:sz w:val="21"/>
          <w:szCs w:val="21"/>
          <w:highlight w:val="none"/>
        </w:rPr>
        <w:t>）的按照响应无效处理。不要求提供样品的检测报告。</w:t>
      </w:r>
    </w:p>
    <w:p w14:paraId="485E36C9">
      <w:pPr>
        <w:pStyle w:val="2"/>
        <w:rPr>
          <w:rFonts w:ascii="宋体" w:hAnsi="宋体"/>
          <w:color w:val="auto"/>
          <w:highlight w:val="none"/>
        </w:rPr>
      </w:pPr>
    </w:p>
    <w:p w14:paraId="6168AA7D">
      <w:pPr>
        <w:pStyle w:val="2"/>
        <w:rPr>
          <w:rFonts w:ascii="宋体" w:hAnsi="宋体"/>
          <w:color w:val="auto"/>
          <w:highlight w:val="none"/>
        </w:rPr>
        <w:sectPr>
          <w:headerReference r:id="rId6" w:type="default"/>
          <w:footerReference r:id="rId7" w:type="default"/>
          <w:footerReference r:id="rId8" w:type="even"/>
          <w:pgSz w:w="11906" w:h="16838"/>
          <w:pgMar w:top="1276" w:right="1983" w:bottom="1276" w:left="1610" w:header="426" w:footer="851" w:gutter="0"/>
          <w:pgNumType w:start="1"/>
          <w:cols w:space="720" w:num="1"/>
          <w:docGrid w:linePitch="312" w:charSpace="0"/>
        </w:sectPr>
      </w:pPr>
    </w:p>
    <w:p w14:paraId="076165B7">
      <w:pPr>
        <w:pStyle w:val="4"/>
        <w:rPr>
          <w:rFonts w:ascii="宋体" w:hAnsi="宋体"/>
          <w:color w:val="auto"/>
          <w:sz w:val="32"/>
          <w:highlight w:val="none"/>
        </w:rPr>
      </w:pPr>
      <w:bookmarkStart w:id="47" w:name="_Toc34844743"/>
      <w:bookmarkStart w:id="48" w:name="_Toc86053873"/>
      <w:r>
        <w:rPr>
          <w:rFonts w:hint="eastAsia" w:ascii="宋体" w:hAnsi="宋体"/>
          <w:color w:val="auto"/>
          <w:highlight w:val="none"/>
        </w:rPr>
        <w:t>第三章  供应商须知</w:t>
      </w:r>
      <w:bookmarkEnd w:id="47"/>
      <w:bookmarkEnd w:id="48"/>
    </w:p>
    <w:p w14:paraId="3E87CAF6">
      <w:pPr>
        <w:spacing w:line="360" w:lineRule="auto"/>
        <w:jc w:val="center"/>
        <w:rPr>
          <w:rFonts w:ascii="宋体" w:hAnsi="宋体"/>
          <w:b/>
          <w:color w:val="auto"/>
          <w:szCs w:val="21"/>
          <w:highlight w:val="none"/>
        </w:rPr>
      </w:pPr>
      <w:r>
        <w:rPr>
          <w:rFonts w:hint="eastAsia" w:ascii="宋体" w:hAnsi="宋体"/>
          <w:b/>
          <w:color w:val="auto"/>
          <w:szCs w:val="21"/>
          <w:highlight w:val="none"/>
        </w:rPr>
        <w:t>供应商须知前附表</w:t>
      </w:r>
    </w:p>
    <w:p w14:paraId="7A822305">
      <w:pPr>
        <w:spacing w:line="360" w:lineRule="auto"/>
        <w:ind w:firstLine="420"/>
        <w:jc w:val="left"/>
        <w:rPr>
          <w:rStyle w:val="25"/>
          <w:rFonts w:hint="default"/>
          <w:color w:val="auto"/>
          <w:sz w:val="21"/>
          <w:szCs w:val="21"/>
          <w:highlight w:val="none"/>
        </w:rPr>
      </w:pPr>
      <w:r>
        <w:rPr>
          <w:rStyle w:val="25"/>
          <w:rFonts w:hint="default"/>
          <w:color w:val="auto"/>
          <w:sz w:val="21"/>
          <w:szCs w:val="21"/>
          <w:highlight w:val="none"/>
        </w:rPr>
        <w:t>注：本表内容是对供应商须知的具体补充，如有不一致，以本表为准。</w:t>
      </w:r>
    </w:p>
    <w:tbl>
      <w:tblPr>
        <w:tblStyle w:val="17"/>
        <w:tblW w:w="83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959"/>
        <w:gridCol w:w="4777"/>
      </w:tblGrid>
      <w:tr w14:paraId="673D2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6D8666FB">
            <w:pPr>
              <w:jc w:val="center"/>
              <w:rPr>
                <w:rFonts w:ascii="宋体" w:hAnsi="宋体"/>
                <w:b/>
                <w:color w:val="auto"/>
                <w:szCs w:val="21"/>
                <w:highlight w:val="none"/>
              </w:rPr>
            </w:pPr>
            <w:r>
              <w:rPr>
                <w:rFonts w:hint="eastAsia" w:ascii="宋体" w:hAnsi="宋体"/>
                <w:b/>
                <w:color w:val="auto"/>
                <w:szCs w:val="21"/>
                <w:highlight w:val="none"/>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5829A83D">
            <w:pPr>
              <w:jc w:val="center"/>
              <w:rPr>
                <w:rFonts w:ascii="宋体" w:hAnsi="宋体"/>
                <w:b/>
                <w:color w:val="auto"/>
                <w:szCs w:val="21"/>
                <w:highlight w:val="none"/>
              </w:rPr>
            </w:pPr>
            <w:r>
              <w:rPr>
                <w:rFonts w:hint="eastAsia" w:ascii="宋体" w:hAnsi="宋体"/>
                <w:b/>
                <w:color w:val="auto"/>
                <w:szCs w:val="21"/>
                <w:highlight w:val="none"/>
              </w:rPr>
              <w:t>条款号</w:t>
            </w:r>
          </w:p>
        </w:tc>
        <w:tc>
          <w:tcPr>
            <w:tcW w:w="1959" w:type="dxa"/>
            <w:tcBorders>
              <w:top w:val="single" w:color="auto" w:sz="4" w:space="0"/>
              <w:left w:val="single" w:color="auto" w:sz="4" w:space="0"/>
              <w:bottom w:val="single" w:color="auto" w:sz="4" w:space="0"/>
              <w:right w:val="single" w:color="auto" w:sz="4" w:space="0"/>
            </w:tcBorders>
            <w:vAlign w:val="center"/>
          </w:tcPr>
          <w:p w14:paraId="51280C24">
            <w:pPr>
              <w:jc w:val="center"/>
              <w:rPr>
                <w:rFonts w:ascii="宋体" w:hAnsi="宋体"/>
                <w:b/>
                <w:color w:val="auto"/>
                <w:szCs w:val="21"/>
                <w:highlight w:val="none"/>
              </w:rPr>
            </w:pPr>
            <w:r>
              <w:rPr>
                <w:rFonts w:hint="eastAsia" w:ascii="宋体" w:hAnsi="宋体"/>
                <w:b/>
                <w:color w:val="auto"/>
                <w:szCs w:val="21"/>
                <w:highlight w:val="none"/>
              </w:rPr>
              <w:t>条款名称</w:t>
            </w:r>
          </w:p>
        </w:tc>
        <w:tc>
          <w:tcPr>
            <w:tcW w:w="4777" w:type="dxa"/>
            <w:tcBorders>
              <w:top w:val="single" w:color="auto" w:sz="4" w:space="0"/>
              <w:left w:val="single" w:color="auto" w:sz="4" w:space="0"/>
              <w:bottom w:val="single" w:color="auto" w:sz="4" w:space="0"/>
              <w:right w:val="single" w:color="auto" w:sz="4" w:space="0"/>
            </w:tcBorders>
            <w:vAlign w:val="center"/>
          </w:tcPr>
          <w:p w14:paraId="0866B512">
            <w:pPr>
              <w:jc w:val="center"/>
              <w:rPr>
                <w:rFonts w:ascii="宋体" w:hAnsi="宋体"/>
                <w:b/>
                <w:color w:val="auto"/>
                <w:szCs w:val="21"/>
                <w:highlight w:val="none"/>
              </w:rPr>
            </w:pPr>
            <w:r>
              <w:rPr>
                <w:rFonts w:hint="eastAsia" w:ascii="宋体" w:hAnsi="宋体"/>
                <w:b/>
                <w:color w:val="auto"/>
                <w:szCs w:val="21"/>
                <w:highlight w:val="none"/>
              </w:rPr>
              <w:t>内容、要求</w:t>
            </w:r>
          </w:p>
        </w:tc>
      </w:tr>
      <w:tr w14:paraId="67180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31170A3A">
            <w:pPr>
              <w:jc w:val="center"/>
              <w:rPr>
                <w:rFonts w:ascii="宋体" w:hAnsi="宋体"/>
                <w:color w:val="auto"/>
                <w:szCs w:val="21"/>
                <w:highlight w:val="none"/>
              </w:rPr>
            </w:pPr>
            <w:r>
              <w:rPr>
                <w:rFonts w:hint="eastAsia" w:ascii="宋体" w:hAnsi="宋体"/>
                <w:color w:val="auto"/>
                <w:szCs w:val="21"/>
                <w:highlight w:val="none"/>
              </w:rPr>
              <w:t>1</w:t>
            </w:r>
          </w:p>
        </w:tc>
        <w:tc>
          <w:tcPr>
            <w:tcW w:w="892" w:type="dxa"/>
            <w:tcBorders>
              <w:top w:val="single" w:color="auto" w:sz="4" w:space="0"/>
              <w:left w:val="single" w:color="auto" w:sz="4" w:space="0"/>
              <w:bottom w:val="single" w:color="auto" w:sz="4" w:space="0"/>
              <w:right w:val="single" w:color="auto" w:sz="4" w:space="0"/>
            </w:tcBorders>
            <w:vAlign w:val="center"/>
          </w:tcPr>
          <w:p w14:paraId="5BF030F4">
            <w:pPr>
              <w:jc w:val="center"/>
              <w:rPr>
                <w:rFonts w:ascii="宋体" w:hAnsi="宋体"/>
                <w:color w:val="auto"/>
                <w:szCs w:val="21"/>
                <w:highlight w:val="none"/>
              </w:rPr>
            </w:pPr>
            <w:r>
              <w:rPr>
                <w:rFonts w:hint="eastAsia" w:ascii="宋体" w:hAnsi="宋体"/>
                <w:color w:val="auto"/>
                <w:szCs w:val="21"/>
                <w:highlight w:val="none"/>
              </w:rPr>
              <w:t>3.1</w:t>
            </w:r>
          </w:p>
        </w:tc>
        <w:tc>
          <w:tcPr>
            <w:tcW w:w="1959" w:type="dxa"/>
            <w:tcBorders>
              <w:top w:val="single" w:color="auto" w:sz="4" w:space="0"/>
              <w:left w:val="single" w:color="auto" w:sz="4" w:space="0"/>
              <w:bottom w:val="single" w:color="auto" w:sz="4" w:space="0"/>
              <w:right w:val="single" w:color="auto" w:sz="4" w:space="0"/>
            </w:tcBorders>
            <w:vAlign w:val="center"/>
          </w:tcPr>
          <w:p w14:paraId="2892F156">
            <w:pPr>
              <w:rPr>
                <w:rFonts w:ascii="宋体" w:hAnsi="宋体"/>
                <w:color w:val="auto"/>
                <w:szCs w:val="21"/>
                <w:highlight w:val="none"/>
              </w:rPr>
            </w:pPr>
            <w:r>
              <w:rPr>
                <w:rFonts w:hint="eastAsia" w:ascii="宋体" w:hAnsi="宋体"/>
                <w:color w:val="auto"/>
                <w:szCs w:val="21"/>
                <w:highlight w:val="none"/>
              </w:rPr>
              <w:t>采购人</w:t>
            </w:r>
          </w:p>
        </w:tc>
        <w:tc>
          <w:tcPr>
            <w:tcW w:w="4777" w:type="dxa"/>
            <w:tcBorders>
              <w:top w:val="single" w:color="auto" w:sz="4" w:space="0"/>
              <w:left w:val="single" w:color="auto" w:sz="4" w:space="0"/>
              <w:bottom w:val="single" w:color="auto" w:sz="4" w:space="0"/>
              <w:right w:val="single" w:color="auto" w:sz="4" w:space="0"/>
            </w:tcBorders>
            <w:vAlign w:val="center"/>
          </w:tcPr>
          <w:p w14:paraId="28412AEA">
            <w:pPr>
              <w:jc w:val="left"/>
              <w:rPr>
                <w:rFonts w:ascii="宋体" w:hAnsi="宋体"/>
                <w:color w:val="auto"/>
                <w:szCs w:val="21"/>
                <w:highlight w:val="none"/>
              </w:rPr>
            </w:pPr>
            <w:r>
              <w:rPr>
                <w:rFonts w:hint="eastAsia" w:ascii="宋体" w:hAnsi="宋体"/>
                <w:color w:val="auto"/>
                <w:szCs w:val="21"/>
                <w:highlight w:val="none"/>
              </w:rPr>
              <w:t>浙江工商职业技术学院</w:t>
            </w:r>
          </w:p>
        </w:tc>
      </w:tr>
      <w:tr w14:paraId="5D951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210825D9">
            <w:pPr>
              <w:jc w:val="center"/>
              <w:rPr>
                <w:rFonts w:ascii="宋体" w:hAnsi="宋体"/>
                <w:color w:val="auto"/>
                <w:szCs w:val="21"/>
                <w:highlight w:val="none"/>
              </w:rPr>
            </w:pPr>
            <w:r>
              <w:rPr>
                <w:rFonts w:hint="eastAsia" w:ascii="宋体" w:hAnsi="宋体"/>
                <w:color w:val="auto"/>
                <w:szCs w:val="21"/>
                <w:highlight w:val="none"/>
              </w:rPr>
              <w:t>2</w:t>
            </w:r>
          </w:p>
        </w:tc>
        <w:tc>
          <w:tcPr>
            <w:tcW w:w="892" w:type="dxa"/>
            <w:tcBorders>
              <w:top w:val="single" w:color="auto" w:sz="4" w:space="0"/>
              <w:left w:val="single" w:color="auto" w:sz="4" w:space="0"/>
              <w:bottom w:val="single" w:color="auto" w:sz="4" w:space="0"/>
              <w:right w:val="single" w:color="auto" w:sz="4" w:space="0"/>
            </w:tcBorders>
            <w:vAlign w:val="center"/>
          </w:tcPr>
          <w:p w14:paraId="50A0C1A9">
            <w:pPr>
              <w:jc w:val="center"/>
              <w:rPr>
                <w:rFonts w:ascii="宋体" w:hAnsi="宋体"/>
                <w:color w:val="auto"/>
                <w:szCs w:val="21"/>
                <w:highlight w:val="none"/>
              </w:rPr>
            </w:pPr>
            <w:r>
              <w:rPr>
                <w:rFonts w:hint="eastAsia" w:ascii="宋体" w:hAnsi="宋体"/>
                <w:color w:val="auto"/>
                <w:szCs w:val="21"/>
                <w:highlight w:val="none"/>
              </w:rPr>
              <w:t>3.2</w:t>
            </w:r>
          </w:p>
        </w:tc>
        <w:tc>
          <w:tcPr>
            <w:tcW w:w="1959" w:type="dxa"/>
            <w:tcBorders>
              <w:top w:val="single" w:color="auto" w:sz="4" w:space="0"/>
              <w:left w:val="single" w:color="auto" w:sz="4" w:space="0"/>
              <w:bottom w:val="single" w:color="auto" w:sz="4" w:space="0"/>
              <w:right w:val="single" w:color="auto" w:sz="4" w:space="0"/>
            </w:tcBorders>
            <w:vAlign w:val="center"/>
          </w:tcPr>
          <w:p w14:paraId="42324357">
            <w:pPr>
              <w:rPr>
                <w:rFonts w:ascii="宋体" w:hAnsi="宋体"/>
                <w:color w:val="auto"/>
                <w:szCs w:val="21"/>
                <w:highlight w:val="none"/>
              </w:rPr>
            </w:pPr>
            <w:r>
              <w:rPr>
                <w:rFonts w:hint="eastAsia" w:ascii="宋体" w:hAnsi="宋体"/>
                <w:color w:val="auto"/>
                <w:szCs w:val="21"/>
                <w:highlight w:val="none"/>
              </w:rPr>
              <w:t>采购代理机构</w:t>
            </w:r>
          </w:p>
        </w:tc>
        <w:tc>
          <w:tcPr>
            <w:tcW w:w="4777" w:type="dxa"/>
            <w:tcBorders>
              <w:top w:val="single" w:color="auto" w:sz="4" w:space="0"/>
              <w:left w:val="single" w:color="auto" w:sz="4" w:space="0"/>
              <w:bottom w:val="single" w:color="auto" w:sz="4" w:space="0"/>
              <w:right w:val="single" w:color="auto" w:sz="4" w:space="0"/>
            </w:tcBorders>
            <w:vAlign w:val="center"/>
          </w:tcPr>
          <w:p w14:paraId="1D4E3D5E">
            <w:pPr>
              <w:jc w:val="left"/>
              <w:rPr>
                <w:rFonts w:ascii="宋体" w:hAnsi="宋体"/>
                <w:color w:val="auto"/>
                <w:szCs w:val="21"/>
                <w:highlight w:val="none"/>
              </w:rPr>
            </w:pPr>
            <w:r>
              <w:rPr>
                <w:rFonts w:hint="eastAsia" w:ascii="宋体" w:hAnsi="宋体"/>
                <w:color w:val="auto"/>
                <w:szCs w:val="21"/>
                <w:highlight w:val="none"/>
              </w:rPr>
              <w:t>宁波名诚招标代理有限公司</w:t>
            </w:r>
          </w:p>
        </w:tc>
      </w:tr>
      <w:tr w14:paraId="20E6B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3B2EBC1E">
            <w:pPr>
              <w:jc w:val="center"/>
              <w:rPr>
                <w:rFonts w:ascii="宋体" w:hAnsi="宋体"/>
                <w:color w:val="auto"/>
                <w:szCs w:val="21"/>
                <w:highlight w:val="none"/>
              </w:rPr>
            </w:pPr>
            <w:r>
              <w:rPr>
                <w:rFonts w:hint="eastAsia" w:ascii="宋体" w:hAnsi="宋体"/>
                <w:color w:val="auto"/>
                <w:szCs w:val="21"/>
                <w:highlight w:val="none"/>
              </w:rPr>
              <w:t>3</w:t>
            </w:r>
          </w:p>
        </w:tc>
        <w:tc>
          <w:tcPr>
            <w:tcW w:w="892" w:type="dxa"/>
            <w:tcBorders>
              <w:top w:val="single" w:color="auto" w:sz="4" w:space="0"/>
              <w:left w:val="single" w:color="auto" w:sz="4" w:space="0"/>
              <w:bottom w:val="single" w:color="auto" w:sz="4" w:space="0"/>
              <w:right w:val="single" w:color="auto" w:sz="4" w:space="0"/>
            </w:tcBorders>
            <w:vAlign w:val="center"/>
          </w:tcPr>
          <w:p w14:paraId="0AF3A7BD">
            <w:pPr>
              <w:jc w:val="center"/>
              <w:rPr>
                <w:rFonts w:ascii="宋体" w:hAnsi="宋体"/>
                <w:color w:val="auto"/>
                <w:szCs w:val="21"/>
                <w:highlight w:val="none"/>
              </w:rPr>
            </w:pPr>
            <w:r>
              <w:rPr>
                <w:rFonts w:hint="eastAsia" w:ascii="宋体" w:hAnsi="宋体"/>
                <w:color w:val="auto"/>
                <w:szCs w:val="21"/>
                <w:highlight w:val="none"/>
              </w:rPr>
              <w:t>10.3</w:t>
            </w:r>
          </w:p>
        </w:tc>
        <w:tc>
          <w:tcPr>
            <w:tcW w:w="1959" w:type="dxa"/>
            <w:tcBorders>
              <w:top w:val="single" w:color="auto" w:sz="4" w:space="0"/>
              <w:left w:val="single" w:color="auto" w:sz="4" w:space="0"/>
              <w:bottom w:val="single" w:color="auto" w:sz="4" w:space="0"/>
              <w:right w:val="single" w:color="auto" w:sz="4" w:space="0"/>
            </w:tcBorders>
            <w:vAlign w:val="center"/>
          </w:tcPr>
          <w:p w14:paraId="4076B329">
            <w:pPr>
              <w:rPr>
                <w:rFonts w:ascii="宋体" w:hAnsi="宋体"/>
                <w:color w:val="auto"/>
                <w:szCs w:val="21"/>
                <w:highlight w:val="none"/>
              </w:rPr>
            </w:pPr>
            <w:r>
              <w:rPr>
                <w:rFonts w:hint="eastAsia" w:ascii="宋体" w:hAnsi="宋体"/>
                <w:color w:val="auto"/>
                <w:szCs w:val="21"/>
                <w:highlight w:val="none"/>
              </w:rPr>
              <w:t>质疑函递交方式、接收部门、联系电话和通讯地址</w:t>
            </w:r>
          </w:p>
        </w:tc>
        <w:tc>
          <w:tcPr>
            <w:tcW w:w="4777" w:type="dxa"/>
            <w:tcBorders>
              <w:top w:val="single" w:color="auto" w:sz="4" w:space="0"/>
              <w:left w:val="single" w:color="auto" w:sz="4" w:space="0"/>
              <w:bottom w:val="single" w:color="auto" w:sz="4" w:space="0"/>
              <w:right w:val="single" w:color="auto" w:sz="4" w:space="0"/>
            </w:tcBorders>
            <w:vAlign w:val="center"/>
          </w:tcPr>
          <w:p w14:paraId="24C3F9E6">
            <w:pPr>
              <w:jc w:val="left"/>
              <w:rPr>
                <w:rFonts w:ascii="宋体" w:hAnsi="宋体"/>
                <w:b/>
                <w:color w:val="auto"/>
                <w:szCs w:val="21"/>
                <w:highlight w:val="none"/>
              </w:rPr>
            </w:pPr>
            <w:r>
              <w:rPr>
                <w:rFonts w:hint="eastAsia" w:ascii="宋体" w:hAnsi="宋体"/>
                <w:color w:val="auto"/>
                <w:szCs w:val="21"/>
                <w:highlight w:val="none"/>
              </w:rPr>
              <w:t>递交方式：</w:t>
            </w:r>
            <w:r>
              <w:rPr>
                <w:rFonts w:hint="eastAsia" w:ascii="宋体" w:hAnsi="宋体"/>
                <w:color w:val="auto"/>
                <w:szCs w:val="21"/>
                <w:highlight w:val="none"/>
                <w:u w:val="single"/>
              </w:rPr>
              <w:t>书面形式</w:t>
            </w:r>
          </w:p>
          <w:p w14:paraId="0D56A368">
            <w:pPr>
              <w:jc w:val="left"/>
              <w:rPr>
                <w:rFonts w:ascii="宋体" w:hAnsi="宋体"/>
                <w:b/>
                <w:bCs/>
                <w:color w:val="auto"/>
                <w:szCs w:val="21"/>
                <w:highlight w:val="none"/>
                <w:u w:val="single"/>
              </w:rPr>
            </w:pPr>
            <w:r>
              <w:rPr>
                <w:rFonts w:hint="eastAsia" w:ascii="宋体" w:hAnsi="宋体"/>
                <w:color w:val="auto"/>
                <w:szCs w:val="21"/>
                <w:highlight w:val="none"/>
              </w:rPr>
              <w:t>接收部门：</w:t>
            </w:r>
            <w:r>
              <w:rPr>
                <w:rFonts w:hint="eastAsia" w:ascii="宋体" w:hAnsi="宋体"/>
                <w:color w:val="auto"/>
                <w:szCs w:val="21"/>
                <w:highlight w:val="none"/>
                <w:u w:val="single"/>
              </w:rPr>
              <w:t>综合办</w:t>
            </w:r>
          </w:p>
          <w:p w14:paraId="4FC77EC2">
            <w:pPr>
              <w:jc w:val="left"/>
              <w:rPr>
                <w:rFonts w:ascii="宋体" w:hAnsi="宋体"/>
                <w:b/>
                <w:bCs/>
                <w:color w:val="auto"/>
                <w:szCs w:val="21"/>
                <w:highlight w:val="none"/>
                <w:u w:val="single"/>
              </w:rPr>
            </w:pPr>
            <w:r>
              <w:rPr>
                <w:rFonts w:ascii="宋体" w:hAnsi="宋体"/>
                <w:color w:val="auto"/>
                <w:szCs w:val="21"/>
                <w:highlight w:val="none"/>
              </w:rPr>
              <w:t>联系电话：</w:t>
            </w:r>
            <w:r>
              <w:rPr>
                <w:rFonts w:hint="eastAsia" w:ascii="宋体" w:hAnsi="宋体"/>
                <w:bCs/>
                <w:color w:val="auto"/>
                <w:szCs w:val="21"/>
                <w:highlight w:val="none"/>
                <w:u w:val="single"/>
              </w:rPr>
              <w:t>0574-87101271</w:t>
            </w:r>
          </w:p>
          <w:p w14:paraId="3356B83C">
            <w:pPr>
              <w:jc w:val="left"/>
              <w:rPr>
                <w:rFonts w:ascii="宋体" w:hAnsi="宋体"/>
                <w:bCs/>
                <w:color w:val="auto"/>
                <w:szCs w:val="21"/>
                <w:highlight w:val="none"/>
              </w:rPr>
            </w:pPr>
            <w:r>
              <w:rPr>
                <w:rFonts w:hint="eastAsia" w:ascii="宋体" w:hAnsi="宋体"/>
                <w:color w:val="auto"/>
                <w:szCs w:val="21"/>
                <w:highlight w:val="none"/>
              </w:rPr>
              <w:t>通讯地址：</w:t>
            </w:r>
            <w:r>
              <w:rPr>
                <w:rFonts w:hint="eastAsia" w:ascii="宋体" w:hAnsi="宋体"/>
                <w:bCs/>
                <w:color w:val="auto"/>
                <w:szCs w:val="21"/>
                <w:highlight w:val="none"/>
                <w:u w:val="single"/>
              </w:rPr>
              <w:t>宁波市海曙区江汇城496号姚江时代14幢3楼</w:t>
            </w:r>
          </w:p>
        </w:tc>
      </w:tr>
      <w:tr w14:paraId="4BA88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4DB608D5">
            <w:pPr>
              <w:jc w:val="center"/>
              <w:rPr>
                <w:rFonts w:ascii="宋体" w:hAnsi="宋体"/>
                <w:color w:val="auto"/>
                <w:szCs w:val="21"/>
                <w:highlight w:val="none"/>
              </w:rPr>
            </w:pPr>
            <w:r>
              <w:rPr>
                <w:rFonts w:hint="eastAsia" w:ascii="宋体" w:hAnsi="宋体"/>
                <w:color w:val="auto"/>
                <w:szCs w:val="21"/>
                <w:highlight w:val="none"/>
              </w:rPr>
              <w:t>4</w:t>
            </w:r>
          </w:p>
        </w:tc>
        <w:tc>
          <w:tcPr>
            <w:tcW w:w="892" w:type="dxa"/>
            <w:tcBorders>
              <w:top w:val="single" w:color="auto" w:sz="4" w:space="0"/>
              <w:left w:val="single" w:color="auto" w:sz="4" w:space="0"/>
              <w:bottom w:val="single" w:color="auto" w:sz="4" w:space="0"/>
              <w:right w:val="single" w:color="auto" w:sz="4" w:space="0"/>
            </w:tcBorders>
            <w:vAlign w:val="center"/>
          </w:tcPr>
          <w:p w14:paraId="5B7DBF33">
            <w:pPr>
              <w:jc w:val="center"/>
              <w:rPr>
                <w:rFonts w:ascii="宋体" w:hAnsi="宋体"/>
                <w:color w:val="auto"/>
                <w:szCs w:val="21"/>
                <w:highlight w:val="none"/>
              </w:rPr>
            </w:pPr>
            <w:r>
              <w:rPr>
                <w:rFonts w:hint="eastAsia" w:ascii="宋体" w:hAnsi="宋体"/>
                <w:color w:val="auto"/>
                <w:szCs w:val="21"/>
                <w:highlight w:val="none"/>
              </w:rPr>
              <w:t>13.1</w:t>
            </w:r>
          </w:p>
        </w:tc>
        <w:tc>
          <w:tcPr>
            <w:tcW w:w="1959" w:type="dxa"/>
            <w:tcBorders>
              <w:top w:val="single" w:color="auto" w:sz="4" w:space="0"/>
              <w:left w:val="single" w:color="auto" w:sz="4" w:space="0"/>
              <w:bottom w:val="single" w:color="auto" w:sz="4" w:space="0"/>
              <w:right w:val="single" w:color="auto" w:sz="4" w:space="0"/>
            </w:tcBorders>
            <w:vAlign w:val="center"/>
          </w:tcPr>
          <w:p w14:paraId="021CEFFB">
            <w:pPr>
              <w:rPr>
                <w:rFonts w:ascii="宋体" w:hAnsi="宋体"/>
                <w:color w:val="auto"/>
                <w:szCs w:val="21"/>
                <w:highlight w:val="none"/>
              </w:rPr>
            </w:pPr>
            <w:r>
              <w:rPr>
                <w:rFonts w:hint="eastAsia" w:ascii="宋体" w:hAnsi="宋体"/>
                <w:color w:val="auto"/>
                <w:szCs w:val="21"/>
                <w:highlight w:val="none"/>
              </w:rPr>
              <w:t>采购</w:t>
            </w:r>
            <w:r>
              <w:rPr>
                <w:rFonts w:ascii="宋体" w:hAnsi="宋体"/>
                <w:color w:val="auto"/>
                <w:szCs w:val="21"/>
                <w:highlight w:val="none"/>
              </w:rPr>
              <w:t>代理</w:t>
            </w:r>
            <w:r>
              <w:rPr>
                <w:rFonts w:hint="eastAsia" w:ascii="宋体" w:hAnsi="宋体"/>
                <w:color w:val="auto"/>
                <w:szCs w:val="21"/>
                <w:highlight w:val="none"/>
              </w:rPr>
              <w:t>服务</w:t>
            </w:r>
            <w:r>
              <w:rPr>
                <w:rFonts w:ascii="宋体" w:hAnsi="宋体"/>
                <w:color w:val="auto"/>
                <w:szCs w:val="21"/>
                <w:highlight w:val="none"/>
              </w:rPr>
              <w:t>费用的收取标准</w:t>
            </w:r>
          </w:p>
        </w:tc>
        <w:tc>
          <w:tcPr>
            <w:tcW w:w="4777" w:type="dxa"/>
            <w:tcBorders>
              <w:top w:val="single" w:color="auto" w:sz="4" w:space="0"/>
              <w:left w:val="single" w:color="auto" w:sz="4" w:space="0"/>
              <w:bottom w:val="single" w:color="auto" w:sz="4" w:space="0"/>
              <w:right w:val="single" w:color="auto" w:sz="4" w:space="0"/>
            </w:tcBorders>
            <w:vAlign w:val="center"/>
          </w:tcPr>
          <w:p w14:paraId="2B2F2B9A">
            <w:pPr>
              <w:ind w:firstLine="29" w:firstLineChars="14"/>
              <w:jc w:val="left"/>
              <w:rPr>
                <w:rFonts w:ascii="宋体" w:hAnsi="宋体"/>
                <w:bCs/>
                <w:color w:val="auto"/>
                <w:highlight w:val="none"/>
              </w:rPr>
            </w:pPr>
            <w:r>
              <w:rPr>
                <w:rFonts w:hint="eastAsia" w:ascii="宋体" w:hAnsi="宋体"/>
                <w:bCs/>
                <w:color w:val="auto"/>
                <w:highlight w:val="none"/>
              </w:rPr>
              <w:t>参照国家发改委发改办价格[2003]857号通知和原国家计委计价格[2002]1980号文件规定的招标费率标准（下浮50%），按照成交通知书确定的成交总金额，向成交供应商收取成交服务费。本项目服务费不足3500元，按3500元收取。</w:t>
            </w:r>
          </w:p>
        </w:tc>
      </w:tr>
      <w:tr w14:paraId="4CADA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1C6A40FB">
            <w:pPr>
              <w:jc w:val="center"/>
              <w:rPr>
                <w:rFonts w:ascii="宋体" w:hAnsi="宋体"/>
                <w:color w:val="auto"/>
                <w:szCs w:val="21"/>
                <w:highlight w:val="none"/>
              </w:rPr>
            </w:pPr>
            <w:r>
              <w:rPr>
                <w:rFonts w:hint="eastAsia" w:ascii="宋体" w:hAnsi="宋体"/>
                <w:color w:val="auto"/>
                <w:szCs w:val="21"/>
                <w:highlight w:val="none"/>
              </w:rPr>
              <w:t>5</w:t>
            </w:r>
          </w:p>
        </w:tc>
        <w:tc>
          <w:tcPr>
            <w:tcW w:w="892" w:type="dxa"/>
            <w:tcBorders>
              <w:top w:val="single" w:color="auto" w:sz="4" w:space="0"/>
              <w:left w:val="single" w:color="auto" w:sz="4" w:space="0"/>
              <w:bottom w:val="single" w:color="auto" w:sz="4" w:space="0"/>
              <w:right w:val="single" w:color="auto" w:sz="4" w:space="0"/>
            </w:tcBorders>
            <w:vAlign w:val="center"/>
          </w:tcPr>
          <w:p w14:paraId="334BA3B1">
            <w:pPr>
              <w:jc w:val="center"/>
              <w:rPr>
                <w:rFonts w:ascii="宋体" w:hAnsi="宋体"/>
                <w:color w:val="auto"/>
                <w:szCs w:val="21"/>
                <w:highlight w:val="none"/>
              </w:rPr>
            </w:pPr>
            <w:r>
              <w:rPr>
                <w:rFonts w:hint="eastAsia" w:ascii="宋体" w:hAnsi="宋体"/>
                <w:color w:val="auto"/>
                <w:szCs w:val="21"/>
                <w:highlight w:val="none"/>
              </w:rPr>
              <w:t>13.2</w:t>
            </w:r>
          </w:p>
        </w:tc>
        <w:tc>
          <w:tcPr>
            <w:tcW w:w="1959" w:type="dxa"/>
            <w:tcBorders>
              <w:top w:val="single" w:color="auto" w:sz="4" w:space="0"/>
              <w:left w:val="single" w:color="auto" w:sz="4" w:space="0"/>
              <w:bottom w:val="single" w:color="auto" w:sz="4" w:space="0"/>
              <w:right w:val="single" w:color="auto" w:sz="4" w:space="0"/>
            </w:tcBorders>
            <w:vAlign w:val="center"/>
          </w:tcPr>
          <w:p w14:paraId="77D39437">
            <w:pPr>
              <w:rPr>
                <w:rFonts w:ascii="宋体" w:hAnsi="宋体"/>
                <w:color w:val="auto"/>
                <w:szCs w:val="21"/>
                <w:highlight w:val="none"/>
              </w:rPr>
            </w:pPr>
            <w:r>
              <w:rPr>
                <w:rFonts w:hint="eastAsia" w:ascii="宋体" w:hAnsi="宋体"/>
                <w:color w:val="auto"/>
                <w:szCs w:val="21"/>
                <w:highlight w:val="none"/>
              </w:rPr>
              <w:t>采购代理服务费的支付</w:t>
            </w:r>
          </w:p>
        </w:tc>
        <w:tc>
          <w:tcPr>
            <w:tcW w:w="4777" w:type="dxa"/>
            <w:tcBorders>
              <w:top w:val="single" w:color="auto" w:sz="4" w:space="0"/>
              <w:left w:val="single" w:color="auto" w:sz="4" w:space="0"/>
              <w:bottom w:val="single" w:color="auto" w:sz="4" w:space="0"/>
              <w:right w:val="single" w:color="auto" w:sz="4" w:space="0"/>
            </w:tcBorders>
            <w:vAlign w:val="center"/>
          </w:tcPr>
          <w:p w14:paraId="0AE9F6CC">
            <w:pPr>
              <w:jc w:val="left"/>
              <w:rPr>
                <w:rFonts w:ascii="宋体" w:hAnsi="宋体"/>
                <w:bCs/>
                <w:color w:val="auto"/>
                <w:szCs w:val="21"/>
                <w:highlight w:val="none"/>
              </w:rPr>
            </w:pPr>
            <w:r>
              <w:rPr>
                <w:rFonts w:hint="eastAsia" w:ascii="宋体" w:hAnsi="宋体"/>
                <w:bCs/>
                <w:color w:val="auto"/>
                <w:highlight w:val="none"/>
              </w:rPr>
              <w:t>本项目代理服务费由成交供应商支付，在成交通知书发出之日起</w:t>
            </w:r>
            <w:r>
              <w:rPr>
                <w:rFonts w:ascii="宋体" w:hAnsi="宋体"/>
                <w:bCs/>
                <w:color w:val="auto"/>
                <w:highlight w:val="none"/>
              </w:rPr>
              <w:t>5</w:t>
            </w:r>
            <w:r>
              <w:rPr>
                <w:rFonts w:hint="eastAsia" w:ascii="宋体" w:hAnsi="宋体"/>
                <w:bCs/>
                <w:color w:val="auto"/>
                <w:highlight w:val="none"/>
              </w:rPr>
              <w:t>个工作日内支付。</w:t>
            </w:r>
          </w:p>
        </w:tc>
      </w:tr>
      <w:tr w14:paraId="67804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06B20BC2">
            <w:pPr>
              <w:jc w:val="center"/>
              <w:rPr>
                <w:rFonts w:ascii="宋体" w:hAnsi="宋体"/>
                <w:color w:val="auto"/>
                <w:szCs w:val="21"/>
                <w:highlight w:val="none"/>
              </w:rPr>
            </w:pPr>
            <w:r>
              <w:rPr>
                <w:rFonts w:hint="eastAsia" w:ascii="宋体" w:hAnsi="宋体"/>
                <w:color w:val="auto"/>
                <w:szCs w:val="21"/>
                <w:highlight w:val="none"/>
              </w:rPr>
              <w:t>6</w:t>
            </w:r>
          </w:p>
        </w:tc>
        <w:tc>
          <w:tcPr>
            <w:tcW w:w="892" w:type="dxa"/>
            <w:tcBorders>
              <w:top w:val="single" w:color="auto" w:sz="4" w:space="0"/>
              <w:left w:val="single" w:color="auto" w:sz="4" w:space="0"/>
              <w:bottom w:val="single" w:color="auto" w:sz="4" w:space="0"/>
              <w:right w:val="single" w:color="auto" w:sz="4" w:space="0"/>
            </w:tcBorders>
            <w:vAlign w:val="center"/>
          </w:tcPr>
          <w:p w14:paraId="7779D283">
            <w:pPr>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4.5</w:t>
            </w:r>
          </w:p>
        </w:tc>
        <w:tc>
          <w:tcPr>
            <w:tcW w:w="1959" w:type="dxa"/>
            <w:tcBorders>
              <w:top w:val="single" w:color="auto" w:sz="4" w:space="0"/>
              <w:left w:val="single" w:color="auto" w:sz="4" w:space="0"/>
              <w:bottom w:val="single" w:color="auto" w:sz="4" w:space="0"/>
              <w:right w:val="single" w:color="auto" w:sz="4" w:space="0"/>
            </w:tcBorders>
            <w:vAlign w:val="center"/>
          </w:tcPr>
          <w:p w14:paraId="178DDEE8">
            <w:pPr>
              <w:rPr>
                <w:rFonts w:ascii="宋体" w:hAnsi="宋体"/>
                <w:color w:val="auto"/>
                <w:szCs w:val="21"/>
                <w:highlight w:val="none"/>
              </w:rPr>
            </w:pPr>
            <w:r>
              <w:rPr>
                <w:rFonts w:hint="eastAsia" w:ascii="宋体" w:hAnsi="宋体"/>
                <w:color w:val="auto"/>
                <w:szCs w:val="21"/>
                <w:highlight w:val="none"/>
              </w:rPr>
              <w:t>强制节能产品</w:t>
            </w:r>
          </w:p>
        </w:tc>
        <w:tc>
          <w:tcPr>
            <w:tcW w:w="4777" w:type="dxa"/>
            <w:tcBorders>
              <w:top w:val="single" w:color="auto" w:sz="4" w:space="0"/>
              <w:left w:val="single" w:color="auto" w:sz="4" w:space="0"/>
              <w:bottom w:val="single" w:color="auto" w:sz="4" w:space="0"/>
              <w:right w:val="single" w:color="auto" w:sz="4" w:space="0"/>
            </w:tcBorders>
            <w:vAlign w:val="center"/>
          </w:tcPr>
          <w:p w14:paraId="38AD32BD">
            <w:pPr>
              <w:jc w:val="left"/>
              <w:rPr>
                <w:rFonts w:ascii="宋体" w:hAnsi="宋体"/>
                <w:bCs/>
                <w:color w:val="auto"/>
                <w:highlight w:val="none"/>
              </w:rPr>
            </w:pPr>
            <w:r>
              <w:rPr>
                <w:rFonts w:hint="eastAsia" w:ascii="宋体" w:hAnsi="宋体"/>
                <w:bCs/>
                <w:color w:val="auto"/>
                <w:highlight w:val="none"/>
              </w:rPr>
              <w:t>本项目涉及的强制节能产品：大便器（蹲式大便器）、脸盆龙头、长颈水嘴、小便器。</w:t>
            </w:r>
          </w:p>
        </w:tc>
      </w:tr>
      <w:tr w14:paraId="7E14F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3D71F744">
            <w:pPr>
              <w:jc w:val="center"/>
              <w:rPr>
                <w:rFonts w:ascii="宋体" w:hAnsi="宋体"/>
                <w:color w:val="auto"/>
                <w:szCs w:val="21"/>
                <w:highlight w:val="none"/>
              </w:rPr>
            </w:pPr>
            <w:r>
              <w:rPr>
                <w:rFonts w:ascii="宋体" w:hAnsi="宋体"/>
                <w:color w:val="auto"/>
                <w:szCs w:val="21"/>
                <w:highlight w:val="none"/>
              </w:rPr>
              <w:t>7</w:t>
            </w:r>
          </w:p>
        </w:tc>
        <w:tc>
          <w:tcPr>
            <w:tcW w:w="892" w:type="dxa"/>
            <w:tcBorders>
              <w:top w:val="single" w:color="auto" w:sz="4" w:space="0"/>
              <w:left w:val="single" w:color="auto" w:sz="4" w:space="0"/>
              <w:bottom w:val="single" w:color="auto" w:sz="4" w:space="0"/>
              <w:right w:val="single" w:color="auto" w:sz="4" w:space="0"/>
            </w:tcBorders>
            <w:vAlign w:val="center"/>
          </w:tcPr>
          <w:p w14:paraId="5827C996">
            <w:pPr>
              <w:jc w:val="center"/>
              <w:rPr>
                <w:rFonts w:ascii="宋体" w:hAnsi="宋体"/>
                <w:color w:val="auto"/>
                <w:szCs w:val="21"/>
                <w:highlight w:val="none"/>
              </w:rPr>
            </w:pPr>
            <w:r>
              <w:rPr>
                <w:rFonts w:hint="eastAsia" w:ascii="宋体" w:hAnsi="宋体"/>
                <w:color w:val="auto"/>
                <w:szCs w:val="21"/>
                <w:highlight w:val="none"/>
              </w:rPr>
              <w:t>17.1</w:t>
            </w:r>
          </w:p>
        </w:tc>
        <w:tc>
          <w:tcPr>
            <w:tcW w:w="1959" w:type="dxa"/>
            <w:tcBorders>
              <w:top w:val="single" w:color="auto" w:sz="4" w:space="0"/>
              <w:left w:val="single" w:color="auto" w:sz="4" w:space="0"/>
              <w:bottom w:val="single" w:color="auto" w:sz="4" w:space="0"/>
              <w:right w:val="single" w:color="auto" w:sz="4" w:space="0"/>
            </w:tcBorders>
            <w:vAlign w:val="center"/>
          </w:tcPr>
          <w:p w14:paraId="096D7030">
            <w:pPr>
              <w:pStyle w:val="26"/>
              <w:widowControl w:val="0"/>
              <w:spacing w:before="0" w:beforeAutospacing="0" w:afterAutospacing="0"/>
              <w:jc w:val="left"/>
              <w:rPr>
                <w:b/>
                <w:color w:val="auto"/>
                <w:sz w:val="21"/>
                <w:szCs w:val="21"/>
                <w:highlight w:val="none"/>
              </w:rPr>
            </w:pPr>
            <w:r>
              <w:rPr>
                <w:rFonts w:hint="eastAsia"/>
                <w:color w:val="auto"/>
                <w:sz w:val="21"/>
                <w:szCs w:val="21"/>
                <w:highlight w:val="none"/>
              </w:rPr>
              <w:t>现场考察</w:t>
            </w:r>
          </w:p>
        </w:tc>
        <w:tc>
          <w:tcPr>
            <w:tcW w:w="4777" w:type="dxa"/>
            <w:tcBorders>
              <w:top w:val="single" w:color="auto" w:sz="4" w:space="0"/>
              <w:left w:val="single" w:color="auto" w:sz="4" w:space="0"/>
              <w:bottom w:val="single" w:color="auto" w:sz="4" w:space="0"/>
              <w:right w:val="single" w:color="auto" w:sz="4" w:space="0"/>
            </w:tcBorders>
            <w:vAlign w:val="center"/>
          </w:tcPr>
          <w:p w14:paraId="46759C1B">
            <w:pPr>
              <w:jc w:val="left"/>
              <w:rPr>
                <w:rFonts w:ascii="宋体" w:hAnsi="宋体"/>
                <w:bCs/>
                <w:color w:val="auto"/>
                <w:szCs w:val="21"/>
                <w:highlight w:val="none"/>
              </w:rPr>
            </w:pPr>
            <w:r>
              <w:rPr>
                <w:rFonts w:ascii="宋体" w:hAnsi="宋体"/>
                <w:color w:val="auto"/>
                <w:szCs w:val="21"/>
                <w:highlight w:val="none"/>
              </w:rPr>
              <w:sym w:font="Wingdings" w:char="F0FE"/>
            </w:r>
            <w:r>
              <w:rPr>
                <w:rFonts w:hint="eastAsia" w:ascii="宋体" w:hAnsi="宋体"/>
                <w:color w:val="auto"/>
                <w:szCs w:val="21"/>
                <w:highlight w:val="none"/>
              </w:rPr>
              <w:t>不</w:t>
            </w:r>
            <w:r>
              <w:rPr>
                <w:rFonts w:hint="eastAsia" w:ascii="宋体" w:hAnsi="宋体"/>
                <w:bCs/>
                <w:color w:val="auto"/>
                <w:szCs w:val="21"/>
                <w:highlight w:val="none"/>
              </w:rPr>
              <w:t>统一</w:t>
            </w:r>
            <w:r>
              <w:rPr>
                <w:rFonts w:hint="eastAsia" w:ascii="宋体" w:hAnsi="宋体"/>
                <w:color w:val="auto"/>
                <w:szCs w:val="21"/>
                <w:highlight w:val="none"/>
              </w:rPr>
              <w:t>组织，供应商可以</w:t>
            </w:r>
            <w:r>
              <w:rPr>
                <w:rFonts w:hint="eastAsia" w:ascii="宋体" w:hAnsi="宋体"/>
                <w:bCs/>
                <w:color w:val="auto"/>
                <w:szCs w:val="21"/>
                <w:highlight w:val="none"/>
              </w:rPr>
              <w:t>自行考察，考察前请联系采购人的项目联系人。</w:t>
            </w:r>
          </w:p>
          <w:p w14:paraId="28F29A44">
            <w:pPr>
              <w:jc w:val="left"/>
              <w:rPr>
                <w:rFonts w:ascii="宋体" w:hAnsi="宋体"/>
                <w:bCs/>
                <w:color w:val="auto"/>
                <w:szCs w:val="21"/>
                <w:highlight w:val="none"/>
              </w:rPr>
            </w:pPr>
            <w:r>
              <w:rPr>
                <w:rFonts w:hint="eastAsia" w:ascii="宋体" w:hAnsi="宋体"/>
                <w:color w:val="auto"/>
                <w:szCs w:val="21"/>
                <w:highlight w:val="none"/>
              </w:rPr>
              <w:t>□</w:t>
            </w:r>
            <w:r>
              <w:rPr>
                <w:rFonts w:hint="eastAsia" w:ascii="宋体" w:hAnsi="宋体"/>
                <w:bCs/>
                <w:color w:val="auto"/>
                <w:szCs w:val="21"/>
                <w:highlight w:val="none"/>
              </w:rPr>
              <w:t>统一组织</w:t>
            </w:r>
          </w:p>
        </w:tc>
      </w:tr>
      <w:tr w14:paraId="28158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right w:val="single" w:color="auto" w:sz="4" w:space="0"/>
            </w:tcBorders>
            <w:vAlign w:val="center"/>
          </w:tcPr>
          <w:p w14:paraId="044C07A4">
            <w:pPr>
              <w:jc w:val="center"/>
              <w:rPr>
                <w:rFonts w:ascii="宋体" w:hAnsi="宋体"/>
                <w:color w:val="auto"/>
                <w:szCs w:val="21"/>
                <w:highlight w:val="none"/>
              </w:rPr>
            </w:pPr>
            <w:r>
              <w:rPr>
                <w:rFonts w:ascii="宋体" w:hAnsi="宋体"/>
                <w:color w:val="auto"/>
                <w:szCs w:val="21"/>
                <w:highlight w:val="none"/>
              </w:rPr>
              <w:t>8</w:t>
            </w:r>
          </w:p>
        </w:tc>
        <w:tc>
          <w:tcPr>
            <w:tcW w:w="892" w:type="dxa"/>
            <w:vMerge w:val="restart"/>
            <w:tcBorders>
              <w:top w:val="single" w:color="auto" w:sz="4" w:space="0"/>
              <w:left w:val="single" w:color="auto" w:sz="4" w:space="0"/>
              <w:right w:val="single" w:color="auto" w:sz="4" w:space="0"/>
            </w:tcBorders>
            <w:vAlign w:val="center"/>
          </w:tcPr>
          <w:p w14:paraId="73CDCB28">
            <w:pPr>
              <w:jc w:val="center"/>
              <w:rPr>
                <w:rFonts w:ascii="宋体" w:hAnsi="宋体"/>
                <w:color w:val="auto"/>
                <w:szCs w:val="21"/>
                <w:highlight w:val="none"/>
              </w:rPr>
            </w:pPr>
            <w:r>
              <w:rPr>
                <w:rFonts w:hint="eastAsia" w:ascii="宋体" w:hAnsi="宋体"/>
                <w:color w:val="auto"/>
                <w:szCs w:val="21"/>
                <w:highlight w:val="none"/>
              </w:rPr>
              <w:t>21.1</w:t>
            </w:r>
          </w:p>
        </w:tc>
        <w:tc>
          <w:tcPr>
            <w:tcW w:w="1959" w:type="dxa"/>
            <w:tcBorders>
              <w:top w:val="single" w:color="auto" w:sz="4" w:space="0"/>
              <w:left w:val="single" w:color="auto" w:sz="4" w:space="0"/>
              <w:right w:val="single" w:color="auto" w:sz="4" w:space="0"/>
            </w:tcBorders>
            <w:vAlign w:val="center"/>
          </w:tcPr>
          <w:p w14:paraId="38F7C0A8">
            <w:pPr>
              <w:rPr>
                <w:rFonts w:ascii="宋体" w:hAnsi="宋体"/>
                <w:color w:val="auto"/>
                <w:szCs w:val="21"/>
                <w:highlight w:val="none"/>
              </w:rPr>
            </w:pPr>
            <w:r>
              <w:rPr>
                <w:rFonts w:hint="eastAsia" w:ascii="宋体" w:hAnsi="宋体"/>
                <w:color w:val="auto"/>
                <w:szCs w:val="21"/>
                <w:highlight w:val="none"/>
              </w:rPr>
              <w:t>资格要求响应文件的组成</w:t>
            </w:r>
          </w:p>
        </w:tc>
        <w:tc>
          <w:tcPr>
            <w:tcW w:w="4777" w:type="dxa"/>
            <w:tcBorders>
              <w:top w:val="single" w:color="auto" w:sz="4" w:space="0"/>
              <w:left w:val="single" w:color="auto" w:sz="4" w:space="0"/>
              <w:right w:val="single" w:color="auto" w:sz="4" w:space="0"/>
            </w:tcBorders>
            <w:vAlign w:val="center"/>
          </w:tcPr>
          <w:p w14:paraId="13A6C214">
            <w:pPr>
              <w:jc w:val="left"/>
              <w:rPr>
                <w:rFonts w:ascii="宋体" w:hAnsi="宋体"/>
                <w:color w:val="auto"/>
                <w:szCs w:val="21"/>
                <w:highlight w:val="none"/>
              </w:rPr>
            </w:pPr>
            <w:r>
              <w:rPr>
                <w:rFonts w:hint="eastAsia" w:ascii="宋体" w:hAnsi="宋体"/>
                <w:color w:val="auto"/>
                <w:szCs w:val="21"/>
                <w:highlight w:val="none"/>
              </w:rPr>
              <w:t>1.供应商资格声明函；</w:t>
            </w:r>
          </w:p>
          <w:p w14:paraId="7F7032F5">
            <w:pPr>
              <w:jc w:val="left"/>
              <w:rPr>
                <w:rFonts w:ascii="宋体" w:hAnsi="宋体"/>
                <w:color w:val="auto"/>
                <w:szCs w:val="21"/>
                <w:highlight w:val="none"/>
              </w:rPr>
            </w:pPr>
            <w:r>
              <w:rPr>
                <w:rFonts w:hint="eastAsia" w:ascii="宋体" w:hAnsi="宋体"/>
                <w:color w:val="auto"/>
                <w:szCs w:val="21"/>
                <w:highlight w:val="none"/>
              </w:rPr>
              <w:t>2.营业执照等单位登记证明文件复印件；</w:t>
            </w:r>
          </w:p>
          <w:p w14:paraId="0E5FDBF7">
            <w:pPr>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有效的建筑装修装饰工程专业承包贰级及以上资质证书的复印件；</w:t>
            </w:r>
          </w:p>
          <w:p w14:paraId="0E86490F">
            <w:pP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建设行政主管部门颁发的有效的安全生产许可证的复印件；</w:t>
            </w:r>
          </w:p>
          <w:p w14:paraId="50AD6C03">
            <w:pPr>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.中小企业声明函或残疾人福利性单位声明函或监狱企业证明文件。</w:t>
            </w:r>
          </w:p>
        </w:tc>
      </w:tr>
      <w:tr w14:paraId="7ED65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2" w:type="dxa"/>
            <w:tcBorders>
              <w:top w:val="single" w:color="auto" w:sz="4" w:space="0"/>
              <w:left w:val="single" w:color="auto" w:sz="4" w:space="0"/>
              <w:right w:val="single" w:color="auto" w:sz="4" w:space="0"/>
            </w:tcBorders>
            <w:vAlign w:val="center"/>
          </w:tcPr>
          <w:p w14:paraId="5CA8EA57">
            <w:pPr>
              <w:jc w:val="center"/>
              <w:rPr>
                <w:rFonts w:ascii="宋体" w:hAnsi="宋体"/>
                <w:color w:val="auto"/>
                <w:szCs w:val="21"/>
                <w:highlight w:val="none"/>
              </w:rPr>
            </w:pPr>
            <w:r>
              <w:rPr>
                <w:rFonts w:ascii="宋体" w:hAnsi="宋体"/>
                <w:color w:val="auto"/>
                <w:szCs w:val="21"/>
                <w:highlight w:val="none"/>
              </w:rPr>
              <w:t>9</w:t>
            </w:r>
          </w:p>
        </w:tc>
        <w:tc>
          <w:tcPr>
            <w:tcW w:w="892" w:type="dxa"/>
            <w:vMerge w:val="continue"/>
            <w:tcBorders>
              <w:left w:val="single" w:color="auto" w:sz="4" w:space="0"/>
              <w:right w:val="single" w:color="auto" w:sz="4" w:space="0"/>
            </w:tcBorders>
            <w:vAlign w:val="center"/>
          </w:tcPr>
          <w:p w14:paraId="5732EAFD">
            <w:pPr>
              <w:ind w:firstLine="420"/>
              <w:jc w:val="center"/>
              <w:rPr>
                <w:rFonts w:ascii="宋体" w:hAnsi="宋体"/>
                <w:color w:val="auto"/>
                <w:szCs w:val="21"/>
                <w:highlight w:val="none"/>
              </w:rPr>
            </w:pPr>
          </w:p>
        </w:tc>
        <w:tc>
          <w:tcPr>
            <w:tcW w:w="1959" w:type="dxa"/>
            <w:tcBorders>
              <w:top w:val="single" w:color="auto" w:sz="4" w:space="0"/>
              <w:left w:val="single" w:color="auto" w:sz="4" w:space="0"/>
              <w:right w:val="single" w:color="auto" w:sz="4" w:space="0"/>
            </w:tcBorders>
            <w:vAlign w:val="center"/>
          </w:tcPr>
          <w:p w14:paraId="576DCE84">
            <w:pPr>
              <w:rPr>
                <w:rFonts w:ascii="宋体" w:hAnsi="宋体"/>
                <w:color w:val="auto"/>
                <w:szCs w:val="21"/>
                <w:highlight w:val="none"/>
              </w:rPr>
            </w:pPr>
            <w:r>
              <w:rPr>
                <w:rFonts w:hint="eastAsia" w:ascii="宋体" w:hAnsi="宋体"/>
                <w:color w:val="auto"/>
                <w:szCs w:val="21"/>
                <w:highlight w:val="none"/>
              </w:rPr>
              <w:t>商务技术文件的组成</w:t>
            </w:r>
          </w:p>
        </w:tc>
        <w:tc>
          <w:tcPr>
            <w:tcW w:w="4777" w:type="dxa"/>
            <w:tcBorders>
              <w:top w:val="single" w:color="auto" w:sz="4" w:space="0"/>
              <w:left w:val="single" w:color="auto" w:sz="4" w:space="0"/>
              <w:right w:val="single" w:color="auto" w:sz="4" w:space="0"/>
            </w:tcBorders>
            <w:vAlign w:val="center"/>
          </w:tcPr>
          <w:p w14:paraId="2A98794B">
            <w:pPr>
              <w:jc w:val="left"/>
              <w:rPr>
                <w:rFonts w:ascii="宋体" w:hAnsi="宋体"/>
                <w:color w:val="auto"/>
                <w:szCs w:val="21"/>
                <w:highlight w:val="none"/>
              </w:rPr>
            </w:pPr>
            <w:r>
              <w:rPr>
                <w:rFonts w:hint="eastAsia" w:ascii="宋体" w:hAnsi="宋体"/>
                <w:color w:val="auto"/>
                <w:szCs w:val="21"/>
                <w:highlight w:val="none"/>
              </w:rPr>
              <w:t>1.响应函；</w:t>
            </w:r>
          </w:p>
          <w:p w14:paraId="3671F5D5">
            <w:pPr>
              <w:jc w:val="left"/>
              <w:rPr>
                <w:rFonts w:ascii="宋体" w:hAnsi="宋体"/>
                <w:color w:val="auto"/>
                <w:szCs w:val="21"/>
                <w:highlight w:val="none"/>
              </w:rPr>
            </w:pPr>
            <w:r>
              <w:rPr>
                <w:rFonts w:hint="eastAsia" w:ascii="宋体" w:hAnsi="宋体"/>
                <w:color w:val="auto"/>
                <w:szCs w:val="21"/>
                <w:highlight w:val="none"/>
              </w:rPr>
              <w:t>2.供应商的法定代表人身份证复印件（双面）或授权委托书及其附件（根据实际情况提供）；</w:t>
            </w:r>
          </w:p>
          <w:p w14:paraId="4CF0C013">
            <w:pPr>
              <w:jc w:val="left"/>
              <w:rPr>
                <w:rFonts w:ascii="宋体" w:hAnsi="宋体"/>
                <w:color w:val="auto"/>
                <w:szCs w:val="21"/>
                <w:highlight w:val="none"/>
              </w:rPr>
            </w:pPr>
            <w:r>
              <w:rPr>
                <w:rFonts w:hint="eastAsia" w:ascii="宋体" w:hAnsi="宋体"/>
                <w:color w:val="auto"/>
                <w:szCs w:val="21"/>
                <w:highlight w:val="none"/>
              </w:rPr>
              <w:t>3.采购需求偏离和建议调整表；</w:t>
            </w:r>
          </w:p>
          <w:p w14:paraId="4B056E9F">
            <w:pPr>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合同条款偏离</w:t>
            </w:r>
            <w:r>
              <w:rPr>
                <w:rFonts w:hint="eastAsia" w:ascii="宋体" w:hAnsi="宋体"/>
                <w:color w:val="auto"/>
                <w:szCs w:val="21"/>
                <w:highlight w:val="none"/>
              </w:rPr>
              <w:t>和建议调整</w:t>
            </w:r>
            <w:r>
              <w:rPr>
                <w:rFonts w:ascii="宋体" w:hAnsi="宋体"/>
                <w:color w:val="auto"/>
                <w:szCs w:val="21"/>
                <w:highlight w:val="none"/>
              </w:rPr>
              <w:t>表</w:t>
            </w:r>
            <w:r>
              <w:rPr>
                <w:rFonts w:hint="eastAsia" w:ascii="宋体" w:hAnsi="宋体"/>
                <w:color w:val="auto"/>
                <w:szCs w:val="21"/>
                <w:highlight w:val="none"/>
              </w:rPr>
              <w:t>；</w:t>
            </w:r>
          </w:p>
          <w:p w14:paraId="2A719BCF">
            <w:pPr>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项目实施人员情况表；</w:t>
            </w:r>
          </w:p>
          <w:p w14:paraId="63732A11">
            <w:pPr>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类似项目业绩一览表；</w:t>
            </w:r>
          </w:p>
          <w:p w14:paraId="5421AE28">
            <w:pPr>
              <w:jc w:val="left"/>
              <w:rPr>
                <w:rFonts w:ascii="宋体" w:hAnsi="宋体"/>
                <w:color w:val="auto"/>
                <w:szCs w:val="21"/>
                <w:highlight w:val="none"/>
              </w:rPr>
            </w:pPr>
            <w:r>
              <w:rPr>
                <w:rFonts w:ascii="宋体" w:hAnsi="宋体"/>
                <w:color w:val="auto"/>
                <w:szCs w:val="21"/>
                <w:highlight w:val="none"/>
              </w:rPr>
              <w:t>7.材料品牌</w:t>
            </w:r>
            <w:r>
              <w:rPr>
                <w:rFonts w:hint="eastAsia" w:ascii="宋体" w:hAnsi="宋体"/>
                <w:color w:val="auto"/>
                <w:szCs w:val="21"/>
                <w:highlight w:val="none"/>
              </w:rPr>
              <w:t>响应</w:t>
            </w:r>
            <w:r>
              <w:rPr>
                <w:rFonts w:ascii="宋体" w:hAnsi="宋体"/>
                <w:color w:val="auto"/>
                <w:szCs w:val="21"/>
                <w:highlight w:val="none"/>
              </w:rPr>
              <w:t>表</w:t>
            </w:r>
            <w:r>
              <w:rPr>
                <w:rFonts w:hint="eastAsia" w:ascii="宋体" w:hAnsi="宋体"/>
                <w:color w:val="auto"/>
                <w:szCs w:val="21"/>
                <w:highlight w:val="none"/>
              </w:rPr>
              <w:t>；</w:t>
            </w:r>
          </w:p>
          <w:p w14:paraId="2B232886">
            <w:pPr>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其他与项目评审及履行合同有关的资料。</w:t>
            </w:r>
          </w:p>
        </w:tc>
      </w:tr>
      <w:tr w14:paraId="71537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02" w:type="dxa"/>
            <w:tcBorders>
              <w:top w:val="single" w:color="auto" w:sz="4" w:space="0"/>
              <w:left w:val="single" w:color="auto" w:sz="4" w:space="0"/>
              <w:right w:val="single" w:color="auto" w:sz="4" w:space="0"/>
            </w:tcBorders>
            <w:vAlign w:val="center"/>
          </w:tcPr>
          <w:p w14:paraId="7FD6544D">
            <w:pPr>
              <w:jc w:val="center"/>
              <w:rPr>
                <w:rFonts w:ascii="宋体" w:hAnsi="宋体"/>
                <w:color w:val="auto"/>
                <w:szCs w:val="21"/>
                <w:highlight w:val="none"/>
              </w:rPr>
            </w:pPr>
            <w:r>
              <w:rPr>
                <w:rFonts w:ascii="宋体" w:hAnsi="宋体"/>
                <w:color w:val="auto"/>
                <w:szCs w:val="21"/>
                <w:highlight w:val="none"/>
              </w:rPr>
              <w:t>10</w:t>
            </w:r>
          </w:p>
        </w:tc>
        <w:tc>
          <w:tcPr>
            <w:tcW w:w="892" w:type="dxa"/>
            <w:vMerge w:val="continue"/>
            <w:tcBorders>
              <w:left w:val="single" w:color="auto" w:sz="4" w:space="0"/>
              <w:right w:val="single" w:color="auto" w:sz="4" w:space="0"/>
            </w:tcBorders>
            <w:vAlign w:val="center"/>
          </w:tcPr>
          <w:p w14:paraId="5C6D125F">
            <w:pPr>
              <w:ind w:firstLine="420"/>
              <w:jc w:val="center"/>
              <w:rPr>
                <w:rFonts w:ascii="宋体" w:hAnsi="宋体"/>
                <w:color w:val="auto"/>
                <w:szCs w:val="21"/>
                <w:highlight w:val="none"/>
              </w:rPr>
            </w:pPr>
          </w:p>
        </w:tc>
        <w:tc>
          <w:tcPr>
            <w:tcW w:w="1959" w:type="dxa"/>
            <w:tcBorders>
              <w:top w:val="single" w:color="auto" w:sz="4" w:space="0"/>
              <w:left w:val="single" w:color="auto" w:sz="4" w:space="0"/>
              <w:right w:val="single" w:color="auto" w:sz="4" w:space="0"/>
            </w:tcBorders>
            <w:vAlign w:val="center"/>
          </w:tcPr>
          <w:p w14:paraId="5F669EDA">
            <w:pPr>
              <w:jc w:val="left"/>
              <w:rPr>
                <w:rFonts w:ascii="宋体" w:hAnsi="宋体"/>
                <w:color w:val="auto"/>
                <w:szCs w:val="21"/>
                <w:highlight w:val="none"/>
              </w:rPr>
            </w:pPr>
            <w:r>
              <w:rPr>
                <w:rFonts w:hint="eastAsia" w:ascii="宋体" w:hAnsi="宋体"/>
                <w:color w:val="auto"/>
                <w:szCs w:val="21"/>
                <w:highlight w:val="none"/>
              </w:rPr>
              <w:t>报价要求响应文件的组成</w:t>
            </w:r>
          </w:p>
        </w:tc>
        <w:tc>
          <w:tcPr>
            <w:tcW w:w="4777" w:type="dxa"/>
            <w:tcBorders>
              <w:top w:val="single" w:color="auto" w:sz="4" w:space="0"/>
              <w:left w:val="single" w:color="auto" w:sz="4" w:space="0"/>
              <w:right w:val="single" w:color="auto" w:sz="4" w:space="0"/>
            </w:tcBorders>
            <w:vAlign w:val="center"/>
          </w:tcPr>
          <w:p w14:paraId="7EE8F0F3">
            <w:pPr>
              <w:jc w:val="left"/>
              <w:rPr>
                <w:rFonts w:ascii="宋体" w:hAnsi="宋体"/>
                <w:color w:val="auto"/>
                <w:szCs w:val="21"/>
                <w:highlight w:val="none"/>
              </w:rPr>
            </w:pPr>
            <w:r>
              <w:rPr>
                <w:rFonts w:hint="eastAsia" w:ascii="宋体" w:hAnsi="宋体"/>
                <w:color w:val="auto"/>
                <w:szCs w:val="21"/>
                <w:highlight w:val="none"/>
              </w:rPr>
              <w:t>1.初次报价表；</w:t>
            </w:r>
          </w:p>
          <w:p w14:paraId="49709FB9">
            <w:pPr>
              <w:jc w:val="left"/>
              <w:rPr>
                <w:rFonts w:ascii="宋体" w:hAnsi="宋体"/>
                <w:color w:val="auto"/>
                <w:szCs w:val="21"/>
                <w:highlight w:val="none"/>
              </w:rPr>
            </w:pPr>
            <w:r>
              <w:rPr>
                <w:rFonts w:hint="eastAsia" w:ascii="宋体" w:hAnsi="宋体"/>
                <w:color w:val="auto"/>
                <w:szCs w:val="21"/>
                <w:highlight w:val="none"/>
              </w:rPr>
              <w:t>2.磋商控制价预算书确认单；</w:t>
            </w:r>
          </w:p>
          <w:p w14:paraId="00AC6962">
            <w:pPr>
              <w:jc w:val="left"/>
              <w:rPr>
                <w:rFonts w:ascii="宋体" w:hAnsi="宋体"/>
                <w:color w:val="auto"/>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报价合理性说明及其附件（根据实际情况提供）。</w:t>
            </w:r>
          </w:p>
        </w:tc>
      </w:tr>
      <w:tr w14:paraId="10EB6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2A95B017">
            <w:pPr>
              <w:jc w:val="center"/>
              <w:rPr>
                <w:rFonts w:ascii="宋体" w:hAnsi="宋体"/>
                <w:color w:val="auto"/>
                <w:szCs w:val="21"/>
                <w:highlight w:val="none"/>
              </w:rPr>
            </w:pPr>
            <w:r>
              <w:rPr>
                <w:rFonts w:ascii="宋体" w:hAnsi="宋体"/>
                <w:color w:val="auto"/>
                <w:szCs w:val="21"/>
                <w:highlight w:val="none"/>
              </w:rPr>
              <w:t>11</w:t>
            </w:r>
          </w:p>
        </w:tc>
        <w:tc>
          <w:tcPr>
            <w:tcW w:w="892" w:type="dxa"/>
            <w:tcBorders>
              <w:top w:val="single" w:color="auto" w:sz="4" w:space="0"/>
              <w:left w:val="single" w:color="auto" w:sz="4" w:space="0"/>
              <w:bottom w:val="single" w:color="auto" w:sz="4" w:space="0"/>
              <w:right w:val="single" w:color="auto" w:sz="4" w:space="0"/>
            </w:tcBorders>
            <w:vAlign w:val="center"/>
          </w:tcPr>
          <w:p w14:paraId="4B9129C3">
            <w:pPr>
              <w:jc w:val="center"/>
              <w:rPr>
                <w:rFonts w:ascii="宋体" w:hAnsi="宋体"/>
                <w:color w:val="auto"/>
                <w:szCs w:val="21"/>
                <w:highlight w:val="none"/>
              </w:rPr>
            </w:pPr>
            <w:r>
              <w:rPr>
                <w:rFonts w:hint="eastAsia" w:ascii="宋体" w:hAnsi="宋体"/>
                <w:color w:val="auto"/>
                <w:szCs w:val="21"/>
                <w:highlight w:val="none"/>
              </w:rPr>
              <w:t>26.1</w:t>
            </w:r>
          </w:p>
        </w:tc>
        <w:tc>
          <w:tcPr>
            <w:tcW w:w="1959" w:type="dxa"/>
            <w:tcBorders>
              <w:top w:val="single" w:color="auto" w:sz="4" w:space="0"/>
              <w:left w:val="single" w:color="auto" w:sz="4" w:space="0"/>
              <w:bottom w:val="single" w:color="auto" w:sz="4" w:space="0"/>
              <w:right w:val="single" w:color="auto" w:sz="4" w:space="0"/>
            </w:tcBorders>
            <w:vAlign w:val="center"/>
          </w:tcPr>
          <w:p w14:paraId="1AFBFBA7">
            <w:pPr>
              <w:jc w:val="left"/>
              <w:rPr>
                <w:rFonts w:ascii="宋体" w:hAnsi="宋体"/>
                <w:color w:val="auto"/>
                <w:szCs w:val="21"/>
                <w:highlight w:val="none"/>
              </w:rPr>
            </w:pPr>
            <w:r>
              <w:rPr>
                <w:rFonts w:hint="eastAsia" w:ascii="宋体" w:hAnsi="宋体"/>
                <w:color w:val="auto"/>
                <w:szCs w:val="21"/>
                <w:highlight w:val="none"/>
              </w:rPr>
              <w:t>响应文件的</w:t>
            </w:r>
            <w:r>
              <w:rPr>
                <w:rFonts w:ascii="宋体" w:hAnsi="宋体"/>
                <w:color w:val="auto"/>
                <w:szCs w:val="21"/>
                <w:highlight w:val="none"/>
              </w:rPr>
              <w:t>有效期</w:t>
            </w:r>
          </w:p>
        </w:tc>
        <w:tc>
          <w:tcPr>
            <w:tcW w:w="4777" w:type="dxa"/>
            <w:tcBorders>
              <w:top w:val="single" w:color="auto" w:sz="4" w:space="0"/>
              <w:left w:val="single" w:color="auto" w:sz="4" w:space="0"/>
              <w:bottom w:val="single" w:color="auto" w:sz="4" w:space="0"/>
              <w:right w:val="single" w:color="auto" w:sz="4" w:space="0"/>
            </w:tcBorders>
            <w:vAlign w:val="center"/>
          </w:tcPr>
          <w:p w14:paraId="4FF1F907">
            <w:pPr>
              <w:jc w:val="left"/>
              <w:rPr>
                <w:rFonts w:ascii="宋体" w:hAnsi="宋体"/>
                <w:color w:val="auto"/>
                <w:szCs w:val="21"/>
                <w:highlight w:val="none"/>
              </w:rPr>
            </w:pPr>
            <w:r>
              <w:rPr>
                <w:rFonts w:hint="eastAsia" w:ascii="宋体" w:hAnsi="宋体" w:cs="Arial"/>
                <w:color w:val="auto"/>
                <w:szCs w:val="21"/>
                <w:highlight w:val="none"/>
              </w:rPr>
              <w:t>90日历天</w:t>
            </w:r>
          </w:p>
        </w:tc>
      </w:tr>
      <w:tr w14:paraId="1148F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31CF9CBF">
            <w:pPr>
              <w:jc w:val="center"/>
              <w:rPr>
                <w:rFonts w:ascii="宋体" w:hAnsi="宋体"/>
                <w:color w:val="auto"/>
                <w:szCs w:val="21"/>
                <w:highlight w:val="none"/>
              </w:rPr>
            </w:pPr>
            <w:r>
              <w:rPr>
                <w:rFonts w:ascii="宋体" w:hAnsi="宋体"/>
                <w:color w:val="auto"/>
                <w:szCs w:val="21"/>
                <w:highlight w:val="none"/>
              </w:rPr>
              <w:t>12</w:t>
            </w:r>
          </w:p>
        </w:tc>
        <w:tc>
          <w:tcPr>
            <w:tcW w:w="892" w:type="dxa"/>
            <w:tcBorders>
              <w:top w:val="single" w:color="auto" w:sz="4" w:space="0"/>
              <w:left w:val="single" w:color="auto" w:sz="4" w:space="0"/>
              <w:bottom w:val="single" w:color="auto" w:sz="4" w:space="0"/>
              <w:right w:val="single" w:color="auto" w:sz="4" w:space="0"/>
            </w:tcBorders>
            <w:vAlign w:val="center"/>
          </w:tcPr>
          <w:p w14:paraId="04BD1C50">
            <w:pPr>
              <w:jc w:val="center"/>
              <w:rPr>
                <w:rFonts w:ascii="宋体" w:hAnsi="宋体"/>
                <w:color w:val="auto"/>
                <w:szCs w:val="21"/>
                <w:highlight w:val="none"/>
              </w:rPr>
            </w:pPr>
            <w:r>
              <w:rPr>
                <w:rFonts w:hint="eastAsia" w:ascii="宋体" w:hAnsi="宋体"/>
                <w:color w:val="auto"/>
                <w:szCs w:val="21"/>
                <w:highlight w:val="none"/>
              </w:rPr>
              <w:t>29.1</w:t>
            </w:r>
          </w:p>
        </w:tc>
        <w:tc>
          <w:tcPr>
            <w:tcW w:w="1959" w:type="dxa"/>
            <w:tcBorders>
              <w:top w:val="single" w:color="auto" w:sz="4" w:space="0"/>
              <w:left w:val="single" w:color="auto" w:sz="4" w:space="0"/>
              <w:bottom w:val="single" w:color="auto" w:sz="4" w:space="0"/>
              <w:right w:val="single" w:color="auto" w:sz="4" w:space="0"/>
            </w:tcBorders>
            <w:vAlign w:val="center"/>
          </w:tcPr>
          <w:p w14:paraId="65F3E321">
            <w:pPr>
              <w:jc w:val="left"/>
              <w:rPr>
                <w:rFonts w:ascii="宋体" w:hAnsi="宋体"/>
                <w:b/>
                <w:color w:val="auto"/>
                <w:szCs w:val="21"/>
                <w:highlight w:val="none"/>
              </w:rPr>
            </w:pPr>
            <w:r>
              <w:rPr>
                <w:rFonts w:hint="eastAsia" w:ascii="宋体" w:hAnsi="宋体"/>
                <w:color w:val="auto"/>
                <w:szCs w:val="21"/>
                <w:highlight w:val="none"/>
              </w:rPr>
              <w:t>响应文件提交的截止时间、开启时间及地点</w:t>
            </w:r>
          </w:p>
        </w:tc>
        <w:tc>
          <w:tcPr>
            <w:tcW w:w="4777" w:type="dxa"/>
            <w:tcBorders>
              <w:top w:val="single" w:color="auto" w:sz="4" w:space="0"/>
              <w:left w:val="single" w:color="auto" w:sz="4" w:space="0"/>
              <w:bottom w:val="single" w:color="auto" w:sz="4" w:space="0"/>
              <w:right w:val="single" w:color="auto" w:sz="4" w:space="0"/>
            </w:tcBorders>
            <w:vAlign w:val="center"/>
          </w:tcPr>
          <w:p w14:paraId="585D606C">
            <w:pPr>
              <w:jc w:val="left"/>
              <w:rPr>
                <w:rFonts w:ascii="宋体" w:hAnsi="宋体"/>
                <w:b/>
                <w:color w:val="auto"/>
                <w:szCs w:val="21"/>
                <w:highlight w:val="none"/>
              </w:rPr>
            </w:pPr>
            <w:r>
              <w:rPr>
                <w:rFonts w:hint="eastAsia" w:ascii="宋体" w:hAnsi="宋体"/>
                <w:color w:val="auto"/>
                <w:szCs w:val="21"/>
                <w:highlight w:val="none"/>
              </w:rPr>
              <w:t>见</w:t>
            </w:r>
            <w:r>
              <w:rPr>
                <w:rFonts w:hint="eastAsia" w:ascii="宋体" w:hAnsi="宋体"/>
                <w:bCs/>
                <w:color w:val="auto"/>
                <w:szCs w:val="21"/>
                <w:highlight w:val="none"/>
                <w:u w:val="single"/>
              </w:rPr>
              <w:t>《第一章  采购公告》</w:t>
            </w:r>
          </w:p>
        </w:tc>
      </w:tr>
      <w:tr w14:paraId="24634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3835EC24">
            <w:pPr>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892" w:type="dxa"/>
            <w:tcBorders>
              <w:top w:val="single" w:color="auto" w:sz="4" w:space="0"/>
              <w:left w:val="single" w:color="auto" w:sz="4" w:space="0"/>
              <w:bottom w:val="single" w:color="auto" w:sz="4" w:space="0"/>
              <w:right w:val="single" w:color="auto" w:sz="4" w:space="0"/>
            </w:tcBorders>
            <w:vAlign w:val="center"/>
          </w:tcPr>
          <w:p w14:paraId="07B0E9D6">
            <w:pPr>
              <w:jc w:val="center"/>
              <w:rPr>
                <w:rFonts w:ascii="宋体" w:hAnsi="宋体"/>
                <w:color w:val="auto"/>
                <w:szCs w:val="21"/>
                <w:highlight w:val="none"/>
              </w:rPr>
            </w:pPr>
            <w:r>
              <w:rPr>
                <w:rFonts w:hint="eastAsia" w:ascii="宋体" w:hAnsi="宋体"/>
                <w:color w:val="auto"/>
                <w:szCs w:val="21"/>
                <w:highlight w:val="none"/>
              </w:rPr>
              <w:t>31.2</w:t>
            </w:r>
          </w:p>
        </w:tc>
        <w:tc>
          <w:tcPr>
            <w:tcW w:w="1959" w:type="dxa"/>
            <w:tcBorders>
              <w:top w:val="single" w:color="auto" w:sz="4" w:space="0"/>
              <w:left w:val="single" w:color="auto" w:sz="4" w:space="0"/>
              <w:bottom w:val="single" w:color="auto" w:sz="4" w:space="0"/>
              <w:right w:val="single" w:color="auto" w:sz="4" w:space="0"/>
            </w:tcBorders>
            <w:vAlign w:val="center"/>
          </w:tcPr>
          <w:p w14:paraId="29077888">
            <w:pPr>
              <w:jc w:val="left"/>
              <w:rPr>
                <w:rFonts w:ascii="宋体" w:hAnsi="宋体"/>
                <w:b/>
                <w:color w:val="auto"/>
                <w:szCs w:val="21"/>
                <w:highlight w:val="none"/>
              </w:rPr>
            </w:pPr>
            <w:r>
              <w:rPr>
                <w:rFonts w:hint="eastAsia" w:ascii="宋体" w:hAnsi="宋体"/>
                <w:color w:val="auto"/>
                <w:szCs w:val="21"/>
                <w:highlight w:val="none"/>
              </w:rPr>
              <w:t>响应文件解密时间</w:t>
            </w:r>
          </w:p>
        </w:tc>
        <w:tc>
          <w:tcPr>
            <w:tcW w:w="4777" w:type="dxa"/>
            <w:tcBorders>
              <w:top w:val="single" w:color="auto" w:sz="4" w:space="0"/>
              <w:left w:val="single" w:color="auto" w:sz="4" w:space="0"/>
              <w:bottom w:val="single" w:color="auto" w:sz="4" w:space="0"/>
              <w:right w:val="single" w:color="auto" w:sz="4" w:space="0"/>
            </w:tcBorders>
            <w:vAlign w:val="center"/>
          </w:tcPr>
          <w:p w14:paraId="1EA7BF51">
            <w:pPr>
              <w:jc w:val="left"/>
              <w:rPr>
                <w:rFonts w:ascii="宋体" w:hAnsi="宋体"/>
                <w:b/>
                <w:color w:val="auto"/>
                <w:szCs w:val="21"/>
                <w:highlight w:val="none"/>
              </w:rPr>
            </w:pPr>
            <w:r>
              <w:rPr>
                <w:rFonts w:hint="eastAsia" w:ascii="宋体" w:hAnsi="宋体"/>
                <w:color w:val="auto"/>
                <w:szCs w:val="21"/>
                <w:highlight w:val="none"/>
              </w:rPr>
              <w:t>开启响应文件时间到达后3</w:t>
            </w:r>
            <w:r>
              <w:rPr>
                <w:rFonts w:ascii="宋体" w:hAnsi="宋体"/>
                <w:color w:val="auto"/>
                <w:szCs w:val="21"/>
                <w:highlight w:val="none"/>
              </w:rPr>
              <w:t>0</w:t>
            </w:r>
            <w:r>
              <w:rPr>
                <w:rFonts w:hint="eastAsia" w:ascii="宋体" w:hAnsi="宋体"/>
                <w:color w:val="auto"/>
                <w:szCs w:val="21"/>
                <w:highlight w:val="none"/>
              </w:rPr>
              <w:t>分钟内（以电子交易系统解密倒计时为准）</w:t>
            </w:r>
          </w:p>
        </w:tc>
      </w:tr>
      <w:tr w14:paraId="16053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1065E56D">
            <w:pPr>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892" w:type="dxa"/>
            <w:tcBorders>
              <w:top w:val="single" w:color="auto" w:sz="4" w:space="0"/>
              <w:left w:val="single" w:color="auto" w:sz="4" w:space="0"/>
              <w:bottom w:val="single" w:color="auto" w:sz="4" w:space="0"/>
              <w:right w:val="single" w:color="auto" w:sz="4" w:space="0"/>
            </w:tcBorders>
            <w:vAlign w:val="center"/>
          </w:tcPr>
          <w:p w14:paraId="301F3DE5">
            <w:pPr>
              <w:jc w:val="center"/>
              <w:rPr>
                <w:rFonts w:ascii="宋体" w:hAnsi="宋体"/>
                <w:color w:val="auto"/>
                <w:szCs w:val="21"/>
                <w:highlight w:val="none"/>
              </w:rPr>
            </w:pPr>
            <w:r>
              <w:rPr>
                <w:rFonts w:hint="eastAsia" w:ascii="宋体" w:hAnsi="宋体"/>
                <w:color w:val="auto"/>
                <w:szCs w:val="21"/>
                <w:highlight w:val="none"/>
              </w:rPr>
              <w:t>36.1</w:t>
            </w:r>
          </w:p>
        </w:tc>
        <w:tc>
          <w:tcPr>
            <w:tcW w:w="1959" w:type="dxa"/>
            <w:tcBorders>
              <w:top w:val="single" w:color="auto" w:sz="4" w:space="0"/>
              <w:left w:val="single" w:color="auto" w:sz="4" w:space="0"/>
              <w:bottom w:val="single" w:color="auto" w:sz="4" w:space="0"/>
              <w:right w:val="single" w:color="auto" w:sz="4" w:space="0"/>
            </w:tcBorders>
            <w:vAlign w:val="center"/>
          </w:tcPr>
          <w:p w14:paraId="399655FB">
            <w:pPr>
              <w:jc w:val="left"/>
              <w:rPr>
                <w:rFonts w:ascii="宋体" w:hAnsi="宋体"/>
                <w:b/>
                <w:color w:val="auto"/>
                <w:szCs w:val="21"/>
                <w:highlight w:val="none"/>
              </w:rPr>
            </w:pPr>
            <w:r>
              <w:rPr>
                <w:rFonts w:hint="eastAsia" w:ascii="宋体" w:hAnsi="宋体"/>
                <w:color w:val="auto"/>
                <w:szCs w:val="21"/>
                <w:highlight w:val="none"/>
              </w:rPr>
              <w:t>评审方法</w:t>
            </w:r>
          </w:p>
        </w:tc>
        <w:tc>
          <w:tcPr>
            <w:tcW w:w="4777" w:type="dxa"/>
            <w:tcBorders>
              <w:top w:val="single" w:color="auto" w:sz="4" w:space="0"/>
              <w:left w:val="single" w:color="auto" w:sz="4" w:space="0"/>
              <w:bottom w:val="single" w:color="auto" w:sz="4" w:space="0"/>
              <w:right w:val="single" w:color="auto" w:sz="4" w:space="0"/>
            </w:tcBorders>
            <w:vAlign w:val="center"/>
          </w:tcPr>
          <w:p w14:paraId="576D4537">
            <w:pPr>
              <w:jc w:val="left"/>
              <w:rPr>
                <w:rFonts w:ascii="宋体" w:hAnsi="宋体"/>
                <w:color w:val="auto"/>
                <w:szCs w:val="21"/>
                <w:highlight w:val="none"/>
              </w:rPr>
            </w:pPr>
            <w:r>
              <w:rPr>
                <w:rFonts w:hint="eastAsia" w:ascii="宋体" w:hAnsi="宋体"/>
                <w:color w:val="auto"/>
                <w:szCs w:val="21"/>
                <w:highlight w:val="none"/>
              </w:rPr>
              <w:t>综合评分法</w:t>
            </w:r>
          </w:p>
        </w:tc>
      </w:tr>
    </w:tbl>
    <w:p w14:paraId="601B4507">
      <w:pPr>
        <w:pStyle w:val="6"/>
        <w:numPr>
          <w:ilvl w:val="0"/>
          <w:numId w:val="0"/>
        </w:numPr>
        <w:tabs>
          <w:tab w:val="left" w:pos="720"/>
        </w:tabs>
        <w:snapToGrid w:val="0"/>
        <w:spacing w:line="360" w:lineRule="auto"/>
        <w:jc w:val="center"/>
        <w:rPr>
          <w:rFonts w:ascii="宋体" w:hAnsi="宋体"/>
          <w:b/>
          <w:color w:val="auto"/>
          <w:szCs w:val="21"/>
          <w:highlight w:val="none"/>
        </w:rPr>
      </w:pPr>
    </w:p>
    <w:p w14:paraId="113400D3">
      <w:pPr>
        <w:widowControl/>
        <w:jc w:val="left"/>
        <w:rPr>
          <w:rFonts w:ascii="宋体" w:hAnsi="宋体"/>
          <w:b/>
          <w:color w:val="auto"/>
          <w:szCs w:val="21"/>
          <w:highlight w:val="none"/>
        </w:rPr>
      </w:pPr>
      <w:r>
        <w:rPr>
          <w:rFonts w:ascii="宋体" w:hAnsi="宋体"/>
          <w:b/>
          <w:color w:val="auto"/>
          <w:szCs w:val="21"/>
          <w:highlight w:val="none"/>
        </w:rPr>
        <w:br w:type="page"/>
      </w:r>
    </w:p>
    <w:p w14:paraId="13106BFB">
      <w:pPr>
        <w:pStyle w:val="6"/>
        <w:numPr>
          <w:ilvl w:val="0"/>
          <w:numId w:val="0"/>
        </w:numPr>
        <w:tabs>
          <w:tab w:val="left" w:pos="720"/>
        </w:tabs>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一、总则</w:t>
      </w:r>
    </w:p>
    <w:p w14:paraId="780B410A">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w:t>
      </w:r>
      <w:r>
        <w:rPr>
          <w:rFonts w:ascii="宋体" w:hAnsi="宋体"/>
          <w:b/>
          <w:color w:val="auto"/>
          <w:szCs w:val="21"/>
          <w:highlight w:val="none"/>
        </w:rPr>
        <w:t>适用范围</w:t>
      </w:r>
    </w:p>
    <w:p w14:paraId="62CB1A10">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本磋商文件适用于浙江工商职业技术学院学生文体活动中心改造项目的采购。</w:t>
      </w:r>
    </w:p>
    <w:p w14:paraId="24B3B45A">
      <w:pPr>
        <w:tabs>
          <w:tab w:val="left" w:pos="3600"/>
        </w:tabs>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2.定义</w:t>
      </w:r>
    </w:p>
    <w:p w14:paraId="1D1AA0B0">
      <w:pPr>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2.1</w:t>
      </w:r>
      <w:r>
        <w:rPr>
          <w:rFonts w:ascii="宋体" w:hAnsi="宋体" w:cs="Arial"/>
          <w:color w:val="auto"/>
          <w:szCs w:val="21"/>
          <w:highlight w:val="none"/>
        </w:rPr>
        <w:t>书面形式</w:t>
      </w:r>
      <w:r>
        <w:rPr>
          <w:rFonts w:hint="eastAsia" w:ascii="宋体" w:hAnsi="宋体" w:cs="Arial"/>
          <w:color w:val="auto"/>
          <w:szCs w:val="21"/>
          <w:highlight w:val="none"/>
        </w:rPr>
        <w:t>：</w:t>
      </w:r>
      <w:r>
        <w:rPr>
          <w:rFonts w:ascii="宋体" w:hAnsi="宋体" w:cs="Arial"/>
          <w:color w:val="auto"/>
          <w:szCs w:val="21"/>
          <w:highlight w:val="none"/>
        </w:rPr>
        <w:t>包括</w:t>
      </w:r>
      <w:r>
        <w:rPr>
          <w:rFonts w:hint="eastAsia" w:ascii="宋体" w:hAnsi="宋体" w:cs="Arial"/>
          <w:color w:val="auto"/>
          <w:szCs w:val="21"/>
          <w:highlight w:val="none"/>
        </w:rPr>
        <w:t>信件、</w:t>
      </w:r>
      <w:r>
        <w:rPr>
          <w:rFonts w:ascii="宋体" w:hAnsi="宋体" w:cs="Arial"/>
          <w:color w:val="auto"/>
          <w:szCs w:val="21"/>
          <w:highlight w:val="none"/>
        </w:rPr>
        <w:t>电报、电传、传真</w:t>
      </w:r>
      <w:r>
        <w:rPr>
          <w:rFonts w:hint="eastAsia" w:ascii="宋体" w:hAnsi="宋体" w:cs="Arial"/>
          <w:color w:val="auto"/>
          <w:szCs w:val="21"/>
          <w:highlight w:val="none"/>
        </w:rPr>
        <w:t>、网上公告</w:t>
      </w:r>
      <w:r>
        <w:rPr>
          <w:rFonts w:ascii="宋体" w:hAnsi="宋体" w:cs="Arial"/>
          <w:color w:val="auto"/>
          <w:szCs w:val="21"/>
          <w:highlight w:val="none"/>
        </w:rPr>
        <w:t>等可以有形地表现所载内容的形式</w:t>
      </w:r>
      <w:r>
        <w:rPr>
          <w:rFonts w:hint="eastAsia" w:ascii="宋体" w:hAnsi="宋体" w:cs="Arial"/>
          <w:color w:val="auto"/>
          <w:szCs w:val="21"/>
          <w:highlight w:val="none"/>
        </w:rPr>
        <w:t>。以电子数据交换、电子邮件等方式能够有形地表现所载内容，并可以随时调取查用的数据电文，视为书面形式。</w:t>
      </w:r>
    </w:p>
    <w:p w14:paraId="21933810">
      <w:pPr>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2.2标注</w:t>
      </w:r>
      <w:r>
        <w:rPr>
          <w:rFonts w:ascii="宋体" w:hAnsi="宋体" w:cs="Arial"/>
          <w:color w:val="auto"/>
          <w:szCs w:val="21"/>
          <w:highlight w:val="none"/>
        </w:rPr>
        <w:t>“▲”</w:t>
      </w:r>
      <w:r>
        <w:rPr>
          <w:rFonts w:hint="eastAsia" w:ascii="宋体" w:hAnsi="宋体" w:cs="Arial"/>
          <w:color w:val="auto"/>
          <w:szCs w:val="21"/>
          <w:highlight w:val="none"/>
        </w:rPr>
        <w:t>的属于磋商文件的</w:t>
      </w:r>
      <w:r>
        <w:rPr>
          <w:rFonts w:ascii="宋体" w:hAnsi="宋体" w:cs="Arial"/>
          <w:color w:val="auto"/>
          <w:szCs w:val="21"/>
          <w:highlight w:val="none"/>
        </w:rPr>
        <w:t>实质性要求条款</w:t>
      </w:r>
      <w:r>
        <w:rPr>
          <w:rFonts w:hint="eastAsia" w:ascii="宋体" w:hAnsi="宋体" w:cs="宋体"/>
          <w:color w:val="auto"/>
          <w:szCs w:val="21"/>
          <w:highlight w:val="none"/>
        </w:rPr>
        <w:t>，“</w:t>
      </w:r>
      <w:r>
        <w:rPr>
          <w:rFonts w:ascii="宋体" w:hAnsi="宋体"/>
          <w:color w:val="auto"/>
          <w:szCs w:val="21"/>
          <w:highlight w:val="none"/>
        </w:rPr>
        <w:sym w:font="Wingdings" w:char="F0FE"/>
      </w:r>
      <w:r>
        <w:rPr>
          <w:rFonts w:hint="eastAsia" w:ascii="宋体" w:hAnsi="宋体" w:cs="宋体"/>
          <w:color w:val="auto"/>
          <w:szCs w:val="21"/>
          <w:highlight w:val="none"/>
        </w:rPr>
        <w:t>”系指适用本项目的要求，“</w:t>
      </w:r>
      <w:r>
        <w:rPr>
          <w:rFonts w:hint="eastAsia" w:ascii="MS Mincho" w:hAnsi="MS Mincho" w:eastAsia="MS Mincho" w:cs="MS Mincho"/>
          <w:b/>
          <w:color w:val="auto"/>
          <w:kern w:val="0"/>
          <w:szCs w:val="21"/>
          <w:highlight w:val="none"/>
        </w:rPr>
        <w:t>☐</w:t>
      </w:r>
      <w:r>
        <w:rPr>
          <w:rFonts w:hint="eastAsia" w:ascii="宋体" w:hAnsi="宋体" w:cs="宋体"/>
          <w:color w:val="auto"/>
          <w:szCs w:val="21"/>
          <w:highlight w:val="none"/>
        </w:rPr>
        <w:t>”系指不适用本项目的要求。</w:t>
      </w:r>
    </w:p>
    <w:p w14:paraId="27DA732A">
      <w:pPr>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2.3公章：</w:t>
      </w:r>
      <w:r>
        <w:rPr>
          <w:rFonts w:ascii="宋体" w:hAnsi="宋体" w:cs="Arial"/>
          <w:color w:val="auto"/>
          <w:szCs w:val="21"/>
          <w:highlight w:val="none"/>
        </w:rPr>
        <w:t>供应商在响应文件及通知等事项的书面文件中的单位盖章、公章等处，均仅指与</w:t>
      </w:r>
      <w:r>
        <w:rPr>
          <w:rFonts w:hint="eastAsia" w:ascii="宋体" w:hAnsi="宋体" w:cs="Arial"/>
          <w:color w:val="auto"/>
          <w:szCs w:val="21"/>
          <w:highlight w:val="none"/>
        </w:rPr>
        <w:t>磋商响应供应商</w:t>
      </w:r>
      <w:r>
        <w:rPr>
          <w:rFonts w:ascii="宋体" w:hAnsi="宋体" w:cs="Arial"/>
          <w:color w:val="auto"/>
          <w:szCs w:val="21"/>
          <w:highlight w:val="none"/>
        </w:rPr>
        <w:t>名称全称相一致的标准公章</w:t>
      </w:r>
      <w:r>
        <w:rPr>
          <w:rFonts w:hint="eastAsia" w:ascii="宋体" w:hAnsi="宋体" w:cs="Arial"/>
          <w:color w:val="auto"/>
          <w:szCs w:val="21"/>
          <w:highlight w:val="none"/>
        </w:rPr>
        <w:t>（行政章）</w:t>
      </w:r>
      <w:r>
        <w:rPr>
          <w:rFonts w:ascii="宋体" w:hAnsi="宋体" w:cs="Arial"/>
          <w:color w:val="auto"/>
          <w:szCs w:val="21"/>
          <w:highlight w:val="none"/>
        </w:rPr>
        <w:t>，不得使用其它形式，如带有“专用章”</w:t>
      </w:r>
      <w:r>
        <w:rPr>
          <w:rFonts w:hint="eastAsia" w:ascii="宋体" w:hAnsi="宋体" w:cs="Arial"/>
          <w:color w:val="auto"/>
          <w:szCs w:val="21"/>
          <w:highlight w:val="none"/>
        </w:rPr>
        <w:t>“业务章”</w:t>
      </w:r>
      <w:r>
        <w:rPr>
          <w:rFonts w:ascii="宋体" w:hAnsi="宋体" w:cs="Arial"/>
          <w:color w:val="auto"/>
          <w:szCs w:val="21"/>
          <w:highlight w:val="none"/>
        </w:rPr>
        <w:t>等字样的印章。</w:t>
      </w:r>
    </w:p>
    <w:p w14:paraId="0280D253">
      <w:pPr>
        <w:wordWrap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2.4电子交易平台：指本次政府采购活动所依托的政府采购云平台（https://www.zcygov.cn/）。</w:t>
      </w:r>
    </w:p>
    <w:p w14:paraId="2311793E">
      <w:pPr>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2.5依法获取磋商文件：供应商按照</w:t>
      </w:r>
      <w:r>
        <w:rPr>
          <w:rFonts w:hint="eastAsia" w:ascii="宋体" w:hAnsi="宋体"/>
          <w:color w:val="auto"/>
          <w:szCs w:val="21"/>
          <w:highlight w:val="none"/>
          <w:u w:val="single"/>
        </w:rPr>
        <w:t>《第一章  采购公告》</w:t>
      </w:r>
      <w:r>
        <w:rPr>
          <w:rFonts w:hint="eastAsia" w:ascii="宋体" w:hAnsi="宋体"/>
          <w:bCs/>
          <w:color w:val="auto"/>
          <w:szCs w:val="21"/>
          <w:highlight w:val="none"/>
        </w:rPr>
        <w:t>第三条的约定实施</w:t>
      </w:r>
      <w:r>
        <w:rPr>
          <w:rFonts w:hint="eastAsia" w:ascii="宋体" w:hAnsi="宋体"/>
          <w:color w:val="auto"/>
          <w:highlight w:val="none"/>
        </w:rPr>
        <w:t>。</w:t>
      </w:r>
    </w:p>
    <w:p w14:paraId="7065171D">
      <w:pPr>
        <w:spacing w:line="360" w:lineRule="auto"/>
        <w:ind w:firstLine="422"/>
        <w:outlineLvl w:val="3"/>
        <w:rPr>
          <w:rFonts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w:t>
      </w:r>
      <w:r>
        <w:rPr>
          <w:rFonts w:hint="eastAsia" w:ascii="宋体" w:hAnsi="宋体"/>
          <w:b/>
          <w:color w:val="auto"/>
          <w:szCs w:val="21"/>
          <w:highlight w:val="none"/>
        </w:rPr>
        <w:t>采购人、采购代理机构及供应商</w:t>
      </w:r>
    </w:p>
    <w:p w14:paraId="7134B156">
      <w:pPr>
        <w:spacing w:line="360" w:lineRule="auto"/>
        <w:ind w:firstLine="42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.1采购人：是指开展</w:t>
      </w:r>
      <w:r>
        <w:rPr>
          <w:rFonts w:hint="eastAsia" w:ascii="宋体" w:hAnsi="宋体"/>
          <w:color w:val="auto"/>
          <w:szCs w:val="21"/>
          <w:highlight w:val="none"/>
        </w:rPr>
        <w:t>依法政府</w:t>
      </w:r>
      <w:r>
        <w:rPr>
          <w:rFonts w:ascii="宋体" w:hAnsi="宋体"/>
          <w:color w:val="auto"/>
          <w:szCs w:val="21"/>
          <w:highlight w:val="none"/>
        </w:rPr>
        <w:t>采购活动的国家机关、事业单位、团体组织。</w:t>
      </w:r>
      <w:r>
        <w:rPr>
          <w:rFonts w:hint="eastAsia" w:ascii="宋体" w:hAnsi="宋体"/>
          <w:color w:val="auto"/>
          <w:szCs w:val="21"/>
          <w:highlight w:val="none"/>
        </w:rPr>
        <w:t>本项目的采购人见</w:t>
      </w:r>
      <w:r>
        <w:rPr>
          <w:rFonts w:hint="eastAsia" w:ascii="宋体" w:hAnsi="宋体"/>
          <w:color w:val="auto"/>
          <w:szCs w:val="21"/>
          <w:highlight w:val="none"/>
          <w:u w:val="single"/>
        </w:rPr>
        <w:t>供应商须知前附表</w:t>
      </w:r>
      <w:r>
        <w:rPr>
          <w:rFonts w:hint="eastAsia" w:ascii="宋体" w:hAnsi="宋体"/>
          <w:color w:val="auto"/>
          <w:szCs w:val="21"/>
          <w:highlight w:val="none"/>
        </w:rPr>
        <w:t>。</w:t>
      </w:r>
    </w:p>
    <w:p w14:paraId="0D842F8C">
      <w:pPr>
        <w:spacing w:line="360" w:lineRule="auto"/>
        <w:ind w:firstLine="42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.2采购代理机构：是指从事采购代理业务的社会中介机构。本项目的采购代理机构见</w:t>
      </w:r>
      <w:r>
        <w:rPr>
          <w:rFonts w:hint="eastAsia" w:ascii="宋体" w:hAnsi="宋体"/>
          <w:color w:val="auto"/>
          <w:szCs w:val="21"/>
          <w:highlight w:val="none"/>
          <w:u w:val="single"/>
        </w:rPr>
        <w:t>供应商须知前附表</w:t>
      </w:r>
      <w:r>
        <w:rPr>
          <w:rFonts w:ascii="宋体" w:hAnsi="宋体"/>
          <w:color w:val="auto"/>
          <w:szCs w:val="21"/>
          <w:highlight w:val="none"/>
        </w:rPr>
        <w:t>。</w:t>
      </w:r>
    </w:p>
    <w:p w14:paraId="2320D8B7">
      <w:pPr>
        <w:spacing w:line="360" w:lineRule="auto"/>
        <w:ind w:firstLine="420"/>
        <w:rPr>
          <w:rFonts w:ascii="宋体" w:hAnsi="宋体"/>
          <w:color w:val="auto"/>
          <w:szCs w:val="21"/>
          <w:highlight w:val="none"/>
        </w:rPr>
      </w:pPr>
      <w:r>
        <w:rPr>
          <w:rFonts w:ascii="宋体" w:hAnsi="宋体"/>
          <w:color w:val="auto"/>
          <w:szCs w:val="21"/>
          <w:highlight w:val="none"/>
        </w:rPr>
        <w:t>3.3政府采购监督管理部门：</w:t>
      </w:r>
      <w:r>
        <w:rPr>
          <w:rFonts w:hint="eastAsia" w:ascii="宋体" w:hAnsi="宋体"/>
          <w:color w:val="auto"/>
          <w:szCs w:val="21"/>
          <w:highlight w:val="none"/>
        </w:rPr>
        <w:t>各级人民政府指定的有关部门依法履行与政府采购活动有关的监督管理职责。本项目的政府采购监督管理部门见</w:t>
      </w:r>
      <w:r>
        <w:rPr>
          <w:rFonts w:hint="eastAsia" w:ascii="宋体" w:hAnsi="宋体"/>
          <w:color w:val="auto"/>
          <w:szCs w:val="21"/>
          <w:highlight w:val="none"/>
          <w:u w:val="single"/>
        </w:rPr>
        <w:t>《第一章  采购公告》</w:t>
      </w:r>
      <w:r>
        <w:rPr>
          <w:rFonts w:ascii="宋体" w:hAnsi="宋体"/>
          <w:color w:val="auto"/>
          <w:szCs w:val="21"/>
          <w:highlight w:val="none"/>
        </w:rPr>
        <w:t>。</w:t>
      </w:r>
    </w:p>
    <w:p w14:paraId="3E26A991">
      <w:pPr>
        <w:spacing w:line="360" w:lineRule="auto"/>
        <w:ind w:firstLine="42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.3供应商：</w:t>
      </w:r>
      <w:r>
        <w:rPr>
          <w:rFonts w:hint="eastAsia" w:ascii="宋体" w:hAnsi="宋体"/>
          <w:color w:val="auto"/>
          <w:szCs w:val="21"/>
          <w:highlight w:val="none"/>
        </w:rPr>
        <w:t>是指向采购人提供货物、工程或者服务的法人、其他组织或者自然人</w:t>
      </w:r>
      <w:r>
        <w:rPr>
          <w:rFonts w:ascii="宋体" w:hAnsi="宋体"/>
          <w:color w:val="auto"/>
          <w:szCs w:val="21"/>
          <w:highlight w:val="none"/>
        </w:rPr>
        <w:t>。本项目的</w:t>
      </w:r>
      <w:r>
        <w:rPr>
          <w:rFonts w:hint="eastAsia" w:ascii="宋体" w:hAnsi="宋体"/>
          <w:color w:val="auto"/>
          <w:szCs w:val="21"/>
          <w:highlight w:val="none"/>
        </w:rPr>
        <w:t>供应商</w:t>
      </w:r>
      <w:r>
        <w:rPr>
          <w:rFonts w:ascii="宋体" w:hAnsi="宋体"/>
          <w:color w:val="auto"/>
          <w:szCs w:val="21"/>
          <w:highlight w:val="none"/>
        </w:rPr>
        <w:t>须满足</w:t>
      </w:r>
      <w:r>
        <w:rPr>
          <w:rFonts w:hint="eastAsia" w:ascii="宋体" w:hAnsi="宋体"/>
          <w:color w:val="auto"/>
          <w:szCs w:val="21"/>
          <w:highlight w:val="none"/>
          <w:u w:val="single"/>
        </w:rPr>
        <w:t>《第一章  采购公告》</w:t>
      </w:r>
      <w:r>
        <w:rPr>
          <w:rFonts w:hint="eastAsia" w:ascii="宋体" w:hAnsi="宋体"/>
          <w:color w:val="auto"/>
          <w:szCs w:val="21"/>
          <w:highlight w:val="none"/>
        </w:rPr>
        <w:t>中</w:t>
      </w:r>
      <w:r>
        <w:rPr>
          <w:rFonts w:ascii="宋体" w:hAnsi="宋体"/>
          <w:color w:val="auto"/>
          <w:szCs w:val="21"/>
          <w:highlight w:val="none"/>
        </w:rPr>
        <w:t>关于</w:t>
      </w:r>
      <w:r>
        <w:rPr>
          <w:rFonts w:hint="eastAsia" w:ascii="宋体" w:hAnsi="宋体"/>
          <w:color w:val="auto"/>
          <w:szCs w:val="21"/>
          <w:highlight w:val="none"/>
        </w:rPr>
        <w:t>申请人的资格要求</w:t>
      </w:r>
      <w:r>
        <w:rPr>
          <w:rFonts w:ascii="宋体" w:hAnsi="宋体"/>
          <w:color w:val="auto"/>
          <w:szCs w:val="21"/>
          <w:highlight w:val="none"/>
        </w:rPr>
        <w:t>的规定。</w:t>
      </w:r>
    </w:p>
    <w:p w14:paraId="6C43E548">
      <w:pPr>
        <w:spacing w:line="360" w:lineRule="auto"/>
        <w:ind w:firstLine="420"/>
        <w:rPr>
          <w:rFonts w:ascii="宋体" w:hAnsi="宋体"/>
          <w:bCs/>
          <w:color w:val="auto"/>
          <w:kern w:val="0"/>
          <w:szCs w:val="21"/>
          <w:highlight w:val="none"/>
        </w:rPr>
      </w:pPr>
      <w:bookmarkStart w:id="49" w:name="_Hlk60580861"/>
      <w:r>
        <w:rPr>
          <w:rFonts w:hint="eastAsia" w:ascii="宋体" w:hAnsi="宋体"/>
          <w:bCs/>
          <w:color w:val="auto"/>
          <w:kern w:val="0"/>
          <w:szCs w:val="21"/>
          <w:highlight w:val="none"/>
        </w:rPr>
        <w:t>3</w:t>
      </w:r>
      <w:r>
        <w:rPr>
          <w:rFonts w:ascii="宋体" w:hAnsi="宋体"/>
          <w:bCs/>
          <w:color w:val="auto"/>
          <w:kern w:val="0"/>
          <w:szCs w:val="21"/>
          <w:highlight w:val="none"/>
        </w:rPr>
        <w:t>.4</w:t>
      </w:r>
      <w:r>
        <w:rPr>
          <w:rFonts w:hint="eastAsia" w:ascii="宋体" w:hAnsi="宋体"/>
          <w:bCs/>
          <w:color w:val="auto"/>
          <w:kern w:val="0"/>
          <w:szCs w:val="21"/>
          <w:highlight w:val="none"/>
        </w:rPr>
        <w:t>本项目不接受联合体参加磋商。</w:t>
      </w:r>
    </w:p>
    <w:bookmarkEnd w:id="49"/>
    <w:p w14:paraId="03BFF18C">
      <w:pPr>
        <w:spacing w:line="360" w:lineRule="auto"/>
        <w:ind w:firstLine="42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.5单位负责人为同一人或者存在直接控股、管理关系的不同供应商，</w:t>
      </w:r>
      <w:r>
        <w:rPr>
          <w:rFonts w:hint="eastAsia" w:ascii="宋体" w:hAnsi="宋体"/>
          <w:color w:val="auto"/>
          <w:szCs w:val="21"/>
          <w:highlight w:val="none"/>
        </w:rPr>
        <w:t>不得参加同一合同项下的政府采购活动。否则相关单位均将被认定为</w:t>
      </w:r>
      <w:r>
        <w:rPr>
          <w:rFonts w:hint="eastAsia" w:ascii="宋体" w:hAnsi="宋体"/>
          <w:b/>
          <w:bCs/>
          <w:color w:val="auto"/>
          <w:szCs w:val="21"/>
          <w:highlight w:val="none"/>
        </w:rPr>
        <w:t>响应无效</w:t>
      </w:r>
      <w:r>
        <w:rPr>
          <w:rFonts w:hint="eastAsia" w:ascii="宋体" w:hAnsi="宋体"/>
          <w:color w:val="auto"/>
          <w:szCs w:val="21"/>
          <w:highlight w:val="none"/>
        </w:rPr>
        <w:t>。</w:t>
      </w:r>
    </w:p>
    <w:p w14:paraId="75A23B08">
      <w:pPr>
        <w:spacing w:line="360" w:lineRule="auto"/>
        <w:ind w:firstLine="42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.6为本项目提供过整体设计、规范编制或者项目管理、监理、检测等服务的供应商，不得再参加本项目的采购活动。</w:t>
      </w:r>
      <w:bookmarkStart w:id="50" w:name="_Hlk13431092"/>
      <w:r>
        <w:rPr>
          <w:rFonts w:ascii="宋体" w:hAnsi="宋体"/>
          <w:color w:val="auto"/>
          <w:szCs w:val="21"/>
          <w:highlight w:val="none"/>
        </w:rPr>
        <w:t>否则将被认定为</w:t>
      </w:r>
      <w:r>
        <w:rPr>
          <w:rFonts w:ascii="宋体" w:hAnsi="宋体"/>
          <w:b/>
          <w:color w:val="auto"/>
          <w:szCs w:val="21"/>
          <w:highlight w:val="none"/>
        </w:rPr>
        <w:t>响应无效</w:t>
      </w:r>
      <w:r>
        <w:rPr>
          <w:rFonts w:ascii="宋体" w:hAnsi="宋体"/>
          <w:color w:val="auto"/>
          <w:szCs w:val="21"/>
          <w:highlight w:val="none"/>
        </w:rPr>
        <w:t>。</w:t>
      </w:r>
      <w:bookmarkEnd w:id="50"/>
    </w:p>
    <w:p w14:paraId="6BBFA46E">
      <w:pPr>
        <w:spacing w:line="360" w:lineRule="auto"/>
        <w:ind w:firstLine="422"/>
        <w:rPr>
          <w:rFonts w:ascii="宋体" w:hAnsi="宋体"/>
          <w:b/>
          <w:color w:val="auto"/>
          <w:szCs w:val="21"/>
          <w:highlight w:val="none"/>
        </w:rPr>
      </w:pPr>
      <w:r>
        <w:rPr>
          <w:rFonts w:hint="eastAsia" w:ascii="宋体" w:hAnsi="宋体"/>
          <w:b/>
          <w:color w:val="auto"/>
          <w:szCs w:val="21"/>
          <w:highlight w:val="none"/>
        </w:rPr>
        <w:t>4</w:t>
      </w:r>
      <w:r>
        <w:rPr>
          <w:rFonts w:ascii="宋体" w:hAnsi="宋体"/>
          <w:b/>
          <w:color w:val="auto"/>
          <w:szCs w:val="21"/>
          <w:highlight w:val="none"/>
        </w:rPr>
        <w:t>.</w:t>
      </w:r>
      <w:r>
        <w:rPr>
          <w:rFonts w:hint="eastAsia" w:ascii="宋体" w:hAnsi="宋体"/>
          <w:b/>
          <w:color w:val="auto"/>
          <w:szCs w:val="21"/>
          <w:highlight w:val="none"/>
        </w:rPr>
        <w:t>资金来源</w:t>
      </w:r>
    </w:p>
    <w:p w14:paraId="3213F9FC">
      <w:pPr>
        <w:spacing w:line="360" w:lineRule="auto"/>
        <w:ind w:firstLine="42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.1</w:t>
      </w:r>
      <w:r>
        <w:rPr>
          <w:rFonts w:hint="eastAsia" w:ascii="宋体" w:hAnsi="宋体"/>
          <w:color w:val="auto"/>
          <w:szCs w:val="21"/>
          <w:highlight w:val="none"/>
        </w:rPr>
        <w:t>本项目的采购人已获得足以支付本次采购后所签订的合同项下的资金。</w:t>
      </w:r>
    </w:p>
    <w:p w14:paraId="436A1349">
      <w:pPr>
        <w:spacing w:line="360" w:lineRule="auto"/>
        <w:ind w:firstLine="420"/>
        <w:rPr>
          <w:rFonts w:ascii="宋体" w:hAnsi="宋体"/>
          <w:color w:val="auto"/>
          <w:szCs w:val="21"/>
          <w:highlight w:val="none"/>
        </w:rPr>
      </w:pPr>
      <w:bookmarkStart w:id="51" w:name="_Hlk11702998"/>
      <w:r>
        <w:rPr>
          <w:rFonts w:hint="eastAsia" w:ascii="宋体" w:hAnsi="宋体"/>
          <w:color w:val="auto"/>
          <w:szCs w:val="21"/>
          <w:highlight w:val="none"/>
        </w:rPr>
        <w:t>4.2项目预算金额和最高限价见</w:t>
      </w:r>
      <w:r>
        <w:rPr>
          <w:rFonts w:hint="eastAsia" w:ascii="宋体" w:hAnsi="宋体"/>
          <w:color w:val="auto"/>
          <w:szCs w:val="21"/>
          <w:highlight w:val="none"/>
          <w:u w:val="single"/>
        </w:rPr>
        <w:t>《第一章  采购公告》</w:t>
      </w:r>
      <w:r>
        <w:rPr>
          <w:rFonts w:hint="eastAsia" w:ascii="宋体" w:hAnsi="宋体"/>
          <w:color w:val="auto"/>
          <w:szCs w:val="21"/>
          <w:highlight w:val="none"/>
        </w:rPr>
        <w:t>。</w:t>
      </w:r>
    </w:p>
    <w:bookmarkEnd w:id="51"/>
    <w:p w14:paraId="5772B015">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5.磋商委托</w:t>
      </w:r>
    </w:p>
    <w:p w14:paraId="65DA0A4A">
      <w:pPr>
        <w:pStyle w:val="27"/>
        <w:widowControl w:val="0"/>
        <w:spacing w:afterLines="0" w:line="360" w:lineRule="auto"/>
        <w:ind w:firstLine="420"/>
        <w:rPr>
          <w:rFonts w:ascii="宋体" w:hAnsi="宋体"/>
          <w:color w:val="auto"/>
          <w:sz w:val="21"/>
          <w:szCs w:val="21"/>
          <w:highlight w:val="none"/>
        </w:rPr>
      </w:pPr>
      <w:r>
        <w:rPr>
          <w:rFonts w:hint="eastAsia" w:ascii="宋体" w:hAnsi="宋体"/>
          <w:color w:val="auto"/>
          <w:sz w:val="21"/>
          <w:szCs w:val="21"/>
          <w:highlight w:val="none"/>
        </w:rPr>
        <w:t>响应文件的签署人为供应商的法定代表人的，提供法定代表人身份证正反面复印件。如供应商委托他人签署响应文件办理磋商响应事务的，提供供应商</w:t>
      </w:r>
      <w:r>
        <w:rPr>
          <w:rFonts w:ascii="宋体" w:hAnsi="宋体"/>
          <w:color w:val="auto"/>
          <w:sz w:val="21"/>
          <w:szCs w:val="21"/>
          <w:highlight w:val="none"/>
        </w:rPr>
        <w:t>出具的授权委托书</w:t>
      </w:r>
      <w:r>
        <w:rPr>
          <w:rFonts w:hint="eastAsia" w:ascii="宋体" w:hAnsi="宋体"/>
          <w:color w:val="auto"/>
          <w:sz w:val="21"/>
          <w:szCs w:val="21"/>
          <w:highlight w:val="none"/>
        </w:rPr>
        <w:t>及法定代表人和授权代表的身份证正反面复印件</w:t>
      </w:r>
      <w:r>
        <w:rPr>
          <w:rFonts w:ascii="宋体" w:hAnsi="宋体"/>
          <w:color w:val="auto"/>
          <w:sz w:val="21"/>
          <w:szCs w:val="21"/>
          <w:highlight w:val="none"/>
        </w:rPr>
        <w:t>。</w:t>
      </w:r>
    </w:p>
    <w:p w14:paraId="78C9B1F7">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6.磋商费用</w:t>
      </w:r>
    </w:p>
    <w:p w14:paraId="6CBD3EF3">
      <w:pPr>
        <w:pStyle w:val="27"/>
        <w:widowControl w:val="0"/>
        <w:spacing w:afterLines="0" w:line="360" w:lineRule="auto"/>
        <w:ind w:firstLine="420"/>
        <w:rPr>
          <w:rFonts w:ascii="宋体" w:hAnsi="宋体"/>
          <w:color w:val="auto"/>
          <w:sz w:val="21"/>
          <w:szCs w:val="21"/>
          <w:highlight w:val="none"/>
        </w:rPr>
      </w:pPr>
      <w:r>
        <w:rPr>
          <w:rFonts w:hint="eastAsia" w:ascii="宋体" w:hAnsi="宋体"/>
          <w:color w:val="auto"/>
          <w:sz w:val="21"/>
          <w:szCs w:val="21"/>
          <w:highlight w:val="none"/>
        </w:rPr>
        <w:t>不论磋商的结果如何，供应商自行承担所有与准备和参加磋商有关的费用。</w:t>
      </w:r>
    </w:p>
    <w:p w14:paraId="3324D19C">
      <w:pPr>
        <w:spacing w:line="360" w:lineRule="auto"/>
        <w:ind w:firstLine="422"/>
        <w:outlineLvl w:val="3"/>
        <w:rPr>
          <w:rFonts w:ascii="宋体" w:hAnsi="宋体"/>
          <w:b/>
          <w:color w:val="auto"/>
          <w:szCs w:val="21"/>
          <w:highlight w:val="none"/>
        </w:rPr>
      </w:pPr>
      <w:r>
        <w:rPr>
          <w:rFonts w:hint="eastAsia" w:ascii="宋体" w:hAnsi="宋体"/>
          <w:b/>
          <w:color w:val="auto"/>
          <w:szCs w:val="21"/>
          <w:highlight w:val="none"/>
        </w:rPr>
        <w:t>7</w:t>
      </w:r>
      <w:r>
        <w:rPr>
          <w:rFonts w:ascii="宋体" w:hAnsi="宋体"/>
          <w:b/>
          <w:color w:val="auto"/>
          <w:szCs w:val="21"/>
          <w:highlight w:val="none"/>
        </w:rPr>
        <w:t>.</w:t>
      </w:r>
      <w:r>
        <w:rPr>
          <w:rFonts w:hint="eastAsia" w:ascii="宋体" w:hAnsi="宋体"/>
          <w:b/>
          <w:color w:val="auto"/>
          <w:szCs w:val="21"/>
          <w:highlight w:val="none"/>
        </w:rPr>
        <w:t>适用法律</w:t>
      </w:r>
    </w:p>
    <w:p w14:paraId="268A25B7">
      <w:pPr>
        <w:pStyle w:val="27"/>
        <w:widowControl w:val="0"/>
        <w:spacing w:afterLines="0" w:line="360" w:lineRule="auto"/>
        <w:ind w:firstLine="420"/>
        <w:rPr>
          <w:rFonts w:ascii="宋体" w:hAnsi="宋体"/>
          <w:color w:val="auto"/>
          <w:sz w:val="21"/>
          <w:szCs w:val="21"/>
          <w:highlight w:val="none"/>
        </w:rPr>
      </w:pPr>
      <w:r>
        <w:rPr>
          <w:rFonts w:hint="eastAsia" w:ascii="宋体" w:hAnsi="宋体"/>
          <w:color w:val="auto"/>
          <w:sz w:val="21"/>
          <w:szCs w:val="21"/>
          <w:highlight w:val="none"/>
        </w:rPr>
        <w:t>本项目采购人、采购代理机构、供应商、竞争性磋商小组（以下简称磋商小组）的相关行为均受《中华人民共和国政府采购法》《中华人民共和国政府采购法实施条例》《政府采购竞争性磋商采购方式管理暂行办法》等政府采购法律法规的约束，其权利亦受到上述法律法规的保护。</w:t>
      </w:r>
    </w:p>
    <w:p w14:paraId="1CD5A15E">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8.知识产权</w:t>
      </w:r>
    </w:p>
    <w:p w14:paraId="4A9C5C5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供应商应保证在本项目使用的任何产品（包括部分使用），不会产生因第三方提出侵犯其著作权、专利权、商标权等知识产权而引起法律或经济纠纷。如果任何第三方提出侵权指控，由供应商与该第三方交涉并承担由此发生的一切责任、费用和赔偿。</w:t>
      </w:r>
    </w:p>
    <w:p w14:paraId="6B8FD44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供应商采用自身所不拥有的知识产权，无论是否在磋商报价中单独列明，采购人均视为报价已包含供应商合法获取该知识产权的相关费用。</w:t>
      </w:r>
    </w:p>
    <w:p w14:paraId="07D014CB">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9.转包与分包</w:t>
      </w:r>
    </w:p>
    <w:p w14:paraId="54BA779A">
      <w:pPr>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本项目不允许转包</w:t>
      </w:r>
      <w:r>
        <w:rPr>
          <w:rFonts w:hint="eastAsia" w:ascii="宋体" w:hAnsi="宋体"/>
          <w:color w:val="auto"/>
          <w:kern w:val="0"/>
          <w:szCs w:val="21"/>
          <w:highlight w:val="none"/>
        </w:rPr>
        <w:t>和分包。</w:t>
      </w:r>
    </w:p>
    <w:p w14:paraId="108B3035">
      <w:pPr>
        <w:tabs>
          <w:tab w:val="left" w:pos="426"/>
        </w:tabs>
        <w:snapToGri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10.</w:t>
      </w:r>
      <w:r>
        <w:rPr>
          <w:rFonts w:ascii="宋体" w:hAnsi="宋体" w:cs="宋体"/>
          <w:b/>
          <w:color w:val="auto"/>
          <w:kern w:val="0"/>
          <w:szCs w:val="21"/>
          <w:highlight w:val="none"/>
        </w:rPr>
        <w:t>质疑和</w:t>
      </w:r>
      <w:r>
        <w:rPr>
          <w:rFonts w:ascii="宋体" w:hAnsi="宋体" w:cs="宋体"/>
          <w:b/>
          <w:color w:val="auto"/>
          <w:kern w:val="0"/>
          <w:highlight w:val="none"/>
        </w:rPr>
        <w:t>投诉</w:t>
      </w:r>
    </w:p>
    <w:p w14:paraId="46C50BE3">
      <w:pPr>
        <w:pStyle w:val="9"/>
        <w:rPr>
          <w:color w:val="auto"/>
          <w:highlight w:val="none"/>
        </w:rPr>
      </w:pPr>
      <w:r>
        <w:rPr>
          <w:rFonts w:hint="eastAsia"/>
          <w:color w:val="auto"/>
          <w:highlight w:val="none"/>
        </w:rPr>
        <w:t>10.1供应商认为磋商文件、采购过程和成交结果使自己的权益受到损害的，可以根据</w:t>
      </w:r>
      <w:r>
        <w:rPr>
          <w:color w:val="auto"/>
          <w:highlight w:val="none"/>
        </w:rPr>
        <w:t>《</w:t>
      </w:r>
      <w:r>
        <w:rPr>
          <w:rFonts w:hint="eastAsia"/>
          <w:color w:val="auto"/>
          <w:highlight w:val="none"/>
        </w:rPr>
        <w:t>政府</w:t>
      </w:r>
      <w:r>
        <w:rPr>
          <w:color w:val="auto"/>
          <w:highlight w:val="none"/>
        </w:rPr>
        <w:t>采购质疑和投诉办法》</w:t>
      </w:r>
      <w:r>
        <w:rPr>
          <w:rFonts w:hint="eastAsia"/>
          <w:color w:val="auto"/>
          <w:highlight w:val="none"/>
        </w:rPr>
        <w:t>的</w:t>
      </w:r>
      <w:r>
        <w:rPr>
          <w:color w:val="auto"/>
          <w:highlight w:val="none"/>
        </w:rPr>
        <w:t>有关规定，</w:t>
      </w:r>
      <w:r>
        <w:rPr>
          <w:rFonts w:hint="eastAsia"/>
          <w:color w:val="auto"/>
          <w:highlight w:val="none"/>
        </w:rPr>
        <w:t>依法向采购人或采购代理机构提出质疑。</w:t>
      </w:r>
    </w:p>
    <w:p w14:paraId="1065EADE">
      <w:pPr>
        <w:pStyle w:val="9"/>
        <w:rPr>
          <w:color w:val="auto"/>
          <w:highlight w:val="none"/>
        </w:rPr>
      </w:pPr>
      <w:r>
        <w:rPr>
          <w:rFonts w:hint="eastAsia"/>
          <w:color w:val="auto"/>
          <w:highlight w:val="none"/>
        </w:rPr>
        <w:t>10</w:t>
      </w:r>
      <w:r>
        <w:rPr>
          <w:color w:val="auto"/>
          <w:highlight w:val="none"/>
        </w:rPr>
        <w:t>.2</w:t>
      </w:r>
      <w:r>
        <w:rPr>
          <w:rFonts w:hint="eastAsia"/>
          <w:color w:val="auto"/>
          <w:highlight w:val="none"/>
        </w:rPr>
        <w:t>供应商</w:t>
      </w:r>
      <w:r>
        <w:rPr>
          <w:color w:val="auto"/>
          <w:highlight w:val="none"/>
        </w:rPr>
        <w:t>应</w:t>
      </w:r>
      <w:r>
        <w:rPr>
          <w:rFonts w:hint="eastAsia"/>
          <w:color w:val="auto"/>
          <w:highlight w:val="none"/>
        </w:rPr>
        <w:t>按</w:t>
      </w:r>
      <w:r>
        <w:rPr>
          <w:color w:val="auto"/>
          <w:highlight w:val="none"/>
        </w:rPr>
        <w:t>《</w:t>
      </w:r>
      <w:r>
        <w:rPr>
          <w:rFonts w:hint="eastAsia"/>
          <w:color w:val="auto"/>
          <w:highlight w:val="none"/>
        </w:rPr>
        <w:t>政府</w:t>
      </w:r>
      <w:r>
        <w:rPr>
          <w:color w:val="auto"/>
          <w:highlight w:val="none"/>
        </w:rPr>
        <w:t>采购质疑和投诉办法》的要求</w:t>
      </w:r>
      <w:r>
        <w:rPr>
          <w:rFonts w:hint="eastAsia"/>
          <w:color w:val="auto"/>
          <w:highlight w:val="none"/>
        </w:rPr>
        <w:t>，</w:t>
      </w:r>
      <w:r>
        <w:rPr>
          <w:color w:val="auto"/>
          <w:highlight w:val="none"/>
        </w:rPr>
        <w:t>在</w:t>
      </w:r>
      <w:r>
        <w:rPr>
          <w:rFonts w:hint="eastAsia"/>
          <w:color w:val="auto"/>
          <w:highlight w:val="none"/>
        </w:rPr>
        <w:t>其规定的</w:t>
      </w:r>
      <w:r>
        <w:rPr>
          <w:color w:val="auto"/>
          <w:highlight w:val="none"/>
        </w:rPr>
        <w:t>质疑期内</w:t>
      </w:r>
      <w:r>
        <w:rPr>
          <w:rFonts w:hint="eastAsia"/>
          <w:color w:val="auto"/>
          <w:highlight w:val="none"/>
        </w:rPr>
        <w:t>以书面形式</w:t>
      </w:r>
      <w:r>
        <w:rPr>
          <w:color w:val="auto"/>
          <w:highlight w:val="none"/>
        </w:rPr>
        <w:t>提出质疑</w:t>
      </w:r>
      <w:r>
        <w:rPr>
          <w:rFonts w:hint="eastAsia"/>
          <w:color w:val="auto"/>
          <w:highlight w:val="none"/>
        </w:rPr>
        <w:t>，超出质疑期提交的质疑将被拒绝。针对同一采购程序环节的质疑应一次性提出。</w:t>
      </w:r>
    </w:p>
    <w:p w14:paraId="30F0139A">
      <w:pPr>
        <w:pStyle w:val="9"/>
        <w:rPr>
          <w:color w:val="auto"/>
          <w:highlight w:val="none"/>
        </w:rPr>
      </w:pPr>
      <w:r>
        <w:rPr>
          <w:rFonts w:hint="eastAsia"/>
          <w:color w:val="auto"/>
          <w:highlight w:val="none"/>
        </w:rPr>
        <w:t>10.3采购代理机构质疑函接收部门、联系电话和通讯地址，见</w:t>
      </w:r>
      <w:r>
        <w:rPr>
          <w:rFonts w:hint="eastAsia"/>
          <w:color w:val="auto"/>
          <w:highlight w:val="none"/>
          <w:u w:val="single"/>
        </w:rPr>
        <w:t>供应商须知前附表</w:t>
      </w:r>
      <w:r>
        <w:rPr>
          <w:rFonts w:hint="eastAsia"/>
          <w:color w:val="auto"/>
          <w:highlight w:val="none"/>
        </w:rPr>
        <w:t>。</w:t>
      </w:r>
    </w:p>
    <w:p w14:paraId="052CC354">
      <w:pPr>
        <w:snapToGrid w:val="0"/>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10.4</w:t>
      </w:r>
      <w:r>
        <w:rPr>
          <w:rFonts w:hint="eastAsia" w:ascii="宋体" w:hAnsi="宋体"/>
          <w:color w:val="auto"/>
          <w:highlight w:val="none"/>
        </w:rPr>
        <w:t>质疑供应商对采购人、采购代理机构的答复不满意，或者采购人、采购代理机构未在规定时间内作出答复，可以在答复期满后15个工作日内向财政部门提起投诉，财政部门信息详见</w:t>
      </w:r>
      <w:r>
        <w:rPr>
          <w:rFonts w:hint="eastAsia" w:ascii="宋体" w:hAnsi="宋体"/>
          <w:color w:val="auto"/>
          <w:highlight w:val="none"/>
          <w:u w:val="single"/>
        </w:rPr>
        <w:t>采购公告</w:t>
      </w:r>
      <w:r>
        <w:rPr>
          <w:rFonts w:hint="eastAsia" w:ascii="宋体" w:hAnsi="宋体"/>
          <w:color w:val="auto"/>
          <w:highlight w:val="none"/>
        </w:rPr>
        <w:t>。</w:t>
      </w:r>
    </w:p>
    <w:p w14:paraId="214E32D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11.供应商信用记录查询及使用</w:t>
      </w:r>
    </w:p>
    <w:p w14:paraId="5000A32A">
      <w:pPr>
        <w:pStyle w:val="8"/>
        <w:snapToGrid w:val="0"/>
        <w:spacing w:after="0" w:line="360" w:lineRule="auto"/>
        <w:ind w:left="0" w:leftChars="0"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11.1</w:t>
      </w:r>
      <w:r>
        <w:rPr>
          <w:rFonts w:ascii="宋体" w:hAnsi="宋体"/>
          <w:color w:val="auto"/>
          <w:sz w:val="21"/>
          <w:szCs w:val="21"/>
          <w:highlight w:val="none"/>
        </w:rPr>
        <w:t>信用信息查询渠道</w:t>
      </w:r>
      <w:r>
        <w:rPr>
          <w:rFonts w:hint="eastAsia" w:ascii="宋体" w:hAnsi="宋体"/>
          <w:color w:val="auto"/>
          <w:sz w:val="21"/>
          <w:szCs w:val="21"/>
          <w:highlight w:val="none"/>
        </w:rPr>
        <w:t>：“信用中国”网站（www.creditchina.gov.cn）、中国政府采购网（www.ccgp.gov.cn）。</w:t>
      </w:r>
    </w:p>
    <w:p w14:paraId="43806C48">
      <w:pPr>
        <w:pStyle w:val="8"/>
        <w:snapToGrid w:val="0"/>
        <w:spacing w:after="0" w:line="360" w:lineRule="auto"/>
        <w:ind w:left="0" w:leftChars="0"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11.2</w:t>
      </w:r>
      <w:r>
        <w:rPr>
          <w:rFonts w:ascii="宋体" w:hAnsi="宋体"/>
          <w:color w:val="auto"/>
          <w:sz w:val="21"/>
          <w:szCs w:val="21"/>
          <w:highlight w:val="none"/>
        </w:rPr>
        <w:t>信用信息查询截止时点</w:t>
      </w:r>
      <w:r>
        <w:rPr>
          <w:rFonts w:hint="eastAsia" w:ascii="宋体" w:hAnsi="宋体"/>
          <w:color w:val="auto"/>
          <w:sz w:val="21"/>
          <w:szCs w:val="21"/>
          <w:highlight w:val="none"/>
        </w:rPr>
        <w:t>：响应截止时间后至评审结束前。</w:t>
      </w:r>
    </w:p>
    <w:p w14:paraId="30C6E0D2">
      <w:pPr>
        <w:pStyle w:val="8"/>
        <w:snapToGrid w:val="0"/>
        <w:spacing w:after="0" w:line="360" w:lineRule="auto"/>
        <w:ind w:left="0" w:leftChars="0"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11.3</w:t>
      </w:r>
      <w:r>
        <w:rPr>
          <w:rFonts w:ascii="宋体" w:hAnsi="宋体"/>
          <w:color w:val="auto"/>
          <w:sz w:val="21"/>
          <w:szCs w:val="21"/>
          <w:highlight w:val="none"/>
        </w:rPr>
        <w:t>信用信息查询记录和证据留存的具体方式</w:t>
      </w:r>
      <w:r>
        <w:rPr>
          <w:rFonts w:hint="eastAsia" w:ascii="宋体" w:hAnsi="宋体"/>
          <w:color w:val="auto"/>
          <w:sz w:val="21"/>
          <w:szCs w:val="21"/>
          <w:highlight w:val="none"/>
        </w:rPr>
        <w:t>：由</w:t>
      </w:r>
      <w:r>
        <w:rPr>
          <w:rFonts w:ascii="宋体" w:hAnsi="宋体"/>
          <w:color w:val="auto"/>
          <w:sz w:val="21"/>
          <w:szCs w:val="21"/>
          <w:highlight w:val="none"/>
        </w:rPr>
        <w:t>采购代理机构</w:t>
      </w:r>
      <w:r>
        <w:rPr>
          <w:rFonts w:hint="eastAsia" w:ascii="宋体" w:hAnsi="宋体"/>
          <w:color w:val="auto"/>
          <w:sz w:val="21"/>
          <w:szCs w:val="21"/>
          <w:highlight w:val="none"/>
        </w:rPr>
        <w:t>工作人员将查询网页打印并与其他采购文件一并存档备查。</w:t>
      </w:r>
    </w:p>
    <w:p w14:paraId="58ABA9E3">
      <w:pPr>
        <w:pStyle w:val="8"/>
        <w:snapToGrid w:val="0"/>
        <w:spacing w:after="0" w:line="360" w:lineRule="auto"/>
        <w:ind w:left="0" w:leftChars="0" w:firstLine="420" w:firstLineChars="200"/>
        <w:jc w:val="left"/>
        <w:rPr>
          <w:rFonts w:ascii="宋体" w:hAnsi="宋体"/>
          <w:color w:val="auto"/>
          <w:sz w:val="21"/>
          <w:szCs w:val="21"/>
          <w:highlight w:val="none"/>
        </w:rPr>
      </w:pPr>
      <w:r>
        <w:rPr>
          <w:rFonts w:hint="eastAsia" w:ascii="宋体" w:hAnsi="宋体"/>
          <w:color w:val="auto"/>
          <w:sz w:val="21"/>
          <w:szCs w:val="21"/>
          <w:highlight w:val="none"/>
        </w:rPr>
        <w:t>供应商不良信用记录以</w:t>
      </w:r>
      <w:r>
        <w:rPr>
          <w:rFonts w:ascii="宋体" w:hAnsi="宋体"/>
          <w:color w:val="auto"/>
          <w:sz w:val="21"/>
          <w:szCs w:val="21"/>
          <w:highlight w:val="none"/>
        </w:rPr>
        <w:t>采购代理机构</w:t>
      </w:r>
      <w:r>
        <w:rPr>
          <w:rFonts w:hint="eastAsia" w:ascii="宋体" w:hAnsi="宋体"/>
          <w:color w:val="auto"/>
          <w:sz w:val="21"/>
          <w:szCs w:val="21"/>
          <w:highlight w:val="none"/>
        </w:rPr>
        <w:t>查询结果为准。</w:t>
      </w:r>
      <w:bookmarkStart w:id="52" w:name="_Hlk24663338"/>
      <w:r>
        <w:rPr>
          <w:rFonts w:hint="eastAsia" w:ascii="宋体" w:hAnsi="宋体"/>
          <w:color w:val="auto"/>
          <w:sz w:val="21"/>
          <w:szCs w:val="21"/>
          <w:highlight w:val="none"/>
        </w:rPr>
        <w:t>在</w:t>
      </w:r>
      <w:r>
        <w:rPr>
          <w:rFonts w:ascii="宋体" w:hAnsi="宋体"/>
          <w:color w:val="auto"/>
          <w:sz w:val="21"/>
          <w:szCs w:val="21"/>
          <w:highlight w:val="none"/>
        </w:rPr>
        <w:t>磋商文件规定</w:t>
      </w:r>
      <w:r>
        <w:rPr>
          <w:rFonts w:hint="eastAsia" w:ascii="宋体" w:hAnsi="宋体"/>
          <w:color w:val="auto"/>
          <w:sz w:val="21"/>
          <w:szCs w:val="21"/>
          <w:highlight w:val="none"/>
        </w:rPr>
        <w:t>的查询时间之外，网站信息发生的任何变更均不作为资格审查依据。</w:t>
      </w:r>
      <w:bookmarkEnd w:id="52"/>
      <w:r>
        <w:rPr>
          <w:rFonts w:hint="eastAsia" w:ascii="宋体" w:hAnsi="宋体"/>
          <w:color w:val="auto"/>
          <w:sz w:val="21"/>
          <w:szCs w:val="21"/>
          <w:highlight w:val="none"/>
        </w:rPr>
        <w:t>供应商自行提供的网站查询结果材料亦不作为资格审查依据。</w:t>
      </w:r>
    </w:p>
    <w:p w14:paraId="4CA13BE3">
      <w:pPr>
        <w:pStyle w:val="8"/>
        <w:snapToGrid w:val="0"/>
        <w:spacing w:after="0" w:line="360" w:lineRule="auto"/>
        <w:ind w:left="0" w:leftChars="0"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11.4</w:t>
      </w:r>
      <w:r>
        <w:rPr>
          <w:rFonts w:ascii="宋体" w:hAnsi="宋体"/>
          <w:color w:val="auto"/>
          <w:sz w:val="21"/>
          <w:szCs w:val="21"/>
          <w:highlight w:val="none"/>
        </w:rPr>
        <w:t>信用信息的使用规则</w:t>
      </w:r>
      <w:r>
        <w:rPr>
          <w:rFonts w:hint="eastAsia" w:ascii="宋体" w:hAnsi="宋体"/>
          <w:color w:val="auto"/>
          <w:sz w:val="21"/>
          <w:szCs w:val="21"/>
          <w:highlight w:val="none"/>
        </w:rPr>
        <w:t>：供应商存在采购文件明确不能存在的不良信用记录的，其磋商响应将被认定为</w:t>
      </w:r>
      <w:r>
        <w:rPr>
          <w:rFonts w:hint="eastAsia" w:ascii="宋体" w:hAnsi="宋体"/>
          <w:b/>
          <w:color w:val="auto"/>
          <w:sz w:val="21"/>
          <w:szCs w:val="21"/>
          <w:highlight w:val="none"/>
        </w:rPr>
        <w:t>响应无效</w:t>
      </w:r>
      <w:r>
        <w:rPr>
          <w:rFonts w:hint="eastAsia" w:ascii="宋体" w:hAnsi="宋体"/>
          <w:color w:val="auto"/>
          <w:sz w:val="21"/>
          <w:szCs w:val="21"/>
          <w:highlight w:val="none"/>
        </w:rPr>
        <w:t>。</w:t>
      </w:r>
    </w:p>
    <w:p w14:paraId="608345CF">
      <w:pPr>
        <w:spacing w:line="360" w:lineRule="auto"/>
        <w:ind w:firstLine="422" w:firstLineChars="200"/>
        <w:jc w:val="left"/>
        <w:rPr>
          <w:rFonts w:ascii="宋体" w:hAnsi="宋体"/>
          <w:color w:val="auto"/>
          <w:szCs w:val="21"/>
          <w:highlight w:val="none"/>
        </w:rPr>
      </w:pPr>
      <w:r>
        <w:rPr>
          <w:rFonts w:hint="eastAsia" w:ascii="宋体" w:hAnsi="宋体"/>
          <w:b/>
          <w:color w:val="auto"/>
          <w:szCs w:val="21"/>
          <w:highlight w:val="none"/>
        </w:rPr>
        <w:t>12.政府采购信息发布媒体</w:t>
      </w:r>
    </w:p>
    <w:p w14:paraId="271A07F1">
      <w:pPr>
        <w:pStyle w:val="8"/>
        <w:snapToGrid w:val="0"/>
        <w:spacing w:after="0"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本项目采购信息发布在</w:t>
      </w:r>
      <w:r>
        <w:rPr>
          <w:rFonts w:hint="eastAsia" w:ascii="宋体" w:hAnsi="宋体"/>
          <w:bCs/>
          <w:color w:val="auto"/>
          <w:sz w:val="21"/>
          <w:szCs w:val="21"/>
          <w:highlight w:val="none"/>
        </w:rPr>
        <w:t>浙江政府采购网（</w:t>
      </w:r>
      <w:r>
        <w:rPr>
          <w:rFonts w:ascii="宋体" w:hAnsi="宋体"/>
          <w:bCs/>
          <w:color w:val="auto"/>
          <w:sz w:val="21"/>
          <w:szCs w:val="21"/>
          <w:highlight w:val="none"/>
        </w:rPr>
        <w:t>https://zfcg.czt.zj.gov.cn/</w:t>
      </w:r>
      <w:r>
        <w:rPr>
          <w:rFonts w:hint="eastAsia" w:ascii="宋体" w:hAnsi="宋体"/>
          <w:bCs/>
          <w:color w:val="auto"/>
          <w:sz w:val="21"/>
          <w:szCs w:val="21"/>
          <w:highlight w:val="none"/>
        </w:rPr>
        <w:t>）。</w:t>
      </w:r>
    </w:p>
    <w:p w14:paraId="2CAF780D">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w:t>
      </w:r>
      <w:r>
        <w:rPr>
          <w:rFonts w:ascii="宋体" w:hAnsi="宋体"/>
          <w:b/>
          <w:color w:val="auto"/>
          <w:szCs w:val="21"/>
          <w:highlight w:val="none"/>
        </w:rPr>
        <w:t>采购代理</w:t>
      </w:r>
      <w:r>
        <w:rPr>
          <w:rFonts w:hint="eastAsia" w:ascii="宋体" w:hAnsi="宋体"/>
          <w:b/>
          <w:color w:val="auto"/>
          <w:szCs w:val="21"/>
          <w:highlight w:val="none"/>
        </w:rPr>
        <w:t>服务</w:t>
      </w:r>
      <w:r>
        <w:rPr>
          <w:rFonts w:ascii="宋体" w:hAnsi="宋体"/>
          <w:b/>
          <w:color w:val="auto"/>
          <w:szCs w:val="21"/>
          <w:highlight w:val="none"/>
        </w:rPr>
        <w:t>费用的收取标准和方式</w:t>
      </w:r>
    </w:p>
    <w:p w14:paraId="629D59D8">
      <w:pPr>
        <w:pStyle w:val="8"/>
        <w:snapToGrid w:val="0"/>
        <w:spacing w:after="0" w:line="360" w:lineRule="auto"/>
        <w:ind w:left="0" w:leftChars="0"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13.1</w:t>
      </w:r>
      <w:r>
        <w:rPr>
          <w:rFonts w:ascii="宋体" w:hAnsi="宋体"/>
          <w:color w:val="auto"/>
          <w:sz w:val="21"/>
          <w:szCs w:val="21"/>
          <w:highlight w:val="none"/>
        </w:rPr>
        <w:t>采购</w:t>
      </w:r>
      <w:r>
        <w:rPr>
          <w:rFonts w:hint="eastAsia" w:ascii="宋体" w:hAnsi="宋体"/>
          <w:color w:val="auto"/>
          <w:sz w:val="21"/>
          <w:szCs w:val="21"/>
          <w:highlight w:val="none"/>
        </w:rPr>
        <w:t>代理服务费用的收取标准：见</w:t>
      </w:r>
      <w:r>
        <w:rPr>
          <w:rFonts w:hint="eastAsia" w:ascii="宋体" w:hAnsi="宋体"/>
          <w:color w:val="auto"/>
          <w:sz w:val="21"/>
          <w:szCs w:val="21"/>
          <w:highlight w:val="none"/>
          <w:u w:val="single"/>
        </w:rPr>
        <w:t>供应商须知前附表</w:t>
      </w:r>
      <w:r>
        <w:rPr>
          <w:rFonts w:hint="eastAsia" w:ascii="宋体" w:hAnsi="宋体"/>
          <w:color w:val="auto"/>
          <w:sz w:val="21"/>
          <w:szCs w:val="21"/>
          <w:highlight w:val="none"/>
        </w:rPr>
        <w:t>。</w:t>
      </w:r>
    </w:p>
    <w:p w14:paraId="498CAC7A">
      <w:pPr>
        <w:pStyle w:val="8"/>
        <w:snapToGrid w:val="0"/>
        <w:spacing w:after="0" w:line="360" w:lineRule="auto"/>
        <w:ind w:left="0" w:leftChars="0"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13.2</w:t>
      </w:r>
      <w:r>
        <w:rPr>
          <w:rFonts w:ascii="宋体" w:hAnsi="宋体"/>
          <w:color w:val="auto"/>
          <w:sz w:val="21"/>
          <w:szCs w:val="21"/>
          <w:highlight w:val="none"/>
        </w:rPr>
        <w:t>采购</w:t>
      </w:r>
      <w:r>
        <w:rPr>
          <w:rFonts w:hint="eastAsia" w:ascii="宋体" w:hAnsi="宋体"/>
          <w:color w:val="auto"/>
          <w:sz w:val="21"/>
          <w:szCs w:val="21"/>
          <w:highlight w:val="none"/>
        </w:rPr>
        <w:t>代理服务费的支付：见</w:t>
      </w:r>
      <w:r>
        <w:rPr>
          <w:rFonts w:hint="eastAsia" w:ascii="宋体" w:hAnsi="宋体"/>
          <w:color w:val="auto"/>
          <w:sz w:val="21"/>
          <w:szCs w:val="21"/>
          <w:highlight w:val="none"/>
          <w:u w:val="single"/>
        </w:rPr>
        <w:t>供应商须知前附表</w:t>
      </w:r>
      <w:r>
        <w:rPr>
          <w:rFonts w:hint="eastAsia" w:ascii="宋体" w:hAnsi="宋体"/>
          <w:color w:val="auto"/>
          <w:sz w:val="21"/>
          <w:szCs w:val="21"/>
          <w:highlight w:val="none"/>
        </w:rPr>
        <w:t>。</w:t>
      </w:r>
    </w:p>
    <w:p w14:paraId="34C1AB93">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13.3成交供应商应当将采购</w:t>
      </w:r>
      <w:r>
        <w:rPr>
          <w:rFonts w:ascii="宋体" w:hAnsi="宋体"/>
          <w:color w:val="auto"/>
          <w:szCs w:val="21"/>
          <w:highlight w:val="none"/>
        </w:rPr>
        <w:t>代理</w:t>
      </w:r>
      <w:r>
        <w:rPr>
          <w:rFonts w:hint="eastAsia" w:ascii="宋体" w:hAnsi="宋体"/>
          <w:color w:val="auto"/>
          <w:szCs w:val="21"/>
          <w:highlight w:val="none"/>
        </w:rPr>
        <w:t>服务</w:t>
      </w:r>
      <w:r>
        <w:rPr>
          <w:rFonts w:ascii="宋体" w:hAnsi="宋体"/>
          <w:color w:val="auto"/>
          <w:szCs w:val="21"/>
          <w:highlight w:val="none"/>
        </w:rPr>
        <w:t>费</w:t>
      </w:r>
      <w:r>
        <w:rPr>
          <w:rFonts w:hint="eastAsia" w:ascii="宋体" w:hAnsi="宋体"/>
          <w:color w:val="auto"/>
          <w:szCs w:val="21"/>
          <w:highlight w:val="none"/>
        </w:rPr>
        <w:t>按照规定交至代理机构银行账户，并将开票信息及要求、发票收件信息发送至</w:t>
      </w:r>
      <w:r>
        <w:rPr>
          <w:rFonts w:ascii="宋体" w:hAnsi="宋体"/>
          <w:color w:val="auto"/>
          <w:szCs w:val="21"/>
          <w:highlight w:val="none"/>
        </w:rPr>
        <w:t>3302172248@qq.com</w:t>
      </w:r>
      <w:r>
        <w:rPr>
          <w:rFonts w:hint="eastAsia" w:ascii="宋体" w:hAnsi="宋体"/>
          <w:color w:val="auto"/>
          <w:szCs w:val="21"/>
          <w:highlight w:val="none"/>
        </w:rPr>
        <w:t>，采购代理机构收款账户信息：</w:t>
      </w:r>
    </w:p>
    <w:p w14:paraId="04DFE56C">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开户银行：中国工商银行宁波市鼓楼支行</w:t>
      </w:r>
    </w:p>
    <w:p w14:paraId="1C710A7F">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户    名：宁波名诚招标代理有限公司</w:t>
      </w:r>
    </w:p>
    <w:p w14:paraId="37AC6EB2">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账    号：3901110019200459750</w:t>
      </w:r>
    </w:p>
    <w:p w14:paraId="6D1F8438">
      <w:pPr>
        <w:pStyle w:val="9"/>
        <w:rPr>
          <w:color w:val="auto"/>
          <w:highlight w:val="none"/>
        </w:rPr>
      </w:pPr>
      <w:r>
        <w:rPr>
          <w:rFonts w:hint="eastAsia"/>
          <w:color w:val="auto"/>
          <w:highlight w:val="none"/>
        </w:rPr>
        <w:t>14.其他</w:t>
      </w:r>
    </w:p>
    <w:p w14:paraId="6D204536">
      <w:pPr>
        <w:pStyle w:val="9"/>
        <w:rPr>
          <w:color w:val="auto"/>
          <w:highlight w:val="none"/>
        </w:rPr>
      </w:pPr>
      <w:r>
        <w:rPr>
          <w:rFonts w:hint="eastAsia"/>
          <w:color w:val="auto"/>
          <w:highlight w:val="none"/>
        </w:rPr>
        <w:t>14.1磋商文件的标题和序号只是为了查阅方便，不影响对磋商文件的理解。</w:t>
      </w:r>
    </w:p>
    <w:p w14:paraId="0A0C25FA">
      <w:pPr>
        <w:pStyle w:val="9"/>
        <w:rPr>
          <w:color w:val="auto"/>
          <w:highlight w:val="none"/>
        </w:rPr>
      </w:pPr>
      <w:r>
        <w:rPr>
          <w:rFonts w:hint="eastAsia"/>
          <w:color w:val="auto"/>
          <w:highlight w:val="none"/>
        </w:rPr>
        <w:t>14.</w:t>
      </w:r>
      <w:r>
        <w:rPr>
          <w:color w:val="auto"/>
          <w:highlight w:val="none"/>
        </w:rPr>
        <w:t>2</w:t>
      </w:r>
      <w:r>
        <w:rPr>
          <w:rFonts w:hint="eastAsia"/>
          <w:color w:val="auto"/>
          <w:highlight w:val="none"/>
        </w:rPr>
        <w:t>磋商文件如出现某品牌、型号的内容是为了更好的描述产品的性能、规格及要求，并无指定产品品牌、型号的意思表达。</w:t>
      </w:r>
    </w:p>
    <w:p w14:paraId="0F1996F4">
      <w:pPr>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14.</w:t>
      </w:r>
      <w:r>
        <w:rPr>
          <w:rFonts w:ascii="宋体" w:hAnsi="宋体" w:cs="Arial"/>
          <w:color w:val="auto"/>
          <w:szCs w:val="21"/>
          <w:highlight w:val="none"/>
        </w:rPr>
        <w:t>3</w:t>
      </w:r>
      <w:r>
        <w:rPr>
          <w:rFonts w:hint="eastAsia" w:ascii="宋体" w:hAnsi="宋体" w:cs="Arial"/>
          <w:color w:val="auto"/>
          <w:szCs w:val="21"/>
          <w:highlight w:val="none"/>
        </w:rPr>
        <w:t>磋商文件要求携带原件备查的资料，如该资料可以通过互联网或者相关信息系统查询的，供应商能够当场提供账号、网址等进行查询、核实资料真伪及有关数据的，视同提供了原件。</w:t>
      </w:r>
    </w:p>
    <w:p w14:paraId="63C0CBC8">
      <w:pPr>
        <w:pStyle w:val="9"/>
        <w:rPr>
          <w:rFonts w:cs="Arial"/>
          <w:color w:val="auto"/>
          <w:highlight w:val="none"/>
        </w:rPr>
      </w:pPr>
      <w:r>
        <w:rPr>
          <w:rFonts w:hint="eastAsia" w:cs="Arial"/>
          <w:color w:val="auto"/>
          <w:highlight w:val="none"/>
        </w:rPr>
        <w:t>1</w:t>
      </w:r>
      <w:r>
        <w:rPr>
          <w:rFonts w:cs="Arial"/>
          <w:color w:val="auto"/>
          <w:highlight w:val="none"/>
        </w:rPr>
        <w:t>4</w:t>
      </w:r>
      <w:r>
        <w:rPr>
          <w:rFonts w:hint="eastAsia" w:cs="Arial"/>
          <w:color w:val="auto"/>
          <w:highlight w:val="none"/>
        </w:rPr>
        <w:t>.</w:t>
      </w:r>
      <w:r>
        <w:rPr>
          <w:rFonts w:cs="Arial"/>
          <w:color w:val="auto"/>
          <w:highlight w:val="none"/>
        </w:rPr>
        <w:t>4</w:t>
      </w:r>
      <w:r>
        <w:rPr>
          <w:rFonts w:hint="eastAsia" w:cs="Arial"/>
          <w:color w:val="auto"/>
          <w:highlight w:val="none"/>
        </w:rPr>
        <w:t>供应商应当及时维护政府采购云平台（https://www.zcygov.cn/）注册信息，包含但不仅限于单位银行账户信息等。</w:t>
      </w:r>
    </w:p>
    <w:p w14:paraId="765699E2">
      <w:pPr>
        <w:spacing w:line="360" w:lineRule="auto"/>
        <w:ind w:firstLine="420" w:firstLineChars="200"/>
        <w:rPr>
          <w:rFonts w:ascii="宋体" w:hAnsi="宋体" w:cs="黑体"/>
          <w:color w:val="auto"/>
          <w:highlight w:val="none"/>
        </w:rPr>
      </w:pPr>
      <w:r>
        <w:rPr>
          <w:rFonts w:hint="eastAsia" w:ascii="宋体" w:hAnsi="宋体" w:cs="黑体"/>
          <w:color w:val="auto"/>
          <w:highlight w:val="none"/>
        </w:rPr>
        <w:t>14.</w:t>
      </w:r>
      <w:r>
        <w:rPr>
          <w:rFonts w:ascii="宋体" w:hAnsi="宋体" w:cs="黑体"/>
          <w:color w:val="auto"/>
          <w:highlight w:val="none"/>
        </w:rPr>
        <w:t>5</w:t>
      </w:r>
      <w:r>
        <w:rPr>
          <w:rFonts w:hint="eastAsia" w:ascii="宋体" w:hAnsi="宋体" w:cs="黑体"/>
          <w:color w:val="auto"/>
          <w:highlight w:val="none"/>
        </w:rPr>
        <w:t>节能、环保产品政府采购实施相关规定</w:t>
      </w:r>
    </w:p>
    <w:p w14:paraId="2BE9E890">
      <w:pPr>
        <w:wordWrap w:val="0"/>
        <w:spacing w:line="360" w:lineRule="auto"/>
        <w:ind w:firstLine="420" w:firstLineChars="200"/>
        <w:jc w:val="left"/>
        <w:rPr>
          <w:rFonts w:ascii="宋体" w:hAnsi="宋体" w:cs="黑体"/>
          <w:color w:val="auto"/>
          <w:highlight w:val="none"/>
        </w:rPr>
      </w:pPr>
      <w:r>
        <w:rPr>
          <w:rFonts w:hint="eastAsia" w:ascii="宋体" w:hAnsi="宋体" w:cs="黑体"/>
          <w:color w:val="auto"/>
          <w:highlight w:val="none"/>
        </w:rPr>
        <w:t>（1）严格执行《财政部 发展改革委 生态环境部 市场监管总局关于调整优化节能产品、环境标志产品政府采购执行机制的通知》（财库〔2019〕9号）。</w:t>
      </w:r>
    </w:p>
    <w:p w14:paraId="478BAFB5">
      <w:pPr>
        <w:spacing w:line="360" w:lineRule="auto"/>
        <w:ind w:firstLine="420" w:firstLineChars="200"/>
        <w:rPr>
          <w:rFonts w:ascii="宋体" w:hAnsi="宋体" w:cs="黑体"/>
          <w:color w:val="auto"/>
          <w:highlight w:val="none"/>
        </w:rPr>
      </w:pPr>
      <w:r>
        <w:rPr>
          <w:rFonts w:hint="eastAsia" w:ascii="宋体" w:hAnsi="宋体" w:cs="黑体"/>
          <w:color w:val="auto"/>
          <w:highlight w:val="none"/>
        </w:rPr>
        <w:t>（2）采购人拟采购的产品属于品目清单范围的，采购人及其委托的采购代理机构依据国家确定的认证机构出具的、处于有效期之内的节能产品、环境标志产品认证证书，对获得证书的产品实施政府优先采购或强制采购。供应商应当仔细核对本项目采购清单产品，对属于品目清单范围内的产品，</w:t>
      </w:r>
      <w:r>
        <w:rPr>
          <w:rFonts w:hint="eastAsia" w:ascii="宋体" w:hAnsi="宋体" w:cs="宋体"/>
          <w:color w:val="auto"/>
          <w:kern w:val="0"/>
          <w:highlight w:val="none"/>
        </w:rPr>
        <w:t>供应商按采购文件要求在响应文件中提供相关产品的认证证书</w:t>
      </w:r>
      <w:r>
        <w:rPr>
          <w:rFonts w:hint="eastAsia" w:ascii="宋体" w:hAnsi="宋体" w:cs="黑体"/>
          <w:color w:val="auto"/>
          <w:highlight w:val="none"/>
        </w:rPr>
        <w:t>复印（扫描）件。</w:t>
      </w:r>
    </w:p>
    <w:p w14:paraId="54E092F6">
      <w:pPr>
        <w:spacing w:line="360" w:lineRule="auto"/>
        <w:ind w:firstLine="420" w:firstLineChars="200"/>
        <w:rPr>
          <w:rFonts w:ascii="宋体" w:hAnsi="宋体" w:cs="黑体"/>
          <w:color w:val="auto"/>
          <w:highlight w:val="none"/>
        </w:rPr>
      </w:pPr>
      <w:bookmarkStart w:id="53" w:name="OLE_LINK2"/>
      <w:bookmarkStart w:id="54" w:name="OLE_LINK1"/>
      <w:r>
        <w:rPr>
          <w:rFonts w:hint="eastAsia" w:ascii="宋体" w:hAnsi="宋体" w:cs="黑体"/>
          <w:color w:val="auto"/>
          <w:highlight w:val="none"/>
        </w:rPr>
        <w:t>采购人拟采购的产品</w:t>
      </w:r>
      <w:bookmarkEnd w:id="53"/>
      <w:bookmarkEnd w:id="54"/>
      <w:r>
        <w:rPr>
          <w:rFonts w:hint="eastAsia" w:ascii="宋体" w:hAnsi="宋体" w:cs="黑体"/>
          <w:color w:val="auto"/>
          <w:highlight w:val="none"/>
        </w:rPr>
        <w:t>属于政府强制采购的节能产品品目清单范围的（具体产品详见供应商须知前附表），供应商未在响应文件中提供国家确定的认证机构出具的、处于有效期之内的节能产品认证证书，按照响应无效处理。</w:t>
      </w:r>
    </w:p>
    <w:p w14:paraId="4672C9E6">
      <w:pPr>
        <w:spacing w:line="360" w:lineRule="auto"/>
        <w:ind w:firstLine="420" w:firstLineChars="200"/>
        <w:rPr>
          <w:rFonts w:ascii="宋体" w:hAnsi="宋体" w:cs="黑体"/>
          <w:color w:val="auto"/>
          <w:highlight w:val="none"/>
        </w:rPr>
      </w:pPr>
      <w:r>
        <w:rPr>
          <w:rFonts w:hint="eastAsia" w:ascii="宋体" w:hAnsi="宋体" w:cs="黑体"/>
          <w:color w:val="auto"/>
          <w:highlight w:val="none"/>
        </w:rPr>
        <w:t>采购人拟采购的产品属于政府优先采购产品的，在响应文件中提供依据国家确定的认证机构出具的、处于有效期之内的节能产品或环境标志产品认证证书，否则不予认定。</w:t>
      </w:r>
    </w:p>
    <w:p w14:paraId="3CB850ED">
      <w:pPr>
        <w:spacing w:line="360" w:lineRule="auto"/>
        <w:ind w:firstLine="420" w:firstLineChars="200"/>
        <w:rPr>
          <w:rFonts w:ascii="宋体" w:hAnsi="宋体" w:cs="黑体"/>
          <w:color w:val="auto"/>
          <w:highlight w:val="none"/>
        </w:rPr>
      </w:pPr>
      <w:r>
        <w:rPr>
          <w:rFonts w:hint="eastAsia" w:ascii="宋体" w:hAnsi="宋体" w:cs="黑体"/>
          <w:color w:val="auto"/>
          <w:highlight w:val="none"/>
        </w:rPr>
        <w:t>（3）属于强制节能产品的不参与节能产品加分评议，其他产品</w:t>
      </w:r>
      <w:r>
        <w:rPr>
          <w:rFonts w:ascii="宋体" w:hAnsi="宋体" w:cs="黑体"/>
          <w:color w:val="auto"/>
          <w:highlight w:val="none"/>
        </w:rPr>
        <w:t>同时</w:t>
      </w:r>
      <w:r>
        <w:rPr>
          <w:rFonts w:hint="eastAsia" w:ascii="宋体" w:hAnsi="宋体" w:cs="黑体"/>
          <w:color w:val="auto"/>
          <w:highlight w:val="none"/>
        </w:rPr>
        <w:t>具有节能环保</w:t>
      </w:r>
      <w:r>
        <w:rPr>
          <w:rFonts w:ascii="宋体" w:hAnsi="宋体" w:cs="黑体"/>
          <w:color w:val="auto"/>
          <w:highlight w:val="none"/>
        </w:rPr>
        <w:t>两个认证证书</w:t>
      </w:r>
      <w:r>
        <w:rPr>
          <w:rFonts w:hint="eastAsia" w:ascii="宋体" w:hAnsi="宋体" w:cs="黑体"/>
          <w:color w:val="auto"/>
          <w:highlight w:val="none"/>
        </w:rPr>
        <w:t>，可以分别计分。</w:t>
      </w:r>
    </w:p>
    <w:p w14:paraId="06055BCF">
      <w:pPr>
        <w:wordWrap w:val="0"/>
        <w:spacing w:line="360" w:lineRule="auto"/>
        <w:ind w:firstLine="420" w:firstLineChars="200"/>
        <w:jc w:val="left"/>
        <w:rPr>
          <w:rFonts w:ascii="宋体" w:hAnsi="宋体" w:cs="黑体"/>
          <w:color w:val="auto"/>
          <w:highlight w:val="none"/>
        </w:rPr>
      </w:pPr>
      <w:r>
        <w:rPr>
          <w:rFonts w:hint="eastAsia" w:ascii="宋体" w:hAnsi="宋体" w:cs="黑体"/>
          <w:color w:val="auto"/>
          <w:highlight w:val="none"/>
        </w:rPr>
        <w:t>（4）《节能产品政府采购品目清单》详见《关于印发节能产品政府采购品目清单的通知（财库[2019]19号）》，如遇调整，按最新清单执行。</w:t>
      </w:r>
    </w:p>
    <w:p w14:paraId="169FC129">
      <w:pPr>
        <w:wordWrap w:val="0"/>
        <w:spacing w:line="360" w:lineRule="auto"/>
        <w:ind w:firstLine="420" w:firstLineChars="200"/>
        <w:jc w:val="left"/>
        <w:rPr>
          <w:rFonts w:ascii="宋体" w:hAnsi="宋体" w:cs="黑体"/>
          <w:color w:val="auto"/>
          <w:highlight w:val="none"/>
        </w:rPr>
      </w:pPr>
      <w:r>
        <w:rPr>
          <w:rFonts w:hint="eastAsia" w:ascii="宋体" w:hAnsi="宋体" w:cs="黑体"/>
          <w:color w:val="auto"/>
          <w:highlight w:val="none"/>
        </w:rPr>
        <w:t>（5）《环境标志产品政府采购品目清单》详见《关于印发环境标志产品政府采购品目清单的通知（财库[2019]18号）》，如遇调整，按最新清单执行。</w:t>
      </w:r>
    </w:p>
    <w:p w14:paraId="09C1F4C6">
      <w:pPr>
        <w:wordWrap w:val="0"/>
        <w:spacing w:line="360" w:lineRule="auto"/>
        <w:ind w:firstLine="420" w:firstLineChars="200"/>
        <w:jc w:val="left"/>
        <w:rPr>
          <w:rFonts w:ascii="宋体" w:hAnsi="宋体" w:cs="黑体"/>
          <w:color w:val="auto"/>
          <w:highlight w:val="none"/>
        </w:rPr>
      </w:pPr>
      <w:r>
        <w:rPr>
          <w:rFonts w:hint="eastAsia" w:ascii="宋体" w:hAnsi="宋体" w:cs="黑体"/>
          <w:color w:val="auto"/>
          <w:highlight w:val="none"/>
        </w:rPr>
        <w:t>（6）</w:t>
      </w:r>
      <w:r>
        <w:rPr>
          <w:rFonts w:hint="eastAsia" w:ascii="宋体" w:hAnsi="宋体"/>
          <w:color w:val="auto"/>
          <w:highlight w:val="none"/>
          <w:shd w:val="clear" w:color="auto" w:fill="FFFFFF"/>
        </w:rPr>
        <w:t>《参与实施政府采购节能产品认证机构名录》《参与实施政府采购环境标志产品认证机构名录》</w:t>
      </w:r>
      <w:r>
        <w:rPr>
          <w:rFonts w:hint="eastAsia" w:ascii="宋体" w:hAnsi="宋体" w:cs="黑体"/>
          <w:color w:val="auto"/>
          <w:highlight w:val="none"/>
        </w:rPr>
        <w:t>详见《市场监管总局关于发布参与实施政府采购节能产品、环境标志产品认证机构名录的公告》。</w:t>
      </w:r>
    </w:p>
    <w:p w14:paraId="52D5B9AF">
      <w:pPr>
        <w:pStyle w:val="6"/>
        <w:numPr>
          <w:ilvl w:val="0"/>
          <w:numId w:val="0"/>
        </w:numPr>
        <w:tabs>
          <w:tab w:val="left" w:pos="720"/>
        </w:tabs>
        <w:snapToGrid w:val="0"/>
        <w:spacing w:line="360" w:lineRule="auto"/>
        <w:jc w:val="center"/>
        <w:rPr>
          <w:rFonts w:ascii="宋体" w:hAnsi="宋体"/>
          <w:b/>
          <w:color w:val="auto"/>
          <w:szCs w:val="21"/>
          <w:highlight w:val="none"/>
        </w:rPr>
      </w:pPr>
      <w:r>
        <w:rPr>
          <w:rFonts w:ascii="宋体" w:hAnsi="宋体"/>
          <w:b/>
          <w:color w:val="auto"/>
          <w:szCs w:val="21"/>
          <w:highlight w:val="none"/>
        </w:rPr>
        <w:t>二</w:t>
      </w:r>
      <w:r>
        <w:rPr>
          <w:rFonts w:hint="eastAsia" w:ascii="宋体" w:hAnsi="宋体"/>
          <w:b/>
          <w:color w:val="auto"/>
          <w:szCs w:val="21"/>
          <w:highlight w:val="none"/>
        </w:rPr>
        <w:t>、磋商文件</w:t>
      </w:r>
    </w:p>
    <w:p w14:paraId="6C415932">
      <w:pPr>
        <w:pStyle w:val="9"/>
        <w:ind w:firstLine="422"/>
        <w:rPr>
          <w:b/>
          <w:color w:val="auto"/>
          <w:highlight w:val="none"/>
        </w:rPr>
      </w:pPr>
      <w:r>
        <w:rPr>
          <w:rFonts w:hint="eastAsia"/>
          <w:b/>
          <w:color w:val="auto"/>
          <w:highlight w:val="none"/>
        </w:rPr>
        <w:t>15.磋商文件的构成</w:t>
      </w:r>
    </w:p>
    <w:p w14:paraId="2207BF36">
      <w:pPr>
        <w:pStyle w:val="9"/>
        <w:rPr>
          <w:color w:val="auto"/>
          <w:highlight w:val="none"/>
        </w:rPr>
      </w:pPr>
      <w:r>
        <w:rPr>
          <w:rFonts w:hint="eastAsia"/>
          <w:color w:val="auto"/>
          <w:highlight w:val="none"/>
        </w:rPr>
        <w:t>磋商文件共六章，由下列文件以及在采购过程中发出的澄清或修改文件组成，内容如下：</w:t>
      </w:r>
    </w:p>
    <w:p w14:paraId="1E3F51C3">
      <w:pPr>
        <w:pStyle w:val="9"/>
        <w:rPr>
          <w:color w:val="auto"/>
          <w:highlight w:val="none"/>
        </w:rPr>
      </w:pPr>
      <w:r>
        <w:rPr>
          <w:rFonts w:hint="eastAsia"/>
          <w:color w:val="auto"/>
          <w:highlight w:val="none"/>
        </w:rPr>
        <w:t>第一章  采购公告</w:t>
      </w:r>
    </w:p>
    <w:p w14:paraId="7E3062D4">
      <w:pPr>
        <w:pStyle w:val="9"/>
        <w:rPr>
          <w:color w:val="auto"/>
          <w:highlight w:val="none"/>
        </w:rPr>
      </w:pPr>
      <w:r>
        <w:rPr>
          <w:rFonts w:hint="eastAsia"/>
          <w:color w:val="auto"/>
          <w:highlight w:val="none"/>
        </w:rPr>
        <w:t xml:space="preserve">第二章  </w:t>
      </w:r>
      <w:r>
        <w:rPr>
          <w:color w:val="auto"/>
          <w:highlight w:val="none"/>
        </w:rPr>
        <w:t>采购需求</w:t>
      </w:r>
    </w:p>
    <w:p w14:paraId="214C59AD">
      <w:pPr>
        <w:pStyle w:val="9"/>
        <w:rPr>
          <w:color w:val="auto"/>
          <w:highlight w:val="none"/>
        </w:rPr>
      </w:pPr>
      <w:r>
        <w:rPr>
          <w:rFonts w:hint="eastAsia"/>
          <w:color w:val="auto"/>
          <w:highlight w:val="none"/>
        </w:rPr>
        <w:t xml:space="preserve">第三章  </w:t>
      </w:r>
      <w:r>
        <w:rPr>
          <w:color w:val="auto"/>
          <w:highlight w:val="none"/>
        </w:rPr>
        <w:t>供应商须知</w:t>
      </w:r>
    </w:p>
    <w:p w14:paraId="091902AA">
      <w:pPr>
        <w:pStyle w:val="9"/>
        <w:rPr>
          <w:color w:val="auto"/>
          <w:highlight w:val="none"/>
        </w:rPr>
      </w:pPr>
      <w:r>
        <w:rPr>
          <w:rFonts w:hint="eastAsia"/>
          <w:color w:val="auto"/>
          <w:highlight w:val="none"/>
        </w:rPr>
        <w:t xml:space="preserve">第四章  </w:t>
      </w:r>
      <w:r>
        <w:rPr>
          <w:color w:val="auto"/>
          <w:highlight w:val="none"/>
        </w:rPr>
        <w:t>评审方法和评审标准</w:t>
      </w:r>
    </w:p>
    <w:p w14:paraId="1F87EBCE">
      <w:pPr>
        <w:pStyle w:val="9"/>
        <w:rPr>
          <w:color w:val="auto"/>
          <w:highlight w:val="none"/>
        </w:rPr>
      </w:pPr>
      <w:r>
        <w:rPr>
          <w:rFonts w:hint="eastAsia"/>
          <w:color w:val="auto"/>
          <w:highlight w:val="none"/>
        </w:rPr>
        <w:t xml:space="preserve">第五章  </w:t>
      </w:r>
      <w:r>
        <w:rPr>
          <w:color w:val="auto"/>
          <w:highlight w:val="none"/>
        </w:rPr>
        <w:t>合同草案条款</w:t>
      </w:r>
    </w:p>
    <w:p w14:paraId="3C6E1295">
      <w:pPr>
        <w:pStyle w:val="9"/>
        <w:rPr>
          <w:color w:val="auto"/>
          <w:highlight w:val="none"/>
        </w:rPr>
      </w:pPr>
      <w:r>
        <w:rPr>
          <w:rFonts w:hint="eastAsia"/>
          <w:color w:val="auto"/>
          <w:highlight w:val="none"/>
        </w:rPr>
        <w:t xml:space="preserve">第六章  </w:t>
      </w:r>
      <w:r>
        <w:rPr>
          <w:color w:val="auto"/>
          <w:highlight w:val="none"/>
        </w:rPr>
        <w:t>响应文件格式</w:t>
      </w:r>
    </w:p>
    <w:p w14:paraId="65CBA250">
      <w:pPr>
        <w:pStyle w:val="6"/>
        <w:numPr>
          <w:ilvl w:val="0"/>
          <w:numId w:val="0"/>
        </w:numPr>
        <w:tabs>
          <w:tab w:val="left" w:pos="720"/>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16.磋商文件的询问、澄清和修改</w:t>
      </w:r>
    </w:p>
    <w:p w14:paraId="501EBC24">
      <w:pPr>
        <w:pStyle w:val="9"/>
        <w:rPr>
          <w:color w:val="auto"/>
          <w:highlight w:val="none"/>
        </w:rPr>
      </w:pPr>
      <w:r>
        <w:rPr>
          <w:rFonts w:hint="eastAsia"/>
          <w:color w:val="auto"/>
          <w:highlight w:val="none"/>
        </w:rPr>
        <w:t>16.</w:t>
      </w:r>
      <w:r>
        <w:rPr>
          <w:color w:val="auto"/>
          <w:highlight w:val="none"/>
        </w:rPr>
        <w:t>1</w:t>
      </w:r>
      <w:r>
        <w:rPr>
          <w:rFonts w:hint="eastAsia"/>
          <w:color w:val="auto"/>
          <w:highlight w:val="none"/>
        </w:rPr>
        <w:t>询问</w:t>
      </w:r>
    </w:p>
    <w:p w14:paraId="46248C31">
      <w:pPr>
        <w:pStyle w:val="9"/>
        <w:rPr>
          <w:color w:val="auto"/>
          <w:highlight w:val="none"/>
        </w:rPr>
      </w:pPr>
      <w:r>
        <w:rPr>
          <w:bCs/>
          <w:color w:val="auto"/>
          <w:highlight w:val="none"/>
        </w:rPr>
        <w:t>供应商</w:t>
      </w:r>
      <w:r>
        <w:rPr>
          <w:rFonts w:hint="eastAsia"/>
          <w:bCs/>
          <w:color w:val="auto"/>
          <w:highlight w:val="none"/>
        </w:rPr>
        <w:t>对磋商文件有疑问，可以向</w:t>
      </w:r>
      <w:r>
        <w:rPr>
          <w:rFonts w:hint="eastAsia"/>
          <w:color w:val="auto"/>
          <w:highlight w:val="none"/>
        </w:rPr>
        <w:t>采购人或采购代理机构</w:t>
      </w:r>
      <w:r>
        <w:rPr>
          <w:rFonts w:hint="eastAsia"/>
          <w:bCs/>
          <w:color w:val="auto"/>
          <w:highlight w:val="none"/>
        </w:rPr>
        <w:t>询问，</w:t>
      </w:r>
      <w:r>
        <w:rPr>
          <w:rFonts w:hint="eastAsia"/>
          <w:color w:val="auto"/>
          <w:highlight w:val="none"/>
        </w:rPr>
        <w:t>采购人或采购代理机构将依法</w:t>
      </w:r>
      <w:r>
        <w:rPr>
          <w:rFonts w:hint="eastAsia"/>
          <w:bCs/>
          <w:color w:val="auto"/>
          <w:highlight w:val="none"/>
        </w:rPr>
        <w:t>对潜在供应商</w:t>
      </w:r>
      <w:r>
        <w:rPr>
          <w:rFonts w:hint="eastAsia"/>
          <w:color w:val="auto"/>
          <w:highlight w:val="none"/>
        </w:rPr>
        <w:t>的询问作出答复。</w:t>
      </w:r>
    </w:p>
    <w:p w14:paraId="032308D9">
      <w:pPr>
        <w:pStyle w:val="9"/>
        <w:rPr>
          <w:color w:val="auto"/>
          <w:highlight w:val="none"/>
        </w:rPr>
      </w:pPr>
      <w:r>
        <w:rPr>
          <w:rFonts w:hint="eastAsia"/>
          <w:color w:val="auto"/>
          <w:highlight w:val="none"/>
        </w:rPr>
        <w:t>16.2澄清和修改</w:t>
      </w:r>
    </w:p>
    <w:p w14:paraId="72172686">
      <w:pPr>
        <w:pStyle w:val="9"/>
        <w:rPr>
          <w:color w:val="auto"/>
          <w:highlight w:val="none"/>
        </w:rPr>
      </w:pPr>
      <w:r>
        <w:rPr>
          <w:rFonts w:hint="eastAsia"/>
          <w:color w:val="auto"/>
          <w:highlight w:val="none"/>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将在提交首次响应文件截止时间至少5日前，以书面形式通知所有获取磋商文件的供应商；不足5日的，采购人、采购代理机构将顺延提交首次响应文件截止时间。</w:t>
      </w:r>
    </w:p>
    <w:p w14:paraId="7D2DDDA3">
      <w:pPr>
        <w:pStyle w:val="9"/>
        <w:rPr>
          <w:color w:val="auto"/>
          <w:highlight w:val="none"/>
        </w:rPr>
      </w:pPr>
      <w:r>
        <w:rPr>
          <w:rFonts w:hint="eastAsia"/>
          <w:color w:val="auto"/>
          <w:highlight w:val="none"/>
        </w:rPr>
        <w:t>（2）</w:t>
      </w:r>
      <w:r>
        <w:rPr>
          <w:color w:val="auto"/>
          <w:highlight w:val="none"/>
        </w:rPr>
        <w:t>澄清或者修改</w:t>
      </w:r>
      <w:r>
        <w:rPr>
          <w:rFonts w:hint="eastAsia"/>
          <w:color w:val="auto"/>
          <w:highlight w:val="none"/>
        </w:rPr>
        <w:t>的更正信息将以书面形式在浙江政府采购网（</w:t>
      </w:r>
      <w:r>
        <w:rPr>
          <w:color w:val="auto"/>
          <w:highlight w:val="none"/>
        </w:rPr>
        <w:t>https://zfcg.czt.zj.gov.cn/</w:t>
      </w:r>
      <w:r>
        <w:rPr>
          <w:rFonts w:hint="eastAsia"/>
          <w:color w:val="auto"/>
          <w:highlight w:val="none"/>
        </w:rPr>
        <w:t>）公开发布。政采云平台将发送短信通知所有获取磋商文件的供应商，供应商应当自行查询上述网站并浏览更正内容，并按照更正后的采购文件编制响应文件。</w:t>
      </w:r>
    </w:p>
    <w:p w14:paraId="639CA9D4">
      <w:pPr>
        <w:pStyle w:val="9"/>
        <w:rPr>
          <w:color w:val="auto"/>
          <w:highlight w:val="none"/>
        </w:rPr>
      </w:pPr>
      <w:r>
        <w:rPr>
          <w:rFonts w:hint="eastAsia"/>
          <w:color w:val="auto"/>
          <w:highlight w:val="none"/>
        </w:rPr>
        <w:t>（3）</w:t>
      </w:r>
      <w:r>
        <w:rPr>
          <w:color w:val="auto"/>
          <w:highlight w:val="none"/>
        </w:rPr>
        <w:t>供应商在收到书面形式通知后，</w:t>
      </w:r>
      <w:r>
        <w:rPr>
          <w:rFonts w:hint="eastAsia"/>
          <w:color w:val="auto"/>
          <w:highlight w:val="none"/>
        </w:rPr>
        <w:t>认为</w:t>
      </w:r>
      <w:r>
        <w:rPr>
          <w:color w:val="auto"/>
          <w:highlight w:val="none"/>
        </w:rPr>
        <w:t>澄清或者修改的</w:t>
      </w:r>
      <w:r>
        <w:rPr>
          <w:rFonts w:hint="eastAsia"/>
          <w:color w:val="auto"/>
          <w:highlight w:val="none"/>
        </w:rPr>
        <w:t>内容</w:t>
      </w:r>
      <w:r>
        <w:rPr>
          <w:color w:val="auto"/>
          <w:highlight w:val="none"/>
        </w:rPr>
        <w:t>影响响应文件编制</w:t>
      </w:r>
      <w:r>
        <w:rPr>
          <w:rFonts w:hint="eastAsia"/>
          <w:color w:val="auto"/>
          <w:highlight w:val="none"/>
        </w:rPr>
        <w:t>的</w:t>
      </w:r>
      <w:r>
        <w:rPr>
          <w:color w:val="auto"/>
          <w:highlight w:val="none"/>
        </w:rPr>
        <w:t>，</w:t>
      </w:r>
      <w:r>
        <w:rPr>
          <w:rFonts w:hint="eastAsia"/>
          <w:color w:val="auto"/>
          <w:highlight w:val="none"/>
        </w:rPr>
        <w:t>应当</w:t>
      </w:r>
      <w:r>
        <w:rPr>
          <w:color w:val="auto"/>
          <w:highlight w:val="none"/>
        </w:rPr>
        <w:t>在收到</w:t>
      </w:r>
      <w:r>
        <w:rPr>
          <w:rFonts w:hint="eastAsia"/>
          <w:color w:val="auto"/>
          <w:highlight w:val="none"/>
        </w:rPr>
        <w:t>书面通知</w:t>
      </w:r>
      <w:r>
        <w:rPr>
          <w:color w:val="auto"/>
          <w:highlight w:val="none"/>
        </w:rPr>
        <w:t>后</w:t>
      </w:r>
      <w:r>
        <w:rPr>
          <w:rFonts w:hint="eastAsia"/>
          <w:color w:val="auto"/>
          <w:highlight w:val="none"/>
        </w:rPr>
        <w:t>及时</w:t>
      </w:r>
      <w:r>
        <w:rPr>
          <w:color w:val="auto"/>
          <w:highlight w:val="none"/>
        </w:rPr>
        <w:t>将</w:t>
      </w:r>
      <w:r>
        <w:rPr>
          <w:rFonts w:hint="eastAsia"/>
          <w:color w:val="auto"/>
          <w:highlight w:val="none"/>
        </w:rPr>
        <w:t>有关</w:t>
      </w:r>
      <w:r>
        <w:rPr>
          <w:color w:val="auto"/>
          <w:highlight w:val="none"/>
        </w:rPr>
        <w:t>意见以书面形式向</w:t>
      </w:r>
      <w:r>
        <w:rPr>
          <w:rFonts w:hint="eastAsia"/>
          <w:color w:val="auto"/>
          <w:highlight w:val="none"/>
        </w:rPr>
        <w:t>采购人、采购代理机构</w:t>
      </w:r>
      <w:r>
        <w:rPr>
          <w:color w:val="auto"/>
          <w:highlight w:val="none"/>
        </w:rPr>
        <w:t>提出，否则，</w:t>
      </w:r>
      <w:r>
        <w:rPr>
          <w:rFonts w:hint="eastAsia"/>
          <w:color w:val="auto"/>
          <w:highlight w:val="none"/>
        </w:rPr>
        <w:t>采购人、采购代理机构</w:t>
      </w:r>
      <w:r>
        <w:rPr>
          <w:color w:val="auto"/>
          <w:highlight w:val="none"/>
        </w:rPr>
        <w:t>视</w:t>
      </w:r>
      <w:r>
        <w:rPr>
          <w:rFonts w:hint="eastAsia"/>
          <w:color w:val="auto"/>
          <w:highlight w:val="none"/>
        </w:rPr>
        <w:t>为</w:t>
      </w:r>
      <w:r>
        <w:rPr>
          <w:color w:val="auto"/>
          <w:highlight w:val="none"/>
        </w:rPr>
        <w:t>供应商完全接受澄清或者修改的</w:t>
      </w:r>
      <w:r>
        <w:rPr>
          <w:rFonts w:hint="eastAsia"/>
          <w:color w:val="auto"/>
          <w:highlight w:val="none"/>
        </w:rPr>
        <w:t>内容，</w:t>
      </w:r>
      <w:r>
        <w:rPr>
          <w:color w:val="auto"/>
          <w:highlight w:val="none"/>
        </w:rPr>
        <w:t>且</w:t>
      </w:r>
      <w:r>
        <w:rPr>
          <w:rFonts w:hint="eastAsia"/>
          <w:color w:val="auto"/>
          <w:highlight w:val="none"/>
        </w:rPr>
        <w:t>不</w:t>
      </w:r>
      <w:r>
        <w:rPr>
          <w:color w:val="auto"/>
          <w:highlight w:val="none"/>
        </w:rPr>
        <w:t>影响</w:t>
      </w:r>
      <w:r>
        <w:rPr>
          <w:rFonts w:hint="eastAsia"/>
          <w:color w:val="auto"/>
          <w:highlight w:val="none"/>
        </w:rPr>
        <w:t>响应文件</w:t>
      </w:r>
      <w:r>
        <w:rPr>
          <w:color w:val="auto"/>
          <w:highlight w:val="none"/>
        </w:rPr>
        <w:t>编制。</w:t>
      </w:r>
    </w:p>
    <w:p w14:paraId="0C2C0E59">
      <w:pPr>
        <w:pStyle w:val="9"/>
        <w:rPr>
          <w:color w:val="auto"/>
          <w:highlight w:val="none"/>
        </w:rPr>
      </w:pPr>
      <w:r>
        <w:rPr>
          <w:color w:val="auto"/>
          <w:highlight w:val="none"/>
        </w:rPr>
        <w:t>供应商要求澄清</w:t>
      </w:r>
      <w:r>
        <w:rPr>
          <w:rFonts w:hint="eastAsia"/>
          <w:color w:val="auto"/>
          <w:highlight w:val="none"/>
        </w:rPr>
        <w:t>和回复的书面材料</w:t>
      </w:r>
      <w:r>
        <w:rPr>
          <w:color w:val="auto"/>
          <w:highlight w:val="none"/>
        </w:rPr>
        <w:t>应</w:t>
      </w:r>
      <w:r>
        <w:rPr>
          <w:rFonts w:hint="eastAsia"/>
          <w:color w:val="auto"/>
          <w:highlight w:val="none"/>
        </w:rPr>
        <w:t>当</w:t>
      </w:r>
      <w:r>
        <w:rPr>
          <w:color w:val="auto"/>
          <w:highlight w:val="none"/>
        </w:rPr>
        <w:t>加盖单位公章</w:t>
      </w:r>
      <w:r>
        <w:rPr>
          <w:rFonts w:hint="eastAsia"/>
          <w:color w:val="auto"/>
          <w:highlight w:val="none"/>
        </w:rPr>
        <w:t>并注明</w:t>
      </w:r>
      <w:r>
        <w:rPr>
          <w:color w:val="auto"/>
          <w:highlight w:val="none"/>
        </w:rPr>
        <w:t>日期。</w:t>
      </w:r>
    </w:p>
    <w:p w14:paraId="112F2821">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（4）供应商应当在获取采购文件时登记准确的项目联系人信息并确保联系方式的畅通，否则，因此导致未收到政采云平台发送的通知短信而未及时浏览网上公告通知事项造成的后果由供应商自行承担。</w:t>
      </w:r>
    </w:p>
    <w:p w14:paraId="59232B84">
      <w:pPr>
        <w:pStyle w:val="9"/>
        <w:ind w:firstLine="422"/>
        <w:rPr>
          <w:b/>
          <w:color w:val="auto"/>
          <w:highlight w:val="none"/>
        </w:rPr>
      </w:pPr>
      <w:r>
        <w:rPr>
          <w:rFonts w:hint="eastAsia"/>
          <w:b/>
          <w:color w:val="auto"/>
          <w:highlight w:val="none"/>
        </w:rPr>
        <w:t>17.现场考察及召开磋商前答疑会</w:t>
      </w:r>
    </w:p>
    <w:p w14:paraId="35494344">
      <w:pPr>
        <w:pStyle w:val="9"/>
        <w:rPr>
          <w:color w:val="auto"/>
          <w:highlight w:val="none"/>
        </w:rPr>
      </w:pPr>
      <w:r>
        <w:rPr>
          <w:rFonts w:hint="eastAsia"/>
          <w:color w:val="auto"/>
          <w:highlight w:val="none"/>
        </w:rPr>
        <w:t>17.1现场考察事项见</w:t>
      </w:r>
      <w:r>
        <w:rPr>
          <w:rFonts w:hint="eastAsia"/>
          <w:color w:val="auto"/>
          <w:highlight w:val="none"/>
          <w:u w:val="single"/>
        </w:rPr>
        <w:t>供应商须知前附表</w:t>
      </w:r>
      <w:r>
        <w:rPr>
          <w:rFonts w:hint="eastAsia"/>
          <w:color w:val="auto"/>
          <w:highlight w:val="none"/>
        </w:rPr>
        <w:t>。</w:t>
      </w:r>
    </w:p>
    <w:p w14:paraId="56A65926">
      <w:pPr>
        <w:pStyle w:val="9"/>
        <w:rPr>
          <w:color w:val="auto"/>
          <w:highlight w:val="none"/>
        </w:rPr>
      </w:pPr>
      <w:r>
        <w:rPr>
          <w:rFonts w:hint="eastAsia"/>
          <w:color w:val="auto"/>
          <w:highlight w:val="none"/>
        </w:rPr>
        <w:t>17.2如统一组织现场考察，</w:t>
      </w:r>
      <w:r>
        <w:rPr>
          <w:color w:val="auto"/>
          <w:highlight w:val="none"/>
        </w:rPr>
        <w:t>供应商</w:t>
      </w:r>
      <w:r>
        <w:rPr>
          <w:rFonts w:hint="eastAsia"/>
          <w:color w:val="auto"/>
          <w:highlight w:val="none"/>
        </w:rPr>
        <w:t>应当在通知的时间准时参加现场考察，否则自行承担未及时参加造成的后果。除采购人的原因外，供应商自行负责现场考察造成的自身或第三人的人身伤害、财产损失或损坏的责任。</w:t>
      </w:r>
    </w:p>
    <w:p w14:paraId="46B6F1A7">
      <w:pPr>
        <w:pStyle w:val="9"/>
        <w:rPr>
          <w:color w:val="auto"/>
          <w:highlight w:val="none"/>
        </w:rPr>
      </w:pPr>
      <w:r>
        <w:rPr>
          <w:rFonts w:hint="eastAsia"/>
          <w:color w:val="auto"/>
          <w:highlight w:val="none"/>
        </w:rPr>
        <w:t>17.3本项目不组织召开磋商前答疑会。</w:t>
      </w:r>
    </w:p>
    <w:p w14:paraId="73616E41">
      <w:pPr>
        <w:pStyle w:val="6"/>
        <w:numPr>
          <w:ilvl w:val="0"/>
          <w:numId w:val="0"/>
        </w:numPr>
        <w:tabs>
          <w:tab w:val="left" w:pos="720"/>
        </w:tabs>
        <w:snapToGrid w:val="0"/>
        <w:spacing w:line="360" w:lineRule="auto"/>
        <w:jc w:val="center"/>
        <w:rPr>
          <w:rFonts w:ascii="宋体" w:hAnsi="宋体"/>
          <w:b/>
          <w:color w:val="auto"/>
          <w:szCs w:val="21"/>
          <w:highlight w:val="none"/>
        </w:rPr>
      </w:pPr>
      <w:r>
        <w:rPr>
          <w:rFonts w:ascii="宋体" w:hAnsi="宋体"/>
          <w:b/>
          <w:color w:val="auto"/>
          <w:szCs w:val="21"/>
          <w:highlight w:val="none"/>
        </w:rPr>
        <w:t>三、响应文件的编制</w:t>
      </w:r>
    </w:p>
    <w:p w14:paraId="7BCFA49A">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18.磋商响应范围</w:t>
      </w:r>
    </w:p>
    <w:p w14:paraId="67EAA4D9">
      <w:pPr>
        <w:spacing w:line="360" w:lineRule="auto"/>
        <w:ind w:firstLine="420"/>
        <w:rPr>
          <w:rFonts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rPr>
        <w:t>应当对所</w:t>
      </w:r>
      <w:r>
        <w:rPr>
          <w:rFonts w:hint="eastAsia" w:ascii="宋体" w:hAnsi="宋体"/>
          <w:color w:val="auto"/>
          <w:szCs w:val="21"/>
          <w:highlight w:val="none"/>
        </w:rPr>
        <w:t>响应标项的“采购</w:t>
      </w:r>
      <w:r>
        <w:rPr>
          <w:rFonts w:ascii="宋体" w:hAnsi="宋体"/>
          <w:color w:val="auto"/>
          <w:szCs w:val="21"/>
          <w:highlight w:val="none"/>
        </w:rPr>
        <w:t>需求</w:t>
      </w:r>
      <w:r>
        <w:rPr>
          <w:rFonts w:hint="eastAsia" w:ascii="宋体" w:hAnsi="宋体"/>
          <w:color w:val="auto"/>
          <w:szCs w:val="21"/>
          <w:highlight w:val="none"/>
        </w:rPr>
        <w:t>”</w:t>
      </w:r>
      <w:r>
        <w:rPr>
          <w:rFonts w:ascii="宋体" w:hAnsi="宋体"/>
          <w:color w:val="auto"/>
          <w:szCs w:val="21"/>
          <w:highlight w:val="none"/>
        </w:rPr>
        <w:t>所列的</w:t>
      </w:r>
      <w:r>
        <w:rPr>
          <w:rFonts w:hint="eastAsia" w:ascii="宋体" w:hAnsi="宋体"/>
          <w:color w:val="auto"/>
          <w:szCs w:val="21"/>
          <w:highlight w:val="none"/>
        </w:rPr>
        <w:t>全部</w:t>
      </w:r>
      <w:r>
        <w:rPr>
          <w:rFonts w:ascii="宋体" w:hAnsi="宋体"/>
          <w:color w:val="auto"/>
          <w:szCs w:val="21"/>
          <w:highlight w:val="none"/>
        </w:rPr>
        <w:t>内容</w:t>
      </w:r>
      <w:r>
        <w:rPr>
          <w:rFonts w:hint="eastAsia" w:ascii="宋体" w:hAnsi="宋体"/>
          <w:color w:val="auto"/>
          <w:szCs w:val="21"/>
          <w:highlight w:val="none"/>
        </w:rPr>
        <w:t>（标的）</w:t>
      </w:r>
      <w:r>
        <w:rPr>
          <w:rFonts w:ascii="宋体" w:hAnsi="宋体"/>
          <w:color w:val="auto"/>
          <w:szCs w:val="21"/>
          <w:highlight w:val="none"/>
        </w:rPr>
        <w:t>进行</w:t>
      </w:r>
      <w:r>
        <w:rPr>
          <w:rFonts w:hint="eastAsia" w:ascii="宋体" w:hAnsi="宋体"/>
          <w:color w:val="auto"/>
          <w:szCs w:val="21"/>
          <w:highlight w:val="none"/>
        </w:rPr>
        <w:t>响应</w:t>
      </w:r>
      <w:r>
        <w:rPr>
          <w:rFonts w:ascii="宋体" w:hAnsi="宋体"/>
          <w:color w:val="auto"/>
          <w:szCs w:val="21"/>
          <w:highlight w:val="none"/>
        </w:rPr>
        <w:t>，如仅</w:t>
      </w:r>
      <w:r>
        <w:rPr>
          <w:rFonts w:hint="eastAsia" w:ascii="宋体" w:hAnsi="宋体"/>
          <w:color w:val="auto"/>
          <w:szCs w:val="21"/>
          <w:highlight w:val="none"/>
        </w:rPr>
        <w:t>对该标项的部分</w:t>
      </w:r>
      <w:r>
        <w:rPr>
          <w:rFonts w:ascii="宋体" w:hAnsi="宋体"/>
          <w:color w:val="auto"/>
          <w:szCs w:val="21"/>
          <w:highlight w:val="none"/>
        </w:rPr>
        <w:t>内容</w:t>
      </w:r>
      <w:r>
        <w:rPr>
          <w:rFonts w:hint="eastAsia" w:ascii="宋体" w:hAnsi="宋体"/>
          <w:color w:val="auto"/>
          <w:szCs w:val="21"/>
          <w:highlight w:val="none"/>
        </w:rPr>
        <w:t>进行响应</w:t>
      </w:r>
      <w:r>
        <w:rPr>
          <w:rFonts w:ascii="宋体" w:hAnsi="宋体"/>
          <w:color w:val="auto"/>
          <w:szCs w:val="21"/>
          <w:highlight w:val="none"/>
        </w:rPr>
        <w:t>，其</w:t>
      </w:r>
      <w:r>
        <w:rPr>
          <w:rFonts w:hint="eastAsia" w:ascii="宋体" w:hAnsi="宋体"/>
          <w:color w:val="auto"/>
          <w:szCs w:val="21"/>
          <w:highlight w:val="none"/>
        </w:rPr>
        <w:t>对该标项的响应</w:t>
      </w:r>
      <w:r>
        <w:rPr>
          <w:rFonts w:ascii="宋体" w:hAnsi="宋体"/>
          <w:color w:val="auto"/>
          <w:szCs w:val="21"/>
          <w:highlight w:val="none"/>
        </w:rPr>
        <w:t>将被认定为</w:t>
      </w:r>
      <w:r>
        <w:rPr>
          <w:rFonts w:ascii="宋体" w:hAnsi="宋体"/>
          <w:b/>
          <w:color w:val="auto"/>
          <w:szCs w:val="21"/>
          <w:highlight w:val="none"/>
        </w:rPr>
        <w:t>响应无效</w:t>
      </w:r>
      <w:r>
        <w:rPr>
          <w:rFonts w:ascii="宋体" w:hAnsi="宋体"/>
          <w:color w:val="auto"/>
          <w:szCs w:val="21"/>
          <w:highlight w:val="none"/>
        </w:rPr>
        <w:t>。</w:t>
      </w:r>
    </w:p>
    <w:p w14:paraId="2FC3113E">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19.响应文件中标准和计量单位的使用</w:t>
      </w:r>
    </w:p>
    <w:p w14:paraId="69794D64">
      <w:pPr>
        <w:spacing w:line="360" w:lineRule="auto"/>
        <w:ind w:firstLine="420"/>
        <w:jc w:val="left"/>
        <w:rPr>
          <w:rFonts w:ascii="宋体" w:hAnsi="宋体"/>
          <w:color w:val="auto"/>
          <w:szCs w:val="21"/>
          <w:highlight w:val="none"/>
        </w:rPr>
      </w:pPr>
      <w:bookmarkStart w:id="55" w:name="_Hlk16458980"/>
      <w:r>
        <w:rPr>
          <w:rFonts w:hint="eastAsia" w:ascii="宋体" w:hAnsi="宋体"/>
          <w:color w:val="auto"/>
          <w:szCs w:val="21"/>
          <w:highlight w:val="none"/>
        </w:rPr>
        <w:t>19.1</w:t>
      </w:r>
      <w:r>
        <w:rPr>
          <w:rFonts w:ascii="宋体" w:hAnsi="宋体"/>
          <w:color w:val="auto"/>
          <w:szCs w:val="21"/>
          <w:highlight w:val="none"/>
        </w:rPr>
        <w:t>无论磋商文件是否要求，</w:t>
      </w:r>
      <w:r>
        <w:rPr>
          <w:rFonts w:hint="eastAsia" w:ascii="宋体" w:hAnsi="宋体"/>
          <w:color w:val="auto"/>
          <w:szCs w:val="21"/>
          <w:highlight w:val="none"/>
        </w:rPr>
        <w:t>供应商所交付的工程应符合国家强制性标准或法律法规规定标准。</w:t>
      </w:r>
    </w:p>
    <w:bookmarkEnd w:id="55"/>
    <w:p w14:paraId="6D9AD54F">
      <w:pPr>
        <w:pStyle w:val="9"/>
        <w:rPr>
          <w:color w:val="auto"/>
          <w:highlight w:val="none"/>
        </w:rPr>
      </w:pPr>
      <w:r>
        <w:rPr>
          <w:rFonts w:hint="eastAsia"/>
          <w:color w:val="auto"/>
          <w:highlight w:val="none"/>
        </w:rPr>
        <w:t>19.2</w:t>
      </w:r>
      <w:r>
        <w:rPr>
          <w:color w:val="auto"/>
          <w:highlight w:val="none"/>
        </w:rPr>
        <w:t>供应商与</w:t>
      </w:r>
      <w:r>
        <w:rPr>
          <w:rFonts w:hint="eastAsia"/>
          <w:color w:val="auto"/>
          <w:highlight w:val="none"/>
        </w:rPr>
        <w:t>采购人或</w:t>
      </w:r>
      <w:r>
        <w:rPr>
          <w:color w:val="auto"/>
          <w:highlight w:val="none"/>
        </w:rPr>
        <w:t>采购</w:t>
      </w:r>
      <w:r>
        <w:rPr>
          <w:rFonts w:hint="eastAsia"/>
          <w:color w:val="auto"/>
          <w:highlight w:val="none"/>
        </w:rPr>
        <w:t>代理</w:t>
      </w:r>
      <w:r>
        <w:rPr>
          <w:color w:val="auto"/>
          <w:highlight w:val="none"/>
        </w:rPr>
        <w:t>机构之间与</w:t>
      </w:r>
      <w:r>
        <w:rPr>
          <w:rFonts w:hint="eastAsia"/>
          <w:color w:val="auto"/>
          <w:highlight w:val="none"/>
        </w:rPr>
        <w:t>磋商</w:t>
      </w:r>
      <w:r>
        <w:rPr>
          <w:color w:val="auto"/>
          <w:highlight w:val="none"/>
        </w:rPr>
        <w:t>有关的所有往来通知、函件和响应文件均用中文表述。供应商随响应文件提供的证明文件和资料可以为其它语言</w:t>
      </w:r>
      <w:r>
        <w:rPr>
          <w:rFonts w:hint="eastAsia"/>
          <w:color w:val="auto"/>
          <w:highlight w:val="none"/>
        </w:rPr>
        <w:t>（文字）</w:t>
      </w:r>
      <w:r>
        <w:rPr>
          <w:color w:val="auto"/>
          <w:highlight w:val="none"/>
        </w:rPr>
        <w:t>，但必须附中文译文</w:t>
      </w:r>
      <w:r>
        <w:rPr>
          <w:rFonts w:hint="eastAsia"/>
          <w:color w:val="auto"/>
          <w:highlight w:val="none"/>
        </w:rPr>
        <w:t>，未提供中文译文的视为未提供。</w:t>
      </w:r>
      <w:r>
        <w:rPr>
          <w:color w:val="auto"/>
          <w:highlight w:val="none"/>
        </w:rPr>
        <w:t>翻译的中文资料与外文资料出现差异时，以中文为准。</w:t>
      </w:r>
    </w:p>
    <w:p w14:paraId="67F62BB0">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19.3</w:t>
      </w:r>
      <w:r>
        <w:rPr>
          <w:rFonts w:ascii="宋体" w:hAnsi="宋体"/>
          <w:color w:val="auto"/>
          <w:szCs w:val="21"/>
          <w:highlight w:val="none"/>
        </w:rPr>
        <w:t>除磋商文件有特殊要求外，响应文件中所使用的计量单位，应采用中华人民共和国法定计量单位。</w:t>
      </w:r>
    </w:p>
    <w:p w14:paraId="69F6DFAB">
      <w:pPr>
        <w:pStyle w:val="9"/>
        <w:ind w:firstLine="422"/>
        <w:rPr>
          <w:b/>
          <w:color w:val="auto"/>
          <w:highlight w:val="none"/>
        </w:rPr>
      </w:pPr>
      <w:r>
        <w:rPr>
          <w:rFonts w:hint="eastAsia"/>
          <w:b/>
          <w:color w:val="auto"/>
          <w:highlight w:val="none"/>
        </w:rPr>
        <w:t>20.响应文件的形式</w:t>
      </w:r>
    </w:p>
    <w:p w14:paraId="3EEF9011">
      <w:pPr>
        <w:pStyle w:val="9"/>
        <w:rPr>
          <w:color w:val="auto"/>
          <w:highlight w:val="none"/>
        </w:rPr>
      </w:pPr>
      <w:r>
        <w:rPr>
          <w:rFonts w:hint="eastAsia"/>
          <w:color w:val="auto"/>
          <w:highlight w:val="none"/>
        </w:rPr>
        <w:t>本项目采用电子响应文件形式，为电子加密响应文件。</w:t>
      </w:r>
    </w:p>
    <w:p w14:paraId="0776BA11">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20.1电子加密响应文件是指通过“政采云电子投标客户端”完成响应文件编制后生成并加密的数据电文形式的加密标书，后缀名为【.jmbs】。</w:t>
      </w:r>
    </w:p>
    <w:p w14:paraId="70CCC224">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20.2备份响应文件是指与电子加密响应文件同时生成的数据电文形式的备份标书，后缀名为【.bfbs】。</w:t>
      </w:r>
    </w:p>
    <w:p w14:paraId="7A40C01B">
      <w:pPr>
        <w:pStyle w:val="9"/>
        <w:rPr>
          <w:color w:val="auto"/>
          <w:highlight w:val="none"/>
        </w:rPr>
      </w:pPr>
      <w:r>
        <w:rPr>
          <w:rFonts w:hint="eastAsia"/>
          <w:color w:val="auto"/>
          <w:highlight w:val="none"/>
        </w:rPr>
        <w:t>注：成交供应商在成交公告发出后5天内邮寄完整版纸质响应文件（含资格文件、商务和技术文件、报价文件）2份到采购代理机构。</w:t>
      </w:r>
    </w:p>
    <w:p w14:paraId="2116D4B4">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21.响应文件内容的构成</w:t>
      </w:r>
    </w:p>
    <w:p w14:paraId="03EAD1D7">
      <w:pPr>
        <w:pStyle w:val="9"/>
        <w:rPr>
          <w:color w:val="auto"/>
          <w:highlight w:val="none"/>
        </w:rPr>
      </w:pPr>
      <w:r>
        <w:rPr>
          <w:rFonts w:hint="eastAsia"/>
          <w:color w:val="auto"/>
          <w:highlight w:val="none"/>
        </w:rPr>
        <w:t>21.1供应商编写的响应文件应包含资格要求响应文件、商务技术文件和报价要求响应文件。上述各项文件的组成内容见</w:t>
      </w:r>
      <w:r>
        <w:rPr>
          <w:rFonts w:hint="eastAsia"/>
          <w:color w:val="auto"/>
          <w:highlight w:val="none"/>
          <w:u w:val="single"/>
        </w:rPr>
        <w:t>供应商须知前附表</w:t>
      </w:r>
      <w:r>
        <w:rPr>
          <w:rFonts w:hint="eastAsia"/>
          <w:color w:val="auto"/>
          <w:highlight w:val="none"/>
        </w:rPr>
        <w:t>，未列入其中的内容，供应商认为需要的可以自行提供相关材料。</w:t>
      </w:r>
    </w:p>
    <w:p w14:paraId="6280CD6A">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21.2磋商文件明确要求在响应文件中附（提交）证明材料而供应商未在响应文件中提供的，不被认定为对具体要求作出响应。</w:t>
      </w:r>
      <w:r>
        <w:rPr>
          <w:rFonts w:hint="eastAsia" w:ascii="宋体" w:hAnsi="宋体"/>
          <w:b/>
          <w:color w:val="auto"/>
          <w:szCs w:val="21"/>
          <w:highlight w:val="none"/>
        </w:rPr>
        <w:t>提供的合同等证明材料因缺少评审所需的关键或必要的信息导致无法有效认定造成不予认可的风险和责任由供应商自行承担。</w:t>
      </w:r>
    </w:p>
    <w:p w14:paraId="0255511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22.响应文件的制作</w:t>
      </w:r>
    </w:p>
    <w:p w14:paraId="1E13F928">
      <w:pPr>
        <w:spacing w:line="360" w:lineRule="auto"/>
        <w:ind w:firstLine="420" w:firstLineChars="200"/>
        <w:rPr>
          <w:rFonts w:ascii="宋体" w:hAnsi="宋体" w:cs="Arial"/>
          <w:color w:val="auto"/>
          <w:kern w:val="0"/>
          <w:szCs w:val="21"/>
          <w:highlight w:val="none"/>
        </w:rPr>
      </w:pPr>
      <w:r>
        <w:rPr>
          <w:rFonts w:hint="eastAsia" w:ascii="宋体" w:hAnsi="宋体" w:cs="Arial"/>
          <w:color w:val="auto"/>
          <w:kern w:val="0"/>
          <w:szCs w:val="21"/>
          <w:highlight w:val="none"/>
        </w:rPr>
        <w:t>供应商应当安装“政采云电子投标客户端”，按照磋商文件和政采云平台的要求编制并加密响应文件。</w:t>
      </w:r>
      <w:r>
        <w:rPr>
          <w:rFonts w:ascii="宋体" w:hAnsi="宋体" w:cs="Arial"/>
          <w:color w:val="auto"/>
          <w:kern w:val="0"/>
          <w:szCs w:val="21"/>
          <w:highlight w:val="none"/>
        </w:rPr>
        <w:t>响应文件的制作应满足以下规定：</w:t>
      </w:r>
    </w:p>
    <w:p w14:paraId="7F4A304C">
      <w:pPr>
        <w:snapToGrid w:val="0"/>
        <w:spacing w:line="360" w:lineRule="auto"/>
        <w:ind w:firstLine="420" w:firstLineChars="200"/>
        <w:rPr>
          <w:rFonts w:ascii="宋体" w:hAnsi="宋体" w:cs="Arial"/>
          <w:color w:val="auto"/>
          <w:kern w:val="0"/>
          <w:szCs w:val="21"/>
          <w:highlight w:val="none"/>
        </w:rPr>
      </w:pPr>
      <w:r>
        <w:rPr>
          <w:rFonts w:hint="eastAsia" w:ascii="宋体" w:hAnsi="宋体" w:cs="Arial"/>
          <w:color w:val="auto"/>
          <w:kern w:val="0"/>
          <w:szCs w:val="21"/>
          <w:highlight w:val="none"/>
        </w:rPr>
        <w:t>（1）</w:t>
      </w:r>
      <w:r>
        <w:rPr>
          <w:rFonts w:ascii="宋体" w:hAnsi="宋体" w:cs="Arial"/>
          <w:color w:val="auto"/>
          <w:kern w:val="0"/>
          <w:szCs w:val="21"/>
          <w:highlight w:val="none"/>
        </w:rPr>
        <w:t>供应商使用</w:t>
      </w:r>
      <w:r>
        <w:rPr>
          <w:rFonts w:hint="eastAsia" w:ascii="宋体" w:hAnsi="宋体" w:cs="Arial"/>
          <w:color w:val="auto"/>
          <w:szCs w:val="21"/>
          <w:highlight w:val="none"/>
        </w:rPr>
        <w:t>电子交易平台（</w:t>
      </w:r>
      <w:r>
        <w:rPr>
          <w:rFonts w:ascii="宋体" w:hAnsi="宋体" w:cs="Arial"/>
          <w:color w:val="auto"/>
          <w:kern w:val="0"/>
          <w:szCs w:val="21"/>
          <w:highlight w:val="none"/>
        </w:rPr>
        <w:t>电子交易系统</w:t>
      </w:r>
      <w:r>
        <w:rPr>
          <w:rFonts w:hint="eastAsia" w:ascii="宋体" w:hAnsi="宋体" w:cs="Arial"/>
          <w:color w:val="auto"/>
          <w:szCs w:val="21"/>
          <w:highlight w:val="none"/>
        </w:rPr>
        <w:t>）</w:t>
      </w:r>
      <w:r>
        <w:rPr>
          <w:rFonts w:ascii="宋体" w:hAnsi="宋体" w:cs="Arial"/>
          <w:color w:val="auto"/>
          <w:kern w:val="0"/>
          <w:szCs w:val="21"/>
          <w:highlight w:val="none"/>
        </w:rPr>
        <w:t>提供的响应文件制作工具制作生成</w:t>
      </w:r>
      <w:r>
        <w:rPr>
          <w:rFonts w:hint="eastAsia" w:ascii="宋体" w:hAnsi="宋体" w:cs="Arial"/>
          <w:color w:val="auto"/>
          <w:kern w:val="0"/>
          <w:szCs w:val="21"/>
          <w:highlight w:val="none"/>
        </w:rPr>
        <w:t>；</w:t>
      </w:r>
    </w:p>
    <w:p w14:paraId="5C2BD0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（2）供应商应完整地填写</w:t>
      </w:r>
      <w:r>
        <w:rPr>
          <w:rFonts w:ascii="宋体" w:hAnsi="宋体"/>
          <w:color w:val="auto"/>
          <w:szCs w:val="21"/>
          <w:highlight w:val="none"/>
        </w:rPr>
        <w:t>供应商资格声明函</w:t>
      </w:r>
      <w:r>
        <w:rPr>
          <w:rFonts w:hint="eastAsia" w:ascii="宋体" w:hAnsi="宋体"/>
          <w:color w:val="auto"/>
          <w:szCs w:val="21"/>
          <w:highlight w:val="none"/>
        </w:rPr>
        <w:t>、响应函、初次报价表等磋商文件提供的格式文件，以及为响应磋商文件的要求及项目评审应当提供的其他材料。</w:t>
      </w:r>
    </w:p>
    <w:p w14:paraId="17E56A4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注：供应商应准确设置评审关联定位，避免未设置或设置错误导致响应文件被误读、漏读或者查找不到相关内容。</w:t>
      </w:r>
    </w:p>
    <w:p w14:paraId="572A4416">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23.响应文件的签署及盖章</w:t>
      </w:r>
    </w:p>
    <w:p w14:paraId="0B82DF3B">
      <w:pPr>
        <w:snapToGrid w:val="0"/>
        <w:spacing w:line="360" w:lineRule="auto"/>
        <w:ind w:firstLine="420" w:firstLineChars="200"/>
        <w:jc w:val="left"/>
        <w:rPr>
          <w:rFonts w:ascii="宋体" w:hAnsi="宋体"/>
          <w:b/>
          <w:color w:val="auto"/>
          <w:szCs w:val="21"/>
          <w:highlight w:val="none"/>
        </w:rPr>
      </w:pPr>
      <w:r>
        <w:rPr>
          <w:rFonts w:hint="eastAsia" w:ascii="宋体" w:hAnsi="宋体"/>
          <w:color w:val="auto"/>
          <w:szCs w:val="21"/>
          <w:highlight w:val="none"/>
        </w:rPr>
        <w:t>电子签章操作指南详见《政府采购项目电子交易管理操作指南-供应商》,</w:t>
      </w:r>
      <w:r>
        <w:rPr>
          <w:rFonts w:hint="eastAsia" w:ascii="宋体" w:hAnsi="宋体"/>
          <w:b/>
          <w:color w:val="auto"/>
          <w:szCs w:val="21"/>
          <w:highlight w:val="none"/>
        </w:rPr>
        <w:t>系统要求进行电子签章的文件，按系统要求签章。</w:t>
      </w:r>
    </w:p>
    <w:p w14:paraId="36BA88BD">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（1）磋商文件要求签字的应当由供应商的法定代表人或其授权代表签字或盖章，</w:t>
      </w:r>
      <w:r>
        <w:rPr>
          <w:rFonts w:hint="eastAsia" w:ascii="宋体" w:hAnsi="宋体"/>
          <w:b/>
          <w:color w:val="auto"/>
          <w:szCs w:val="21"/>
          <w:highlight w:val="none"/>
        </w:rPr>
        <w:t>因未获取电子姓名签章无法直接在系统中进行法定代表人或其授权代表电子签名操作的，可以线下签字或盖章后扫描上传。</w:t>
      </w:r>
    </w:p>
    <w:p w14:paraId="2D1C9E3E">
      <w:pPr>
        <w:snapToGrid w:val="0"/>
        <w:spacing w:line="360" w:lineRule="auto"/>
        <w:ind w:firstLine="420" w:firstLineChars="200"/>
        <w:jc w:val="left"/>
        <w:rPr>
          <w:rFonts w:ascii="宋体" w:hAnsi="宋体"/>
          <w:color w:val="auto"/>
          <w:szCs w:val="21"/>
          <w:highlight w:val="none"/>
        </w:rPr>
      </w:pPr>
      <w:r>
        <w:rPr>
          <w:rFonts w:hint="eastAsia" w:ascii="宋体" w:hAnsi="宋体" w:cs="Arial"/>
          <w:color w:val="auto"/>
          <w:kern w:val="0"/>
          <w:szCs w:val="21"/>
          <w:highlight w:val="none"/>
        </w:rPr>
        <w:t>（2）《</w:t>
      </w:r>
      <w:r>
        <w:rPr>
          <w:rFonts w:ascii="宋体" w:hAnsi="宋体" w:cs="Arial"/>
          <w:color w:val="auto"/>
          <w:kern w:val="0"/>
          <w:szCs w:val="21"/>
          <w:highlight w:val="none"/>
        </w:rPr>
        <w:t>第</w:t>
      </w:r>
      <w:r>
        <w:rPr>
          <w:rFonts w:hint="eastAsia" w:ascii="宋体" w:hAnsi="宋体" w:cs="Arial"/>
          <w:color w:val="auto"/>
          <w:kern w:val="0"/>
          <w:szCs w:val="21"/>
          <w:highlight w:val="none"/>
        </w:rPr>
        <w:t>六</w:t>
      </w:r>
      <w:r>
        <w:rPr>
          <w:rFonts w:ascii="宋体" w:hAnsi="宋体" w:cs="Arial"/>
          <w:color w:val="auto"/>
          <w:kern w:val="0"/>
          <w:szCs w:val="21"/>
          <w:highlight w:val="none"/>
        </w:rPr>
        <w:t>章</w:t>
      </w:r>
      <w:r>
        <w:rPr>
          <w:rFonts w:hint="eastAsia" w:ascii="宋体" w:hAnsi="宋体" w:cs="Arial"/>
          <w:color w:val="auto"/>
          <w:kern w:val="0"/>
          <w:szCs w:val="21"/>
          <w:highlight w:val="none"/>
        </w:rPr>
        <w:t xml:space="preserve"> </w:t>
      </w:r>
      <w:r>
        <w:rPr>
          <w:rFonts w:ascii="宋体" w:hAnsi="宋体" w:cs="Arial"/>
          <w:color w:val="auto"/>
          <w:kern w:val="0"/>
          <w:szCs w:val="21"/>
          <w:highlight w:val="none"/>
        </w:rPr>
        <w:t xml:space="preserve"> 响应文件格式</w:t>
      </w:r>
      <w:r>
        <w:rPr>
          <w:rFonts w:hint="eastAsia" w:ascii="宋体" w:hAnsi="宋体" w:cs="Arial"/>
          <w:color w:val="auto"/>
          <w:kern w:val="0"/>
          <w:szCs w:val="21"/>
          <w:highlight w:val="none"/>
        </w:rPr>
        <w:t>》提供的相关文件</w:t>
      </w:r>
      <w:r>
        <w:rPr>
          <w:rFonts w:ascii="宋体" w:hAnsi="宋体" w:cs="Arial"/>
          <w:color w:val="auto"/>
          <w:kern w:val="0"/>
          <w:szCs w:val="21"/>
          <w:highlight w:val="none"/>
        </w:rPr>
        <w:t>要求</w:t>
      </w:r>
      <w:r>
        <w:rPr>
          <w:rFonts w:hint="eastAsia" w:ascii="宋体" w:hAnsi="宋体" w:cs="Arial"/>
          <w:color w:val="auto"/>
          <w:kern w:val="0"/>
          <w:szCs w:val="21"/>
          <w:highlight w:val="none"/>
        </w:rPr>
        <w:t>加盖公</w:t>
      </w:r>
      <w:r>
        <w:rPr>
          <w:rFonts w:ascii="宋体" w:hAnsi="宋体" w:cs="Arial"/>
          <w:color w:val="auto"/>
          <w:kern w:val="0"/>
          <w:szCs w:val="21"/>
          <w:highlight w:val="none"/>
        </w:rPr>
        <w:t>章处，供应商均应加盖</w:t>
      </w:r>
      <w:r>
        <w:rPr>
          <w:rFonts w:hint="eastAsia" w:ascii="宋体" w:hAnsi="宋体" w:cs="Arial"/>
          <w:color w:val="auto"/>
          <w:kern w:val="0"/>
          <w:szCs w:val="21"/>
          <w:highlight w:val="none"/>
        </w:rPr>
        <w:t>公</w:t>
      </w:r>
      <w:r>
        <w:rPr>
          <w:rFonts w:ascii="宋体" w:hAnsi="宋体" w:cs="Arial"/>
          <w:color w:val="auto"/>
          <w:kern w:val="0"/>
          <w:szCs w:val="21"/>
          <w:highlight w:val="none"/>
        </w:rPr>
        <w:t>章</w:t>
      </w:r>
      <w:r>
        <w:rPr>
          <w:rFonts w:hint="eastAsia" w:ascii="宋体" w:hAnsi="宋体" w:cs="Arial"/>
          <w:color w:val="auto"/>
          <w:kern w:val="0"/>
          <w:szCs w:val="21"/>
          <w:highlight w:val="none"/>
        </w:rPr>
        <w:t>，</w:t>
      </w:r>
      <w:r>
        <w:rPr>
          <w:rFonts w:hint="eastAsia" w:ascii="宋体" w:hAnsi="宋体"/>
          <w:color w:val="auto"/>
          <w:szCs w:val="21"/>
          <w:highlight w:val="none"/>
        </w:rPr>
        <w:t>可使用电子公章在线签章或线下加盖公章后扫描上传。</w:t>
      </w:r>
    </w:p>
    <w:p w14:paraId="3DEF735C">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（3）响应文件</w:t>
      </w:r>
      <w:r>
        <w:rPr>
          <w:rFonts w:ascii="宋体" w:hAnsi="宋体"/>
          <w:color w:val="auto"/>
          <w:szCs w:val="21"/>
          <w:highlight w:val="none"/>
        </w:rPr>
        <w:t>若有错</w:t>
      </w:r>
      <w:r>
        <w:rPr>
          <w:rFonts w:hint="eastAsia" w:ascii="宋体" w:hAnsi="宋体"/>
          <w:color w:val="auto"/>
          <w:szCs w:val="21"/>
          <w:highlight w:val="none"/>
        </w:rPr>
        <w:t>、</w:t>
      </w:r>
      <w:r>
        <w:rPr>
          <w:rFonts w:ascii="宋体" w:hAnsi="宋体"/>
          <w:color w:val="auto"/>
          <w:szCs w:val="21"/>
          <w:highlight w:val="none"/>
        </w:rPr>
        <w:t>漏处</w:t>
      </w:r>
      <w:r>
        <w:rPr>
          <w:rFonts w:hint="eastAsia" w:ascii="宋体" w:hAnsi="宋体"/>
          <w:color w:val="auto"/>
          <w:szCs w:val="21"/>
          <w:highlight w:val="none"/>
        </w:rPr>
        <w:t>等必须修改的，修改处</w:t>
      </w:r>
      <w:r>
        <w:rPr>
          <w:rFonts w:ascii="宋体" w:hAnsi="宋体"/>
          <w:color w:val="auto"/>
          <w:szCs w:val="21"/>
          <w:highlight w:val="none"/>
        </w:rPr>
        <w:t>加盖</w:t>
      </w:r>
      <w:r>
        <w:rPr>
          <w:rFonts w:hint="eastAsia" w:ascii="宋体" w:hAnsi="宋体"/>
          <w:color w:val="auto"/>
          <w:szCs w:val="21"/>
          <w:highlight w:val="none"/>
        </w:rPr>
        <w:t>供应商</w:t>
      </w:r>
      <w:r>
        <w:rPr>
          <w:rFonts w:ascii="宋体" w:hAnsi="宋体"/>
          <w:color w:val="auto"/>
          <w:szCs w:val="21"/>
          <w:highlight w:val="none"/>
        </w:rPr>
        <w:t>公章或者</w:t>
      </w:r>
      <w:r>
        <w:rPr>
          <w:rFonts w:hint="eastAsia" w:ascii="宋体" w:hAnsi="宋体"/>
          <w:color w:val="auto"/>
          <w:szCs w:val="21"/>
          <w:highlight w:val="none"/>
        </w:rPr>
        <w:t>由供应商的</w:t>
      </w:r>
      <w:r>
        <w:rPr>
          <w:rFonts w:ascii="宋体" w:hAnsi="宋体"/>
          <w:color w:val="auto"/>
          <w:szCs w:val="21"/>
          <w:highlight w:val="none"/>
        </w:rPr>
        <w:t>法定代表人</w:t>
      </w:r>
      <w:r>
        <w:rPr>
          <w:rFonts w:hint="eastAsia" w:ascii="宋体" w:hAnsi="宋体"/>
          <w:color w:val="auto"/>
          <w:szCs w:val="21"/>
          <w:highlight w:val="none"/>
        </w:rPr>
        <w:t>或其</w:t>
      </w:r>
      <w:r>
        <w:rPr>
          <w:rFonts w:ascii="宋体" w:hAnsi="宋体"/>
          <w:color w:val="auto"/>
          <w:szCs w:val="21"/>
          <w:highlight w:val="none"/>
        </w:rPr>
        <w:t>授权</w:t>
      </w:r>
      <w:r>
        <w:rPr>
          <w:rFonts w:hint="eastAsia" w:ascii="宋体" w:hAnsi="宋体"/>
          <w:color w:val="auto"/>
          <w:szCs w:val="21"/>
          <w:highlight w:val="none"/>
        </w:rPr>
        <w:t>代表</w:t>
      </w:r>
      <w:r>
        <w:rPr>
          <w:rFonts w:ascii="宋体" w:hAnsi="宋体"/>
          <w:color w:val="auto"/>
          <w:szCs w:val="21"/>
          <w:highlight w:val="none"/>
        </w:rPr>
        <w:t>签字</w:t>
      </w:r>
      <w:r>
        <w:rPr>
          <w:rFonts w:hint="eastAsia" w:ascii="宋体" w:hAnsi="宋体"/>
          <w:color w:val="auto"/>
          <w:szCs w:val="21"/>
          <w:highlight w:val="none"/>
        </w:rPr>
        <w:t>或盖章，否则因此造成该修改内容不被磋商小组认定的后果由供应商承担</w:t>
      </w:r>
      <w:r>
        <w:rPr>
          <w:rFonts w:ascii="宋体" w:hAnsi="宋体"/>
          <w:color w:val="auto"/>
          <w:szCs w:val="21"/>
          <w:highlight w:val="none"/>
        </w:rPr>
        <w:t>。</w:t>
      </w:r>
    </w:p>
    <w:p w14:paraId="26296B29">
      <w:pPr>
        <w:spacing w:line="360" w:lineRule="auto"/>
        <w:ind w:firstLine="422" w:firstLineChars="200"/>
        <w:rPr>
          <w:rFonts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4</w:t>
      </w:r>
      <w:r>
        <w:rPr>
          <w:rFonts w:ascii="宋体" w:hAnsi="宋体"/>
          <w:b/>
          <w:color w:val="auto"/>
          <w:szCs w:val="21"/>
          <w:highlight w:val="none"/>
        </w:rPr>
        <w:t>.</w:t>
      </w:r>
      <w:r>
        <w:rPr>
          <w:rFonts w:hint="eastAsia" w:ascii="宋体" w:hAnsi="宋体"/>
          <w:b/>
          <w:color w:val="auto"/>
          <w:szCs w:val="21"/>
          <w:highlight w:val="none"/>
        </w:rPr>
        <w:t>价格构成</w:t>
      </w:r>
    </w:p>
    <w:p w14:paraId="1E00DC76">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24.1供应商的磋商报价应当是完成采购需求所包含的全部内容并达到合同目的的一切费用，包括但不仅限于人工、运输、装卸、安装、施工损耗、验收、成品保护、在保修期内的维护保养费用、税费、合同实施过程中的应预见和不可预见费用等完成合同规定责任和义务一切费用，成交后不得以采购文件未列明等因素要求增加费用。</w:t>
      </w:r>
    </w:p>
    <w:p w14:paraId="2216692B">
      <w:pPr>
        <w:snapToGrid w:val="0"/>
        <w:spacing w:line="360" w:lineRule="auto"/>
        <w:ind w:firstLine="420" w:firstLineChars="200"/>
        <w:jc w:val="left"/>
        <w:rPr>
          <w:rFonts w:ascii="宋体" w:hAnsi="宋体"/>
          <w:color w:val="auto"/>
          <w:highlight w:val="none"/>
        </w:rPr>
      </w:pPr>
      <w:r>
        <w:rPr>
          <w:rFonts w:ascii="宋体" w:hAnsi="宋体"/>
          <w:color w:val="auto"/>
          <w:highlight w:val="none"/>
        </w:rPr>
        <w:t>24.2</w:t>
      </w:r>
      <w:r>
        <w:rPr>
          <w:rFonts w:hint="eastAsia" w:ascii="宋体" w:hAnsi="宋体"/>
          <w:color w:val="auto"/>
          <w:highlight w:val="none"/>
        </w:rPr>
        <w:t>报价及结算货币为人民币，</w:t>
      </w:r>
      <w:r>
        <w:rPr>
          <w:rFonts w:ascii="宋体" w:hAnsi="宋体"/>
          <w:color w:val="auto"/>
          <w:highlight w:val="none"/>
        </w:rPr>
        <w:t>只允许有一个报价，</w:t>
      </w:r>
      <w:r>
        <w:rPr>
          <w:rFonts w:hint="eastAsia" w:ascii="宋体" w:hAnsi="宋体"/>
          <w:color w:val="auto"/>
          <w:highlight w:val="none"/>
        </w:rPr>
        <w:t>采购人不接受</w:t>
      </w:r>
      <w:r>
        <w:rPr>
          <w:rFonts w:ascii="宋体" w:hAnsi="宋体"/>
          <w:color w:val="auto"/>
          <w:highlight w:val="none"/>
        </w:rPr>
        <w:t>有选择的</w:t>
      </w:r>
      <w:r>
        <w:rPr>
          <w:rFonts w:hint="eastAsia" w:ascii="宋体" w:hAnsi="宋体"/>
          <w:color w:val="auto"/>
          <w:highlight w:val="none"/>
        </w:rPr>
        <w:t>或有附加条件的</w:t>
      </w:r>
      <w:r>
        <w:rPr>
          <w:rFonts w:ascii="宋体" w:hAnsi="宋体"/>
          <w:color w:val="auto"/>
          <w:highlight w:val="none"/>
        </w:rPr>
        <w:t>报价。</w:t>
      </w:r>
    </w:p>
    <w:p w14:paraId="50CD6957">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24.</w:t>
      </w:r>
      <w:r>
        <w:rPr>
          <w:rFonts w:ascii="宋体" w:hAnsi="宋体"/>
          <w:color w:val="auto"/>
          <w:highlight w:val="none"/>
        </w:rPr>
        <w:t>3</w:t>
      </w:r>
      <w:r>
        <w:rPr>
          <w:rFonts w:hint="eastAsia" w:ascii="宋体" w:hAnsi="宋体"/>
          <w:color w:val="auto"/>
          <w:highlight w:val="none"/>
        </w:rPr>
        <w:t>磋商报价不允许为0元（即赠送），采购人不予接受，其响应文件按照响应无效处理。</w:t>
      </w:r>
    </w:p>
    <w:p w14:paraId="734F1CD2">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w:t>
      </w:r>
      <w:r>
        <w:rPr>
          <w:rFonts w:ascii="宋体" w:hAnsi="宋体"/>
          <w:color w:val="auto"/>
          <w:highlight w:val="none"/>
        </w:rPr>
        <w:t>4.4</w:t>
      </w:r>
      <w:r>
        <w:rPr>
          <w:rFonts w:hint="eastAsia" w:ascii="宋体" w:hAnsi="宋体"/>
          <w:color w:val="auto"/>
          <w:highlight w:val="none"/>
        </w:rPr>
        <w:t>本次报价形式：响应报价采用总价形式，以元表示，保留整数。</w:t>
      </w:r>
    </w:p>
    <w:p w14:paraId="3D11ABE9">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25.磋商保证金</w:t>
      </w:r>
    </w:p>
    <w:p w14:paraId="69FCDAC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本项目无须供应商缴纳磋商保证金。</w:t>
      </w:r>
    </w:p>
    <w:p w14:paraId="24626CB9">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26.响应有效期</w:t>
      </w:r>
    </w:p>
    <w:p w14:paraId="6EF1B9EA">
      <w:pPr>
        <w:pStyle w:val="9"/>
        <w:rPr>
          <w:color w:val="auto"/>
          <w:highlight w:val="none"/>
        </w:rPr>
      </w:pPr>
      <w:r>
        <w:rPr>
          <w:rFonts w:hint="eastAsia"/>
          <w:color w:val="auto"/>
          <w:highlight w:val="none"/>
        </w:rPr>
        <w:t>26.1响应文件的有效期为从提交响应文件截止之日算起的日历天数，响应文件的有效期见</w:t>
      </w:r>
      <w:r>
        <w:rPr>
          <w:rFonts w:hint="eastAsia"/>
          <w:color w:val="auto"/>
          <w:highlight w:val="none"/>
          <w:u w:val="single"/>
        </w:rPr>
        <w:t>供应商须知前附表</w:t>
      </w:r>
      <w:r>
        <w:rPr>
          <w:rFonts w:hint="eastAsia"/>
          <w:color w:val="auto"/>
          <w:highlight w:val="none"/>
        </w:rPr>
        <w:t>。</w:t>
      </w:r>
    </w:p>
    <w:p w14:paraId="4A763580">
      <w:pPr>
        <w:spacing w:line="360" w:lineRule="auto"/>
        <w:ind w:firstLine="420"/>
        <w:jc w:val="left"/>
        <w:rPr>
          <w:rFonts w:ascii="宋体" w:hAnsi="宋体"/>
          <w:color w:val="auto"/>
          <w:kern w:val="0"/>
          <w:szCs w:val="21"/>
          <w:highlight w:val="none"/>
        </w:rPr>
      </w:pPr>
      <w:r>
        <w:rPr>
          <w:rFonts w:hint="eastAsia" w:ascii="宋体" w:hAnsi="宋体"/>
          <w:color w:val="auto"/>
          <w:kern w:val="0"/>
          <w:szCs w:val="21"/>
          <w:highlight w:val="none"/>
        </w:rPr>
        <w:t>26.2在响应有效期内，供应商的磋商响应保持有效，供应商不得要求撤销或修改其响应文件。</w:t>
      </w:r>
      <w:r>
        <w:rPr>
          <w:rFonts w:hint="eastAsia" w:ascii="宋体" w:hAnsi="宋体"/>
          <w:color w:val="auto"/>
          <w:szCs w:val="21"/>
          <w:highlight w:val="none"/>
        </w:rPr>
        <w:t>响应</w:t>
      </w:r>
      <w:r>
        <w:rPr>
          <w:rFonts w:hint="eastAsia" w:ascii="宋体" w:hAnsi="宋体"/>
          <w:color w:val="auto"/>
          <w:kern w:val="0"/>
          <w:szCs w:val="21"/>
          <w:highlight w:val="none"/>
        </w:rPr>
        <w:t>有效期不满足要求的，将被认定为</w:t>
      </w:r>
      <w:r>
        <w:rPr>
          <w:rFonts w:hint="eastAsia" w:ascii="宋体" w:hAnsi="宋体"/>
          <w:b/>
          <w:color w:val="auto"/>
          <w:kern w:val="0"/>
          <w:szCs w:val="21"/>
          <w:highlight w:val="none"/>
        </w:rPr>
        <w:t>响应无效</w:t>
      </w:r>
      <w:r>
        <w:rPr>
          <w:rFonts w:hint="eastAsia" w:ascii="宋体" w:hAnsi="宋体"/>
          <w:color w:val="auto"/>
          <w:kern w:val="0"/>
          <w:szCs w:val="21"/>
          <w:highlight w:val="none"/>
        </w:rPr>
        <w:t>。</w:t>
      </w:r>
    </w:p>
    <w:p w14:paraId="33EF5421">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26.3因特殊原因，采购人或采购代理机构可在原响应有效期截止之前，要求供应商延长响应文件的有效期。接受该要求的供应商将不会被要求和允许修正其响应文件。供应商也可以拒绝延长响应有效期的要求，且不承担任何责任。上述要求和答复都以书面形式提交。</w:t>
      </w:r>
    </w:p>
    <w:p w14:paraId="7F7B4DA7">
      <w:pPr>
        <w:pStyle w:val="6"/>
        <w:numPr>
          <w:ilvl w:val="0"/>
          <w:numId w:val="0"/>
        </w:numPr>
        <w:tabs>
          <w:tab w:val="left" w:pos="720"/>
        </w:tabs>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四、响应文件的提交</w:t>
      </w:r>
    </w:p>
    <w:p w14:paraId="385EED70">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27.电子加密响应文件的提交</w:t>
      </w:r>
    </w:p>
    <w:p w14:paraId="2CC7BF93">
      <w:pPr>
        <w:pStyle w:val="9"/>
        <w:rPr>
          <w:color w:val="auto"/>
          <w:highlight w:val="none"/>
        </w:rPr>
      </w:pPr>
      <w:r>
        <w:rPr>
          <w:rFonts w:hint="eastAsia"/>
          <w:color w:val="auto"/>
          <w:highlight w:val="none"/>
        </w:rPr>
        <w:t>供应商应当在磋商文件规定的提交响应文件截止时间前将电子加密响应文件上传至政采云平台（https://www.zcygov.cn/），成功上传后，供应商可自行打印响应文件接收回执。</w:t>
      </w:r>
    </w:p>
    <w:p w14:paraId="060D34BC">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28.备份响应文件的提交</w:t>
      </w:r>
    </w:p>
    <w:p w14:paraId="43ACCAF7">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可以在响应截止时间前提交备份响应文件。备份响应文件的载体必须密封包装，密封包装应当清楚的标明项目名称、项目编号、供应商名称并加盖公章。采购人或采购代理机构有权拒绝接收未按照规定密封、标注、盖章的备份响应文件。</w:t>
      </w:r>
    </w:p>
    <w:p w14:paraId="56F3482F">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29.响应文件提交的截止时间、开启时间及地点</w:t>
      </w:r>
    </w:p>
    <w:p w14:paraId="4E2526D6">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29.1响应文件提交的截止时间、开启时间及地点见</w:t>
      </w:r>
      <w:r>
        <w:rPr>
          <w:rFonts w:hint="eastAsia" w:ascii="宋体" w:hAnsi="宋体"/>
          <w:color w:val="auto"/>
          <w:szCs w:val="21"/>
          <w:highlight w:val="none"/>
          <w:u w:val="single"/>
        </w:rPr>
        <w:t>采购公告</w:t>
      </w:r>
      <w:r>
        <w:rPr>
          <w:rFonts w:hint="eastAsia" w:ascii="宋体" w:hAnsi="宋体"/>
          <w:color w:val="auto"/>
          <w:szCs w:val="21"/>
          <w:highlight w:val="none"/>
        </w:rPr>
        <w:t>。</w:t>
      </w:r>
    </w:p>
    <w:p w14:paraId="024FD1F0">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29.2采购人或采购代理机构可以根据项目情况</w:t>
      </w:r>
      <w:r>
        <w:rPr>
          <w:rFonts w:ascii="宋体" w:hAnsi="宋体"/>
          <w:color w:val="auto"/>
          <w:szCs w:val="21"/>
          <w:highlight w:val="none"/>
        </w:rPr>
        <w:t>，</w:t>
      </w:r>
      <w:r>
        <w:rPr>
          <w:rFonts w:hint="eastAsia" w:ascii="宋体" w:hAnsi="宋体"/>
          <w:color w:val="auto"/>
          <w:szCs w:val="21"/>
          <w:highlight w:val="none"/>
        </w:rPr>
        <w:t>推迟响应文件提交的截止时间。在此情况下，采购人、采购代理机构和供应商受响应文件提交的截止时间约束的所有权利和义务均延长至新的截止时间。</w:t>
      </w:r>
    </w:p>
    <w:p w14:paraId="4B3590C5">
      <w:pPr>
        <w:snapToGrid w:val="0"/>
        <w:spacing w:line="360" w:lineRule="auto"/>
        <w:ind w:firstLine="422" w:firstLineChars="200"/>
        <w:jc w:val="left"/>
        <w:rPr>
          <w:rFonts w:ascii="宋体" w:hAnsi="宋体"/>
          <w:color w:val="auto"/>
          <w:szCs w:val="21"/>
          <w:highlight w:val="none"/>
        </w:rPr>
      </w:pPr>
      <w:r>
        <w:rPr>
          <w:rFonts w:hint="eastAsia" w:ascii="宋体" w:hAnsi="宋体"/>
          <w:b/>
          <w:color w:val="auto"/>
          <w:szCs w:val="21"/>
          <w:highlight w:val="none"/>
        </w:rPr>
        <w:t>30.响应文件的修改和撤回</w:t>
      </w:r>
    </w:p>
    <w:p w14:paraId="60FFB25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30.1供应商在提交响应文件截止时间前</w:t>
      </w:r>
      <w:r>
        <w:rPr>
          <w:rFonts w:ascii="宋体" w:hAnsi="宋体"/>
          <w:color w:val="auto"/>
          <w:szCs w:val="21"/>
          <w:highlight w:val="none"/>
        </w:rPr>
        <w:t>，可以对</w:t>
      </w:r>
      <w:r>
        <w:rPr>
          <w:rFonts w:hint="eastAsia" w:ascii="宋体" w:hAnsi="宋体"/>
          <w:color w:val="auto"/>
          <w:szCs w:val="21"/>
          <w:highlight w:val="none"/>
        </w:rPr>
        <w:t>已经提交</w:t>
      </w:r>
      <w:r>
        <w:rPr>
          <w:rFonts w:ascii="宋体" w:hAnsi="宋体"/>
          <w:color w:val="auto"/>
          <w:szCs w:val="21"/>
          <w:highlight w:val="none"/>
        </w:rPr>
        <w:t>的响应文件进行补充、修改或者撤回。</w:t>
      </w:r>
    </w:p>
    <w:p w14:paraId="4C692C69">
      <w:pPr>
        <w:snapToGrid w:val="0"/>
        <w:spacing w:line="360" w:lineRule="auto"/>
        <w:ind w:firstLine="420" w:firstLineChars="200"/>
        <w:jc w:val="left"/>
        <w:rPr>
          <w:rFonts w:ascii="宋体" w:hAnsi="宋体" w:cs="Helvetica"/>
          <w:color w:val="auto"/>
          <w:kern w:val="0"/>
          <w:szCs w:val="21"/>
          <w:highlight w:val="none"/>
        </w:rPr>
      </w:pPr>
      <w:r>
        <w:rPr>
          <w:rFonts w:hint="eastAsia" w:ascii="宋体" w:hAnsi="宋体"/>
          <w:color w:val="auto"/>
          <w:szCs w:val="21"/>
          <w:highlight w:val="none"/>
        </w:rPr>
        <w:t>对已经完成传输递交的</w:t>
      </w:r>
      <w:r>
        <w:rPr>
          <w:rFonts w:hint="eastAsia" w:ascii="宋体" w:hAnsi="宋体" w:cs="宋体"/>
          <w:color w:val="auto"/>
          <w:szCs w:val="21"/>
          <w:highlight w:val="none"/>
        </w:rPr>
        <w:t>电子加密响应文件进行</w:t>
      </w:r>
      <w:r>
        <w:rPr>
          <w:rFonts w:hint="eastAsia" w:ascii="宋体" w:hAnsi="宋体" w:cs="Helvetica"/>
          <w:color w:val="auto"/>
          <w:kern w:val="0"/>
          <w:szCs w:val="21"/>
          <w:highlight w:val="none"/>
        </w:rPr>
        <w:t>补充或者修改的，应当先行撤回原文件，补充、修改后重新传输递交。供应商在</w:t>
      </w:r>
      <w:r>
        <w:rPr>
          <w:rFonts w:hint="eastAsia" w:ascii="宋体" w:hAnsi="宋体"/>
          <w:color w:val="auto"/>
          <w:szCs w:val="21"/>
          <w:highlight w:val="none"/>
        </w:rPr>
        <w:t>提交响应文件截止时间前</w:t>
      </w:r>
      <w:r>
        <w:rPr>
          <w:rFonts w:hint="eastAsia" w:ascii="宋体" w:hAnsi="宋体" w:cs="Helvetica"/>
          <w:color w:val="auto"/>
          <w:kern w:val="0"/>
          <w:szCs w:val="21"/>
          <w:highlight w:val="none"/>
        </w:rPr>
        <w:t>未重新完成传输递交的，</w:t>
      </w:r>
      <w:r>
        <w:rPr>
          <w:rFonts w:hint="eastAsia" w:ascii="宋体" w:hAnsi="宋体" w:cs="Helvetica"/>
          <w:b/>
          <w:color w:val="auto"/>
          <w:kern w:val="0"/>
          <w:szCs w:val="21"/>
          <w:highlight w:val="none"/>
        </w:rPr>
        <w:t>视为撤回响应文件</w:t>
      </w:r>
      <w:r>
        <w:rPr>
          <w:rFonts w:hint="eastAsia" w:ascii="宋体" w:hAnsi="宋体" w:cs="Helvetica"/>
          <w:color w:val="auto"/>
          <w:kern w:val="0"/>
          <w:szCs w:val="21"/>
          <w:highlight w:val="none"/>
        </w:rPr>
        <w:t>。</w:t>
      </w:r>
      <w:r>
        <w:rPr>
          <w:rFonts w:hint="eastAsia" w:ascii="宋体" w:hAnsi="宋体"/>
          <w:color w:val="auto"/>
          <w:szCs w:val="21"/>
          <w:highlight w:val="none"/>
        </w:rPr>
        <w:t>提交响应文件截止时间</w:t>
      </w:r>
      <w:r>
        <w:rPr>
          <w:rFonts w:hint="eastAsia" w:ascii="宋体" w:hAnsi="宋体" w:cs="Helvetica"/>
          <w:color w:val="auto"/>
          <w:kern w:val="0"/>
          <w:szCs w:val="21"/>
          <w:highlight w:val="none"/>
        </w:rPr>
        <w:t>后递交的电子加密响应文件，电子交易平台将拒收。</w:t>
      </w:r>
    </w:p>
    <w:p w14:paraId="79D9A78F">
      <w:pPr>
        <w:snapToGrid w:val="0"/>
        <w:spacing w:line="360" w:lineRule="auto"/>
        <w:ind w:firstLine="420" w:firstLineChars="200"/>
        <w:jc w:val="left"/>
        <w:rPr>
          <w:rFonts w:ascii="宋体" w:hAnsi="宋体"/>
          <w:color w:val="auto"/>
          <w:szCs w:val="21"/>
          <w:highlight w:val="none"/>
        </w:rPr>
      </w:pPr>
      <w:r>
        <w:rPr>
          <w:rFonts w:hint="eastAsia" w:ascii="宋体" w:hAnsi="宋体" w:cs="Arial"/>
          <w:color w:val="auto"/>
          <w:szCs w:val="21"/>
          <w:highlight w:val="none"/>
        </w:rPr>
        <w:t>30.2</w:t>
      </w:r>
      <w:r>
        <w:rPr>
          <w:rFonts w:hint="eastAsia" w:ascii="宋体" w:hAnsi="宋体"/>
          <w:color w:val="auto"/>
          <w:szCs w:val="21"/>
          <w:highlight w:val="none"/>
        </w:rPr>
        <w:t>提交响应文件截止时间</w:t>
      </w:r>
      <w:r>
        <w:rPr>
          <w:rFonts w:ascii="宋体" w:hAnsi="宋体"/>
          <w:color w:val="auto"/>
          <w:szCs w:val="21"/>
          <w:highlight w:val="none"/>
        </w:rPr>
        <w:t>后</w:t>
      </w:r>
      <w:r>
        <w:rPr>
          <w:rFonts w:hint="eastAsia" w:ascii="宋体" w:hAnsi="宋体"/>
          <w:color w:val="auto"/>
          <w:szCs w:val="21"/>
          <w:highlight w:val="none"/>
        </w:rPr>
        <w:t>，供应商不得对其响应文件进行补充、修改</w:t>
      </w:r>
      <w:r>
        <w:rPr>
          <w:rFonts w:ascii="宋体" w:hAnsi="宋体"/>
          <w:color w:val="auto"/>
          <w:szCs w:val="21"/>
          <w:highlight w:val="none"/>
        </w:rPr>
        <w:t>。</w:t>
      </w:r>
    </w:p>
    <w:p w14:paraId="2DFE1CF9">
      <w:pPr>
        <w:pStyle w:val="6"/>
        <w:numPr>
          <w:ilvl w:val="0"/>
          <w:numId w:val="0"/>
        </w:numPr>
        <w:tabs>
          <w:tab w:val="left" w:pos="720"/>
        </w:tabs>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五、响应文件的开启和评审程序</w:t>
      </w:r>
    </w:p>
    <w:p w14:paraId="08AA5866">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31.响应文件的开启</w:t>
      </w:r>
    </w:p>
    <w:p w14:paraId="0A0DEFAA">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31.1采购代理机构按磋商文件规定的时间通过电子交易平台组织磋商会议，所有供应商均应当准时在线参加</w:t>
      </w:r>
      <w:r>
        <w:rPr>
          <w:rFonts w:ascii="宋体" w:hAnsi="宋体"/>
          <w:color w:val="auto"/>
          <w:szCs w:val="21"/>
          <w:highlight w:val="none"/>
        </w:rPr>
        <w:t>。</w:t>
      </w:r>
    </w:p>
    <w:p w14:paraId="53AFFF7C">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31.2开启响应文件时间到达后，采购代理机构依托电子交易平台发起开始解密指令，</w:t>
      </w:r>
      <w:r>
        <w:rPr>
          <w:rFonts w:ascii="宋体" w:hAnsi="宋体"/>
          <w:color w:val="auto"/>
          <w:szCs w:val="21"/>
          <w:highlight w:val="none"/>
        </w:rPr>
        <w:t>供应商应</w:t>
      </w:r>
      <w:r>
        <w:rPr>
          <w:rFonts w:hint="eastAsia" w:ascii="宋体" w:hAnsi="宋体"/>
          <w:color w:val="auto"/>
          <w:szCs w:val="21"/>
          <w:highlight w:val="none"/>
        </w:rPr>
        <w:t>在30分钟内</w:t>
      </w:r>
      <w:r>
        <w:rPr>
          <w:rFonts w:ascii="宋体" w:hAnsi="宋体"/>
          <w:color w:val="auto"/>
          <w:szCs w:val="21"/>
          <w:highlight w:val="none"/>
        </w:rPr>
        <w:t>（</w:t>
      </w:r>
      <w:r>
        <w:rPr>
          <w:rFonts w:hint="eastAsia" w:ascii="宋体" w:hAnsi="宋体"/>
          <w:color w:val="auto"/>
          <w:szCs w:val="21"/>
          <w:highlight w:val="none"/>
        </w:rPr>
        <w:t>以电子交易系统解密倒计时为准</w:t>
      </w:r>
      <w:r>
        <w:rPr>
          <w:rFonts w:ascii="宋体" w:hAnsi="宋体"/>
          <w:color w:val="auto"/>
          <w:szCs w:val="21"/>
          <w:highlight w:val="none"/>
        </w:rPr>
        <w:t>）对本单位的响应文件</w:t>
      </w:r>
      <w:r>
        <w:rPr>
          <w:rFonts w:hint="eastAsia" w:ascii="宋体" w:hAnsi="宋体"/>
          <w:color w:val="auto"/>
          <w:szCs w:val="21"/>
          <w:highlight w:val="none"/>
        </w:rPr>
        <w:t>进行</w:t>
      </w:r>
      <w:r>
        <w:rPr>
          <w:rFonts w:ascii="宋体" w:hAnsi="宋体"/>
          <w:color w:val="auto"/>
          <w:szCs w:val="21"/>
          <w:highlight w:val="none"/>
        </w:rPr>
        <w:t>解密。</w:t>
      </w:r>
    </w:p>
    <w:p w14:paraId="21E910C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31.3供应商如未在线参加响应文件开启的，</w:t>
      </w:r>
      <w:r>
        <w:rPr>
          <w:rFonts w:hint="eastAsia" w:ascii="宋体" w:hAnsi="宋体"/>
          <w:color w:val="auto"/>
          <w:highlight w:val="none"/>
        </w:rPr>
        <w:t>视同认可响应文件开启结果</w:t>
      </w:r>
      <w:r>
        <w:rPr>
          <w:rFonts w:hint="eastAsia" w:ascii="宋体" w:hAnsi="宋体"/>
          <w:color w:val="auto"/>
          <w:szCs w:val="21"/>
          <w:highlight w:val="none"/>
        </w:rPr>
        <w:t>，事后不得对</w:t>
      </w:r>
      <w:r>
        <w:rPr>
          <w:rFonts w:hint="eastAsia" w:ascii="宋体" w:hAnsi="宋体"/>
          <w:color w:val="auto"/>
          <w:highlight w:val="none"/>
        </w:rPr>
        <w:t>开启结果</w:t>
      </w:r>
      <w:r>
        <w:rPr>
          <w:rFonts w:hint="eastAsia" w:ascii="宋体" w:hAnsi="宋体"/>
          <w:color w:val="auto"/>
          <w:szCs w:val="21"/>
          <w:highlight w:val="none"/>
        </w:rPr>
        <w:t>提出异议。同时，供应商因未在线参加磋商而导致电子加密响应文件无法按时解密等一切后果由供应商自行承担。</w:t>
      </w:r>
    </w:p>
    <w:p w14:paraId="0534E515">
      <w:pPr>
        <w:snapToGrid w:val="0"/>
        <w:spacing w:line="360" w:lineRule="auto"/>
        <w:ind w:firstLine="420" w:firstLineChars="200"/>
        <w:jc w:val="left"/>
        <w:rPr>
          <w:rFonts w:ascii="宋体" w:hAnsi="宋体" w:cs="Arial"/>
          <w:color w:val="auto"/>
          <w:kern w:val="0"/>
          <w:szCs w:val="21"/>
          <w:highlight w:val="none"/>
        </w:rPr>
      </w:pPr>
      <w:r>
        <w:rPr>
          <w:rFonts w:hint="eastAsia" w:ascii="宋体" w:hAnsi="宋体"/>
          <w:color w:val="auto"/>
          <w:szCs w:val="21"/>
          <w:highlight w:val="none"/>
        </w:rPr>
        <w:t>31.4发生电子加密响应文件解密失败的情形，如供应商已按磋商文件规定提交了备份响应文件，将由采购代理机构按政采云平台操作规范将备份响应文件上传至政采云平台异常端口处理，上传成功后，电子加密响应文件自动失效；使用备份文件仍无法成功或供应商</w:t>
      </w:r>
      <w:r>
        <w:rPr>
          <w:rFonts w:hint="eastAsia" w:ascii="宋体" w:hAnsi="宋体" w:cs="Arial"/>
          <w:color w:val="auto"/>
          <w:kern w:val="0"/>
          <w:szCs w:val="21"/>
          <w:highlight w:val="none"/>
        </w:rPr>
        <w:t>未按规定提交备份响应文件的</w:t>
      </w:r>
      <w:r>
        <w:rPr>
          <w:rFonts w:hint="eastAsia" w:ascii="宋体" w:hAnsi="宋体"/>
          <w:color w:val="auto"/>
          <w:szCs w:val="21"/>
          <w:highlight w:val="none"/>
        </w:rPr>
        <w:t>，</w:t>
      </w:r>
      <w:r>
        <w:rPr>
          <w:rFonts w:hint="eastAsia" w:ascii="宋体" w:hAnsi="宋体"/>
          <w:b/>
          <w:color w:val="auto"/>
          <w:szCs w:val="21"/>
          <w:highlight w:val="none"/>
        </w:rPr>
        <w:t>视为撤回响应文件</w:t>
      </w:r>
      <w:r>
        <w:rPr>
          <w:rFonts w:hint="eastAsia" w:ascii="宋体" w:hAnsi="宋体"/>
          <w:color w:val="auto"/>
          <w:szCs w:val="21"/>
          <w:highlight w:val="none"/>
        </w:rPr>
        <w:t>。</w:t>
      </w:r>
    </w:p>
    <w:p w14:paraId="5944FABE">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电子加密响应文件已按时解密的，备份响应文件自动失效。</w:t>
      </w:r>
    </w:p>
    <w:p w14:paraId="465439FE">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31.5响应文件开启后不公布供应商的初次报价。</w:t>
      </w:r>
    </w:p>
    <w:p w14:paraId="28419F7D">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31.6响应文件开启</w:t>
      </w:r>
      <w:r>
        <w:rPr>
          <w:rFonts w:ascii="宋体" w:hAnsi="宋体"/>
          <w:color w:val="auto"/>
          <w:szCs w:val="21"/>
          <w:highlight w:val="none"/>
        </w:rPr>
        <w:t>过程由采购代理机构负责记录，由参加</w:t>
      </w:r>
      <w:r>
        <w:rPr>
          <w:rFonts w:hint="eastAsia" w:ascii="宋体" w:hAnsi="宋体"/>
          <w:color w:val="auto"/>
          <w:szCs w:val="21"/>
          <w:highlight w:val="none"/>
        </w:rPr>
        <w:t>磋商</w:t>
      </w:r>
      <w:r>
        <w:rPr>
          <w:rFonts w:ascii="宋体" w:hAnsi="宋体"/>
          <w:color w:val="auto"/>
          <w:szCs w:val="21"/>
          <w:highlight w:val="none"/>
        </w:rPr>
        <w:t>的供应商代表和相关工作人员签字确认后随采购文件一并存档。</w:t>
      </w:r>
    </w:p>
    <w:p w14:paraId="78904C8F">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供应商代表对</w:t>
      </w:r>
      <w:r>
        <w:rPr>
          <w:rFonts w:hint="eastAsia" w:ascii="宋体" w:hAnsi="宋体"/>
          <w:color w:val="auto"/>
          <w:szCs w:val="21"/>
          <w:highlight w:val="none"/>
        </w:rPr>
        <w:t>响应文件开启</w:t>
      </w:r>
      <w:r>
        <w:rPr>
          <w:rFonts w:ascii="宋体" w:hAnsi="宋体"/>
          <w:color w:val="auto"/>
          <w:szCs w:val="21"/>
          <w:highlight w:val="none"/>
        </w:rPr>
        <w:t>过程有疑义，应当场提出询问。</w:t>
      </w:r>
    </w:p>
    <w:p w14:paraId="52D5F519">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32.资格审查及组建磋商小组</w:t>
      </w:r>
    </w:p>
    <w:p w14:paraId="7528905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32.1响应文件开启结束后，采购人或采购代理机构依据法律法规和磋商文件规定的内容对供应商的资格进行审查，未通过资格审查的供应商不进入磋商环节，通过资格审查的供应商不足3家的不进行后续的磋商</w:t>
      </w:r>
      <w:r>
        <w:rPr>
          <w:rFonts w:hint="eastAsia" w:ascii="宋体" w:hAnsi="宋体"/>
          <w:color w:val="auto"/>
          <w:highlight w:val="none"/>
        </w:rPr>
        <w:t>。</w:t>
      </w:r>
    </w:p>
    <w:p w14:paraId="3035D4F6">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32.2磋商小组依法组建，由3人以上单数组成。</w:t>
      </w:r>
    </w:p>
    <w:p w14:paraId="1C37B151">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33.响应文件符合性审查与澄清</w:t>
      </w:r>
    </w:p>
    <w:p w14:paraId="1F9A4300">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33.1磋商小组负责对符合资格要求的供应商的响应文件进行符合性审查，以确定其是否满足磋商文件的实质性要求。</w:t>
      </w:r>
    </w:p>
    <w:p w14:paraId="7C0910EB">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33.2磋商小组在对响应文件的有效性、完整性和响应程度进行审查时，对于响应文件中含义不明确、同类问题表述不一致或者有明显文字和计算错误的内容，</w:t>
      </w:r>
      <w:r>
        <w:rPr>
          <w:rFonts w:ascii="宋体" w:hAnsi="宋体"/>
          <w:color w:val="auto"/>
          <w:szCs w:val="21"/>
          <w:highlight w:val="none"/>
        </w:rPr>
        <w:t>以及磋商小组认为供应商的报价明显低于其他通过符合性</w:t>
      </w:r>
      <w:r>
        <w:rPr>
          <w:rFonts w:hint="eastAsia" w:ascii="宋体" w:hAnsi="宋体"/>
          <w:color w:val="auto"/>
          <w:szCs w:val="21"/>
          <w:highlight w:val="none"/>
        </w:rPr>
        <w:t>审</w:t>
      </w:r>
      <w:r>
        <w:rPr>
          <w:rFonts w:ascii="宋体" w:hAnsi="宋体"/>
          <w:color w:val="auto"/>
          <w:szCs w:val="21"/>
          <w:highlight w:val="none"/>
        </w:rPr>
        <w:t>查供应商的报价，有可能</w:t>
      </w:r>
      <w:r>
        <w:rPr>
          <w:rFonts w:ascii="宋体" w:hAnsi="宋体"/>
          <w:color w:val="auto"/>
          <w:szCs w:val="21"/>
          <w:highlight w:val="none"/>
          <w:shd w:val="clear" w:color="auto" w:fill="FFFFFF"/>
        </w:rPr>
        <w:t>影响</w:t>
      </w:r>
      <w:r>
        <w:rPr>
          <w:rFonts w:hint="eastAsia" w:ascii="宋体" w:hAnsi="宋体"/>
          <w:color w:val="auto"/>
          <w:szCs w:val="21"/>
          <w:highlight w:val="none"/>
          <w:shd w:val="clear" w:color="auto" w:fill="FFFFFF"/>
        </w:rPr>
        <w:t>项目</w:t>
      </w:r>
      <w:r>
        <w:rPr>
          <w:rFonts w:ascii="宋体" w:hAnsi="宋体"/>
          <w:color w:val="auto"/>
          <w:szCs w:val="21"/>
          <w:highlight w:val="none"/>
          <w:shd w:val="clear" w:color="auto" w:fill="FFFFFF"/>
        </w:rPr>
        <w:t>质量或者不能诚信履约的</w:t>
      </w:r>
      <w:r>
        <w:rPr>
          <w:rFonts w:hint="eastAsia" w:ascii="宋体" w:hAnsi="宋体"/>
          <w:color w:val="auto"/>
          <w:szCs w:val="21"/>
          <w:highlight w:val="none"/>
        </w:rPr>
        <w:t>，磋商小组将以书面形式要求供应商作出必要的澄清、说明或者更正。</w:t>
      </w:r>
    </w:p>
    <w:p w14:paraId="02DAF0E0">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的澄清、说明或者更正通过电子交易平台交换数据电文方式做出，供应商提交使用电子签名的相关数据电文或通过平台上传供应商的法定代表人或其授权代表签字或加盖公章的文件的扫描件。给予供应商提交澄清、说明或更正的时间不少于30分钟，供应商已经明确表示澄清说明或更正完毕的除外。</w:t>
      </w:r>
    </w:p>
    <w:p w14:paraId="24576B43">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33.3供应商的澄清、说明或更正将作为响应文件的一部分。</w:t>
      </w:r>
    </w:p>
    <w:p w14:paraId="48BAB16C">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33.4报价修正</w:t>
      </w:r>
    </w:p>
    <w:p w14:paraId="3D356309">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响应文件报价出现不一致的，按照下列规定修正：</w:t>
      </w:r>
    </w:p>
    <w:p w14:paraId="44253233">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电子交易平台客户端里录入的报价与报价响应文件中的报价不一致的，以报价响应文件中的报价为准。响应文件内报价出现前后不一致的，按照下列规定修正：</w:t>
      </w:r>
    </w:p>
    <w:p w14:paraId="6203B7E0">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（1）响应文件中报价表内容与响应文件中其他内容不一致的，以报价表为准；</w:t>
      </w:r>
    </w:p>
    <w:p w14:paraId="43B1F50D">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（2）报价表的大写金额和小写金额不一致的，以大写金额为准；</w:t>
      </w:r>
    </w:p>
    <w:p w14:paraId="1D12C40C">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（3）报价浮动率与实际不一致的，以报价表的大写金额为准，并调整报价浮动率。</w:t>
      </w:r>
    </w:p>
    <w:p w14:paraId="73F7CF68">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同时出现两种以上不一致的，按照前款规定的顺序修正。修正后的报价由供应商确认，经供应商确认后产生约束力，供应商不确认的，</w:t>
      </w:r>
      <w:r>
        <w:rPr>
          <w:rFonts w:hint="eastAsia" w:ascii="宋体" w:hAnsi="宋体"/>
          <w:b/>
          <w:color w:val="auto"/>
          <w:szCs w:val="21"/>
          <w:highlight w:val="none"/>
        </w:rPr>
        <w:t>其响应无效</w:t>
      </w:r>
      <w:r>
        <w:rPr>
          <w:rFonts w:hint="eastAsia" w:ascii="宋体" w:hAnsi="宋体"/>
          <w:color w:val="auto"/>
          <w:szCs w:val="21"/>
          <w:highlight w:val="none"/>
        </w:rPr>
        <w:t>。</w:t>
      </w:r>
    </w:p>
    <w:p w14:paraId="04DCBAD3">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34.响应无效</w:t>
      </w:r>
    </w:p>
    <w:p w14:paraId="22F7F5D0">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34.1</w:t>
      </w:r>
      <w:r>
        <w:rPr>
          <w:rFonts w:ascii="宋体" w:hAnsi="宋体"/>
          <w:color w:val="auto"/>
          <w:szCs w:val="21"/>
          <w:highlight w:val="none"/>
        </w:rPr>
        <w:t>根据本</w:t>
      </w:r>
      <w:r>
        <w:rPr>
          <w:rFonts w:hint="eastAsia" w:ascii="宋体" w:hAnsi="宋体"/>
          <w:color w:val="auto"/>
          <w:szCs w:val="21"/>
          <w:highlight w:val="none"/>
        </w:rPr>
        <w:t>磋商文件</w:t>
      </w:r>
      <w:r>
        <w:rPr>
          <w:rFonts w:ascii="宋体" w:hAnsi="宋体"/>
          <w:color w:val="auto"/>
          <w:szCs w:val="21"/>
          <w:highlight w:val="none"/>
        </w:rPr>
        <w:t>的规定，磋商小组审查</w:t>
      </w:r>
      <w:r>
        <w:rPr>
          <w:rFonts w:hint="eastAsia" w:ascii="宋体" w:hAnsi="宋体"/>
          <w:color w:val="auto"/>
          <w:szCs w:val="21"/>
          <w:highlight w:val="none"/>
        </w:rPr>
        <w:t>供应商的</w:t>
      </w:r>
      <w:r>
        <w:rPr>
          <w:rFonts w:ascii="宋体" w:hAnsi="宋体"/>
          <w:color w:val="auto"/>
          <w:szCs w:val="21"/>
          <w:highlight w:val="none"/>
        </w:rPr>
        <w:t>响应文件是否响应了磋商文件的实质</w:t>
      </w:r>
      <w:r>
        <w:rPr>
          <w:rFonts w:hint="eastAsia" w:ascii="宋体" w:hAnsi="宋体"/>
          <w:color w:val="auto"/>
          <w:szCs w:val="21"/>
          <w:highlight w:val="none"/>
        </w:rPr>
        <w:t>性</w:t>
      </w:r>
      <w:r>
        <w:rPr>
          <w:rFonts w:ascii="宋体" w:hAnsi="宋体"/>
          <w:color w:val="auto"/>
          <w:szCs w:val="21"/>
          <w:highlight w:val="none"/>
        </w:rPr>
        <w:t>要求。供应商不得通过修正或撤销不符合要求的偏离，从而使其</w:t>
      </w:r>
      <w:r>
        <w:rPr>
          <w:rFonts w:hint="eastAsia" w:ascii="宋体" w:hAnsi="宋体"/>
          <w:color w:val="auto"/>
          <w:szCs w:val="21"/>
          <w:highlight w:val="none"/>
        </w:rPr>
        <w:t>磋商响应满足磋商文件要求</w:t>
      </w:r>
      <w:r>
        <w:rPr>
          <w:rFonts w:ascii="宋体" w:hAnsi="宋体"/>
          <w:color w:val="auto"/>
          <w:szCs w:val="21"/>
          <w:highlight w:val="none"/>
        </w:rPr>
        <w:t>。</w:t>
      </w:r>
    </w:p>
    <w:p w14:paraId="1D9DF92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34.2供应商存在下列情况之一的，响应无效：</w:t>
      </w:r>
    </w:p>
    <w:p w14:paraId="506BA5FB">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（1）响应文件未按磋商文件要求签署、盖章而影响响应文件法律效力的；</w:t>
      </w:r>
    </w:p>
    <w:p w14:paraId="4CCB6819">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（2）不具备磋商文件中规定的申请人的资格要求的（包括未提交有效的资格证明文件）；</w:t>
      </w:r>
    </w:p>
    <w:p w14:paraId="32655FB9">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（3）未对磋商文件的实质性条款作出响应（包括未按要求提交证明文件）的；</w:t>
      </w:r>
    </w:p>
    <w:p w14:paraId="76161179">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）报价超过磋商文件中规定的预算金额或最高限价或单项限价的；</w:t>
      </w:r>
    </w:p>
    <w:p w14:paraId="47A943EC">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（5）供应商的报价明显偏低，供应商不能在评审现场合理时间内证明其报价合理性，经磋商小组认定可能影响项目质量或者不能诚信履约的；</w:t>
      </w:r>
    </w:p>
    <w:p w14:paraId="439F7D0A">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（6）采购人拟采购的产品属于政府强制采购的节能产品品目清单范围的，供应商未按磋商文件的要求在响应文件内提供国家确定的认证机构出具的、处于有效期之内的节能产品认证证书的；</w:t>
      </w:r>
    </w:p>
    <w:p w14:paraId="588CCD56">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（7）响应文件含有采购人不能接受的附加条件的；</w:t>
      </w:r>
    </w:p>
    <w:p w14:paraId="2CAE3AE1">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（8）响应文件中含有虚假材料的；</w:t>
      </w:r>
    </w:p>
    <w:p w14:paraId="33158D06">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（9）供应商违背诚实信用原则的；</w:t>
      </w:r>
    </w:p>
    <w:p w14:paraId="5CCFFD5D">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（10）供应商仅提交备份响应文件的；</w:t>
      </w:r>
    </w:p>
    <w:p w14:paraId="3237BEFD">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（11）同一标项的供应商存在下列情形之一且无法合理解释的，其响应文件无效：</w:t>
      </w:r>
      <w:r>
        <w:rPr>
          <w:rFonts w:ascii="宋体" w:hAnsi="宋体"/>
          <w:color w:val="auto"/>
          <w:highlight w:val="none"/>
        </w:rPr>
        <w:fldChar w:fldCharType="begin"/>
      </w:r>
      <w:r>
        <w:rPr>
          <w:rFonts w:ascii="宋体" w:hAnsi="宋体"/>
          <w:color w:val="auto"/>
          <w:highlight w:val="none"/>
        </w:rPr>
        <w:instrText xml:space="preserve"> </w:instrText>
      </w:r>
      <w:r>
        <w:rPr>
          <w:rFonts w:hint="eastAsia" w:ascii="宋体" w:hAnsi="宋体"/>
          <w:color w:val="auto"/>
          <w:highlight w:val="none"/>
        </w:rPr>
        <w:instrText xml:space="preserve">= 1 \* GB3</w:instrText>
      </w:r>
      <w:r>
        <w:rPr>
          <w:rFonts w:ascii="宋体" w:hAnsi="宋体"/>
          <w:color w:val="auto"/>
          <w:highlight w:val="none"/>
        </w:rPr>
        <w:instrText xml:space="preserve"> </w:instrText>
      </w:r>
      <w:r>
        <w:rPr>
          <w:rFonts w:ascii="宋体" w:hAnsi="宋体"/>
          <w:color w:val="auto"/>
          <w:highlight w:val="none"/>
        </w:rPr>
        <w:fldChar w:fldCharType="separate"/>
      </w:r>
      <w:r>
        <w:rPr>
          <w:rFonts w:hint="eastAsia" w:ascii="宋体" w:hAnsi="宋体"/>
          <w:color w:val="auto"/>
          <w:highlight w:val="none"/>
        </w:rPr>
        <w:t>①</w:t>
      </w:r>
      <w:r>
        <w:rPr>
          <w:rFonts w:ascii="宋体" w:hAnsi="宋体"/>
          <w:color w:val="auto"/>
          <w:highlight w:val="none"/>
        </w:rPr>
        <w:fldChar w:fldCharType="end"/>
      </w:r>
      <w:r>
        <w:rPr>
          <w:rFonts w:hint="eastAsia" w:ascii="宋体" w:hAnsi="宋体"/>
          <w:color w:val="auto"/>
          <w:highlight w:val="none"/>
        </w:rPr>
        <w:t>不同供应商的电子响应文件上传计算机的网卡MAC地址或硬盘序列号等硬件信息相同的；②上传的电子响应文件出现使用同一标项其他供应商的数字证书加密的，或者加盖同一标项其他供应商的电子印章的；③不同供应商的电子响应文件的内容存在3处（含）以上错误一致的；④不同供应商的联系人为同一人或不同联系人的联系电话一致的；</w:t>
      </w:r>
      <w:r>
        <w:rPr>
          <w:rFonts w:ascii="宋体" w:hAnsi="宋体"/>
          <w:color w:val="auto"/>
          <w:highlight w:val="none"/>
        </w:rPr>
        <w:fldChar w:fldCharType="begin"/>
      </w:r>
      <w:r>
        <w:rPr>
          <w:rFonts w:ascii="宋体" w:hAnsi="宋体"/>
          <w:color w:val="auto"/>
          <w:highlight w:val="none"/>
        </w:rPr>
        <w:instrText xml:space="preserve"> </w:instrText>
      </w:r>
      <w:r>
        <w:rPr>
          <w:rFonts w:hint="eastAsia" w:ascii="宋体" w:hAnsi="宋体"/>
          <w:color w:val="auto"/>
          <w:highlight w:val="none"/>
        </w:rPr>
        <w:instrText xml:space="preserve">= 5 \* GB3</w:instrText>
      </w:r>
      <w:r>
        <w:rPr>
          <w:rFonts w:ascii="宋体" w:hAnsi="宋体"/>
          <w:color w:val="auto"/>
          <w:highlight w:val="none"/>
        </w:rPr>
        <w:instrText xml:space="preserve"> </w:instrText>
      </w:r>
      <w:r>
        <w:rPr>
          <w:rFonts w:ascii="宋体" w:hAnsi="宋体"/>
          <w:color w:val="auto"/>
          <w:highlight w:val="none"/>
        </w:rPr>
        <w:fldChar w:fldCharType="separate"/>
      </w:r>
      <w:r>
        <w:rPr>
          <w:rFonts w:hint="eastAsia" w:ascii="宋体" w:hAnsi="宋体"/>
          <w:color w:val="auto"/>
          <w:highlight w:val="none"/>
        </w:rPr>
        <w:t>⑤</w:t>
      </w:r>
      <w:r>
        <w:rPr>
          <w:rFonts w:ascii="宋体" w:hAnsi="宋体"/>
          <w:color w:val="auto"/>
          <w:highlight w:val="none"/>
        </w:rPr>
        <w:fldChar w:fldCharType="end"/>
      </w:r>
      <w:r>
        <w:rPr>
          <w:rFonts w:hint="eastAsia" w:ascii="宋体" w:hAnsi="宋体"/>
          <w:color w:val="auto"/>
          <w:highlight w:val="none"/>
        </w:rPr>
        <w:t>不同供应商的电子响应文件属性显示作者为同一人的。</w:t>
      </w:r>
    </w:p>
    <w:p w14:paraId="1FA6C076">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（12）法律、法规和磋商文件规定的其他响应无效情形。</w:t>
      </w:r>
    </w:p>
    <w:p w14:paraId="5B322C75">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35.磋商</w:t>
      </w:r>
    </w:p>
    <w:p w14:paraId="2EE06A2F">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35.1磋商小组所有成员集中与单一供应商分别进行磋商，并给予所有参加磋商的供应商平等的磋商机会。</w:t>
      </w:r>
      <w:r>
        <w:rPr>
          <w:rFonts w:hint="eastAsia" w:ascii="宋体" w:hAnsi="宋体"/>
          <w:color w:val="auto"/>
          <w:highlight w:val="none"/>
        </w:rPr>
        <w:t>供应商未提出针对采购需求和合同条款进行调整且被采购人接受的建议，采购人亦未主动提出相关内容调整的情况下，不再组织磋商。</w:t>
      </w:r>
    </w:p>
    <w:p w14:paraId="7256533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35.2在磋商过程中，磋商小组可以根据磋商文件和磋商情况实质性变动采购需求中的技术、服务要求以及合同草案条款。</w:t>
      </w:r>
    </w:p>
    <w:p w14:paraId="74C2F2B1">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35.3对磋商文件作出的实质性变动是磋商文件的有效组成部分，磋商小组以书面形式同时通知所有参加磋商的供应商。</w:t>
      </w:r>
    </w:p>
    <w:p w14:paraId="75E5536E">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35.4供应商按照磋商文件的变动情况和磋商小组的要求重新提交响应文件，并由其法定代表人或授权代表签字或者加盖公章。</w:t>
      </w:r>
    </w:p>
    <w:p w14:paraId="79BE88C9">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35.5磋商文件能够详细列明采购标的的技术、服务要求的，磋商结束后，磋商小组将要求所有实质性响应的供应商在规定时间内提交最后报价。</w:t>
      </w:r>
    </w:p>
    <w:p w14:paraId="1D928188">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报价。</w:t>
      </w:r>
    </w:p>
    <w:p w14:paraId="187FF149">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最后报价是供应商响应文件的有效组成部分。</w:t>
      </w:r>
    </w:p>
    <w:p w14:paraId="7F583DCE">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35.6已提交响应文件的供应商，在提交最后报价之前，可以根据磋商情况退出磋商。</w:t>
      </w:r>
    </w:p>
    <w:p w14:paraId="77480231">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36</w:t>
      </w:r>
      <w:r>
        <w:rPr>
          <w:rFonts w:ascii="宋体" w:hAnsi="宋体"/>
          <w:b/>
          <w:color w:val="auto"/>
          <w:szCs w:val="21"/>
          <w:highlight w:val="none"/>
        </w:rPr>
        <w:t>.</w:t>
      </w:r>
      <w:r>
        <w:rPr>
          <w:rFonts w:hint="eastAsia" w:ascii="宋体" w:hAnsi="宋体"/>
          <w:b/>
          <w:color w:val="auto"/>
          <w:szCs w:val="21"/>
          <w:highlight w:val="none"/>
        </w:rPr>
        <w:t>比较与评价</w:t>
      </w:r>
    </w:p>
    <w:p w14:paraId="20890378">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36.1经磋商确定最终采购需求和提交最后报价的供应商后，由磋商小组采用综合评分法对提交最后报价的供应商的响应文件和最后报价进行综合评分。</w:t>
      </w:r>
    </w:p>
    <w:p w14:paraId="4356DB33">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竞争性磋商采购采用综合评分法，是指响应文件满足磋商文件全部实质性要求且按评审因素的量化指标评审得分最高的供应商为成交候选供应商的评审方法。</w:t>
      </w:r>
    </w:p>
    <w:p w14:paraId="76240DBD">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36.2评审严格按照磋商文件的要求和条件进行，详细评审标准见磋商文件第四章。</w:t>
      </w:r>
    </w:p>
    <w:p w14:paraId="6030002C">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37.采购终止的情形</w:t>
      </w:r>
    </w:p>
    <w:p w14:paraId="2C838335">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在本项目磋商采购中，出现下列情形之一的，应当终止竞争性磋商采购活动，发布项目终止公告并说明原因，重新开展采购活动：</w:t>
      </w:r>
    </w:p>
    <w:p w14:paraId="4C4D5F52">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（1）因情况变化，不再符合规定的竞争性磋商采购方式适用情形的；</w:t>
      </w:r>
    </w:p>
    <w:p w14:paraId="4F4EA92D">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（2）出现影响采购公正的违法、违规行为的；</w:t>
      </w:r>
    </w:p>
    <w:p w14:paraId="17BCFBC4">
      <w:pPr>
        <w:snapToGrid w:val="0"/>
        <w:spacing w:line="360" w:lineRule="auto"/>
        <w:ind w:firstLine="420" w:firstLineChars="200"/>
        <w:jc w:val="left"/>
        <w:rPr>
          <w:rFonts w:ascii="宋体" w:hAnsi="宋体"/>
          <w:color w:val="auto"/>
          <w:szCs w:val="21"/>
          <w:highlight w:val="none"/>
        </w:rPr>
      </w:pPr>
      <w:r>
        <w:rPr>
          <w:rFonts w:hint="eastAsia" w:ascii="宋体" w:hAnsi="宋体"/>
          <w:color w:val="auto"/>
          <w:highlight w:val="none"/>
        </w:rPr>
        <w:t>（3）除法律法规规定的情形外，在采购过程中符合要求的供应商或者报价未超过采购预算的供应商不足3家的；</w:t>
      </w:r>
    </w:p>
    <w:p w14:paraId="48134E91">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（4）电子交易平台无法正常运行，无法保证电子交易的公平、公正和安全的情况。</w:t>
      </w:r>
    </w:p>
    <w:p w14:paraId="27B9EBA4">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38.中止电子交易活动的情形</w:t>
      </w:r>
    </w:p>
    <w:p w14:paraId="2291B9B0">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采购过程中出现以下情形，导致电子交易平台无法正常运行，或者无法保证电子交易的公平、公正和安全时，采购组织机构可中止电子交易活动：</w:t>
      </w:r>
    </w:p>
    <w:p w14:paraId="4B8D56E0">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（1）电子交易平台发生故障而无法登录访问的；</w:t>
      </w:r>
    </w:p>
    <w:p w14:paraId="084AA339">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（2）电子交易平台应用或数据库出现错误，不能进行正常操作的；</w:t>
      </w:r>
    </w:p>
    <w:p w14:paraId="32647F00">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（3）电子交易平台发现严重安全漏洞，有潜在泄密危险的；</w:t>
      </w:r>
    </w:p>
    <w:p w14:paraId="5468ECCE">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（4）病毒发作导致不能进行正常操作的；</w:t>
      </w:r>
    </w:p>
    <w:p w14:paraId="5851717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（5）其他无法保证电子交易的公平、公正和安全的情况。</w:t>
      </w:r>
    </w:p>
    <w:p w14:paraId="477A4815">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出现前款规定情形，不影响采购公平、公正性的，可以待上述情形消除后继续组织电子交易活动；影响或可能影响采购公平、公正性的，将重新采购。</w:t>
      </w:r>
    </w:p>
    <w:p w14:paraId="392C1868">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39</w:t>
      </w:r>
      <w:r>
        <w:rPr>
          <w:rFonts w:ascii="宋体" w:hAnsi="宋体"/>
          <w:b/>
          <w:color w:val="auto"/>
          <w:szCs w:val="21"/>
          <w:highlight w:val="none"/>
        </w:rPr>
        <w:t>.</w:t>
      </w:r>
      <w:r>
        <w:rPr>
          <w:rFonts w:hint="eastAsia" w:ascii="宋体" w:hAnsi="宋体"/>
          <w:b/>
          <w:color w:val="auto"/>
          <w:szCs w:val="21"/>
          <w:highlight w:val="none"/>
        </w:rPr>
        <w:t>成交候选供应商的确定原则及标准</w:t>
      </w:r>
    </w:p>
    <w:p w14:paraId="6BB13242">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小组根据综合评分情况，按照评审得分由高到低顺序推荐3名以上成交候选供应商，并编写评审报告。评审得分相同的，按照最后报价由低到高的顺序推荐。评审得分且最后报价相同的，按照技术指标优劣顺序推荐。</w:t>
      </w:r>
    </w:p>
    <w:p w14:paraId="07E1FE13">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40.编写评审报告</w:t>
      </w:r>
    </w:p>
    <w:p w14:paraId="03DCC831">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7F8B680">
      <w:pPr>
        <w:pStyle w:val="6"/>
        <w:numPr>
          <w:ilvl w:val="0"/>
          <w:numId w:val="0"/>
        </w:numPr>
        <w:tabs>
          <w:tab w:val="left" w:pos="720"/>
        </w:tabs>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六、授予合同</w:t>
      </w:r>
    </w:p>
    <w:p w14:paraId="2B7E16E8">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41.成交供应商的确定</w:t>
      </w:r>
    </w:p>
    <w:p w14:paraId="1F4183EC">
      <w:pPr>
        <w:snapToGri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成交供应商确定主体为采购人，确定评审报告提出的排序第一的供应商为成交供应商。</w:t>
      </w:r>
    </w:p>
    <w:p w14:paraId="2F6EACB5">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42.成交结果公告</w:t>
      </w:r>
    </w:p>
    <w:p w14:paraId="43E46988">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自成交供应商确定之日起2个工作日内，采购代理机构在磋商文件确定的采购信息发布媒体上公告成交结果。</w:t>
      </w:r>
    </w:p>
    <w:p w14:paraId="2CB14EB7">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43.成交通知书和采购结果通知书</w:t>
      </w:r>
    </w:p>
    <w:p w14:paraId="292580D3">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在公告成交结果的同时，采购代理机构向成交供应商发出成交通知书，向未成交供应商发出采购结果通知书。</w:t>
      </w:r>
    </w:p>
    <w:p w14:paraId="1ECBD6ED">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44.签订合同</w:t>
      </w:r>
    </w:p>
    <w:p w14:paraId="0D010563">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采购人按照法律法规及磋商文件的规定与成交供应商签订书面合同。</w:t>
      </w:r>
    </w:p>
    <w:p w14:paraId="7B385EC8">
      <w:pPr>
        <w:pStyle w:val="4"/>
        <w:rPr>
          <w:rFonts w:ascii="宋体" w:hAnsi="宋体"/>
          <w:color w:val="auto"/>
          <w:sz w:val="32"/>
          <w:highlight w:val="none"/>
        </w:rPr>
      </w:pPr>
      <w:r>
        <w:rPr>
          <w:rFonts w:ascii="宋体" w:hAnsi="宋体"/>
          <w:color w:val="auto"/>
          <w:kern w:val="2"/>
          <w:sz w:val="21"/>
          <w:szCs w:val="21"/>
          <w:highlight w:val="none"/>
        </w:rPr>
        <w:br w:type="page"/>
      </w:r>
      <w:bookmarkStart w:id="56" w:name="_Toc34844744"/>
      <w:bookmarkStart w:id="57" w:name="_Toc86053874"/>
      <w:r>
        <w:rPr>
          <w:rFonts w:hint="eastAsia" w:ascii="宋体" w:hAnsi="宋体"/>
          <w:color w:val="auto"/>
          <w:highlight w:val="none"/>
        </w:rPr>
        <w:t xml:space="preserve">第四章  </w:t>
      </w:r>
      <w:r>
        <w:rPr>
          <w:rFonts w:ascii="宋体" w:hAnsi="宋体"/>
          <w:color w:val="auto"/>
          <w:highlight w:val="none"/>
        </w:rPr>
        <w:t>评审方法和评审标准</w:t>
      </w:r>
      <w:bookmarkEnd w:id="56"/>
      <w:bookmarkEnd w:id="57"/>
    </w:p>
    <w:p w14:paraId="3C992B39">
      <w:pPr>
        <w:spacing w:line="360" w:lineRule="auto"/>
        <w:ind w:firstLine="424" w:firstLineChars="201"/>
        <w:jc w:val="left"/>
        <w:rPr>
          <w:rFonts w:ascii="宋体" w:hAnsi="宋体"/>
          <w:b/>
          <w:color w:val="auto"/>
          <w:szCs w:val="21"/>
          <w:highlight w:val="none"/>
        </w:rPr>
      </w:pPr>
      <w:r>
        <w:rPr>
          <w:rFonts w:hint="eastAsia" w:ascii="宋体" w:hAnsi="宋体"/>
          <w:b/>
          <w:color w:val="auto"/>
          <w:szCs w:val="21"/>
          <w:highlight w:val="none"/>
        </w:rPr>
        <w:t>一、总则</w:t>
      </w:r>
    </w:p>
    <w:p w14:paraId="5B1BFA41">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B5C7391">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评审专家应当遵守评审工作纪律，不得泄露评审情况和评审中获悉的商业秘密。</w:t>
      </w:r>
    </w:p>
    <w:p w14:paraId="04CA675B">
      <w:pPr>
        <w:spacing w:line="360" w:lineRule="auto"/>
        <w:ind w:firstLine="424" w:firstLineChars="201"/>
        <w:jc w:val="left"/>
        <w:rPr>
          <w:rFonts w:ascii="宋体" w:hAnsi="宋体"/>
          <w:b/>
          <w:color w:val="auto"/>
          <w:szCs w:val="21"/>
          <w:highlight w:val="none"/>
        </w:rPr>
      </w:pPr>
      <w:r>
        <w:rPr>
          <w:rFonts w:hint="eastAsia" w:ascii="宋体" w:hAnsi="宋体"/>
          <w:b/>
          <w:color w:val="auto"/>
          <w:szCs w:val="21"/>
          <w:highlight w:val="none"/>
        </w:rPr>
        <w:t>二、评审方法</w:t>
      </w:r>
    </w:p>
    <w:p w14:paraId="63EBD431">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本项目采用综合评分法进行评审。评审时，磋商小组各成员独立对每个有效的响应文件进行评价、打分，然后汇总每个供应商每项评分因素的得分。每个供应商</w:t>
      </w:r>
      <w:r>
        <w:rPr>
          <w:rFonts w:ascii="宋体" w:hAnsi="宋体"/>
          <w:color w:val="auto"/>
          <w:szCs w:val="21"/>
          <w:highlight w:val="none"/>
        </w:rPr>
        <w:t>的</w:t>
      </w:r>
      <w:r>
        <w:rPr>
          <w:rFonts w:hint="eastAsia" w:ascii="宋体" w:hAnsi="宋体"/>
          <w:color w:val="auto"/>
          <w:szCs w:val="21"/>
          <w:highlight w:val="none"/>
        </w:rPr>
        <w:t>最终评审</w:t>
      </w:r>
      <w:r>
        <w:rPr>
          <w:rFonts w:ascii="宋体" w:hAnsi="宋体"/>
          <w:color w:val="auto"/>
          <w:szCs w:val="21"/>
          <w:highlight w:val="none"/>
        </w:rPr>
        <w:t>得分为所有评委</w:t>
      </w:r>
      <w:r>
        <w:rPr>
          <w:rFonts w:hint="eastAsia" w:ascii="宋体" w:hAnsi="宋体"/>
          <w:color w:val="auto"/>
          <w:szCs w:val="21"/>
          <w:highlight w:val="none"/>
        </w:rPr>
        <w:t>评</w:t>
      </w:r>
      <w:r>
        <w:rPr>
          <w:rFonts w:ascii="宋体" w:hAnsi="宋体"/>
          <w:color w:val="auto"/>
          <w:szCs w:val="21"/>
          <w:highlight w:val="none"/>
        </w:rPr>
        <w:t>分的算术平均数</w:t>
      </w:r>
      <w:r>
        <w:rPr>
          <w:rFonts w:hint="eastAsia" w:ascii="宋体" w:hAnsi="宋体"/>
          <w:color w:val="auto"/>
          <w:szCs w:val="21"/>
          <w:highlight w:val="none"/>
        </w:rPr>
        <w:t>，小数点后四舍五入保留二位小数。</w:t>
      </w:r>
    </w:p>
    <w:p w14:paraId="6938363D">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三、评审程序</w:t>
      </w:r>
    </w:p>
    <w:p w14:paraId="2C85A538">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1.资格审查</w:t>
      </w:r>
    </w:p>
    <w:p w14:paraId="1E200DC4">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由采购人或采购代理机构对</w:t>
      </w:r>
      <w:r>
        <w:rPr>
          <w:rFonts w:hint="eastAsia" w:ascii="宋体" w:hAnsi="宋体"/>
          <w:color w:val="auto"/>
          <w:szCs w:val="21"/>
          <w:highlight w:val="none"/>
        </w:rPr>
        <w:t>供应商进行资格审查</w:t>
      </w:r>
      <w:r>
        <w:rPr>
          <w:rFonts w:ascii="宋体" w:hAnsi="宋体"/>
          <w:color w:val="auto"/>
          <w:szCs w:val="21"/>
          <w:highlight w:val="none"/>
        </w:rPr>
        <w:t>。资格审查</w:t>
      </w:r>
      <w:r>
        <w:rPr>
          <w:rFonts w:hint="eastAsia" w:ascii="宋体" w:hAnsi="宋体"/>
          <w:color w:val="auto"/>
          <w:szCs w:val="21"/>
          <w:highlight w:val="none"/>
        </w:rPr>
        <w:t>内容</w:t>
      </w:r>
      <w:r>
        <w:rPr>
          <w:rFonts w:ascii="宋体" w:hAnsi="宋体"/>
          <w:color w:val="auto"/>
          <w:szCs w:val="21"/>
          <w:highlight w:val="none"/>
        </w:rPr>
        <w:t>如下：</w:t>
      </w:r>
    </w:p>
    <w:tbl>
      <w:tblPr>
        <w:tblStyle w:val="1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2552"/>
        <w:gridCol w:w="3969"/>
      </w:tblGrid>
      <w:tr w14:paraId="4297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4EBCE96D">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序号</w:t>
            </w:r>
          </w:p>
        </w:tc>
        <w:tc>
          <w:tcPr>
            <w:tcW w:w="1134" w:type="dxa"/>
            <w:tcBorders>
              <w:bottom w:val="single" w:color="auto" w:sz="4" w:space="0"/>
            </w:tcBorders>
            <w:vAlign w:val="center"/>
          </w:tcPr>
          <w:p w14:paraId="4053D08A">
            <w:pPr>
              <w:pStyle w:val="28"/>
              <w:pBdr>
                <w:bottom w:val="none" w:color="auto" w:sz="0" w:space="0"/>
              </w:pBdr>
              <w:tabs>
                <w:tab w:val="clear" w:pos="4153"/>
                <w:tab w:val="clear" w:pos="8306"/>
              </w:tabs>
              <w:snapToGrid w:val="0"/>
              <w:spacing w:line="240" w:lineRule="auto"/>
              <w:ind w:right="-50"/>
              <w:textAlignment w:val="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评审内容</w:t>
            </w:r>
          </w:p>
        </w:tc>
        <w:tc>
          <w:tcPr>
            <w:tcW w:w="2552" w:type="dxa"/>
            <w:tcBorders>
              <w:bottom w:val="single" w:color="auto" w:sz="4" w:space="0"/>
            </w:tcBorders>
            <w:vAlign w:val="center"/>
          </w:tcPr>
          <w:p w14:paraId="6A742515">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审查要求</w:t>
            </w:r>
          </w:p>
        </w:tc>
        <w:tc>
          <w:tcPr>
            <w:tcW w:w="3969" w:type="dxa"/>
            <w:tcBorders>
              <w:bottom w:val="single" w:color="auto" w:sz="4" w:space="0"/>
            </w:tcBorders>
            <w:vAlign w:val="center"/>
          </w:tcPr>
          <w:p w14:paraId="04BF8680">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要求说明</w:t>
            </w:r>
          </w:p>
        </w:tc>
      </w:tr>
      <w:tr w14:paraId="1613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09" w:type="dxa"/>
            <w:vAlign w:val="center"/>
          </w:tcPr>
          <w:p w14:paraId="4C920EF2">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1</w:t>
            </w:r>
          </w:p>
        </w:tc>
        <w:tc>
          <w:tcPr>
            <w:tcW w:w="1134" w:type="dxa"/>
            <w:vAlign w:val="center"/>
          </w:tcPr>
          <w:p w14:paraId="1A54498F">
            <w:pPr>
              <w:ind w:right="-50"/>
              <w:jc w:val="left"/>
              <w:rPr>
                <w:rFonts w:ascii="宋体" w:hAnsi="宋体"/>
                <w:color w:val="auto"/>
                <w:szCs w:val="21"/>
                <w:highlight w:val="none"/>
              </w:rPr>
            </w:pPr>
            <w:r>
              <w:rPr>
                <w:rFonts w:hint="eastAsia" w:ascii="宋体" w:hAnsi="宋体"/>
                <w:color w:val="auto"/>
                <w:szCs w:val="21"/>
                <w:highlight w:val="none"/>
              </w:rPr>
              <w:t>基本资质</w:t>
            </w:r>
          </w:p>
        </w:tc>
        <w:tc>
          <w:tcPr>
            <w:tcW w:w="2552" w:type="dxa"/>
            <w:vAlign w:val="center"/>
          </w:tcPr>
          <w:p w14:paraId="2E96BF27">
            <w:pPr>
              <w:ind w:right="-50"/>
              <w:jc w:val="left"/>
              <w:rPr>
                <w:rFonts w:ascii="宋体" w:hAnsi="宋体"/>
                <w:color w:val="auto"/>
                <w:szCs w:val="21"/>
                <w:highlight w:val="none"/>
              </w:rPr>
            </w:pPr>
            <w:r>
              <w:rPr>
                <w:rFonts w:hint="eastAsia" w:ascii="宋体" w:hAnsi="宋体"/>
                <w:color w:val="auto"/>
                <w:szCs w:val="21"/>
                <w:highlight w:val="none"/>
              </w:rPr>
              <w:t>满足《中华人民共和国政府采购法》第二十二条第一款规定</w:t>
            </w:r>
          </w:p>
        </w:tc>
        <w:tc>
          <w:tcPr>
            <w:tcW w:w="3969" w:type="dxa"/>
            <w:vAlign w:val="center"/>
          </w:tcPr>
          <w:p w14:paraId="68300A97">
            <w:pPr>
              <w:jc w:val="left"/>
              <w:rPr>
                <w:rFonts w:ascii="宋体" w:hAnsi="宋体"/>
                <w:color w:val="auto"/>
                <w:szCs w:val="21"/>
                <w:highlight w:val="none"/>
              </w:rPr>
            </w:pPr>
            <w:r>
              <w:rPr>
                <w:rFonts w:hint="eastAsia" w:ascii="宋体" w:hAnsi="宋体"/>
                <w:color w:val="auto"/>
                <w:szCs w:val="21"/>
                <w:highlight w:val="none"/>
              </w:rPr>
              <w:t>资格要求响应文件内提供《供应商资格声明函》。</w:t>
            </w:r>
          </w:p>
        </w:tc>
      </w:tr>
      <w:tr w14:paraId="05A2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795A06A4">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2</w:t>
            </w:r>
          </w:p>
        </w:tc>
        <w:tc>
          <w:tcPr>
            <w:tcW w:w="1134" w:type="dxa"/>
            <w:tcBorders>
              <w:bottom w:val="single" w:color="auto" w:sz="4" w:space="0"/>
            </w:tcBorders>
            <w:vAlign w:val="center"/>
          </w:tcPr>
          <w:p w14:paraId="0DBDA875">
            <w:pPr>
              <w:ind w:right="-50"/>
              <w:jc w:val="left"/>
              <w:rPr>
                <w:rFonts w:ascii="宋体" w:hAnsi="宋体"/>
                <w:color w:val="auto"/>
                <w:szCs w:val="21"/>
                <w:highlight w:val="none"/>
              </w:rPr>
            </w:pPr>
            <w:r>
              <w:rPr>
                <w:rFonts w:hint="eastAsia" w:ascii="宋体" w:hAnsi="宋体"/>
                <w:color w:val="auto"/>
                <w:szCs w:val="21"/>
                <w:highlight w:val="none"/>
              </w:rPr>
              <w:t>营业执照</w:t>
            </w:r>
          </w:p>
        </w:tc>
        <w:tc>
          <w:tcPr>
            <w:tcW w:w="2552" w:type="dxa"/>
            <w:tcBorders>
              <w:bottom w:val="single" w:color="auto" w:sz="4" w:space="0"/>
            </w:tcBorders>
            <w:vAlign w:val="center"/>
          </w:tcPr>
          <w:p w14:paraId="3FF4531E">
            <w:pPr>
              <w:ind w:right="-50"/>
              <w:jc w:val="left"/>
              <w:rPr>
                <w:rFonts w:ascii="宋体" w:hAnsi="宋体"/>
                <w:color w:val="auto"/>
                <w:szCs w:val="21"/>
                <w:highlight w:val="none"/>
              </w:rPr>
            </w:pPr>
            <w:r>
              <w:rPr>
                <w:rFonts w:hint="eastAsia" w:ascii="宋体" w:hAnsi="宋体" w:cs="宋体"/>
                <w:color w:val="auto"/>
                <w:kern w:val="1"/>
                <w:highlight w:val="none"/>
              </w:rPr>
              <w:t>营业执照等机构登记证明复印件</w:t>
            </w:r>
          </w:p>
        </w:tc>
        <w:tc>
          <w:tcPr>
            <w:tcW w:w="3969" w:type="dxa"/>
            <w:tcBorders>
              <w:bottom w:val="single" w:color="auto" w:sz="4" w:space="0"/>
            </w:tcBorders>
            <w:vAlign w:val="center"/>
          </w:tcPr>
          <w:p w14:paraId="1B256BBC">
            <w:pPr>
              <w:jc w:val="left"/>
              <w:rPr>
                <w:rFonts w:ascii="宋体" w:hAnsi="宋体"/>
                <w:color w:val="auto"/>
                <w:szCs w:val="21"/>
                <w:highlight w:val="none"/>
              </w:rPr>
            </w:pPr>
            <w:r>
              <w:rPr>
                <w:rFonts w:hint="eastAsia" w:ascii="宋体" w:hAnsi="宋体"/>
                <w:color w:val="auto"/>
                <w:szCs w:val="21"/>
                <w:highlight w:val="none"/>
              </w:rPr>
              <w:t>资格要求响应文件内提供有效</w:t>
            </w:r>
            <w:r>
              <w:rPr>
                <w:rFonts w:hint="eastAsia" w:ascii="宋体" w:hAnsi="宋体" w:cs="宋体"/>
                <w:color w:val="auto"/>
                <w:kern w:val="1"/>
                <w:highlight w:val="none"/>
              </w:rPr>
              <w:t>的营业执照等机构登记证明复印件，复印件</w:t>
            </w:r>
            <w:r>
              <w:rPr>
                <w:rFonts w:hint="eastAsia" w:ascii="宋体" w:hAnsi="宋体"/>
                <w:color w:val="auto"/>
                <w:szCs w:val="21"/>
                <w:highlight w:val="none"/>
              </w:rPr>
              <w:t>应完整清晰的体现出证明材料的全部内容。</w:t>
            </w:r>
          </w:p>
        </w:tc>
      </w:tr>
      <w:tr w14:paraId="64D2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5126F076">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3</w:t>
            </w:r>
          </w:p>
        </w:tc>
        <w:tc>
          <w:tcPr>
            <w:tcW w:w="1134" w:type="dxa"/>
            <w:tcBorders>
              <w:bottom w:val="single" w:color="auto" w:sz="4" w:space="0"/>
            </w:tcBorders>
            <w:vAlign w:val="center"/>
          </w:tcPr>
          <w:p w14:paraId="5DE3BC27">
            <w:pPr>
              <w:ind w:right="-50"/>
              <w:jc w:val="left"/>
              <w:rPr>
                <w:rFonts w:ascii="宋体" w:hAnsi="宋体"/>
                <w:color w:val="auto"/>
                <w:szCs w:val="21"/>
                <w:highlight w:val="none"/>
              </w:rPr>
            </w:pPr>
            <w:r>
              <w:rPr>
                <w:rFonts w:hint="eastAsia" w:ascii="宋体" w:hAnsi="宋体"/>
                <w:color w:val="auto"/>
                <w:szCs w:val="21"/>
                <w:highlight w:val="none"/>
              </w:rPr>
              <w:t>落实政府采购政策需满足的资格要求</w:t>
            </w:r>
          </w:p>
        </w:tc>
        <w:tc>
          <w:tcPr>
            <w:tcW w:w="2552" w:type="dxa"/>
            <w:tcBorders>
              <w:bottom w:val="single" w:color="auto" w:sz="4" w:space="0"/>
            </w:tcBorders>
            <w:vAlign w:val="center"/>
          </w:tcPr>
          <w:p w14:paraId="04B6037B">
            <w:pPr>
              <w:ind w:right="-50"/>
              <w:jc w:val="left"/>
              <w:rPr>
                <w:rFonts w:ascii="宋体" w:hAnsi="宋体" w:cs="宋体"/>
                <w:color w:val="auto"/>
                <w:kern w:val="1"/>
                <w:highlight w:val="none"/>
              </w:rPr>
            </w:pPr>
            <w:r>
              <w:rPr>
                <w:rFonts w:hint="eastAsia" w:ascii="宋体" w:hAnsi="宋体"/>
                <w:color w:val="auto"/>
                <w:szCs w:val="21"/>
                <w:highlight w:val="none"/>
              </w:rPr>
              <w:t>工程由符合政策要求的中小企业承接</w:t>
            </w:r>
          </w:p>
        </w:tc>
        <w:tc>
          <w:tcPr>
            <w:tcW w:w="3969" w:type="dxa"/>
            <w:tcBorders>
              <w:bottom w:val="single" w:color="auto" w:sz="4" w:space="0"/>
            </w:tcBorders>
            <w:vAlign w:val="center"/>
          </w:tcPr>
          <w:p w14:paraId="55B03AF5">
            <w:pPr>
              <w:jc w:val="left"/>
              <w:rPr>
                <w:rFonts w:ascii="宋体" w:hAnsi="宋体"/>
                <w:color w:val="auto"/>
                <w:szCs w:val="21"/>
                <w:highlight w:val="none"/>
              </w:rPr>
            </w:pPr>
            <w:r>
              <w:rPr>
                <w:rFonts w:hint="eastAsia" w:ascii="宋体" w:hAnsi="宋体"/>
                <w:color w:val="auto"/>
                <w:szCs w:val="21"/>
                <w:highlight w:val="none"/>
              </w:rPr>
              <w:t>提供符合要求的中小企业声明函或残疾人福利性单位声明函或监狱企业证明文件。</w:t>
            </w:r>
          </w:p>
        </w:tc>
      </w:tr>
      <w:tr w14:paraId="2272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0095A072">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4</w:t>
            </w:r>
          </w:p>
        </w:tc>
        <w:tc>
          <w:tcPr>
            <w:tcW w:w="1134" w:type="dxa"/>
            <w:tcBorders>
              <w:bottom w:val="single" w:color="auto" w:sz="4" w:space="0"/>
            </w:tcBorders>
            <w:vAlign w:val="center"/>
          </w:tcPr>
          <w:p w14:paraId="0738E645">
            <w:pPr>
              <w:ind w:right="-50"/>
              <w:jc w:val="left"/>
              <w:rPr>
                <w:rFonts w:ascii="宋体" w:hAnsi="宋体"/>
                <w:color w:val="auto"/>
                <w:szCs w:val="21"/>
                <w:highlight w:val="none"/>
              </w:rPr>
            </w:pPr>
            <w:r>
              <w:rPr>
                <w:rFonts w:hint="eastAsia" w:ascii="宋体" w:hAnsi="宋体"/>
                <w:color w:val="auto"/>
                <w:szCs w:val="21"/>
                <w:highlight w:val="none"/>
              </w:rPr>
              <w:t>特定资质</w:t>
            </w:r>
          </w:p>
        </w:tc>
        <w:tc>
          <w:tcPr>
            <w:tcW w:w="2552" w:type="dxa"/>
            <w:tcBorders>
              <w:bottom w:val="single" w:color="auto" w:sz="4" w:space="0"/>
            </w:tcBorders>
            <w:vAlign w:val="center"/>
          </w:tcPr>
          <w:p w14:paraId="2CE6A907">
            <w:pPr>
              <w:ind w:right="-50"/>
              <w:jc w:val="left"/>
              <w:rPr>
                <w:rFonts w:ascii="宋体" w:hAnsi="宋体"/>
                <w:color w:val="auto"/>
                <w:szCs w:val="21"/>
                <w:highlight w:val="none"/>
              </w:rPr>
            </w:pPr>
            <w:r>
              <w:rPr>
                <w:rFonts w:hint="eastAsia" w:ascii="宋体" w:hAnsi="宋体"/>
                <w:color w:val="auto"/>
                <w:szCs w:val="21"/>
                <w:highlight w:val="none"/>
              </w:rPr>
              <w:t>具有有效的建筑装修装饰工程专业承包贰级及以上资质，具有建设行政主管部门颁发的有效的安全生产许可证</w:t>
            </w:r>
          </w:p>
        </w:tc>
        <w:tc>
          <w:tcPr>
            <w:tcW w:w="3969" w:type="dxa"/>
            <w:tcBorders>
              <w:bottom w:val="single" w:color="auto" w:sz="4" w:space="0"/>
            </w:tcBorders>
            <w:vAlign w:val="center"/>
          </w:tcPr>
          <w:p w14:paraId="27EF4D38">
            <w:pPr>
              <w:ind w:right="-50"/>
              <w:jc w:val="left"/>
              <w:rPr>
                <w:rFonts w:ascii="宋体" w:hAnsi="宋体"/>
                <w:color w:val="auto"/>
                <w:szCs w:val="21"/>
                <w:highlight w:val="none"/>
              </w:rPr>
            </w:pPr>
            <w:r>
              <w:rPr>
                <w:rFonts w:hint="eastAsia" w:ascii="宋体" w:hAnsi="宋体"/>
                <w:color w:val="auto"/>
                <w:szCs w:val="21"/>
                <w:highlight w:val="none"/>
              </w:rPr>
              <w:t>资格要求响应文件内提供有效的建筑装修装饰工程专业承包贰级及以上资质证书的复印件和建设行政主管部门颁发的有效的安全生产许可证复印件。</w:t>
            </w:r>
          </w:p>
        </w:tc>
      </w:tr>
      <w:tr w14:paraId="08D5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9" w:type="dxa"/>
            <w:tcBorders>
              <w:bottom w:val="single" w:color="auto" w:sz="4" w:space="0"/>
            </w:tcBorders>
            <w:vAlign w:val="center"/>
          </w:tcPr>
          <w:p w14:paraId="11393925">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5</w:t>
            </w:r>
          </w:p>
        </w:tc>
        <w:tc>
          <w:tcPr>
            <w:tcW w:w="1134" w:type="dxa"/>
            <w:tcBorders>
              <w:bottom w:val="single" w:color="auto" w:sz="4" w:space="0"/>
            </w:tcBorders>
            <w:vAlign w:val="center"/>
          </w:tcPr>
          <w:p w14:paraId="5B51F17B">
            <w:pPr>
              <w:ind w:right="-50"/>
              <w:jc w:val="left"/>
              <w:rPr>
                <w:rFonts w:ascii="宋体" w:hAnsi="宋体"/>
                <w:color w:val="auto"/>
                <w:szCs w:val="21"/>
                <w:highlight w:val="none"/>
              </w:rPr>
            </w:pPr>
            <w:r>
              <w:rPr>
                <w:rFonts w:hint="eastAsia" w:ascii="宋体" w:hAnsi="宋体"/>
                <w:color w:val="auto"/>
                <w:szCs w:val="21"/>
                <w:highlight w:val="none"/>
              </w:rPr>
              <w:t>信用情况</w:t>
            </w:r>
          </w:p>
        </w:tc>
        <w:tc>
          <w:tcPr>
            <w:tcW w:w="2552" w:type="dxa"/>
            <w:tcBorders>
              <w:bottom w:val="single" w:color="auto" w:sz="4" w:space="0"/>
            </w:tcBorders>
            <w:vAlign w:val="center"/>
          </w:tcPr>
          <w:p w14:paraId="71A9E43E">
            <w:pPr>
              <w:ind w:right="-50"/>
              <w:jc w:val="left"/>
              <w:rPr>
                <w:rFonts w:ascii="宋体" w:hAnsi="宋体"/>
                <w:color w:val="auto"/>
                <w:szCs w:val="21"/>
                <w:highlight w:val="none"/>
              </w:rPr>
            </w:pPr>
            <w:r>
              <w:rPr>
                <w:rFonts w:hint="eastAsia" w:ascii="宋体" w:hAnsi="宋体"/>
                <w:color w:val="auto"/>
                <w:szCs w:val="21"/>
                <w:highlight w:val="none"/>
              </w:rPr>
              <w:t>未被“信用中国”（www.creditchina.gov.cn)、中国政府采购网（www.ccgp.gov.cn）列入失信被执行人、重大税收违法失信主体、政府采购严重违法失信行为记录名单</w:t>
            </w:r>
          </w:p>
        </w:tc>
        <w:tc>
          <w:tcPr>
            <w:tcW w:w="3969" w:type="dxa"/>
            <w:tcBorders>
              <w:bottom w:val="single" w:color="auto" w:sz="4" w:space="0"/>
            </w:tcBorders>
            <w:vAlign w:val="center"/>
          </w:tcPr>
          <w:p w14:paraId="1DA61DE7">
            <w:pPr>
              <w:adjustRightInd w:val="0"/>
              <w:snapToGrid w:val="0"/>
              <w:ind w:right="-50"/>
              <w:jc w:val="left"/>
              <w:rPr>
                <w:rFonts w:ascii="宋体" w:hAnsi="宋体"/>
                <w:color w:val="auto"/>
                <w:szCs w:val="21"/>
                <w:highlight w:val="none"/>
              </w:rPr>
            </w:pPr>
            <w:r>
              <w:rPr>
                <w:rFonts w:hint="eastAsia" w:ascii="宋体" w:hAnsi="宋体"/>
                <w:color w:val="auto"/>
                <w:szCs w:val="21"/>
                <w:highlight w:val="none"/>
              </w:rPr>
              <w:t>无需提供材料。</w:t>
            </w:r>
          </w:p>
        </w:tc>
      </w:tr>
    </w:tbl>
    <w:p w14:paraId="13B1721E">
      <w:pPr>
        <w:spacing w:line="360" w:lineRule="auto"/>
        <w:ind w:firstLine="422"/>
        <w:rPr>
          <w:rFonts w:ascii="宋体" w:hAnsi="宋体"/>
          <w:color w:val="auto"/>
          <w:szCs w:val="21"/>
          <w:highlight w:val="none"/>
        </w:rPr>
      </w:pPr>
      <w:r>
        <w:rPr>
          <w:rFonts w:hint="eastAsia" w:ascii="宋体" w:hAnsi="宋体"/>
          <w:b/>
          <w:bCs/>
          <w:color w:val="auto"/>
          <w:szCs w:val="21"/>
          <w:highlight w:val="none"/>
        </w:rPr>
        <w:t>资格审查指标通过标准：</w:t>
      </w:r>
      <w:r>
        <w:rPr>
          <w:rFonts w:hint="eastAsia" w:ascii="宋体" w:hAnsi="宋体"/>
          <w:color w:val="auto"/>
          <w:szCs w:val="21"/>
          <w:highlight w:val="none"/>
        </w:rPr>
        <w:t>供应商必须通过资格审查表中的全部评审指标。</w:t>
      </w:r>
    </w:p>
    <w:p w14:paraId="1973B301">
      <w:pPr>
        <w:spacing w:line="360" w:lineRule="auto"/>
        <w:ind w:firstLine="422"/>
        <w:rPr>
          <w:rFonts w:ascii="宋体" w:hAnsi="宋体"/>
          <w:b/>
          <w:color w:val="auto"/>
          <w:szCs w:val="21"/>
          <w:highlight w:val="none"/>
        </w:rPr>
      </w:pPr>
      <w:r>
        <w:rPr>
          <w:rFonts w:hint="eastAsia" w:ascii="宋体" w:hAnsi="宋体"/>
          <w:b/>
          <w:color w:val="auto"/>
          <w:szCs w:val="21"/>
          <w:highlight w:val="none"/>
        </w:rPr>
        <w:t>2.符合性审查</w:t>
      </w:r>
    </w:p>
    <w:p w14:paraId="06A6F97F">
      <w:pPr>
        <w:spacing w:line="360" w:lineRule="auto"/>
        <w:ind w:firstLine="420"/>
        <w:rPr>
          <w:rFonts w:ascii="宋体" w:hAnsi="宋体"/>
          <w:color w:val="auto"/>
          <w:szCs w:val="21"/>
          <w:highlight w:val="none"/>
        </w:rPr>
      </w:pPr>
      <w:r>
        <w:rPr>
          <w:rFonts w:hint="eastAsia" w:ascii="宋体" w:hAnsi="宋体"/>
          <w:color w:val="auto"/>
          <w:szCs w:val="21"/>
          <w:highlight w:val="none"/>
        </w:rPr>
        <w:t>磋商小组对通过资格审查的供应商的响应文件进行符合性审查，以确定其是否满足磋商文件的实质性要求。符合性</w:t>
      </w:r>
      <w:r>
        <w:rPr>
          <w:rFonts w:ascii="宋体" w:hAnsi="宋体"/>
          <w:color w:val="auto"/>
          <w:szCs w:val="21"/>
          <w:highlight w:val="none"/>
        </w:rPr>
        <w:t>审查</w:t>
      </w:r>
      <w:r>
        <w:rPr>
          <w:rFonts w:hint="eastAsia" w:ascii="宋体" w:hAnsi="宋体"/>
          <w:color w:val="auto"/>
          <w:szCs w:val="21"/>
          <w:highlight w:val="none"/>
        </w:rPr>
        <w:t>内容</w:t>
      </w:r>
      <w:r>
        <w:rPr>
          <w:rFonts w:ascii="宋体" w:hAnsi="宋体"/>
          <w:color w:val="auto"/>
          <w:szCs w:val="21"/>
          <w:highlight w:val="none"/>
        </w:rPr>
        <w:t>如下</w:t>
      </w:r>
      <w:r>
        <w:rPr>
          <w:rFonts w:hint="eastAsia" w:ascii="宋体" w:hAnsi="宋体"/>
          <w:color w:val="auto"/>
          <w:szCs w:val="21"/>
          <w:highlight w:val="none"/>
        </w:rPr>
        <w:t>：</w:t>
      </w:r>
    </w:p>
    <w:p w14:paraId="4EBE1F3B">
      <w:pPr>
        <w:pStyle w:val="2"/>
        <w:rPr>
          <w:rFonts w:ascii="宋体" w:hAnsi="宋体"/>
          <w:color w:val="auto"/>
          <w:highlight w:val="none"/>
        </w:rPr>
      </w:pPr>
    </w:p>
    <w:tbl>
      <w:tblPr>
        <w:tblStyle w:val="1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3260"/>
        <w:gridCol w:w="2694"/>
      </w:tblGrid>
      <w:tr w14:paraId="2874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14:paraId="6EC0E6B5">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序号</w:t>
            </w:r>
          </w:p>
        </w:tc>
        <w:tc>
          <w:tcPr>
            <w:tcW w:w="1690" w:type="dxa"/>
            <w:tcBorders>
              <w:bottom w:val="single" w:color="auto" w:sz="4" w:space="0"/>
            </w:tcBorders>
            <w:vAlign w:val="center"/>
          </w:tcPr>
          <w:p w14:paraId="795FAA82">
            <w:pPr>
              <w:pStyle w:val="28"/>
              <w:pBdr>
                <w:bottom w:val="none" w:color="auto" w:sz="0" w:space="0"/>
              </w:pBdr>
              <w:tabs>
                <w:tab w:val="clear" w:pos="4153"/>
                <w:tab w:val="clear" w:pos="8306"/>
              </w:tabs>
              <w:snapToGrid w:val="0"/>
              <w:spacing w:line="240" w:lineRule="auto"/>
              <w:ind w:right="-50"/>
              <w:textAlignment w:val="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评审内容</w:t>
            </w:r>
          </w:p>
        </w:tc>
        <w:tc>
          <w:tcPr>
            <w:tcW w:w="3260" w:type="dxa"/>
            <w:tcBorders>
              <w:bottom w:val="single" w:color="auto" w:sz="4" w:space="0"/>
            </w:tcBorders>
            <w:vAlign w:val="center"/>
          </w:tcPr>
          <w:p w14:paraId="661D27B3">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要求</w:t>
            </w:r>
          </w:p>
        </w:tc>
        <w:tc>
          <w:tcPr>
            <w:tcW w:w="2694" w:type="dxa"/>
            <w:tcBorders>
              <w:bottom w:val="single" w:color="auto" w:sz="4" w:space="0"/>
            </w:tcBorders>
            <w:vAlign w:val="center"/>
          </w:tcPr>
          <w:p w14:paraId="0788DC37">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要求说明</w:t>
            </w:r>
          </w:p>
        </w:tc>
      </w:tr>
      <w:tr w14:paraId="08A0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Align w:val="center"/>
          </w:tcPr>
          <w:p w14:paraId="283AEDD7">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1</w:t>
            </w:r>
          </w:p>
        </w:tc>
        <w:tc>
          <w:tcPr>
            <w:tcW w:w="1690" w:type="dxa"/>
            <w:vAlign w:val="center"/>
          </w:tcPr>
          <w:p w14:paraId="77C30EB2">
            <w:pPr>
              <w:ind w:right="-50"/>
              <w:jc w:val="center"/>
              <w:rPr>
                <w:rFonts w:ascii="宋体" w:hAnsi="宋体"/>
                <w:color w:val="auto"/>
                <w:szCs w:val="21"/>
                <w:highlight w:val="none"/>
              </w:rPr>
            </w:pPr>
            <w:r>
              <w:rPr>
                <w:rFonts w:hint="eastAsia" w:ascii="宋体" w:hAnsi="宋体"/>
                <w:color w:val="auto"/>
                <w:szCs w:val="21"/>
                <w:highlight w:val="none"/>
              </w:rPr>
              <w:t>磋商报价</w:t>
            </w:r>
          </w:p>
        </w:tc>
        <w:tc>
          <w:tcPr>
            <w:tcW w:w="3260" w:type="dxa"/>
            <w:vAlign w:val="center"/>
          </w:tcPr>
          <w:p w14:paraId="1117A858">
            <w:pPr>
              <w:ind w:right="-50"/>
              <w:jc w:val="left"/>
              <w:rPr>
                <w:rFonts w:ascii="宋体" w:hAnsi="宋体"/>
                <w:color w:val="auto"/>
                <w:szCs w:val="21"/>
                <w:highlight w:val="none"/>
              </w:rPr>
            </w:pPr>
            <w:r>
              <w:rPr>
                <w:rFonts w:hint="eastAsia" w:ascii="宋体" w:hAnsi="宋体"/>
                <w:color w:val="auto"/>
                <w:szCs w:val="21"/>
                <w:highlight w:val="none"/>
              </w:rPr>
              <w:t>《初次报价表》格式、金额符合磋商文件要求并加盖公章</w:t>
            </w:r>
          </w:p>
        </w:tc>
        <w:tc>
          <w:tcPr>
            <w:tcW w:w="2694" w:type="dxa"/>
            <w:vAlign w:val="center"/>
          </w:tcPr>
          <w:p w14:paraId="53A1FE2D">
            <w:pPr>
              <w:adjustRightInd w:val="0"/>
              <w:snapToGrid w:val="0"/>
              <w:ind w:right="-50"/>
              <w:jc w:val="left"/>
              <w:rPr>
                <w:rFonts w:ascii="宋体" w:hAnsi="宋体"/>
                <w:color w:val="auto"/>
                <w:szCs w:val="21"/>
                <w:highlight w:val="none"/>
              </w:rPr>
            </w:pPr>
            <w:r>
              <w:rPr>
                <w:rFonts w:hint="eastAsia" w:ascii="宋体" w:hAnsi="宋体"/>
                <w:color w:val="auto"/>
                <w:szCs w:val="21"/>
                <w:highlight w:val="none"/>
              </w:rPr>
              <w:t>响应文件内提供《初次报价表》，磋商过程中按照磋商小组要求提供报价资料。</w:t>
            </w:r>
          </w:p>
        </w:tc>
      </w:tr>
      <w:tr w14:paraId="426D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0" w:type="dxa"/>
            <w:vAlign w:val="center"/>
          </w:tcPr>
          <w:p w14:paraId="1F9AFC0D">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2</w:t>
            </w:r>
          </w:p>
        </w:tc>
        <w:tc>
          <w:tcPr>
            <w:tcW w:w="1690" w:type="dxa"/>
            <w:vAlign w:val="center"/>
          </w:tcPr>
          <w:p w14:paraId="17C43785">
            <w:pPr>
              <w:ind w:right="-50"/>
              <w:jc w:val="center"/>
              <w:rPr>
                <w:rFonts w:ascii="宋体" w:hAnsi="宋体"/>
                <w:color w:val="auto"/>
                <w:szCs w:val="21"/>
                <w:highlight w:val="none"/>
              </w:rPr>
            </w:pPr>
            <w:r>
              <w:rPr>
                <w:rFonts w:hint="eastAsia" w:ascii="宋体" w:hAnsi="宋体"/>
                <w:color w:val="auto"/>
                <w:szCs w:val="21"/>
                <w:highlight w:val="none"/>
              </w:rPr>
              <w:t>响应函</w:t>
            </w:r>
          </w:p>
        </w:tc>
        <w:tc>
          <w:tcPr>
            <w:tcW w:w="3260" w:type="dxa"/>
            <w:vAlign w:val="center"/>
          </w:tcPr>
          <w:p w14:paraId="5D92B704">
            <w:pPr>
              <w:ind w:right="-50"/>
              <w:jc w:val="left"/>
              <w:rPr>
                <w:rFonts w:ascii="宋体" w:hAnsi="宋体"/>
                <w:color w:val="auto"/>
                <w:szCs w:val="21"/>
                <w:highlight w:val="none"/>
              </w:rPr>
            </w:pPr>
            <w:r>
              <w:rPr>
                <w:rFonts w:hint="eastAsia" w:ascii="宋体" w:hAnsi="宋体"/>
                <w:color w:val="auto"/>
                <w:szCs w:val="21"/>
                <w:highlight w:val="none"/>
              </w:rPr>
              <w:t>《响应函》格式、填写符合磋商文件要求并加盖公章</w:t>
            </w:r>
          </w:p>
        </w:tc>
        <w:tc>
          <w:tcPr>
            <w:tcW w:w="2694" w:type="dxa"/>
            <w:vAlign w:val="center"/>
          </w:tcPr>
          <w:p w14:paraId="6083FC27">
            <w:pPr>
              <w:adjustRightInd w:val="0"/>
              <w:snapToGrid w:val="0"/>
              <w:ind w:right="-50"/>
              <w:jc w:val="left"/>
              <w:rPr>
                <w:rFonts w:ascii="宋体" w:hAnsi="宋体"/>
                <w:color w:val="auto"/>
                <w:szCs w:val="21"/>
                <w:highlight w:val="none"/>
              </w:rPr>
            </w:pPr>
            <w:r>
              <w:rPr>
                <w:rFonts w:hint="eastAsia" w:ascii="宋体" w:hAnsi="宋体"/>
                <w:color w:val="auto"/>
                <w:szCs w:val="21"/>
                <w:highlight w:val="none"/>
              </w:rPr>
              <w:t>响应文件内提供《响应函》</w:t>
            </w:r>
          </w:p>
        </w:tc>
      </w:tr>
      <w:tr w14:paraId="3B8E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20" w:type="dxa"/>
            <w:vAlign w:val="center"/>
          </w:tcPr>
          <w:p w14:paraId="762F8A88">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3</w:t>
            </w:r>
          </w:p>
        </w:tc>
        <w:tc>
          <w:tcPr>
            <w:tcW w:w="1690" w:type="dxa"/>
            <w:vAlign w:val="center"/>
          </w:tcPr>
          <w:p w14:paraId="18E27094">
            <w:pPr>
              <w:ind w:right="-50"/>
              <w:jc w:val="center"/>
              <w:rPr>
                <w:rFonts w:ascii="宋体" w:hAnsi="宋体"/>
                <w:color w:val="auto"/>
                <w:szCs w:val="21"/>
                <w:highlight w:val="none"/>
              </w:rPr>
            </w:pPr>
            <w:r>
              <w:rPr>
                <w:rFonts w:hint="eastAsia" w:ascii="宋体" w:hAnsi="宋体"/>
                <w:color w:val="auto"/>
                <w:szCs w:val="21"/>
                <w:highlight w:val="none"/>
              </w:rPr>
              <w:t>响应文件盖章</w:t>
            </w:r>
          </w:p>
        </w:tc>
        <w:tc>
          <w:tcPr>
            <w:tcW w:w="3260" w:type="dxa"/>
            <w:vAlign w:val="center"/>
          </w:tcPr>
          <w:p w14:paraId="4205AA45">
            <w:pPr>
              <w:ind w:right="-50"/>
              <w:jc w:val="left"/>
              <w:rPr>
                <w:rFonts w:ascii="宋体" w:hAnsi="宋体"/>
                <w:color w:val="auto"/>
                <w:szCs w:val="21"/>
                <w:highlight w:val="none"/>
              </w:rPr>
            </w:pPr>
            <w:r>
              <w:rPr>
                <w:rFonts w:hint="eastAsia" w:ascii="宋体" w:hAnsi="宋体"/>
                <w:color w:val="auto"/>
                <w:szCs w:val="21"/>
                <w:highlight w:val="none"/>
              </w:rPr>
              <w:t>响应文件按照磋商文件要求进行盖章</w:t>
            </w:r>
          </w:p>
        </w:tc>
        <w:tc>
          <w:tcPr>
            <w:tcW w:w="2694" w:type="dxa"/>
            <w:vAlign w:val="center"/>
          </w:tcPr>
          <w:p w14:paraId="6E61DDFF">
            <w:pPr>
              <w:adjustRightInd w:val="0"/>
              <w:snapToGrid w:val="0"/>
              <w:ind w:right="-50"/>
              <w:jc w:val="left"/>
              <w:rPr>
                <w:rFonts w:ascii="宋体" w:hAnsi="宋体"/>
                <w:color w:val="auto"/>
                <w:szCs w:val="21"/>
                <w:highlight w:val="none"/>
              </w:rPr>
            </w:pPr>
            <w:r>
              <w:rPr>
                <w:rFonts w:hint="eastAsia" w:ascii="宋体" w:hAnsi="宋体"/>
                <w:color w:val="auto"/>
                <w:szCs w:val="21"/>
                <w:highlight w:val="none"/>
              </w:rPr>
              <w:t>响应文件相关资料盖章满足磋商文件要求</w:t>
            </w:r>
          </w:p>
        </w:tc>
      </w:tr>
      <w:tr w14:paraId="7E4B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56C259C">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4</w:t>
            </w:r>
          </w:p>
        </w:tc>
        <w:tc>
          <w:tcPr>
            <w:tcW w:w="1690" w:type="dxa"/>
            <w:vAlign w:val="center"/>
          </w:tcPr>
          <w:p w14:paraId="00EBB16F">
            <w:pPr>
              <w:ind w:right="-50"/>
              <w:jc w:val="center"/>
              <w:rPr>
                <w:rFonts w:ascii="宋体" w:hAnsi="宋体"/>
                <w:color w:val="auto"/>
                <w:szCs w:val="21"/>
                <w:highlight w:val="none"/>
              </w:rPr>
            </w:pPr>
            <w:r>
              <w:rPr>
                <w:rFonts w:hint="eastAsia" w:ascii="宋体" w:hAnsi="宋体"/>
                <w:color w:val="auto"/>
                <w:szCs w:val="21"/>
                <w:highlight w:val="none"/>
              </w:rPr>
              <w:t>采购需求响应</w:t>
            </w:r>
          </w:p>
        </w:tc>
        <w:tc>
          <w:tcPr>
            <w:tcW w:w="3260" w:type="dxa"/>
            <w:vAlign w:val="center"/>
          </w:tcPr>
          <w:p w14:paraId="6D02A80B">
            <w:pPr>
              <w:ind w:right="-50"/>
              <w:jc w:val="left"/>
              <w:rPr>
                <w:rFonts w:ascii="宋体" w:hAnsi="宋体"/>
                <w:color w:val="auto"/>
                <w:szCs w:val="21"/>
                <w:highlight w:val="none"/>
              </w:rPr>
            </w:pPr>
            <w:r>
              <w:rPr>
                <w:rFonts w:hint="eastAsia" w:ascii="宋体" w:hAnsi="宋体"/>
                <w:color w:val="auto"/>
                <w:szCs w:val="21"/>
                <w:highlight w:val="none"/>
              </w:rPr>
              <w:t>符合磋商文件采购需求中明确的实质性要求。</w:t>
            </w:r>
          </w:p>
        </w:tc>
        <w:tc>
          <w:tcPr>
            <w:tcW w:w="2694" w:type="dxa"/>
            <w:vAlign w:val="center"/>
          </w:tcPr>
          <w:p w14:paraId="19F59B18">
            <w:pPr>
              <w:rPr>
                <w:rFonts w:ascii="宋体" w:hAnsi="宋体"/>
                <w:color w:val="auto"/>
                <w:szCs w:val="21"/>
                <w:highlight w:val="none"/>
              </w:rPr>
            </w:pPr>
            <w:r>
              <w:rPr>
                <w:rFonts w:hint="eastAsia" w:ascii="宋体" w:hAnsi="宋体"/>
                <w:color w:val="auto"/>
                <w:szCs w:val="21"/>
                <w:highlight w:val="none"/>
              </w:rPr>
              <w:t>响应文件提供采购需求偏离和建议调整表</w:t>
            </w:r>
          </w:p>
        </w:tc>
      </w:tr>
      <w:tr w14:paraId="6AB2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20" w:type="dxa"/>
            <w:vAlign w:val="center"/>
          </w:tcPr>
          <w:p w14:paraId="39FA2BE2">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5</w:t>
            </w:r>
          </w:p>
        </w:tc>
        <w:tc>
          <w:tcPr>
            <w:tcW w:w="1690" w:type="dxa"/>
            <w:vAlign w:val="center"/>
          </w:tcPr>
          <w:p w14:paraId="4D724A0D">
            <w:pPr>
              <w:ind w:right="-50"/>
              <w:jc w:val="center"/>
              <w:rPr>
                <w:rFonts w:ascii="宋体" w:hAnsi="宋体"/>
                <w:color w:val="auto"/>
                <w:szCs w:val="21"/>
                <w:highlight w:val="none"/>
              </w:rPr>
            </w:pPr>
            <w:r>
              <w:rPr>
                <w:rFonts w:hint="eastAsia" w:ascii="宋体" w:hAnsi="宋体"/>
                <w:color w:val="auto"/>
                <w:szCs w:val="21"/>
                <w:highlight w:val="none"/>
              </w:rPr>
              <w:t>其他要求</w:t>
            </w:r>
          </w:p>
        </w:tc>
        <w:tc>
          <w:tcPr>
            <w:tcW w:w="3260" w:type="dxa"/>
            <w:vAlign w:val="center"/>
          </w:tcPr>
          <w:p w14:paraId="348FC378">
            <w:pPr>
              <w:ind w:right="-50"/>
              <w:jc w:val="left"/>
              <w:rPr>
                <w:rFonts w:ascii="宋体" w:hAnsi="宋体"/>
                <w:color w:val="auto"/>
                <w:szCs w:val="21"/>
                <w:highlight w:val="none"/>
              </w:rPr>
            </w:pPr>
            <w:r>
              <w:rPr>
                <w:rFonts w:hint="eastAsia" w:ascii="宋体" w:hAnsi="宋体"/>
                <w:color w:val="auto"/>
                <w:szCs w:val="21"/>
                <w:highlight w:val="none"/>
              </w:rPr>
              <w:t>符合法律、行政法规规定的其他要求或不存在无效响应的情形</w:t>
            </w:r>
          </w:p>
        </w:tc>
        <w:tc>
          <w:tcPr>
            <w:tcW w:w="2694" w:type="dxa"/>
            <w:vAlign w:val="center"/>
          </w:tcPr>
          <w:p w14:paraId="0A4A97E8">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除非磋商文件要求提供，否则无需提供材料</w:t>
            </w:r>
          </w:p>
        </w:tc>
      </w:tr>
    </w:tbl>
    <w:p w14:paraId="56378CFC">
      <w:pPr>
        <w:spacing w:line="360" w:lineRule="auto"/>
        <w:ind w:firstLine="422"/>
        <w:rPr>
          <w:rFonts w:ascii="宋体" w:hAnsi="宋体"/>
          <w:color w:val="auto"/>
          <w:szCs w:val="21"/>
          <w:highlight w:val="none"/>
        </w:rPr>
      </w:pPr>
      <w:r>
        <w:rPr>
          <w:rFonts w:hint="eastAsia" w:ascii="宋体" w:hAnsi="宋体"/>
          <w:b/>
          <w:bCs/>
          <w:color w:val="auto"/>
          <w:szCs w:val="21"/>
          <w:highlight w:val="none"/>
        </w:rPr>
        <w:t>符合性审查指标通过标准：</w:t>
      </w:r>
      <w:r>
        <w:rPr>
          <w:rFonts w:hint="eastAsia" w:ascii="宋体" w:hAnsi="宋体"/>
          <w:color w:val="auto"/>
          <w:szCs w:val="21"/>
          <w:highlight w:val="none"/>
        </w:rPr>
        <w:t>供应商必须通过符合性审查表中的全部评审指标。</w:t>
      </w:r>
    </w:p>
    <w:p w14:paraId="2C287A36">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w:t>
      </w:r>
      <w:r>
        <w:rPr>
          <w:rFonts w:hint="eastAsia" w:ascii="宋体" w:hAnsi="宋体"/>
          <w:b/>
          <w:color w:val="auto"/>
          <w:szCs w:val="21"/>
          <w:highlight w:val="none"/>
        </w:rPr>
        <w:t>详细审查和评分（评审标准兼评委打分表）</w:t>
      </w:r>
    </w:p>
    <w:tbl>
      <w:tblPr>
        <w:tblStyle w:val="17"/>
        <w:tblW w:w="50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551"/>
        <w:gridCol w:w="6691"/>
        <w:gridCol w:w="741"/>
      </w:tblGrid>
      <w:tr w14:paraId="64FF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570" w:type="pct"/>
            <w:gridSpan w:val="3"/>
            <w:tcBorders>
              <w:tl2br w:val="single" w:color="auto" w:sz="4" w:space="0"/>
            </w:tcBorders>
            <w:vAlign w:val="center"/>
          </w:tcPr>
          <w:p w14:paraId="27E53B37">
            <w:pPr>
              <w:spacing w:line="400" w:lineRule="exact"/>
              <w:jc w:val="right"/>
              <w:rPr>
                <w:rFonts w:ascii="宋体" w:hAnsi="宋体" w:cs="宋体"/>
                <w:color w:val="auto"/>
                <w:szCs w:val="21"/>
                <w:highlight w:val="none"/>
              </w:rPr>
            </w:pPr>
            <w:r>
              <w:rPr>
                <w:rFonts w:hint="eastAsia" w:ascii="宋体" w:hAnsi="宋体" w:cs="宋体"/>
                <w:color w:val="auto"/>
                <w:szCs w:val="21"/>
                <w:highlight w:val="none"/>
              </w:rPr>
              <w:t>供应商</w:t>
            </w:r>
          </w:p>
          <w:p w14:paraId="201D7F67">
            <w:pPr>
              <w:spacing w:line="400" w:lineRule="exact"/>
              <w:rPr>
                <w:rFonts w:ascii="宋体" w:hAnsi="宋体" w:cs="宋体"/>
                <w:color w:val="auto"/>
                <w:szCs w:val="21"/>
                <w:highlight w:val="none"/>
              </w:rPr>
            </w:pPr>
            <w:r>
              <w:rPr>
                <w:rFonts w:hint="eastAsia" w:ascii="宋体" w:hAnsi="宋体" w:cs="宋体"/>
                <w:color w:val="auto"/>
                <w:szCs w:val="21"/>
                <w:highlight w:val="none"/>
              </w:rPr>
              <w:t>分值</w:t>
            </w:r>
          </w:p>
        </w:tc>
        <w:tc>
          <w:tcPr>
            <w:tcW w:w="430" w:type="pct"/>
            <w:vAlign w:val="center"/>
          </w:tcPr>
          <w:p w14:paraId="26AD64C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分值范围</w:t>
            </w:r>
          </w:p>
        </w:tc>
      </w:tr>
      <w:tr w14:paraId="586D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 w:type="pct"/>
            <w:vMerge w:val="restart"/>
            <w:vAlign w:val="center"/>
          </w:tcPr>
          <w:p w14:paraId="38A7E9A1">
            <w:pPr>
              <w:spacing w:line="400" w:lineRule="exact"/>
              <w:jc w:val="center"/>
              <w:rPr>
                <w:rFonts w:ascii="宋体" w:hAnsi="宋体" w:cs="宋体"/>
                <w:color w:val="auto"/>
                <w:szCs w:val="21"/>
                <w:highlight w:val="none"/>
              </w:rPr>
            </w:pPr>
            <w:bookmarkStart w:id="58" w:name="_Hlk134798190"/>
            <w:r>
              <w:rPr>
                <w:rFonts w:hint="eastAsia" w:ascii="宋体" w:hAnsi="宋体" w:cs="宋体"/>
                <w:color w:val="auto"/>
                <w:szCs w:val="20"/>
                <w:highlight w:val="none"/>
              </w:rPr>
              <w:t>商务技术70分</w:t>
            </w:r>
          </w:p>
        </w:tc>
        <w:tc>
          <w:tcPr>
            <w:tcW w:w="320" w:type="pct"/>
            <w:vAlign w:val="center"/>
          </w:tcPr>
          <w:p w14:paraId="1CBA949D">
            <w:pPr>
              <w:spacing w:line="400" w:lineRule="exact"/>
              <w:jc w:val="center"/>
              <w:rPr>
                <w:rFonts w:ascii="宋体" w:hAnsi="宋体" w:cs="宋体"/>
                <w:color w:val="auto"/>
                <w:szCs w:val="21"/>
                <w:highlight w:val="none"/>
              </w:rPr>
            </w:pPr>
            <w:r>
              <w:rPr>
                <w:rFonts w:ascii="宋体" w:hAnsi="宋体" w:cs="宋体"/>
                <w:color w:val="auto"/>
                <w:szCs w:val="21"/>
                <w:highlight w:val="none"/>
              </w:rPr>
              <w:t>1</w:t>
            </w:r>
          </w:p>
        </w:tc>
        <w:tc>
          <w:tcPr>
            <w:tcW w:w="3884" w:type="pct"/>
            <w:vAlign w:val="center"/>
          </w:tcPr>
          <w:p w14:paraId="3CE41DAE">
            <w:pPr>
              <w:spacing w:line="400" w:lineRule="exact"/>
              <w:rPr>
                <w:rFonts w:ascii="宋体" w:hAnsi="宋体" w:cs="宋体"/>
                <w:color w:val="auto"/>
                <w:szCs w:val="21"/>
                <w:highlight w:val="none"/>
              </w:rPr>
            </w:pPr>
            <w:r>
              <w:rPr>
                <w:rFonts w:hint="eastAsia" w:ascii="宋体" w:hAnsi="宋体" w:cs="宋体"/>
                <w:color w:val="auto"/>
                <w:szCs w:val="21"/>
                <w:highlight w:val="none"/>
              </w:rPr>
              <w:t>根据供应商提供的施工方案（包含施工工艺和工序等）进行综合评议，最高得10分。</w:t>
            </w:r>
          </w:p>
          <w:p w14:paraId="16538377">
            <w:pPr>
              <w:spacing w:line="400" w:lineRule="exact"/>
              <w:rPr>
                <w:rFonts w:ascii="宋体" w:hAnsi="宋体" w:cs="宋体"/>
                <w:color w:val="auto"/>
                <w:szCs w:val="21"/>
                <w:highlight w:val="none"/>
              </w:rPr>
            </w:pPr>
            <w:r>
              <w:rPr>
                <w:rFonts w:hint="eastAsia" w:ascii="宋体" w:hAnsi="宋体" w:cs="宋体"/>
                <w:color w:val="auto"/>
                <w:szCs w:val="21"/>
                <w:highlight w:val="none"/>
              </w:rPr>
              <w:t>（1）施工方案详实、措施得力，描述清晰，符合项目实际情况，工序安排得当可执行的得8.0-10.0分；</w:t>
            </w:r>
          </w:p>
          <w:p w14:paraId="1CE72B3F">
            <w:pPr>
              <w:spacing w:line="400" w:lineRule="exact"/>
              <w:rPr>
                <w:rFonts w:ascii="宋体" w:hAnsi="宋体" w:cs="宋体"/>
                <w:color w:val="auto"/>
                <w:szCs w:val="21"/>
                <w:highlight w:val="none"/>
              </w:rPr>
            </w:pPr>
            <w:r>
              <w:rPr>
                <w:rFonts w:hint="eastAsia" w:ascii="宋体" w:hAnsi="宋体" w:cs="宋体"/>
                <w:color w:val="auto"/>
                <w:szCs w:val="21"/>
                <w:highlight w:val="none"/>
              </w:rPr>
              <w:t>（2）施工方案较为详实、措施较为得力，描述基本清晰，符合项目实际情况，工序安排合理可行的得5.0-7.9分；</w:t>
            </w:r>
          </w:p>
          <w:p w14:paraId="6B72E082">
            <w:pPr>
              <w:spacing w:line="400" w:lineRule="exact"/>
              <w:rPr>
                <w:rFonts w:ascii="宋体" w:hAnsi="宋体" w:cs="宋体"/>
                <w:color w:val="auto"/>
                <w:szCs w:val="21"/>
                <w:highlight w:val="none"/>
              </w:rPr>
            </w:pPr>
            <w:r>
              <w:rPr>
                <w:rFonts w:hint="eastAsia" w:ascii="宋体" w:hAnsi="宋体" w:cs="宋体"/>
                <w:color w:val="auto"/>
                <w:szCs w:val="21"/>
                <w:highlight w:val="none"/>
              </w:rPr>
              <w:t>（3）施工方案简单笼统存在一定缺陷，工序安排欠妥的得2.0-4.9分；</w:t>
            </w:r>
          </w:p>
          <w:p w14:paraId="311BC627">
            <w:pPr>
              <w:spacing w:line="400" w:lineRule="exact"/>
              <w:rPr>
                <w:rFonts w:ascii="宋体" w:hAnsi="宋体" w:cs="宋体"/>
                <w:color w:val="auto"/>
                <w:szCs w:val="21"/>
                <w:highlight w:val="none"/>
              </w:rPr>
            </w:pPr>
            <w:r>
              <w:rPr>
                <w:rFonts w:hint="eastAsia" w:ascii="宋体" w:hAnsi="宋体" w:cs="宋体"/>
                <w:color w:val="auto"/>
                <w:szCs w:val="21"/>
                <w:highlight w:val="none"/>
              </w:rPr>
              <w:t>（4）施工方案简单笼统存在较大缺陷，工序安排欠妥甚至会影响项目履约的得0.1-1.9分；</w:t>
            </w:r>
          </w:p>
          <w:p w14:paraId="118D8170">
            <w:pPr>
              <w:spacing w:line="400" w:lineRule="exact"/>
              <w:rPr>
                <w:rFonts w:ascii="宋体" w:hAnsi="宋体" w:cs="宋体"/>
                <w:color w:val="auto"/>
                <w:highlight w:val="none"/>
              </w:rPr>
            </w:pPr>
            <w:r>
              <w:rPr>
                <w:rFonts w:hint="eastAsia" w:ascii="宋体" w:hAnsi="宋体" w:cs="宋体"/>
                <w:color w:val="auto"/>
                <w:szCs w:val="21"/>
                <w:highlight w:val="none"/>
              </w:rPr>
              <w:t>（5）未提供不得分。</w:t>
            </w:r>
          </w:p>
        </w:tc>
        <w:tc>
          <w:tcPr>
            <w:tcW w:w="430" w:type="pct"/>
            <w:vAlign w:val="center"/>
          </w:tcPr>
          <w:p w14:paraId="7CAB732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0-10</w:t>
            </w:r>
          </w:p>
        </w:tc>
      </w:tr>
      <w:bookmarkEnd w:id="58"/>
      <w:tr w14:paraId="567A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0AF918FD">
            <w:pPr>
              <w:spacing w:line="400" w:lineRule="exact"/>
              <w:jc w:val="center"/>
              <w:rPr>
                <w:rFonts w:ascii="宋体" w:hAnsi="宋体" w:cs="宋体"/>
                <w:color w:val="auto"/>
                <w:szCs w:val="20"/>
                <w:highlight w:val="none"/>
              </w:rPr>
            </w:pPr>
          </w:p>
        </w:tc>
        <w:tc>
          <w:tcPr>
            <w:tcW w:w="320" w:type="pct"/>
            <w:vAlign w:val="center"/>
          </w:tcPr>
          <w:p w14:paraId="11405FA7">
            <w:pPr>
              <w:spacing w:line="400" w:lineRule="exact"/>
              <w:jc w:val="center"/>
              <w:rPr>
                <w:rFonts w:ascii="宋体" w:hAnsi="宋体" w:cs="宋体"/>
                <w:color w:val="auto"/>
                <w:szCs w:val="21"/>
                <w:highlight w:val="none"/>
              </w:rPr>
            </w:pPr>
            <w:r>
              <w:rPr>
                <w:rFonts w:ascii="宋体" w:hAnsi="宋体" w:cs="宋体"/>
                <w:color w:val="auto"/>
                <w:szCs w:val="21"/>
                <w:highlight w:val="none"/>
              </w:rPr>
              <w:t>2</w:t>
            </w:r>
          </w:p>
        </w:tc>
        <w:tc>
          <w:tcPr>
            <w:tcW w:w="3884" w:type="pct"/>
            <w:vAlign w:val="center"/>
          </w:tcPr>
          <w:p w14:paraId="6DA256EB">
            <w:pPr>
              <w:spacing w:line="400" w:lineRule="exact"/>
              <w:jc w:val="left"/>
              <w:rPr>
                <w:rFonts w:ascii="宋体" w:hAnsi="宋体" w:cs="宋体"/>
                <w:color w:val="auto"/>
                <w:highlight w:val="none"/>
              </w:rPr>
            </w:pPr>
            <w:r>
              <w:rPr>
                <w:rFonts w:hint="eastAsia" w:ascii="宋体" w:hAnsi="宋体" w:cs="宋体"/>
                <w:color w:val="auto"/>
                <w:highlight w:val="none"/>
              </w:rPr>
              <w:t>根据供应商提供的施工质量保证措施（包含但不仅限于材料及设备质量保证措施、成品保护措施等）进行综合评议，最高得10分。</w:t>
            </w:r>
          </w:p>
          <w:p w14:paraId="07ED59A1">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（1）施工质量保证措施方案详实，对材料及设备质量管控具有针对性，成品保护措施完善，可执行力度符合采购人需求的得8.0-10.0分；</w:t>
            </w:r>
          </w:p>
          <w:p w14:paraId="37942A77">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（2）施工质量保证措施方案较为详实，对材料及设备质量管控具有一定针对性，成品保护措施较完善，可执行力度符合采购人需求的得5.0-7.9分；</w:t>
            </w:r>
          </w:p>
          <w:p w14:paraId="4A2DDAD1">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（3）施工质量保证措施方案内容较少，对材料及设备质量管控及成品保护措施存在较大缺陷，可执行力度基本符合采购人需求的得2.0-4.9分；</w:t>
            </w:r>
          </w:p>
          <w:p w14:paraId="5C30579F">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（4）施工质量保证措施方案存在较大缺陷，对材料及设备质量管控及成品保护措施无法切合实际要求，可执行力度不足的得0.1-1.9分；</w:t>
            </w:r>
          </w:p>
          <w:p w14:paraId="459E447B">
            <w:pPr>
              <w:spacing w:line="400" w:lineRule="exact"/>
              <w:rPr>
                <w:rFonts w:ascii="宋体" w:hAnsi="宋体" w:cs="宋体"/>
                <w:color w:val="auto"/>
                <w:highlight w:val="none"/>
              </w:rPr>
            </w:pPr>
            <w:r>
              <w:rPr>
                <w:rFonts w:hint="eastAsia" w:ascii="宋体" w:hAnsi="宋体" w:cs="宋体"/>
                <w:color w:val="auto"/>
                <w:szCs w:val="21"/>
                <w:highlight w:val="none"/>
              </w:rPr>
              <w:t>（5）未提供施工质量保证措施的本项不得分。</w:t>
            </w:r>
          </w:p>
        </w:tc>
        <w:tc>
          <w:tcPr>
            <w:tcW w:w="430" w:type="pct"/>
            <w:vAlign w:val="center"/>
          </w:tcPr>
          <w:p w14:paraId="63B5F4BA">
            <w:pPr>
              <w:spacing w:line="400" w:lineRule="exact"/>
              <w:jc w:val="center"/>
              <w:rPr>
                <w:rFonts w:ascii="宋体" w:hAnsi="宋体" w:cs="宋体"/>
                <w:color w:val="auto"/>
                <w:highlight w:val="none"/>
              </w:rPr>
            </w:pPr>
            <w:r>
              <w:rPr>
                <w:rFonts w:hint="eastAsia" w:ascii="宋体" w:hAnsi="宋体" w:cs="宋体"/>
                <w:color w:val="auto"/>
                <w:szCs w:val="21"/>
                <w:highlight w:val="none"/>
              </w:rPr>
              <w:t>0-10</w:t>
            </w:r>
          </w:p>
        </w:tc>
      </w:tr>
      <w:tr w14:paraId="48F9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3485BB75">
            <w:pPr>
              <w:spacing w:line="400" w:lineRule="exact"/>
              <w:jc w:val="center"/>
              <w:rPr>
                <w:rFonts w:ascii="宋体" w:hAnsi="宋体" w:cs="宋体"/>
                <w:color w:val="auto"/>
                <w:szCs w:val="20"/>
                <w:highlight w:val="none"/>
              </w:rPr>
            </w:pPr>
          </w:p>
        </w:tc>
        <w:tc>
          <w:tcPr>
            <w:tcW w:w="320" w:type="pct"/>
            <w:vAlign w:val="center"/>
          </w:tcPr>
          <w:p w14:paraId="09754522">
            <w:pPr>
              <w:spacing w:line="400" w:lineRule="exact"/>
              <w:jc w:val="center"/>
              <w:rPr>
                <w:rFonts w:ascii="宋体" w:hAnsi="宋体" w:cs="宋体"/>
                <w:color w:val="auto"/>
                <w:szCs w:val="21"/>
                <w:highlight w:val="none"/>
              </w:rPr>
            </w:pPr>
            <w:r>
              <w:rPr>
                <w:rFonts w:ascii="宋体" w:hAnsi="宋体" w:cs="宋体"/>
                <w:color w:val="auto"/>
                <w:szCs w:val="21"/>
                <w:highlight w:val="none"/>
              </w:rPr>
              <w:t>3</w:t>
            </w:r>
          </w:p>
        </w:tc>
        <w:tc>
          <w:tcPr>
            <w:tcW w:w="3884" w:type="pct"/>
            <w:vAlign w:val="center"/>
          </w:tcPr>
          <w:p w14:paraId="72E9E3B8">
            <w:pPr>
              <w:spacing w:line="400" w:lineRule="exact"/>
              <w:jc w:val="left"/>
              <w:rPr>
                <w:rFonts w:ascii="宋体" w:hAnsi="宋体" w:cs="宋体"/>
                <w:color w:val="auto"/>
                <w:highlight w:val="none"/>
              </w:rPr>
            </w:pPr>
            <w:r>
              <w:rPr>
                <w:rFonts w:hint="eastAsia" w:ascii="宋体" w:hAnsi="宋体" w:cs="宋体"/>
                <w:color w:val="auto"/>
                <w:highlight w:val="none"/>
              </w:rPr>
              <w:t>施工进度计划安排和保障措施、安全保障措施、文明施工方案及措施等；对方案的完整性、科学性、严谨性进行综合评议，最高得9分。</w:t>
            </w:r>
          </w:p>
          <w:p w14:paraId="11D1F6CB">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（1）施工进度计划安排合理，能够在规定时间内完成项目施工并通过验收，进度保障措施、安全保障措施完善，文明施工方案及措施切合实际要求的得7</w:t>
            </w:r>
            <w:r>
              <w:rPr>
                <w:rFonts w:ascii="宋体" w:hAnsi="宋体" w:cs="宋体"/>
                <w:color w:val="auto"/>
                <w:szCs w:val="21"/>
                <w:highlight w:val="none"/>
              </w:rPr>
              <w:t>.0-</w:t>
            </w:r>
            <w:r>
              <w:rPr>
                <w:rFonts w:hint="eastAsia" w:ascii="宋体" w:hAnsi="宋体" w:cs="宋体"/>
                <w:color w:val="auto"/>
                <w:szCs w:val="21"/>
                <w:highlight w:val="none"/>
              </w:rPr>
              <w:t>9</w:t>
            </w:r>
            <w:r>
              <w:rPr>
                <w:rFonts w:ascii="宋体" w:hAnsi="宋体" w:cs="宋体"/>
                <w:color w:val="auto"/>
                <w:szCs w:val="21"/>
                <w:highlight w:val="none"/>
              </w:rPr>
              <w:t>.0</w:t>
            </w:r>
            <w:r>
              <w:rPr>
                <w:rFonts w:hint="eastAsia" w:ascii="宋体" w:hAnsi="宋体" w:cs="宋体"/>
                <w:color w:val="auto"/>
                <w:szCs w:val="21"/>
                <w:highlight w:val="none"/>
              </w:rPr>
              <w:t>分；</w:t>
            </w:r>
          </w:p>
          <w:p w14:paraId="3EF5816B">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（2）施工进度计划安排较为合理，能够在规定时间内完成项目施工并通过验收，进度保障措施、安全保障措施较为完善，文明施工方案及措施切合实际要求的得5</w:t>
            </w:r>
            <w:r>
              <w:rPr>
                <w:rFonts w:ascii="宋体" w:hAnsi="宋体" w:cs="宋体"/>
                <w:color w:val="auto"/>
                <w:szCs w:val="21"/>
                <w:highlight w:val="none"/>
              </w:rPr>
              <w:t>.0-</w:t>
            </w:r>
            <w:r>
              <w:rPr>
                <w:rFonts w:hint="eastAsia" w:ascii="宋体" w:hAnsi="宋体" w:cs="宋体"/>
                <w:color w:val="auto"/>
                <w:szCs w:val="21"/>
                <w:highlight w:val="none"/>
              </w:rPr>
              <w:t>6</w:t>
            </w:r>
            <w:r>
              <w:rPr>
                <w:rFonts w:ascii="宋体" w:hAnsi="宋体" w:cs="宋体"/>
                <w:color w:val="auto"/>
                <w:szCs w:val="21"/>
                <w:highlight w:val="none"/>
              </w:rPr>
              <w:t>.9</w:t>
            </w:r>
            <w:r>
              <w:rPr>
                <w:rFonts w:hint="eastAsia" w:ascii="宋体" w:hAnsi="宋体" w:cs="宋体"/>
                <w:color w:val="auto"/>
                <w:szCs w:val="21"/>
                <w:highlight w:val="none"/>
              </w:rPr>
              <w:t>分；</w:t>
            </w:r>
          </w:p>
          <w:p w14:paraId="6B72BE22">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（3）施工进度计划安排存在一定缺陷，但基本能够保证在规定时间内完成项目施工并通过验收，进度保障措施、安全保障措施存在一定缺陷，文明施工方案及措施基本切合实际要求的得3</w:t>
            </w:r>
            <w:r>
              <w:rPr>
                <w:rFonts w:ascii="宋体" w:hAnsi="宋体" w:cs="宋体"/>
                <w:color w:val="auto"/>
                <w:szCs w:val="21"/>
                <w:highlight w:val="none"/>
              </w:rPr>
              <w:t>.0-</w:t>
            </w:r>
            <w:r>
              <w:rPr>
                <w:rFonts w:hint="eastAsia" w:ascii="宋体" w:hAnsi="宋体" w:cs="宋体"/>
                <w:color w:val="auto"/>
                <w:szCs w:val="21"/>
                <w:highlight w:val="none"/>
              </w:rPr>
              <w:t>4</w:t>
            </w:r>
            <w:r>
              <w:rPr>
                <w:rFonts w:ascii="宋体" w:hAnsi="宋体" w:cs="宋体"/>
                <w:color w:val="auto"/>
                <w:szCs w:val="21"/>
                <w:highlight w:val="none"/>
              </w:rPr>
              <w:t>.9</w:t>
            </w:r>
            <w:r>
              <w:rPr>
                <w:rFonts w:hint="eastAsia" w:ascii="宋体" w:hAnsi="宋体" w:cs="宋体"/>
                <w:color w:val="auto"/>
                <w:szCs w:val="21"/>
                <w:highlight w:val="none"/>
              </w:rPr>
              <w:t>分；</w:t>
            </w:r>
          </w:p>
          <w:p w14:paraId="2BF51D82">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（4）施工进度计划安排明显不妥，进度保障措施、安全保障措施存在较大漏洞，文明施工方案及措施未切合实际要求，甚至会影响项目履约的得</w:t>
            </w:r>
            <w:r>
              <w:rPr>
                <w:rFonts w:ascii="宋体" w:hAnsi="宋体" w:cs="宋体"/>
                <w:color w:val="auto"/>
                <w:szCs w:val="21"/>
                <w:highlight w:val="none"/>
              </w:rPr>
              <w:t>0.1-</w:t>
            </w:r>
            <w:r>
              <w:rPr>
                <w:rFonts w:hint="eastAsia" w:ascii="宋体" w:hAnsi="宋体" w:cs="宋体"/>
                <w:color w:val="auto"/>
                <w:szCs w:val="21"/>
                <w:highlight w:val="none"/>
              </w:rPr>
              <w:t>2</w:t>
            </w:r>
            <w:r>
              <w:rPr>
                <w:rFonts w:ascii="宋体" w:hAnsi="宋体" w:cs="宋体"/>
                <w:color w:val="auto"/>
                <w:szCs w:val="21"/>
                <w:highlight w:val="none"/>
              </w:rPr>
              <w:t>.9</w:t>
            </w:r>
            <w:r>
              <w:rPr>
                <w:rFonts w:hint="eastAsia" w:ascii="宋体" w:hAnsi="宋体" w:cs="宋体"/>
                <w:color w:val="auto"/>
                <w:szCs w:val="21"/>
                <w:highlight w:val="none"/>
              </w:rPr>
              <w:t>分；</w:t>
            </w:r>
          </w:p>
          <w:p w14:paraId="7579C124">
            <w:pPr>
              <w:spacing w:line="400" w:lineRule="exact"/>
              <w:jc w:val="left"/>
              <w:rPr>
                <w:rFonts w:ascii="宋体" w:hAnsi="宋体" w:cs="宋体"/>
                <w:color w:val="auto"/>
                <w:highlight w:val="none"/>
              </w:rPr>
            </w:pPr>
            <w:r>
              <w:rPr>
                <w:rFonts w:hint="eastAsia" w:ascii="宋体" w:hAnsi="宋体" w:cs="宋体"/>
                <w:color w:val="auto"/>
                <w:szCs w:val="21"/>
                <w:highlight w:val="none"/>
              </w:rPr>
              <w:t>（5）未提供不得分。</w:t>
            </w:r>
          </w:p>
        </w:tc>
        <w:tc>
          <w:tcPr>
            <w:tcW w:w="430" w:type="pct"/>
            <w:vAlign w:val="center"/>
          </w:tcPr>
          <w:p w14:paraId="5AF375C4">
            <w:pPr>
              <w:spacing w:line="400" w:lineRule="exact"/>
              <w:jc w:val="center"/>
              <w:rPr>
                <w:rFonts w:ascii="宋体" w:hAnsi="宋体" w:cs="宋体"/>
                <w:color w:val="auto"/>
                <w:highlight w:val="none"/>
              </w:rPr>
            </w:pPr>
            <w:r>
              <w:rPr>
                <w:rFonts w:ascii="宋体" w:hAnsi="宋体" w:cs="宋体"/>
                <w:color w:val="auto"/>
                <w:highlight w:val="none"/>
              </w:rPr>
              <w:t>0</w:t>
            </w:r>
            <w:r>
              <w:rPr>
                <w:rFonts w:hint="eastAsia" w:ascii="宋体" w:hAnsi="宋体" w:cs="宋体"/>
                <w:color w:val="auto"/>
                <w:highlight w:val="none"/>
              </w:rPr>
              <w:t>-9</w:t>
            </w:r>
          </w:p>
        </w:tc>
      </w:tr>
      <w:tr w14:paraId="3DFB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31FDEBAA">
            <w:pPr>
              <w:spacing w:line="400" w:lineRule="exact"/>
              <w:jc w:val="center"/>
              <w:rPr>
                <w:rFonts w:ascii="宋体" w:hAnsi="宋体" w:cs="宋体"/>
                <w:color w:val="auto"/>
                <w:szCs w:val="20"/>
                <w:highlight w:val="none"/>
              </w:rPr>
            </w:pPr>
          </w:p>
        </w:tc>
        <w:tc>
          <w:tcPr>
            <w:tcW w:w="320" w:type="pct"/>
            <w:vAlign w:val="center"/>
          </w:tcPr>
          <w:p w14:paraId="7546B524">
            <w:pPr>
              <w:spacing w:line="400" w:lineRule="exact"/>
              <w:jc w:val="center"/>
              <w:rPr>
                <w:rFonts w:ascii="宋体" w:hAnsi="宋体" w:cs="宋体"/>
                <w:color w:val="auto"/>
                <w:szCs w:val="21"/>
                <w:highlight w:val="none"/>
              </w:rPr>
            </w:pPr>
            <w:r>
              <w:rPr>
                <w:rFonts w:ascii="宋体" w:hAnsi="宋体" w:cs="宋体"/>
                <w:color w:val="auto"/>
                <w:szCs w:val="21"/>
                <w:highlight w:val="none"/>
              </w:rPr>
              <w:t>4</w:t>
            </w:r>
          </w:p>
        </w:tc>
        <w:tc>
          <w:tcPr>
            <w:tcW w:w="3884" w:type="pct"/>
            <w:vAlign w:val="center"/>
          </w:tcPr>
          <w:p w14:paraId="34A024DC">
            <w:pPr>
              <w:spacing w:line="400" w:lineRule="exact"/>
              <w:rPr>
                <w:rFonts w:ascii="宋体" w:hAnsi="宋体" w:cs="宋体"/>
                <w:color w:val="auto"/>
                <w:highlight w:val="none"/>
              </w:rPr>
            </w:pPr>
            <w:r>
              <w:rPr>
                <w:rFonts w:ascii="宋体" w:hAnsi="宋体" w:cs="宋体"/>
                <w:color w:val="auto"/>
                <w:highlight w:val="none"/>
              </w:rPr>
              <w:t>根据供应商提供的项目关键点、重难点分析及合理化建议进行综合评议，最高得</w:t>
            </w:r>
            <w:r>
              <w:rPr>
                <w:rFonts w:hint="eastAsia" w:ascii="宋体" w:hAnsi="宋体" w:cs="宋体"/>
                <w:color w:val="auto"/>
                <w:highlight w:val="none"/>
              </w:rPr>
              <w:t>9</w:t>
            </w:r>
            <w:r>
              <w:rPr>
                <w:rFonts w:ascii="宋体" w:hAnsi="宋体" w:cs="宋体"/>
                <w:color w:val="auto"/>
                <w:highlight w:val="none"/>
              </w:rPr>
              <w:t>分</w:t>
            </w:r>
            <w:r>
              <w:rPr>
                <w:rFonts w:hint="eastAsia" w:ascii="宋体" w:hAnsi="宋体" w:cs="宋体"/>
                <w:color w:val="auto"/>
                <w:highlight w:val="none"/>
              </w:rPr>
              <w:t>。</w:t>
            </w:r>
          </w:p>
          <w:p w14:paraId="7EB2CC48">
            <w:pPr>
              <w:spacing w:line="400" w:lineRule="exact"/>
              <w:rPr>
                <w:rFonts w:ascii="宋体" w:hAnsi="宋体" w:cs="宋体"/>
                <w:color w:val="auto"/>
                <w:szCs w:val="21"/>
                <w:highlight w:val="none"/>
              </w:rPr>
            </w:pPr>
            <w:r>
              <w:rPr>
                <w:rFonts w:hint="eastAsia" w:ascii="宋体" w:hAnsi="宋体" w:cs="宋体"/>
                <w:color w:val="auto"/>
                <w:szCs w:val="21"/>
                <w:highlight w:val="none"/>
              </w:rPr>
              <w:t>（1）项目关键点、重难点分析到位且具有可行的解决方案的得7</w:t>
            </w:r>
            <w:r>
              <w:rPr>
                <w:rFonts w:ascii="宋体" w:hAnsi="宋体" w:cs="宋体"/>
                <w:color w:val="auto"/>
                <w:szCs w:val="21"/>
                <w:highlight w:val="none"/>
              </w:rPr>
              <w:t>.0-</w:t>
            </w:r>
            <w:r>
              <w:rPr>
                <w:rFonts w:hint="eastAsia" w:ascii="宋体" w:hAnsi="宋体" w:cs="宋体"/>
                <w:color w:val="auto"/>
                <w:szCs w:val="21"/>
                <w:highlight w:val="none"/>
              </w:rPr>
              <w:t>9</w:t>
            </w:r>
            <w:r>
              <w:rPr>
                <w:rFonts w:ascii="宋体" w:hAnsi="宋体" w:cs="宋体"/>
                <w:color w:val="auto"/>
                <w:szCs w:val="21"/>
                <w:highlight w:val="none"/>
              </w:rPr>
              <w:t>.0</w:t>
            </w:r>
            <w:r>
              <w:rPr>
                <w:rFonts w:hint="eastAsia" w:ascii="宋体" w:hAnsi="宋体" w:cs="宋体"/>
                <w:color w:val="auto"/>
                <w:szCs w:val="21"/>
                <w:highlight w:val="none"/>
              </w:rPr>
              <w:t>分；</w:t>
            </w:r>
          </w:p>
          <w:p w14:paraId="2C53E77C">
            <w:pPr>
              <w:spacing w:line="400" w:lineRule="exact"/>
              <w:rPr>
                <w:rFonts w:ascii="宋体" w:hAnsi="宋体" w:cs="宋体"/>
                <w:color w:val="auto"/>
                <w:szCs w:val="21"/>
                <w:highlight w:val="none"/>
              </w:rPr>
            </w:pPr>
            <w:r>
              <w:rPr>
                <w:rFonts w:hint="eastAsia" w:ascii="宋体" w:hAnsi="宋体" w:cs="宋体"/>
                <w:color w:val="auto"/>
                <w:szCs w:val="21"/>
                <w:highlight w:val="none"/>
              </w:rPr>
              <w:t>（2）项目关键点、重难点分析到位，具有较为可行的解决方案的得5</w:t>
            </w:r>
            <w:r>
              <w:rPr>
                <w:rFonts w:ascii="宋体" w:hAnsi="宋体" w:cs="宋体"/>
                <w:color w:val="auto"/>
                <w:szCs w:val="21"/>
                <w:highlight w:val="none"/>
              </w:rPr>
              <w:t>.0-</w:t>
            </w:r>
            <w:r>
              <w:rPr>
                <w:rFonts w:hint="eastAsia" w:ascii="宋体" w:hAnsi="宋体" w:cs="宋体"/>
                <w:color w:val="auto"/>
                <w:szCs w:val="21"/>
                <w:highlight w:val="none"/>
              </w:rPr>
              <w:t>6</w:t>
            </w:r>
            <w:r>
              <w:rPr>
                <w:rFonts w:ascii="宋体" w:hAnsi="宋体" w:cs="宋体"/>
                <w:color w:val="auto"/>
                <w:szCs w:val="21"/>
                <w:highlight w:val="none"/>
              </w:rPr>
              <w:t>.9</w:t>
            </w:r>
            <w:r>
              <w:rPr>
                <w:rFonts w:hint="eastAsia" w:ascii="宋体" w:hAnsi="宋体" w:cs="宋体"/>
                <w:color w:val="auto"/>
                <w:szCs w:val="21"/>
                <w:highlight w:val="none"/>
              </w:rPr>
              <w:t>分；</w:t>
            </w:r>
          </w:p>
          <w:p w14:paraId="29E4474E">
            <w:pPr>
              <w:spacing w:line="400" w:lineRule="exact"/>
              <w:rPr>
                <w:rFonts w:ascii="宋体" w:hAnsi="宋体" w:cs="宋体"/>
                <w:color w:val="auto"/>
                <w:szCs w:val="21"/>
                <w:highlight w:val="none"/>
              </w:rPr>
            </w:pPr>
            <w:r>
              <w:rPr>
                <w:rFonts w:hint="eastAsia" w:ascii="宋体" w:hAnsi="宋体" w:cs="宋体"/>
                <w:color w:val="auto"/>
                <w:szCs w:val="21"/>
                <w:highlight w:val="none"/>
              </w:rPr>
              <w:t>（3）项目关键点、重难点分析基本到位，解决方案能够对应分析结果但存在欠缺的得3</w:t>
            </w:r>
            <w:r>
              <w:rPr>
                <w:rFonts w:ascii="宋体" w:hAnsi="宋体" w:cs="宋体"/>
                <w:color w:val="auto"/>
                <w:szCs w:val="21"/>
                <w:highlight w:val="none"/>
              </w:rPr>
              <w:t>.0-4.9</w:t>
            </w:r>
            <w:r>
              <w:rPr>
                <w:rFonts w:hint="eastAsia" w:ascii="宋体" w:hAnsi="宋体" w:cs="宋体"/>
                <w:color w:val="auto"/>
                <w:szCs w:val="21"/>
                <w:highlight w:val="none"/>
              </w:rPr>
              <w:t>分；</w:t>
            </w:r>
          </w:p>
          <w:p w14:paraId="35904B36">
            <w:pPr>
              <w:spacing w:line="400" w:lineRule="exact"/>
              <w:rPr>
                <w:rFonts w:ascii="宋体" w:hAnsi="宋体" w:cs="宋体"/>
                <w:color w:val="auto"/>
                <w:szCs w:val="21"/>
                <w:highlight w:val="none"/>
              </w:rPr>
            </w:pPr>
            <w:r>
              <w:rPr>
                <w:rFonts w:hint="eastAsia" w:ascii="宋体" w:hAnsi="宋体" w:cs="宋体"/>
                <w:color w:val="auto"/>
                <w:szCs w:val="21"/>
                <w:highlight w:val="none"/>
              </w:rPr>
              <w:t>（4）项目关键点、重难点分析不足，解决方案与关键点、重难点分析不能够充分对应的得</w:t>
            </w:r>
            <w:r>
              <w:rPr>
                <w:rFonts w:ascii="宋体" w:hAnsi="宋体" w:cs="宋体"/>
                <w:color w:val="auto"/>
                <w:szCs w:val="21"/>
                <w:highlight w:val="none"/>
              </w:rPr>
              <w:t>0.1-</w:t>
            </w:r>
            <w:r>
              <w:rPr>
                <w:rFonts w:hint="eastAsia" w:ascii="宋体" w:hAnsi="宋体" w:cs="宋体"/>
                <w:color w:val="auto"/>
                <w:szCs w:val="21"/>
                <w:highlight w:val="none"/>
              </w:rPr>
              <w:t>2</w:t>
            </w:r>
            <w:r>
              <w:rPr>
                <w:rFonts w:ascii="宋体" w:hAnsi="宋体" w:cs="宋体"/>
                <w:color w:val="auto"/>
                <w:szCs w:val="21"/>
                <w:highlight w:val="none"/>
              </w:rPr>
              <w:t>.9</w:t>
            </w:r>
            <w:r>
              <w:rPr>
                <w:rFonts w:hint="eastAsia" w:ascii="宋体" w:hAnsi="宋体" w:cs="宋体"/>
                <w:color w:val="auto"/>
                <w:szCs w:val="21"/>
                <w:highlight w:val="none"/>
              </w:rPr>
              <w:t>分；</w:t>
            </w:r>
          </w:p>
          <w:p w14:paraId="7BA22237">
            <w:pPr>
              <w:spacing w:line="400" w:lineRule="exact"/>
              <w:rPr>
                <w:rFonts w:ascii="宋体" w:hAnsi="宋体" w:cs="宋体"/>
                <w:color w:val="auto"/>
                <w:highlight w:val="none"/>
              </w:rPr>
            </w:pPr>
            <w:r>
              <w:rPr>
                <w:rFonts w:hint="eastAsia" w:ascii="宋体" w:hAnsi="宋体" w:cs="宋体"/>
                <w:color w:val="auto"/>
                <w:szCs w:val="21"/>
                <w:highlight w:val="none"/>
              </w:rPr>
              <w:t>（5）未提供不得分。</w:t>
            </w:r>
          </w:p>
        </w:tc>
        <w:tc>
          <w:tcPr>
            <w:tcW w:w="430" w:type="pct"/>
            <w:vAlign w:val="center"/>
          </w:tcPr>
          <w:p w14:paraId="1607A2C0">
            <w:pPr>
              <w:spacing w:line="400" w:lineRule="exact"/>
              <w:jc w:val="center"/>
              <w:rPr>
                <w:rFonts w:ascii="宋体" w:hAnsi="宋体" w:cs="宋体"/>
                <w:color w:val="auto"/>
                <w:highlight w:val="none"/>
              </w:rPr>
            </w:pPr>
            <w:r>
              <w:rPr>
                <w:rFonts w:hint="eastAsia" w:ascii="宋体" w:hAnsi="宋体" w:cs="宋体"/>
                <w:color w:val="auto"/>
                <w:highlight w:val="none"/>
              </w:rPr>
              <w:t>0-9</w:t>
            </w:r>
          </w:p>
        </w:tc>
      </w:tr>
      <w:tr w14:paraId="2F69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6FFF0F5B">
            <w:pPr>
              <w:spacing w:line="400" w:lineRule="exact"/>
              <w:jc w:val="center"/>
              <w:rPr>
                <w:rFonts w:ascii="宋体" w:hAnsi="宋体" w:cs="宋体"/>
                <w:color w:val="auto"/>
                <w:szCs w:val="20"/>
                <w:highlight w:val="none"/>
              </w:rPr>
            </w:pPr>
          </w:p>
        </w:tc>
        <w:tc>
          <w:tcPr>
            <w:tcW w:w="320" w:type="pct"/>
            <w:vAlign w:val="center"/>
          </w:tcPr>
          <w:p w14:paraId="26FD191C">
            <w:pPr>
              <w:spacing w:line="400" w:lineRule="exact"/>
              <w:jc w:val="center"/>
              <w:rPr>
                <w:rFonts w:ascii="宋体" w:hAnsi="宋体" w:cs="宋体"/>
                <w:color w:val="auto"/>
                <w:szCs w:val="21"/>
                <w:highlight w:val="none"/>
              </w:rPr>
            </w:pPr>
            <w:r>
              <w:rPr>
                <w:rFonts w:ascii="宋体" w:hAnsi="宋体" w:cs="宋体"/>
                <w:color w:val="auto"/>
                <w:szCs w:val="21"/>
                <w:highlight w:val="none"/>
              </w:rPr>
              <w:t>5</w:t>
            </w:r>
          </w:p>
        </w:tc>
        <w:tc>
          <w:tcPr>
            <w:tcW w:w="3884" w:type="pct"/>
            <w:vAlign w:val="center"/>
          </w:tcPr>
          <w:p w14:paraId="56B9152C">
            <w:pPr>
              <w:spacing w:line="400" w:lineRule="exact"/>
              <w:rPr>
                <w:rFonts w:ascii="宋体" w:hAnsi="宋体" w:cs="宋体"/>
                <w:color w:val="auto"/>
                <w:highlight w:val="none"/>
              </w:rPr>
            </w:pPr>
            <w:r>
              <w:rPr>
                <w:rFonts w:hint="eastAsia" w:ascii="宋体" w:hAnsi="宋体" w:cs="宋体"/>
                <w:color w:val="auto"/>
                <w:highlight w:val="none"/>
              </w:rPr>
              <w:t>根据供应商提供的突发事件应急措施进行综合评议，最高得9分。</w:t>
            </w:r>
          </w:p>
          <w:p w14:paraId="156E1633">
            <w:pPr>
              <w:spacing w:line="400" w:lineRule="exact"/>
              <w:rPr>
                <w:rFonts w:ascii="宋体" w:hAnsi="宋体" w:cs="宋体"/>
                <w:color w:val="auto"/>
                <w:szCs w:val="21"/>
                <w:highlight w:val="none"/>
              </w:rPr>
            </w:pPr>
            <w:r>
              <w:rPr>
                <w:rFonts w:hint="eastAsia" w:ascii="宋体" w:hAnsi="宋体" w:cs="宋体"/>
                <w:color w:val="auto"/>
                <w:szCs w:val="21"/>
                <w:highlight w:val="none"/>
              </w:rPr>
              <w:t>（1）应急措施方案完善，具体有效，对发生突发事件所提供的措施得力，可行性符合项目需求的得7</w:t>
            </w:r>
            <w:r>
              <w:rPr>
                <w:rFonts w:ascii="宋体" w:hAnsi="宋体" w:cs="宋体"/>
                <w:color w:val="auto"/>
                <w:szCs w:val="21"/>
                <w:highlight w:val="none"/>
              </w:rPr>
              <w:t>.0-</w:t>
            </w:r>
            <w:r>
              <w:rPr>
                <w:rFonts w:hint="eastAsia" w:ascii="宋体" w:hAnsi="宋体" w:cs="宋体"/>
                <w:color w:val="auto"/>
                <w:szCs w:val="21"/>
                <w:highlight w:val="none"/>
              </w:rPr>
              <w:t>9</w:t>
            </w:r>
            <w:r>
              <w:rPr>
                <w:rFonts w:ascii="宋体" w:hAnsi="宋体" w:cs="宋体"/>
                <w:color w:val="auto"/>
                <w:szCs w:val="21"/>
                <w:highlight w:val="none"/>
              </w:rPr>
              <w:t>.0</w:t>
            </w:r>
            <w:r>
              <w:rPr>
                <w:rFonts w:hint="eastAsia" w:ascii="宋体" w:hAnsi="宋体" w:cs="宋体"/>
                <w:color w:val="auto"/>
                <w:szCs w:val="21"/>
                <w:highlight w:val="none"/>
              </w:rPr>
              <w:t>分；</w:t>
            </w:r>
          </w:p>
          <w:p w14:paraId="3B565481">
            <w:pPr>
              <w:spacing w:line="400" w:lineRule="exact"/>
              <w:rPr>
                <w:rFonts w:ascii="宋体" w:hAnsi="宋体" w:cs="宋体"/>
                <w:color w:val="auto"/>
                <w:szCs w:val="21"/>
                <w:highlight w:val="none"/>
              </w:rPr>
            </w:pPr>
            <w:r>
              <w:rPr>
                <w:rFonts w:hint="eastAsia" w:ascii="宋体" w:hAnsi="宋体" w:cs="宋体"/>
                <w:color w:val="auto"/>
                <w:szCs w:val="21"/>
                <w:highlight w:val="none"/>
              </w:rPr>
              <w:t>（2）应急措施方案内容较为充分，对发生突发事件所提供的措施得当，合理可行的得</w:t>
            </w:r>
            <w:r>
              <w:rPr>
                <w:rFonts w:ascii="宋体" w:hAnsi="宋体" w:cs="宋体"/>
                <w:color w:val="auto"/>
                <w:szCs w:val="21"/>
                <w:highlight w:val="none"/>
              </w:rPr>
              <w:t>5.0-</w:t>
            </w:r>
            <w:r>
              <w:rPr>
                <w:rFonts w:hint="eastAsia" w:ascii="宋体" w:hAnsi="宋体" w:cs="宋体"/>
                <w:color w:val="auto"/>
                <w:szCs w:val="21"/>
                <w:highlight w:val="none"/>
              </w:rPr>
              <w:t>6</w:t>
            </w:r>
            <w:r>
              <w:rPr>
                <w:rFonts w:ascii="宋体" w:hAnsi="宋体" w:cs="宋体"/>
                <w:color w:val="auto"/>
                <w:szCs w:val="21"/>
                <w:highlight w:val="none"/>
              </w:rPr>
              <w:t>.9</w:t>
            </w:r>
            <w:r>
              <w:rPr>
                <w:rFonts w:hint="eastAsia" w:ascii="宋体" w:hAnsi="宋体" w:cs="宋体"/>
                <w:color w:val="auto"/>
                <w:szCs w:val="21"/>
                <w:highlight w:val="none"/>
              </w:rPr>
              <w:t>分；</w:t>
            </w:r>
          </w:p>
          <w:p w14:paraId="79F4B89E">
            <w:pPr>
              <w:spacing w:line="400" w:lineRule="exact"/>
              <w:rPr>
                <w:rFonts w:ascii="宋体" w:hAnsi="宋体" w:cs="宋体"/>
                <w:color w:val="auto"/>
                <w:szCs w:val="21"/>
                <w:highlight w:val="none"/>
              </w:rPr>
            </w:pPr>
            <w:r>
              <w:rPr>
                <w:rFonts w:hint="eastAsia" w:ascii="宋体" w:hAnsi="宋体" w:cs="宋体"/>
                <w:color w:val="auto"/>
                <w:szCs w:val="21"/>
                <w:highlight w:val="none"/>
              </w:rPr>
              <w:t>（3）应急措施方案内容简单，对发生突发事件所提供的措施较为得当，基本可行的得3</w:t>
            </w:r>
            <w:r>
              <w:rPr>
                <w:rFonts w:ascii="宋体" w:hAnsi="宋体" w:cs="宋体"/>
                <w:color w:val="auto"/>
                <w:szCs w:val="21"/>
                <w:highlight w:val="none"/>
              </w:rPr>
              <w:t>.0-4.9</w:t>
            </w:r>
            <w:r>
              <w:rPr>
                <w:rFonts w:hint="eastAsia" w:ascii="宋体" w:hAnsi="宋体" w:cs="宋体"/>
                <w:color w:val="auto"/>
                <w:szCs w:val="21"/>
                <w:highlight w:val="none"/>
              </w:rPr>
              <w:t>分；</w:t>
            </w:r>
          </w:p>
          <w:p w14:paraId="3C5B8AD9">
            <w:pPr>
              <w:spacing w:line="400" w:lineRule="exact"/>
              <w:rPr>
                <w:rFonts w:ascii="宋体" w:hAnsi="宋体" w:cs="宋体"/>
                <w:color w:val="auto"/>
                <w:szCs w:val="21"/>
                <w:highlight w:val="none"/>
              </w:rPr>
            </w:pPr>
            <w:r>
              <w:rPr>
                <w:rFonts w:hint="eastAsia" w:ascii="宋体" w:hAnsi="宋体" w:cs="宋体"/>
                <w:color w:val="auto"/>
                <w:szCs w:val="21"/>
                <w:highlight w:val="none"/>
              </w:rPr>
              <w:t>（4）应急措施方案考虑不足，内容存在较大缺陷，如发生突发事件不能够及时有效处理甚至会影响项目履约的得</w:t>
            </w:r>
            <w:r>
              <w:rPr>
                <w:rFonts w:ascii="宋体" w:hAnsi="宋体" w:cs="宋体"/>
                <w:color w:val="auto"/>
                <w:szCs w:val="21"/>
                <w:highlight w:val="none"/>
              </w:rPr>
              <w:t>0.1-</w:t>
            </w:r>
            <w:r>
              <w:rPr>
                <w:rFonts w:hint="eastAsia" w:ascii="宋体" w:hAnsi="宋体" w:cs="宋体"/>
                <w:color w:val="auto"/>
                <w:szCs w:val="21"/>
                <w:highlight w:val="none"/>
              </w:rPr>
              <w:t>2</w:t>
            </w:r>
            <w:r>
              <w:rPr>
                <w:rFonts w:ascii="宋体" w:hAnsi="宋体" w:cs="宋体"/>
                <w:color w:val="auto"/>
                <w:szCs w:val="21"/>
                <w:highlight w:val="none"/>
              </w:rPr>
              <w:t>.9</w:t>
            </w:r>
            <w:r>
              <w:rPr>
                <w:rFonts w:hint="eastAsia" w:ascii="宋体" w:hAnsi="宋体" w:cs="宋体"/>
                <w:color w:val="auto"/>
                <w:szCs w:val="21"/>
                <w:highlight w:val="none"/>
              </w:rPr>
              <w:t>分；</w:t>
            </w:r>
          </w:p>
          <w:p w14:paraId="1EEA6DA4">
            <w:pPr>
              <w:spacing w:line="400" w:lineRule="exact"/>
              <w:rPr>
                <w:rFonts w:ascii="宋体" w:hAnsi="宋体" w:cs="宋体"/>
                <w:color w:val="auto"/>
                <w:highlight w:val="none"/>
              </w:rPr>
            </w:pPr>
            <w:r>
              <w:rPr>
                <w:rFonts w:hint="eastAsia" w:ascii="宋体" w:hAnsi="宋体" w:cs="宋体"/>
                <w:color w:val="auto"/>
                <w:szCs w:val="21"/>
                <w:highlight w:val="none"/>
              </w:rPr>
              <w:t>（5）未提供不得分。</w:t>
            </w:r>
          </w:p>
        </w:tc>
        <w:tc>
          <w:tcPr>
            <w:tcW w:w="430" w:type="pct"/>
            <w:vAlign w:val="center"/>
          </w:tcPr>
          <w:p w14:paraId="227CF902">
            <w:pPr>
              <w:spacing w:line="400" w:lineRule="exact"/>
              <w:jc w:val="center"/>
              <w:rPr>
                <w:rFonts w:ascii="宋体" w:hAnsi="宋体" w:cs="宋体"/>
                <w:color w:val="auto"/>
                <w:highlight w:val="none"/>
              </w:rPr>
            </w:pPr>
            <w:r>
              <w:rPr>
                <w:rFonts w:hint="eastAsia" w:ascii="宋体" w:hAnsi="宋体" w:cs="宋体"/>
                <w:color w:val="auto"/>
                <w:highlight w:val="none"/>
              </w:rPr>
              <w:t>0-9</w:t>
            </w:r>
          </w:p>
        </w:tc>
      </w:tr>
      <w:tr w14:paraId="0DB8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7D548B74">
            <w:pPr>
              <w:spacing w:line="400" w:lineRule="exact"/>
              <w:jc w:val="center"/>
              <w:rPr>
                <w:rFonts w:ascii="宋体" w:hAnsi="宋体" w:cs="宋体"/>
                <w:color w:val="auto"/>
                <w:szCs w:val="20"/>
                <w:highlight w:val="none"/>
              </w:rPr>
            </w:pPr>
          </w:p>
        </w:tc>
        <w:tc>
          <w:tcPr>
            <w:tcW w:w="320" w:type="pct"/>
            <w:vAlign w:val="center"/>
          </w:tcPr>
          <w:p w14:paraId="2F76DF65">
            <w:pPr>
              <w:spacing w:line="400" w:lineRule="exact"/>
              <w:jc w:val="center"/>
              <w:rPr>
                <w:rFonts w:ascii="宋体" w:hAnsi="宋体" w:cs="宋体"/>
                <w:color w:val="auto"/>
                <w:szCs w:val="21"/>
                <w:highlight w:val="none"/>
              </w:rPr>
            </w:pPr>
            <w:r>
              <w:rPr>
                <w:rFonts w:ascii="宋体" w:hAnsi="宋体" w:cs="宋体"/>
                <w:color w:val="auto"/>
                <w:szCs w:val="21"/>
                <w:highlight w:val="none"/>
              </w:rPr>
              <w:t>6</w:t>
            </w:r>
          </w:p>
        </w:tc>
        <w:tc>
          <w:tcPr>
            <w:tcW w:w="3884" w:type="pct"/>
            <w:vAlign w:val="center"/>
          </w:tcPr>
          <w:p w14:paraId="7E650213">
            <w:pPr>
              <w:spacing w:line="400" w:lineRule="exact"/>
              <w:rPr>
                <w:rFonts w:ascii="宋体" w:hAnsi="宋体" w:cs="宋体"/>
                <w:color w:val="auto"/>
                <w:highlight w:val="none"/>
              </w:rPr>
            </w:pPr>
            <w:r>
              <w:rPr>
                <w:rFonts w:hint="eastAsia" w:ascii="宋体" w:hAnsi="宋体" w:cs="宋体"/>
                <w:color w:val="auto"/>
                <w:highlight w:val="none"/>
              </w:rPr>
              <w:t>对民工工资管理、保障措施进行综合评议，最高得5分。</w:t>
            </w:r>
          </w:p>
          <w:p w14:paraId="040D91AF">
            <w:pPr>
              <w:spacing w:line="400" w:lineRule="exact"/>
              <w:rPr>
                <w:rFonts w:ascii="宋体" w:hAnsi="宋体" w:cs="宋体"/>
                <w:color w:val="auto"/>
                <w:szCs w:val="21"/>
                <w:highlight w:val="none"/>
              </w:rPr>
            </w:pPr>
            <w:r>
              <w:rPr>
                <w:rFonts w:hint="eastAsia" w:ascii="宋体" w:hAnsi="宋体" w:cs="宋体"/>
                <w:color w:val="auto"/>
                <w:szCs w:val="21"/>
                <w:highlight w:val="none"/>
              </w:rPr>
              <w:t>（1）管理完善、保障措施可行的得</w:t>
            </w:r>
            <w:r>
              <w:rPr>
                <w:rFonts w:ascii="宋体" w:hAnsi="宋体" w:cs="宋体"/>
                <w:color w:val="auto"/>
                <w:szCs w:val="21"/>
                <w:highlight w:val="none"/>
              </w:rPr>
              <w:t>4.0</w:t>
            </w:r>
            <w:r>
              <w:rPr>
                <w:rFonts w:hint="eastAsia" w:ascii="宋体" w:hAnsi="宋体" w:cs="宋体"/>
                <w:color w:val="auto"/>
                <w:szCs w:val="21"/>
                <w:highlight w:val="none"/>
              </w:rPr>
              <w:t>-5.0</w:t>
            </w:r>
            <w:r>
              <w:rPr>
                <w:rFonts w:ascii="宋体" w:hAnsi="宋体" w:cs="宋体"/>
                <w:color w:val="auto"/>
                <w:szCs w:val="21"/>
                <w:highlight w:val="none"/>
              </w:rPr>
              <w:t>分；</w:t>
            </w:r>
          </w:p>
          <w:p w14:paraId="179AA6F1">
            <w:pPr>
              <w:spacing w:line="400" w:lineRule="exact"/>
              <w:rPr>
                <w:rFonts w:ascii="宋体" w:hAnsi="宋体" w:cs="宋体"/>
                <w:color w:val="auto"/>
                <w:szCs w:val="21"/>
                <w:highlight w:val="none"/>
              </w:rPr>
            </w:pPr>
            <w:r>
              <w:rPr>
                <w:rFonts w:hint="eastAsia" w:ascii="宋体" w:hAnsi="宋体" w:cs="宋体"/>
                <w:color w:val="auto"/>
                <w:szCs w:val="21"/>
                <w:highlight w:val="none"/>
              </w:rPr>
              <w:t>（2）管理基本完善、保障措施基本可行的得2.0-</w:t>
            </w: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分；</w:t>
            </w:r>
          </w:p>
          <w:p w14:paraId="23032027">
            <w:pPr>
              <w:spacing w:line="400" w:lineRule="exact"/>
              <w:rPr>
                <w:rFonts w:ascii="宋体" w:hAnsi="宋体" w:cs="宋体"/>
                <w:color w:val="auto"/>
                <w:szCs w:val="21"/>
                <w:highlight w:val="none"/>
              </w:rPr>
            </w:pPr>
            <w:r>
              <w:rPr>
                <w:rFonts w:hint="eastAsia" w:ascii="宋体" w:hAnsi="宋体" w:cs="宋体"/>
                <w:color w:val="auto"/>
                <w:szCs w:val="21"/>
                <w:highlight w:val="none"/>
              </w:rPr>
              <w:t>（3）管理欠完善、保障措施不可行的得0.1-1.9</w:t>
            </w:r>
            <w:r>
              <w:rPr>
                <w:rFonts w:ascii="宋体" w:hAnsi="宋体" w:cs="宋体"/>
                <w:color w:val="auto"/>
                <w:szCs w:val="21"/>
                <w:highlight w:val="none"/>
              </w:rPr>
              <w:t>分；</w:t>
            </w:r>
          </w:p>
          <w:p w14:paraId="49F53F46">
            <w:pPr>
              <w:spacing w:line="400" w:lineRule="exact"/>
              <w:rPr>
                <w:rFonts w:ascii="宋体" w:hAnsi="宋体" w:cs="宋体"/>
                <w:color w:val="auto"/>
                <w:highlight w:val="none"/>
              </w:rPr>
            </w:pPr>
            <w:r>
              <w:rPr>
                <w:rFonts w:hint="eastAsia" w:ascii="宋体" w:hAnsi="宋体" w:cs="宋体"/>
                <w:color w:val="auto"/>
                <w:szCs w:val="21"/>
                <w:highlight w:val="none"/>
              </w:rPr>
              <w:t>（4）未提供不得分。</w:t>
            </w:r>
          </w:p>
        </w:tc>
        <w:tc>
          <w:tcPr>
            <w:tcW w:w="430" w:type="pct"/>
            <w:vAlign w:val="center"/>
          </w:tcPr>
          <w:p w14:paraId="608948BA">
            <w:pPr>
              <w:spacing w:line="400" w:lineRule="exact"/>
              <w:jc w:val="center"/>
              <w:rPr>
                <w:rFonts w:ascii="宋体" w:hAnsi="宋体" w:cs="宋体"/>
                <w:color w:val="auto"/>
                <w:highlight w:val="none"/>
              </w:rPr>
            </w:pPr>
            <w:r>
              <w:rPr>
                <w:rFonts w:hint="eastAsia" w:ascii="宋体" w:hAnsi="宋体" w:cs="宋体"/>
                <w:color w:val="auto"/>
                <w:highlight w:val="none"/>
              </w:rPr>
              <w:t>0-5</w:t>
            </w:r>
          </w:p>
        </w:tc>
      </w:tr>
      <w:tr w14:paraId="30E9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672912F2">
            <w:pPr>
              <w:spacing w:line="400" w:lineRule="exact"/>
              <w:jc w:val="center"/>
              <w:rPr>
                <w:rFonts w:ascii="宋体" w:hAnsi="宋体" w:cs="宋体"/>
                <w:color w:val="auto"/>
                <w:szCs w:val="20"/>
                <w:highlight w:val="none"/>
              </w:rPr>
            </w:pPr>
          </w:p>
        </w:tc>
        <w:tc>
          <w:tcPr>
            <w:tcW w:w="320" w:type="pct"/>
            <w:vAlign w:val="center"/>
          </w:tcPr>
          <w:p w14:paraId="2DC8BE15">
            <w:pPr>
              <w:spacing w:line="400" w:lineRule="exact"/>
              <w:jc w:val="center"/>
              <w:rPr>
                <w:rFonts w:ascii="宋体" w:hAnsi="宋体" w:cs="宋体"/>
                <w:color w:val="auto"/>
                <w:szCs w:val="21"/>
                <w:highlight w:val="none"/>
              </w:rPr>
            </w:pPr>
            <w:r>
              <w:rPr>
                <w:rFonts w:ascii="宋体" w:hAnsi="宋体" w:cs="宋体"/>
                <w:color w:val="auto"/>
                <w:szCs w:val="21"/>
                <w:highlight w:val="none"/>
              </w:rPr>
              <w:t>7</w:t>
            </w:r>
          </w:p>
        </w:tc>
        <w:tc>
          <w:tcPr>
            <w:tcW w:w="3884" w:type="pct"/>
            <w:vAlign w:val="center"/>
          </w:tcPr>
          <w:p w14:paraId="09310240">
            <w:pPr>
              <w:spacing w:line="400" w:lineRule="exact"/>
              <w:rPr>
                <w:rFonts w:ascii="宋体" w:hAnsi="宋体" w:cs="宋体"/>
                <w:color w:val="auto"/>
                <w:highlight w:val="none"/>
              </w:rPr>
            </w:pPr>
            <w:r>
              <w:rPr>
                <w:rFonts w:hint="eastAsia" w:ascii="宋体" w:hAnsi="宋体" w:cs="宋体"/>
                <w:color w:val="auto"/>
                <w:highlight w:val="none"/>
              </w:rPr>
              <w:t>售后服务响应情况：供应商提供确保按时到达的承诺、服务措施等资料，对用户故障维修服务处理响应的方案进行综合评议，最高得5分。</w:t>
            </w:r>
          </w:p>
          <w:p w14:paraId="383003D4">
            <w:pPr>
              <w:spacing w:line="400" w:lineRule="exact"/>
              <w:rPr>
                <w:rFonts w:ascii="宋体" w:hAnsi="宋体" w:cs="宋体"/>
                <w:color w:val="auto"/>
                <w:szCs w:val="21"/>
                <w:highlight w:val="none"/>
              </w:rPr>
            </w:pPr>
            <w:r>
              <w:rPr>
                <w:rFonts w:hint="eastAsia" w:ascii="宋体" w:hAnsi="宋体" w:cs="宋体"/>
                <w:color w:val="auto"/>
                <w:szCs w:val="21"/>
                <w:highlight w:val="none"/>
              </w:rPr>
              <w:t>（1）服务措施等资料完善、详实，能及时处理用户故障，各项售后服务方案与项目需求相互对应的得</w:t>
            </w:r>
            <w:r>
              <w:rPr>
                <w:rFonts w:ascii="宋体" w:hAnsi="宋体" w:cs="宋体"/>
                <w:color w:val="auto"/>
                <w:szCs w:val="21"/>
                <w:highlight w:val="none"/>
              </w:rPr>
              <w:t>4</w:t>
            </w:r>
            <w:r>
              <w:rPr>
                <w:rFonts w:hint="eastAsia" w:ascii="宋体" w:hAnsi="宋体" w:cs="宋体"/>
                <w:color w:val="auto"/>
                <w:szCs w:val="21"/>
                <w:highlight w:val="none"/>
              </w:rPr>
              <w:t>.0-5.0分；</w:t>
            </w:r>
          </w:p>
          <w:p w14:paraId="250FA6CC">
            <w:pPr>
              <w:spacing w:line="400" w:lineRule="exact"/>
              <w:rPr>
                <w:rFonts w:ascii="宋体" w:hAnsi="宋体" w:cs="宋体"/>
                <w:color w:val="auto"/>
                <w:szCs w:val="21"/>
                <w:highlight w:val="none"/>
              </w:rPr>
            </w:pPr>
            <w:r>
              <w:rPr>
                <w:rFonts w:hint="eastAsia" w:ascii="宋体" w:hAnsi="宋体" w:cs="宋体"/>
                <w:color w:val="auto"/>
                <w:szCs w:val="21"/>
                <w:highlight w:val="none"/>
              </w:rPr>
              <w:t>（2）服务措施等方案内容比较完善，服务响应时效及服务措施基本合理可行的得2.0-</w:t>
            </w:r>
            <w:r>
              <w:rPr>
                <w:rFonts w:ascii="宋体" w:hAnsi="宋体" w:cs="宋体"/>
                <w:color w:val="auto"/>
                <w:szCs w:val="21"/>
                <w:highlight w:val="none"/>
              </w:rPr>
              <w:t>3</w:t>
            </w:r>
            <w:r>
              <w:rPr>
                <w:rFonts w:hint="eastAsia" w:ascii="宋体" w:hAnsi="宋体" w:cs="宋体"/>
                <w:color w:val="auto"/>
                <w:szCs w:val="21"/>
                <w:highlight w:val="none"/>
              </w:rPr>
              <w:t>.9分；</w:t>
            </w:r>
          </w:p>
          <w:p w14:paraId="647E9E39">
            <w:pPr>
              <w:spacing w:line="400" w:lineRule="exact"/>
              <w:rPr>
                <w:rFonts w:ascii="宋体" w:hAnsi="宋体" w:cs="宋体"/>
                <w:color w:val="auto"/>
                <w:szCs w:val="21"/>
                <w:highlight w:val="none"/>
              </w:rPr>
            </w:pPr>
            <w:r>
              <w:rPr>
                <w:rFonts w:hint="eastAsia" w:ascii="宋体" w:hAnsi="宋体" w:cs="宋体"/>
                <w:color w:val="auto"/>
                <w:szCs w:val="21"/>
                <w:highlight w:val="none"/>
              </w:rPr>
              <w:t>（3）服务措施等方案内容较少，服务响应不够及时，措施不妥的得0.1-1.9分；</w:t>
            </w:r>
          </w:p>
          <w:p w14:paraId="6888E0CC">
            <w:pPr>
              <w:spacing w:line="400" w:lineRule="exact"/>
              <w:rPr>
                <w:rFonts w:ascii="宋体" w:hAnsi="宋体"/>
                <w:color w:val="auto"/>
                <w:highlight w:val="none"/>
              </w:rPr>
            </w:pPr>
            <w:r>
              <w:rPr>
                <w:rFonts w:hint="eastAsia" w:ascii="宋体" w:hAnsi="宋体" w:cs="宋体"/>
                <w:color w:val="auto"/>
                <w:szCs w:val="21"/>
                <w:highlight w:val="none"/>
              </w:rPr>
              <w:t>（4）未提供不得分。</w:t>
            </w:r>
          </w:p>
        </w:tc>
        <w:tc>
          <w:tcPr>
            <w:tcW w:w="430" w:type="pct"/>
            <w:vAlign w:val="center"/>
          </w:tcPr>
          <w:p w14:paraId="6624E81F">
            <w:pPr>
              <w:spacing w:line="400" w:lineRule="exact"/>
              <w:jc w:val="center"/>
              <w:rPr>
                <w:rFonts w:ascii="宋体" w:hAnsi="宋体" w:cs="宋体"/>
                <w:color w:val="auto"/>
                <w:highlight w:val="none"/>
              </w:rPr>
            </w:pPr>
            <w:r>
              <w:rPr>
                <w:rFonts w:hint="eastAsia" w:ascii="宋体" w:hAnsi="宋体" w:cs="宋体"/>
                <w:color w:val="auto"/>
                <w:highlight w:val="none"/>
              </w:rPr>
              <w:t>0-5</w:t>
            </w:r>
          </w:p>
        </w:tc>
      </w:tr>
      <w:tr w14:paraId="3793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14039C8F">
            <w:pPr>
              <w:spacing w:line="400" w:lineRule="exact"/>
              <w:jc w:val="center"/>
              <w:rPr>
                <w:rFonts w:ascii="宋体" w:hAnsi="宋体" w:cs="宋体"/>
                <w:color w:val="auto"/>
                <w:szCs w:val="20"/>
                <w:highlight w:val="none"/>
              </w:rPr>
            </w:pPr>
          </w:p>
        </w:tc>
        <w:tc>
          <w:tcPr>
            <w:tcW w:w="320" w:type="pct"/>
            <w:vAlign w:val="center"/>
          </w:tcPr>
          <w:p w14:paraId="6999DB96">
            <w:pPr>
              <w:spacing w:line="400" w:lineRule="exact"/>
              <w:jc w:val="center"/>
              <w:rPr>
                <w:rFonts w:ascii="宋体" w:hAnsi="宋体" w:cs="宋体"/>
                <w:color w:val="auto"/>
                <w:szCs w:val="21"/>
                <w:highlight w:val="none"/>
              </w:rPr>
            </w:pPr>
            <w:r>
              <w:rPr>
                <w:rFonts w:ascii="宋体" w:hAnsi="宋体" w:cs="宋体"/>
                <w:color w:val="auto"/>
                <w:szCs w:val="21"/>
                <w:highlight w:val="none"/>
              </w:rPr>
              <w:t>8</w:t>
            </w:r>
          </w:p>
        </w:tc>
        <w:tc>
          <w:tcPr>
            <w:tcW w:w="3884" w:type="pct"/>
            <w:vAlign w:val="center"/>
          </w:tcPr>
          <w:p w14:paraId="4E89E7D4">
            <w:pPr>
              <w:spacing w:line="400" w:lineRule="exact"/>
              <w:jc w:val="left"/>
              <w:rPr>
                <w:rFonts w:ascii="宋体" w:hAnsi="宋体" w:cs="宋体"/>
                <w:color w:val="auto"/>
                <w:highlight w:val="none"/>
              </w:rPr>
            </w:pPr>
            <w:r>
              <w:rPr>
                <w:rFonts w:hint="eastAsia" w:ascii="宋体" w:hAnsi="宋体" w:cs="宋体"/>
                <w:color w:val="auto"/>
                <w:highlight w:val="none"/>
              </w:rPr>
              <w:t>项目实施的技术力量和人力资源安排，根据供应商提供的技术力量和人力资源进行综合评议，最高得4分。</w:t>
            </w:r>
          </w:p>
          <w:p w14:paraId="1B8F7DCB">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（1）技术力量和人力资源安排充足，充分满足项目施工要求及条件的得3.0-4.0分；</w:t>
            </w:r>
          </w:p>
          <w:p w14:paraId="6AD99D0D">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（2）技术力量和人力资源安排较为充分，能够良好满足项目施工要求及条件的得1.5-2.9分；</w:t>
            </w:r>
          </w:p>
          <w:p w14:paraId="396AE06D">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（3）技术力量和人力资源安排不足，可能影响项目施工要求及条件的得0.1-1.4分；</w:t>
            </w:r>
          </w:p>
          <w:p w14:paraId="5430943B">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（4）未提供不得分。</w:t>
            </w:r>
          </w:p>
          <w:p w14:paraId="66B38515">
            <w:pPr>
              <w:spacing w:line="400" w:lineRule="exact"/>
              <w:jc w:val="left"/>
              <w:rPr>
                <w:rFonts w:ascii="宋体" w:hAnsi="宋体" w:cs="宋体"/>
                <w:color w:val="auto"/>
                <w:highlight w:val="none"/>
              </w:rPr>
            </w:pPr>
            <w:r>
              <w:rPr>
                <w:rFonts w:hint="eastAsia" w:ascii="宋体" w:hAnsi="宋体" w:cs="宋体"/>
                <w:color w:val="auto"/>
                <w:szCs w:val="21"/>
                <w:highlight w:val="none"/>
              </w:rPr>
              <w:t>注：响应文件内提供相关资质证书、社保证明等材料。</w:t>
            </w:r>
          </w:p>
        </w:tc>
        <w:tc>
          <w:tcPr>
            <w:tcW w:w="430" w:type="pct"/>
            <w:vAlign w:val="center"/>
          </w:tcPr>
          <w:p w14:paraId="100554D1">
            <w:pPr>
              <w:spacing w:line="400" w:lineRule="exact"/>
              <w:jc w:val="center"/>
              <w:rPr>
                <w:rFonts w:ascii="宋体" w:hAnsi="宋体" w:cs="宋体"/>
                <w:color w:val="auto"/>
                <w:highlight w:val="none"/>
              </w:rPr>
            </w:pPr>
            <w:r>
              <w:rPr>
                <w:rFonts w:hint="eastAsia" w:ascii="宋体" w:hAnsi="宋体" w:cs="宋体"/>
                <w:color w:val="auto"/>
                <w:highlight w:val="none"/>
              </w:rPr>
              <w:t>0-4</w:t>
            </w:r>
          </w:p>
        </w:tc>
      </w:tr>
      <w:tr w14:paraId="337B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33E550C1">
            <w:pPr>
              <w:spacing w:line="400" w:lineRule="exact"/>
              <w:jc w:val="center"/>
              <w:rPr>
                <w:rFonts w:ascii="宋体" w:hAnsi="宋体" w:cs="宋体"/>
                <w:color w:val="auto"/>
                <w:szCs w:val="20"/>
                <w:highlight w:val="none"/>
              </w:rPr>
            </w:pPr>
          </w:p>
        </w:tc>
        <w:tc>
          <w:tcPr>
            <w:tcW w:w="320" w:type="pct"/>
            <w:vAlign w:val="center"/>
          </w:tcPr>
          <w:p w14:paraId="7F57B9B3">
            <w:pPr>
              <w:spacing w:line="400" w:lineRule="exact"/>
              <w:jc w:val="center"/>
              <w:rPr>
                <w:rFonts w:ascii="宋体" w:hAnsi="宋体" w:cs="宋体"/>
                <w:color w:val="auto"/>
                <w:szCs w:val="21"/>
                <w:highlight w:val="none"/>
              </w:rPr>
            </w:pPr>
            <w:r>
              <w:rPr>
                <w:rFonts w:ascii="宋体" w:hAnsi="宋体" w:cs="宋体"/>
                <w:color w:val="auto"/>
                <w:szCs w:val="21"/>
                <w:highlight w:val="none"/>
              </w:rPr>
              <w:t>9</w:t>
            </w:r>
          </w:p>
        </w:tc>
        <w:tc>
          <w:tcPr>
            <w:tcW w:w="3884" w:type="pct"/>
            <w:vAlign w:val="center"/>
          </w:tcPr>
          <w:p w14:paraId="637C1411">
            <w:pPr>
              <w:spacing w:line="400" w:lineRule="exact"/>
              <w:jc w:val="left"/>
              <w:rPr>
                <w:rFonts w:ascii="宋体" w:hAnsi="宋体" w:cs="宋体"/>
                <w:color w:val="auto"/>
                <w:highlight w:val="none"/>
              </w:rPr>
            </w:pPr>
            <w:r>
              <w:rPr>
                <w:rFonts w:hint="eastAsia" w:ascii="宋体" w:hAnsi="宋体" w:cs="宋体"/>
                <w:color w:val="auto"/>
                <w:highlight w:val="none"/>
              </w:rPr>
              <w:t>根据供应商提供的配合采购人统一管理措施进行综合评议，最高得4分。</w:t>
            </w:r>
          </w:p>
          <w:p w14:paraId="2A1ABCC0">
            <w:pPr>
              <w:spacing w:line="400" w:lineRule="exact"/>
              <w:jc w:val="left"/>
              <w:rPr>
                <w:rFonts w:ascii="宋体" w:hAnsi="宋体" w:cs="宋体"/>
                <w:color w:val="auto"/>
                <w:highlight w:val="none"/>
              </w:rPr>
            </w:pPr>
            <w:r>
              <w:rPr>
                <w:rFonts w:hint="eastAsia" w:ascii="宋体" w:hAnsi="宋体" w:cs="宋体"/>
                <w:color w:val="auto"/>
                <w:highlight w:val="none"/>
              </w:rPr>
              <w:t>（1）配合和协调采购人单位的统一管理及措施完善，有详实的施工过程减少对采购人日常工作影响的制度和措施，得</w:t>
            </w:r>
            <w:r>
              <w:rPr>
                <w:rFonts w:hint="eastAsia" w:ascii="宋体" w:hAnsi="宋体" w:cs="宋体"/>
                <w:color w:val="auto"/>
                <w:szCs w:val="21"/>
                <w:highlight w:val="none"/>
              </w:rPr>
              <w:t>3.0-4.0</w:t>
            </w:r>
            <w:r>
              <w:rPr>
                <w:rFonts w:hint="eastAsia" w:ascii="宋体" w:hAnsi="宋体" w:cs="宋体"/>
                <w:color w:val="auto"/>
                <w:highlight w:val="none"/>
              </w:rPr>
              <w:t>分；</w:t>
            </w:r>
          </w:p>
          <w:p w14:paraId="5EC7CCCB">
            <w:pPr>
              <w:spacing w:line="400" w:lineRule="exact"/>
              <w:jc w:val="left"/>
              <w:rPr>
                <w:rFonts w:ascii="宋体" w:hAnsi="宋体" w:cs="宋体"/>
                <w:color w:val="auto"/>
                <w:highlight w:val="none"/>
              </w:rPr>
            </w:pPr>
            <w:r>
              <w:rPr>
                <w:rFonts w:hint="eastAsia" w:ascii="宋体" w:hAnsi="宋体" w:cs="宋体"/>
                <w:color w:val="auto"/>
                <w:highlight w:val="none"/>
              </w:rPr>
              <w:t>（2）配合和协调采购人单位的统一管理及措施基本完善，有施工过程减少对采购人日常工作影响的制度和措施的基本内容，得</w:t>
            </w:r>
            <w:r>
              <w:rPr>
                <w:rFonts w:hint="eastAsia" w:ascii="宋体" w:hAnsi="宋体" w:cs="宋体"/>
                <w:color w:val="auto"/>
                <w:szCs w:val="21"/>
                <w:highlight w:val="none"/>
              </w:rPr>
              <w:t>1.5-2.9</w:t>
            </w:r>
            <w:r>
              <w:rPr>
                <w:rFonts w:hint="eastAsia" w:ascii="宋体" w:hAnsi="宋体" w:cs="宋体"/>
                <w:color w:val="auto"/>
                <w:highlight w:val="none"/>
              </w:rPr>
              <w:t>分；</w:t>
            </w:r>
          </w:p>
          <w:p w14:paraId="320866AE">
            <w:pPr>
              <w:spacing w:line="400" w:lineRule="exact"/>
              <w:jc w:val="left"/>
              <w:rPr>
                <w:rFonts w:ascii="宋体" w:hAnsi="宋体" w:cs="宋体"/>
                <w:color w:val="auto"/>
                <w:highlight w:val="none"/>
              </w:rPr>
            </w:pPr>
            <w:r>
              <w:rPr>
                <w:rFonts w:hint="eastAsia" w:ascii="宋体" w:hAnsi="宋体" w:cs="宋体"/>
                <w:color w:val="auto"/>
                <w:highlight w:val="none"/>
              </w:rPr>
              <w:t>（3）配合和协调采购人单位的统一管理及措施有明显欠缺，仅有简略的施工过程减少对采购人日常工作影响的制度和措施，得</w:t>
            </w:r>
            <w:r>
              <w:rPr>
                <w:rFonts w:hint="eastAsia" w:ascii="宋体" w:hAnsi="宋体" w:cs="宋体"/>
                <w:color w:val="auto"/>
                <w:szCs w:val="21"/>
                <w:highlight w:val="none"/>
              </w:rPr>
              <w:t>0.1-1.4</w:t>
            </w:r>
            <w:r>
              <w:rPr>
                <w:rFonts w:hint="eastAsia" w:ascii="宋体" w:hAnsi="宋体" w:cs="宋体"/>
                <w:color w:val="auto"/>
                <w:highlight w:val="none"/>
              </w:rPr>
              <w:t>分。</w:t>
            </w:r>
          </w:p>
          <w:p w14:paraId="07580060">
            <w:pPr>
              <w:spacing w:line="400" w:lineRule="exact"/>
              <w:jc w:val="left"/>
              <w:rPr>
                <w:rFonts w:ascii="宋体" w:hAnsi="宋体"/>
                <w:color w:val="auto"/>
                <w:highlight w:val="none"/>
              </w:rPr>
            </w:pPr>
            <w:r>
              <w:rPr>
                <w:rFonts w:hint="eastAsia" w:ascii="宋体" w:hAnsi="宋体" w:cs="宋体"/>
                <w:color w:val="auto"/>
                <w:highlight w:val="none"/>
              </w:rPr>
              <w:t>（4）</w:t>
            </w:r>
            <w:r>
              <w:rPr>
                <w:rFonts w:hint="eastAsia" w:ascii="宋体" w:hAnsi="宋体" w:cs="宋体"/>
                <w:color w:val="auto"/>
                <w:szCs w:val="21"/>
                <w:highlight w:val="none"/>
              </w:rPr>
              <w:t>未提供不得分。</w:t>
            </w:r>
          </w:p>
        </w:tc>
        <w:tc>
          <w:tcPr>
            <w:tcW w:w="430" w:type="pct"/>
            <w:vAlign w:val="center"/>
          </w:tcPr>
          <w:p w14:paraId="56130A36">
            <w:pPr>
              <w:spacing w:line="400" w:lineRule="exact"/>
              <w:jc w:val="center"/>
              <w:rPr>
                <w:rFonts w:ascii="宋体" w:hAnsi="宋体" w:cs="宋体"/>
                <w:color w:val="auto"/>
                <w:highlight w:val="none"/>
              </w:rPr>
            </w:pPr>
            <w:r>
              <w:rPr>
                <w:rFonts w:hint="eastAsia" w:ascii="宋体" w:hAnsi="宋体" w:cs="宋体"/>
                <w:color w:val="auto"/>
                <w:szCs w:val="21"/>
                <w:highlight w:val="none"/>
              </w:rPr>
              <w:t>0-4</w:t>
            </w:r>
          </w:p>
        </w:tc>
      </w:tr>
      <w:tr w14:paraId="239D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366" w:type="pct"/>
            <w:vMerge w:val="continue"/>
            <w:vAlign w:val="center"/>
          </w:tcPr>
          <w:p w14:paraId="28E88941">
            <w:pPr>
              <w:spacing w:line="400" w:lineRule="exact"/>
              <w:jc w:val="center"/>
              <w:rPr>
                <w:rFonts w:ascii="宋体" w:hAnsi="宋体" w:cs="宋体"/>
                <w:color w:val="auto"/>
                <w:szCs w:val="20"/>
                <w:highlight w:val="none"/>
              </w:rPr>
            </w:pPr>
          </w:p>
        </w:tc>
        <w:tc>
          <w:tcPr>
            <w:tcW w:w="320" w:type="pct"/>
            <w:vMerge w:val="restart"/>
            <w:vAlign w:val="center"/>
          </w:tcPr>
          <w:p w14:paraId="7BE63A8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3884" w:type="pct"/>
            <w:vAlign w:val="center"/>
          </w:tcPr>
          <w:p w14:paraId="4A5F7A66">
            <w:pPr>
              <w:spacing w:line="400" w:lineRule="exact"/>
              <w:rPr>
                <w:rFonts w:hint="eastAsia" w:ascii="inherit" w:hAnsi="inherit" w:cs="宋体"/>
                <w:color w:val="auto"/>
                <w:kern w:val="0"/>
                <w:szCs w:val="21"/>
                <w:highlight w:val="none"/>
              </w:rPr>
            </w:pPr>
            <w:bookmarkStart w:id="59" w:name="OLE_LINK16"/>
            <w:bookmarkStart w:id="60" w:name="OLE_LINK17"/>
            <w:r>
              <w:rPr>
                <w:rFonts w:hint="eastAsia" w:ascii="宋体" w:hAnsi="宋体" w:cs="宋体"/>
                <w:color w:val="auto"/>
                <w:highlight w:val="none"/>
              </w:rPr>
              <w:t>根据供应商提供的墙砖样品情况进行综合评议，要求样品</w:t>
            </w:r>
            <w:r>
              <w:rPr>
                <w:rFonts w:ascii="宋体" w:hAnsi="宋体" w:cs="宋体"/>
                <w:color w:val="auto"/>
                <w:highlight w:val="none"/>
              </w:rPr>
              <w:t>表面平整，无凹凸、波纹等缺陷</w:t>
            </w:r>
            <w:r>
              <w:rPr>
                <w:rFonts w:hint="eastAsia" w:ascii="宋体" w:hAnsi="宋体" w:cs="宋体"/>
                <w:color w:val="auto"/>
                <w:highlight w:val="none"/>
              </w:rPr>
              <w:t>；</w:t>
            </w:r>
            <w:r>
              <w:rPr>
                <w:rFonts w:ascii="宋体" w:hAnsi="宋体" w:cs="宋体"/>
                <w:color w:val="auto"/>
                <w:highlight w:val="none"/>
              </w:rPr>
              <w:t>色泽均匀一致，无色差、色斑或杂色</w:t>
            </w:r>
            <w:r>
              <w:rPr>
                <w:rFonts w:hint="eastAsia" w:ascii="宋体" w:hAnsi="宋体" w:cs="宋体"/>
                <w:color w:val="auto"/>
                <w:highlight w:val="none"/>
              </w:rPr>
              <w:t>；</w:t>
            </w:r>
            <w:r>
              <w:rPr>
                <w:rFonts w:ascii="宋体" w:hAnsi="宋体" w:cs="宋体"/>
                <w:color w:val="auto"/>
                <w:highlight w:val="none"/>
              </w:rPr>
              <w:t>无</w:t>
            </w:r>
            <w:r>
              <w:rPr>
                <w:rFonts w:hint="eastAsia" w:ascii="宋体" w:hAnsi="宋体" w:cs="宋体"/>
                <w:color w:val="auto"/>
                <w:highlight w:val="none"/>
              </w:rPr>
              <w:t>外观</w:t>
            </w:r>
            <w:r>
              <w:rPr>
                <w:rFonts w:ascii="宋体" w:hAnsi="宋体" w:cs="宋体"/>
                <w:color w:val="auto"/>
                <w:highlight w:val="none"/>
              </w:rPr>
              <w:t>瑕疵，如裂纹等</w:t>
            </w:r>
            <w:r>
              <w:rPr>
                <w:rFonts w:hint="eastAsia" w:ascii="宋体" w:hAnsi="宋体" w:cs="宋体"/>
                <w:color w:val="auto"/>
                <w:highlight w:val="none"/>
              </w:rPr>
              <w:t>；</w:t>
            </w:r>
            <w:r>
              <w:rPr>
                <w:rFonts w:ascii="宋体" w:hAnsi="宋体" w:cs="宋体"/>
                <w:color w:val="auto"/>
                <w:highlight w:val="none"/>
              </w:rPr>
              <w:t>手感坚实厚重，无松软或轻浮感</w:t>
            </w:r>
            <w:r>
              <w:rPr>
                <w:rFonts w:hint="eastAsia" w:ascii="宋体" w:hAnsi="宋体" w:cs="宋体"/>
                <w:color w:val="auto"/>
                <w:highlight w:val="none"/>
              </w:rPr>
              <w:t>；</w:t>
            </w:r>
            <w:r>
              <w:rPr>
                <w:rFonts w:ascii="宋体" w:hAnsi="宋体" w:cs="宋体"/>
                <w:color w:val="auto"/>
                <w:highlight w:val="none"/>
              </w:rPr>
              <w:t>边缘整齐，无毛刺、缺角或崩边现象</w:t>
            </w:r>
            <w:r>
              <w:rPr>
                <w:rFonts w:hint="eastAsia" w:ascii="宋体" w:hAnsi="宋体" w:cs="宋体"/>
                <w:color w:val="auto"/>
                <w:highlight w:val="none"/>
              </w:rPr>
              <w:t>；</w:t>
            </w:r>
            <w:r>
              <w:rPr>
                <w:rFonts w:ascii="宋体" w:hAnsi="宋体" w:cs="宋体"/>
                <w:color w:val="auto"/>
                <w:highlight w:val="none"/>
              </w:rPr>
              <w:t>实测尺寸与标称尺寸一致，公差控制在国家标准范围内</w:t>
            </w:r>
            <w:r>
              <w:rPr>
                <w:rFonts w:hint="eastAsia" w:ascii="宋体" w:hAnsi="宋体" w:cs="宋体"/>
                <w:color w:val="auto"/>
                <w:highlight w:val="none"/>
              </w:rPr>
              <w:t>；</w:t>
            </w:r>
            <w:r>
              <w:rPr>
                <w:rFonts w:ascii="宋体" w:hAnsi="宋体" w:cs="宋体"/>
                <w:color w:val="auto"/>
                <w:highlight w:val="none"/>
              </w:rPr>
              <w:t>对角线误差小，符合高精度要求。</w:t>
            </w:r>
          </w:p>
          <w:p w14:paraId="4BE7678E">
            <w:pPr>
              <w:spacing w:line="400" w:lineRule="exact"/>
              <w:rPr>
                <w:rFonts w:ascii="宋体" w:hAnsi="宋体" w:cs="宋体"/>
                <w:color w:val="auto"/>
                <w:highlight w:val="none"/>
              </w:rPr>
            </w:pPr>
            <w:r>
              <w:rPr>
                <w:rFonts w:hint="eastAsia" w:ascii="宋体" w:hAnsi="宋体" w:cs="宋体"/>
                <w:color w:val="auto"/>
                <w:highlight w:val="none"/>
              </w:rPr>
              <w:t>(1)样品材质优良，做工精良的得0.8-1分；</w:t>
            </w:r>
          </w:p>
          <w:p w14:paraId="077C9DE3">
            <w:pPr>
              <w:spacing w:line="400" w:lineRule="exact"/>
              <w:rPr>
                <w:rFonts w:ascii="宋体" w:hAnsi="宋体" w:cs="宋体"/>
                <w:color w:val="auto"/>
                <w:highlight w:val="none"/>
              </w:rPr>
            </w:pPr>
            <w:r>
              <w:rPr>
                <w:rFonts w:hint="eastAsia" w:ascii="宋体" w:hAnsi="宋体" w:cs="宋体"/>
                <w:color w:val="auto"/>
                <w:highlight w:val="none"/>
              </w:rPr>
              <w:t>(2)样品材质中等，做工良好的得0.5-0.7分；</w:t>
            </w:r>
          </w:p>
          <w:p w14:paraId="52C1C523">
            <w:pPr>
              <w:spacing w:line="400" w:lineRule="exact"/>
              <w:rPr>
                <w:rFonts w:ascii="宋体" w:hAnsi="宋体" w:cs="宋体"/>
                <w:color w:val="auto"/>
                <w:highlight w:val="none"/>
              </w:rPr>
            </w:pPr>
            <w:r>
              <w:rPr>
                <w:rFonts w:hint="eastAsia" w:ascii="宋体" w:hAnsi="宋体" w:cs="宋体"/>
                <w:color w:val="auto"/>
                <w:highlight w:val="none"/>
              </w:rPr>
              <w:t>(3)样品材质一般，做工一般0.1-0.4分。</w:t>
            </w:r>
            <w:bookmarkEnd w:id="59"/>
            <w:bookmarkEnd w:id="60"/>
          </w:p>
        </w:tc>
        <w:tc>
          <w:tcPr>
            <w:tcW w:w="430" w:type="pct"/>
            <w:vAlign w:val="center"/>
          </w:tcPr>
          <w:p w14:paraId="6EB4A7F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r>
      <w:tr w14:paraId="6CA3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366" w:type="pct"/>
            <w:vMerge w:val="continue"/>
            <w:vAlign w:val="center"/>
          </w:tcPr>
          <w:p w14:paraId="5E06D3BC">
            <w:pPr>
              <w:spacing w:line="400" w:lineRule="exact"/>
              <w:jc w:val="center"/>
              <w:rPr>
                <w:rFonts w:ascii="宋体" w:hAnsi="宋体" w:cs="宋体"/>
                <w:color w:val="auto"/>
                <w:szCs w:val="20"/>
                <w:highlight w:val="none"/>
              </w:rPr>
            </w:pPr>
          </w:p>
        </w:tc>
        <w:tc>
          <w:tcPr>
            <w:tcW w:w="320" w:type="pct"/>
            <w:vMerge w:val="continue"/>
            <w:vAlign w:val="center"/>
          </w:tcPr>
          <w:p w14:paraId="46F5C6FC">
            <w:pPr>
              <w:spacing w:line="400" w:lineRule="exact"/>
              <w:jc w:val="center"/>
              <w:rPr>
                <w:rFonts w:ascii="宋体" w:hAnsi="宋体" w:cs="宋体"/>
                <w:color w:val="auto"/>
                <w:szCs w:val="21"/>
                <w:highlight w:val="none"/>
              </w:rPr>
            </w:pPr>
          </w:p>
        </w:tc>
        <w:tc>
          <w:tcPr>
            <w:tcW w:w="3884" w:type="pct"/>
            <w:vAlign w:val="center"/>
          </w:tcPr>
          <w:p w14:paraId="5DDF9CC5">
            <w:pPr>
              <w:spacing w:line="400" w:lineRule="exact"/>
              <w:rPr>
                <w:rFonts w:ascii="宋体" w:hAnsi="宋体" w:cs="Segoe UI"/>
                <w:color w:val="auto"/>
                <w:highlight w:val="none"/>
                <w:shd w:val="clear" w:color="auto" w:fill="FFFFFF"/>
              </w:rPr>
            </w:pPr>
            <w:bookmarkStart w:id="61" w:name="OLE_LINK19"/>
            <w:bookmarkStart w:id="62" w:name="OLE_LINK18"/>
            <w:r>
              <w:rPr>
                <w:rFonts w:hint="eastAsia" w:ascii="宋体" w:hAnsi="宋体" w:cs="宋体"/>
                <w:color w:val="auto"/>
                <w:highlight w:val="none"/>
              </w:rPr>
              <w:t>根据供应商提</w:t>
            </w:r>
            <w:r>
              <w:rPr>
                <w:rFonts w:hint="eastAsia" w:ascii="宋体" w:hAnsi="宋体" w:cs="Segoe UI"/>
                <w:color w:val="auto"/>
                <w:highlight w:val="none"/>
                <w:shd w:val="clear" w:color="auto" w:fill="FFFFFF"/>
              </w:rPr>
              <w:t>供的复合地板样品情况进行综合评议，</w:t>
            </w:r>
            <w:r>
              <w:rPr>
                <w:rFonts w:hint="eastAsia" w:ascii="宋体" w:hAnsi="宋体" w:cs="宋体"/>
                <w:color w:val="auto"/>
                <w:szCs w:val="21"/>
                <w:highlight w:val="none"/>
              </w:rPr>
              <w:t>要求</w:t>
            </w:r>
            <w:r>
              <w:rPr>
                <w:rFonts w:hint="eastAsia" w:ascii="宋体" w:hAnsi="宋体" w:cs="宋体"/>
                <w:color w:val="auto"/>
                <w:highlight w:val="none"/>
              </w:rPr>
              <w:t>样品</w:t>
            </w:r>
            <w:r>
              <w:rPr>
                <w:rFonts w:hint="eastAsia" w:ascii="宋体" w:hAnsi="宋体" w:cs="Segoe UI"/>
                <w:color w:val="auto"/>
                <w:highlight w:val="none"/>
                <w:shd w:val="clear" w:color="auto" w:fill="FFFFFF"/>
              </w:rPr>
              <w:t>外观表面纹理清晰自然，色泽均匀一致，无明显瑕疵；无刺鼻气味；边缘切割整齐，</w:t>
            </w:r>
            <w:r>
              <w:rPr>
                <w:rFonts w:ascii="宋体" w:hAnsi="宋体" w:cs="Segoe UI"/>
                <w:color w:val="auto"/>
                <w:highlight w:val="none"/>
                <w:shd w:val="clear" w:color="auto" w:fill="FFFFFF"/>
              </w:rPr>
              <w:t>无毛刺、缺角、崩边等缺陷；</w:t>
            </w:r>
            <w:r>
              <w:rPr>
                <w:rFonts w:hint="eastAsia" w:ascii="宋体" w:hAnsi="宋体" w:cs="Segoe UI"/>
                <w:color w:val="auto"/>
                <w:highlight w:val="none"/>
                <w:shd w:val="clear" w:color="auto" w:fill="FFFFFF"/>
              </w:rPr>
              <w:t>背板处理平整，</w:t>
            </w:r>
            <w:r>
              <w:rPr>
                <w:rFonts w:ascii="宋体" w:hAnsi="宋体" w:cs="Segoe UI"/>
                <w:color w:val="auto"/>
                <w:highlight w:val="none"/>
                <w:shd w:val="clear" w:color="auto" w:fill="FFFFFF"/>
              </w:rPr>
              <w:t>无凹凸变形、涂层脱落等问题</w:t>
            </w:r>
            <w:r>
              <w:rPr>
                <w:rFonts w:hint="eastAsia" w:ascii="宋体" w:hAnsi="宋体" w:cs="Segoe UI"/>
                <w:color w:val="auto"/>
                <w:highlight w:val="none"/>
                <w:shd w:val="clear" w:color="auto" w:fill="FFFFFF"/>
              </w:rPr>
              <w:t>，实测尺寸与标称一致</w:t>
            </w:r>
            <w:r>
              <w:rPr>
                <w:rFonts w:ascii="宋体" w:hAnsi="宋体" w:cs="Segoe UI"/>
                <w:color w:val="auto"/>
                <w:highlight w:val="none"/>
                <w:shd w:val="clear" w:color="auto" w:fill="FFFFFF"/>
              </w:rPr>
              <w:t>，误差在国标范围内</w:t>
            </w:r>
            <w:r>
              <w:rPr>
                <w:rFonts w:hint="eastAsia" w:ascii="宋体" w:hAnsi="宋体" w:cs="Segoe UI"/>
                <w:color w:val="auto"/>
                <w:highlight w:val="none"/>
                <w:shd w:val="clear" w:color="auto" w:fill="FFFFFF"/>
              </w:rPr>
              <w:t>；</w:t>
            </w:r>
            <w:r>
              <w:rPr>
                <w:rFonts w:ascii="宋体" w:hAnsi="宋体" w:cs="Segoe UI"/>
                <w:color w:val="auto"/>
                <w:highlight w:val="none"/>
                <w:shd w:val="clear" w:color="auto" w:fill="FFFFFF"/>
              </w:rPr>
              <w:t>无翘曲、扭曲、波浪变形等现象</w:t>
            </w:r>
            <w:r>
              <w:rPr>
                <w:rFonts w:hint="eastAsia" w:ascii="宋体" w:hAnsi="宋体" w:cs="Segoe UI"/>
                <w:color w:val="auto"/>
                <w:highlight w:val="none"/>
                <w:shd w:val="clear" w:color="auto" w:fill="FFFFFF"/>
              </w:rPr>
              <w:t>；总体产品质量精良。</w:t>
            </w:r>
          </w:p>
          <w:p w14:paraId="668E08A2">
            <w:pPr>
              <w:spacing w:line="400" w:lineRule="exact"/>
              <w:rPr>
                <w:rFonts w:ascii="宋体" w:hAnsi="宋体" w:cs="Segoe UI"/>
                <w:color w:val="auto"/>
                <w:highlight w:val="none"/>
                <w:shd w:val="clear" w:color="auto" w:fill="FFFFFF"/>
              </w:rPr>
            </w:pPr>
            <w:r>
              <w:rPr>
                <w:rFonts w:hint="eastAsia" w:ascii="宋体" w:hAnsi="宋体" w:cs="Segoe UI"/>
                <w:color w:val="auto"/>
                <w:highlight w:val="none"/>
                <w:shd w:val="clear" w:color="auto" w:fill="FFFFFF"/>
              </w:rPr>
              <w:t>(1)样品材质优良，做工精良的得0.8-1分；</w:t>
            </w:r>
          </w:p>
          <w:p w14:paraId="71EE0B3C">
            <w:pPr>
              <w:spacing w:line="400" w:lineRule="exact"/>
              <w:rPr>
                <w:rFonts w:ascii="宋体" w:hAnsi="宋体" w:cs="Segoe UI"/>
                <w:color w:val="auto"/>
                <w:highlight w:val="none"/>
                <w:shd w:val="clear" w:color="auto" w:fill="FFFFFF"/>
              </w:rPr>
            </w:pPr>
            <w:r>
              <w:rPr>
                <w:rFonts w:hint="eastAsia" w:ascii="宋体" w:hAnsi="宋体" w:cs="Segoe UI"/>
                <w:color w:val="auto"/>
                <w:highlight w:val="none"/>
                <w:shd w:val="clear" w:color="auto" w:fill="FFFFFF"/>
              </w:rPr>
              <w:t>(2)样品材质中等，做工良好的得0.5-0.7分；</w:t>
            </w:r>
          </w:p>
          <w:p w14:paraId="5431FB93">
            <w:pPr>
              <w:spacing w:line="400" w:lineRule="exact"/>
              <w:rPr>
                <w:rFonts w:ascii="宋体" w:hAnsi="宋体" w:cs="宋体"/>
                <w:color w:val="auto"/>
                <w:highlight w:val="none"/>
              </w:rPr>
            </w:pPr>
            <w:r>
              <w:rPr>
                <w:rFonts w:hint="eastAsia" w:ascii="宋体" w:hAnsi="宋体" w:cs="Segoe UI"/>
                <w:color w:val="auto"/>
                <w:highlight w:val="none"/>
                <w:shd w:val="clear" w:color="auto" w:fill="FFFFFF"/>
              </w:rPr>
              <w:t>(3)样品材质一般，做工一般0.1-0.4分。</w:t>
            </w:r>
            <w:bookmarkEnd w:id="61"/>
            <w:bookmarkEnd w:id="62"/>
          </w:p>
        </w:tc>
        <w:tc>
          <w:tcPr>
            <w:tcW w:w="430" w:type="pct"/>
            <w:vAlign w:val="center"/>
          </w:tcPr>
          <w:p w14:paraId="1C8D1D2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r>
      <w:tr w14:paraId="2290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366" w:type="pct"/>
            <w:vMerge w:val="continue"/>
            <w:vAlign w:val="center"/>
          </w:tcPr>
          <w:p w14:paraId="512538BF">
            <w:pPr>
              <w:spacing w:line="400" w:lineRule="exact"/>
              <w:jc w:val="center"/>
              <w:rPr>
                <w:rFonts w:ascii="宋体" w:hAnsi="宋体" w:cs="宋体"/>
                <w:color w:val="auto"/>
                <w:szCs w:val="20"/>
                <w:highlight w:val="none"/>
              </w:rPr>
            </w:pPr>
          </w:p>
        </w:tc>
        <w:tc>
          <w:tcPr>
            <w:tcW w:w="320" w:type="pct"/>
            <w:vMerge w:val="continue"/>
            <w:vAlign w:val="center"/>
          </w:tcPr>
          <w:p w14:paraId="1BFEDFC4">
            <w:pPr>
              <w:spacing w:line="400" w:lineRule="exact"/>
              <w:jc w:val="center"/>
              <w:rPr>
                <w:rFonts w:ascii="宋体" w:hAnsi="宋体" w:cs="宋体"/>
                <w:color w:val="auto"/>
                <w:szCs w:val="21"/>
                <w:highlight w:val="none"/>
              </w:rPr>
            </w:pPr>
          </w:p>
        </w:tc>
        <w:tc>
          <w:tcPr>
            <w:tcW w:w="3884" w:type="pct"/>
            <w:vAlign w:val="center"/>
          </w:tcPr>
          <w:p w14:paraId="1BDB16A8">
            <w:pPr>
              <w:spacing w:line="400" w:lineRule="exact"/>
              <w:rPr>
                <w:rFonts w:ascii="宋体" w:hAnsi="宋体" w:cs="Segoe UI"/>
                <w:color w:val="auto"/>
                <w:highlight w:val="none"/>
                <w:shd w:val="clear" w:color="auto" w:fill="FFFFFF"/>
              </w:rPr>
            </w:pPr>
            <w:bookmarkStart w:id="63" w:name="OLE_LINK20"/>
            <w:bookmarkStart w:id="64" w:name="OLE_LINK21"/>
            <w:r>
              <w:rPr>
                <w:rFonts w:hint="eastAsia" w:ascii="宋体" w:hAnsi="宋体" w:cs="宋体"/>
                <w:color w:val="auto"/>
                <w:szCs w:val="21"/>
                <w:highlight w:val="none"/>
              </w:rPr>
              <w:t>根据供应商提供的</w:t>
            </w:r>
            <w:r>
              <w:rPr>
                <w:rFonts w:hint="eastAsia" w:ascii="宋体" w:hAnsi="宋体"/>
                <w:color w:val="auto"/>
                <w:szCs w:val="21"/>
                <w:highlight w:val="none"/>
              </w:rPr>
              <w:t>塑木地板</w:t>
            </w:r>
            <w:r>
              <w:rPr>
                <w:rFonts w:hint="eastAsia" w:ascii="宋体" w:hAnsi="宋体" w:cs="宋体"/>
                <w:color w:val="auto"/>
                <w:szCs w:val="21"/>
                <w:highlight w:val="none"/>
              </w:rPr>
              <w:t>样品情况进行综合评议，要求</w:t>
            </w:r>
            <w:r>
              <w:rPr>
                <w:rFonts w:hint="eastAsia" w:ascii="宋体" w:hAnsi="宋体" w:cs="宋体"/>
                <w:color w:val="auto"/>
                <w:highlight w:val="none"/>
              </w:rPr>
              <w:t>样品</w:t>
            </w:r>
            <w:r>
              <w:rPr>
                <w:rFonts w:hint="eastAsia" w:ascii="宋体" w:hAnsi="宋体" w:cs="Segoe UI"/>
                <w:color w:val="auto"/>
                <w:highlight w:val="none"/>
                <w:shd w:val="clear" w:color="auto" w:fill="FFFFFF"/>
              </w:rPr>
              <w:t>外观表面纹理清晰自然，色泽均匀一致，无明显瑕疵；无刺鼻气味；边缘切割整齐，</w:t>
            </w:r>
            <w:r>
              <w:rPr>
                <w:rFonts w:ascii="宋体" w:hAnsi="宋体" w:cs="Segoe UI"/>
                <w:color w:val="auto"/>
                <w:highlight w:val="none"/>
                <w:shd w:val="clear" w:color="auto" w:fill="FFFFFF"/>
              </w:rPr>
              <w:t>无毛刺、缺角、崩边等缺陷；</w:t>
            </w:r>
            <w:r>
              <w:rPr>
                <w:rFonts w:hint="eastAsia" w:ascii="宋体" w:hAnsi="宋体" w:cs="Segoe UI"/>
                <w:color w:val="auto"/>
                <w:highlight w:val="none"/>
                <w:shd w:val="clear" w:color="auto" w:fill="FFFFFF"/>
              </w:rPr>
              <w:t>背板处理平整，</w:t>
            </w:r>
            <w:r>
              <w:rPr>
                <w:rFonts w:ascii="宋体" w:hAnsi="宋体" w:cs="Segoe UI"/>
                <w:color w:val="auto"/>
                <w:highlight w:val="none"/>
                <w:shd w:val="clear" w:color="auto" w:fill="FFFFFF"/>
              </w:rPr>
              <w:t>无凹凸变形、涂层脱落等问题</w:t>
            </w:r>
            <w:r>
              <w:rPr>
                <w:rFonts w:hint="eastAsia" w:ascii="宋体" w:hAnsi="宋体" w:cs="Segoe UI"/>
                <w:color w:val="auto"/>
                <w:highlight w:val="none"/>
                <w:shd w:val="clear" w:color="auto" w:fill="FFFFFF"/>
              </w:rPr>
              <w:t>，实测尺寸与标称一致</w:t>
            </w:r>
            <w:r>
              <w:rPr>
                <w:rFonts w:ascii="宋体" w:hAnsi="宋体" w:cs="Segoe UI"/>
                <w:color w:val="auto"/>
                <w:highlight w:val="none"/>
                <w:shd w:val="clear" w:color="auto" w:fill="FFFFFF"/>
              </w:rPr>
              <w:t>，误差在国标范围内</w:t>
            </w:r>
            <w:r>
              <w:rPr>
                <w:rFonts w:hint="eastAsia" w:ascii="宋体" w:hAnsi="宋体" w:cs="Segoe UI"/>
                <w:color w:val="auto"/>
                <w:highlight w:val="none"/>
                <w:shd w:val="clear" w:color="auto" w:fill="FFFFFF"/>
              </w:rPr>
              <w:t>；</w:t>
            </w:r>
            <w:r>
              <w:rPr>
                <w:rFonts w:ascii="宋体" w:hAnsi="宋体" w:cs="Segoe UI"/>
                <w:color w:val="auto"/>
                <w:highlight w:val="none"/>
                <w:shd w:val="clear" w:color="auto" w:fill="FFFFFF"/>
              </w:rPr>
              <w:t>无翘曲、扭曲、波浪变形等现象</w:t>
            </w:r>
            <w:r>
              <w:rPr>
                <w:rFonts w:hint="eastAsia" w:ascii="宋体" w:hAnsi="宋体" w:cs="Segoe UI"/>
                <w:color w:val="auto"/>
                <w:highlight w:val="none"/>
                <w:shd w:val="clear" w:color="auto" w:fill="FFFFFF"/>
              </w:rPr>
              <w:t>；总体产品质量精良。</w:t>
            </w:r>
          </w:p>
          <w:p w14:paraId="3F00E434">
            <w:pPr>
              <w:spacing w:line="400" w:lineRule="exact"/>
              <w:rPr>
                <w:rFonts w:ascii="宋体" w:hAnsi="宋体" w:cs="宋体"/>
                <w:color w:val="auto"/>
                <w:highlight w:val="none"/>
              </w:rPr>
            </w:pPr>
            <w:bookmarkStart w:id="65" w:name="OLE_LINK12"/>
            <w:bookmarkStart w:id="66" w:name="OLE_LINK13"/>
            <w:r>
              <w:rPr>
                <w:rFonts w:hint="eastAsia" w:ascii="宋体" w:hAnsi="宋体" w:cs="宋体"/>
                <w:color w:val="auto"/>
                <w:highlight w:val="none"/>
              </w:rPr>
              <w:t>(1)样品材质优良，做工精良的得0.8-1分；</w:t>
            </w:r>
          </w:p>
          <w:p w14:paraId="203F6912">
            <w:pPr>
              <w:spacing w:line="400" w:lineRule="exact"/>
              <w:rPr>
                <w:rFonts w:ascii="宋体" w:hAnsi="宋体" w:cs="宋体"/>
                <w:color w:val="auto"/>
                <w:highlight w:val="none"/>
              </w:rPr>
            </w:pPr>
            <w:r>
              <w:rPr>
                <w:rFonts w:hint="eastAsia" w:ascii="宋体" w:hAnsi="宋体" w:cs="宋体"/>
                <w:color w:val="auto"/>
                <w:highlight w:val="none"/>
              </w:rPr>
              <w:t>(2)样品材质中等，做工良好的得0.5-0.7分；</w:t>
            </w:r>
          </w:p>
          <w:p w14:paraId="3BAEAAA3">
            <w:pPr>
              <w:spacing w:line="400" w:lineRule="exact"/>
              <w:rPr>
                <w:rFonts w:ascii="宋体" w:hAnsi="宋体" w:cs="宋体"/>
                <w:color w:val="auto"/>
                <w:highlight w:val="none"/>
              </w:rPr>
            </w:pPr>
            <w:r>
              <w:rPr>
                <w:rFonts w:hint="eastAsia" w:ascii="宋体" w:hAnsi="宋体" w:cs="宋体"/>
                <w:color w:val="auto"/>
                <w:highlight w:val="none"/>
              </w:rPr>
              <w:t>(3)样品材质一般，做工一般0.1-0.4分。</w:t>
            </w:r>
            <w:bookmarkEnd w:id="63"/>
            <w:bookmarkEnd w:id="64"/>
            <w:bookmarkEnd w:id="65"/>
            <w:bookmarkEnd w:id="66"/>
          </w:p>
        </w:tc>
        <w:tc>
          <w:tcPr>
            <w:tcW w:w="430" w:type="pct"/>
            <w:vAlign w:val="center"/>
          </w:tcPr>
          <w:p w14:paraId="36D4F38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r>
      <w:tr w14:paraId="3161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11494840">
            <w:pPr>
              <w:spacing w:line="400" w:lineRule="exact"/>
              <w:jc w:val="center"/>
              <w:rPr>
                <w:rFonts w:ascii="宋体" w:hAnsi="宋体" w:cs="宋体"/>
                <w:color w:val="auto"/>
                <w:szCs w:val="20"/>
                <w:highlight w:val="none"/>
              </w:rPr>
            </w:pPr>
          </w:p>
        </w:tc>
        <w:tc>
          <w:tcPr>
            <w:tcW w:w="320" w:type="pct"/>
            <w:vAlign w:val="center"/>
          </w:tcPr>
          <w:p w14:paraId="43656EA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3884" w:type="pct"/>
            <w:vAlign w:val="center"/>
          </w:tcPr>
          <w:p w14:paraId="2553E23A">
            <w:pPr>
              <w:widowControl/>
              <w:spacing w:line="300" w:lineRule="exact"/>
              <w:jc w:val="left"/>
              <w:rPr>
                <w:rFonts w:ascii="宋体" w:hAnsi="宋体" w:cs="宋体"/>
                <w:color w:val="auto"/>
                <w:highlight w:val="none"/>
              </w:rPr>
            </w:pPr>
            <w:r>
              <w:rPr>
                <w:rFonts w:hint="eastAsia" w:ascii="宋体" w:hAnsi="宋体" w:cs="宋体"/>
                <w:color w:val="auto"/>
                <w:highlight w:val="none"/>
              </w:rPr>
              <w:t>业绩（1.5分）</w:t>
            </w:r>
          </w:p>
          <w:p w14:paraId="1E1A9CD2">
            <w:pPr>
              <w:widowControl/>
              <w:spacing w:line="300" w:lineRule="exact"/>
              <w:jc w:val="left"/>
              <w:rPr>
                <w:rFonts w:ascii="宋体" w:hAnsi="宋体" w:cs="宋体"/>
                <w:color w:val="auto"/>
                <w:highlight w:val="none"/>
              </w:rPr>
            </w:pPr>
            <w:r>
              <w:rPr>
                <w:rFonts w:hint="eastAsia" w:ascii="宋体" w:hAnsi="宋体" w:cs="宋体"/>
                <w:color w:val="auto"/>
                <w:highlight w:val="none"/>
              </w:rPr>
              <w:t>自202</w:t>
            </w:r>
            <w:r>
              <w:rPr>
                <w:rFonts w:ascii="宋体" w:hAnsi="宋体" w:cs="宋体"/>
                <w:color w:val="auto"/>
                <w:highlight w:val="none"/>
              </w:rPr>
              <w:t>2</w:t>
            </w:r>
            <w:r>
              <w:rPr>
                <w:rFonts w:hint="eastAsia" w:ascii="宋体" w:hAnsi="宋体" w:cs="宋体"/>
                <w:color w:val="auto"/>
                <w:highlight w:val="none"/>
              </w:rPr>
              <w:t>年1月1日以来供应商承接过类似项目的，每提供1个有效业绩得</w:t>
            </w:r>
            <w:r>
              <w:rPr>
                <w:rFonts w:ascii="宋体" w:hAnsi="宋体" w:cs="宋体"/>
                <w:color w:val="auto"/>
                <w:highlight w:val="none"/>
              </w:rPr>
              <w:t>0.5</w:t>
            </w:r>
            <w:r>
              <w:rPr>
                <w:rFonts w:hint="eastAsia" w:ascii="宋体" w:hAnsi="宋体" w:cs="宋体"/>
                <w:color w:val="auto"/>
                <w:highlight w:val="none"/>
              </w:rPr>
              <w:t>分，本项最高</w:t>
            </w:r>
            <w:r>
              <w:rPr>
                <w:rFonts w:ascii="宋体" w:hAnsi="宋体" w:cs="宋体"/>
                <w:color w:val="auto"/>
                <w:highlight w:val="none"/>
              </w:rPr>
              <w:t>1.5</w:t>
            </w:r>
            <w:r>
              <w:rPr>
                <w:rFonts w:hint="eastAsia" w:ascii="宋体" w:hAnsi="宋体" w:cs="宋体"/>
                <w:color w:val="auto"/>
                <w:highlight w:val="none"/>
              </w:rPr>
              <w:t>分。</w:t>
            </w:r>
          </w:p>
          <w:p w14:paraId="7DFEDE48">
            <w:pPr>
              <w:widowControl/>
              <w:spacing w:line="300" w:lineRule="exact"/>
              <w:jc w:val="left"/>
              <w:rPr>
                <w:rFonts w:ascii="宋体" w:hAnsi="宋体" w:cs="宋体"/>
                <w:color w:val="auto"/>
                <w:highlight w:val="none"/>
              </w:rPr>
            </w:pPr>
            <w:r>
              <w:rPr>
                <w:rFonts w:hint="eastAsia" w:ascii="宋体" w:hAnsi="宋体" w:cs="宋体"/>
                <w:color w:val="auto"/>
                <w:highlight w:val="none"/>
              </w:rPr>
              <w:t>有效业绩证明材料：响应文件中提供合同关键页、中标（成交）通知书、竣工验收报告复印件和正规的付款发票（不要求提供项目全部发票）复印件，全部加盖供应商公章，四项缺一则不得分。</w:t>
            </w:r>
          </w:p>
        </w:tc>
        <w:tc>
          <w:tcPr>
            <w:tcW w:w="430" w:type="pct"/>
            <w:vAlign w:val="center"/>
          </w:tcPr>
          <w:p w14:paraId="35A260A0">
            <w:pPr>
              <w:spacing w:line="400" w:lineRule="exact"/>
              <w:jc w:val="center"/>
              <w:rPr>
                <w:rFonts w:ascii="宋体" w:hAnsi="宋体" w:cs="宋体"/>
                <w:color w:val="auto"/>
                <w:highlight w:val="none"/>
              </w:rPr>
            </w:pPr>
            <w:r>
              <w:rPr>
                <w:rFonts w:hint="eastAsia" w:ascii="宋体" w:hAnsi="宋体" w:cs="宋体"/>
                <w:color w:val="auto"/>
                <w:highlight w:val="none"/>
              </w:rPr>
              <w:t>0-</w:t>
            </w:r>
            <w:r>
              <w:rPr>
                <w:rFonts w:ascii="宋体" w:hAnsi="宋体" w:cs="宋体"/>
                <w:color w:val="auto"/>
                <w:highlight w:val="none"/>
              </w:rPr>
              <w:t>1.5</w:t>
            </w:r>
          </w:p>
        </w:tc>
      </w:tr>
      <w:tr w14:paraId="4170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0A36B3F1">
            <w:pPr>
              <w:spacing w:line="400" w:lineRule="exact"/>
              <w:jc w:val="center"/>
              <w:rPr>
                <w:rFonts w:ascii="宋体" w:hAnsi="宋体" w:cs="宋体"/>
                <w:color w:val="auto"/>
                <w:szCs w:val="20"/>
                <w:highlight w:val="none"/>
              </w:rPr>
            </w:pPr>
          </w:p>
        </w:tc>
        <w:tc>
          <w:tcPr>
            <w:tcW w:w="320" w:type="pct"/>
            <w:vAlign w:val="center"/>
          </w:tcPr>
          <w:p w14:paraId="6FA1ECB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3884" w:type="pct"/>
            <w:vAlign w:val="center"/>
          </w:tcPr>
          <w:p w14:paraId="6CB8EE37">
            <w:pPr>
              <w:spacing w:line="400" w:lineRule="exact"/>
              <w:rPr>
                <w:color w:val="auto"/>
                <w:highlight w:val="none"/>
              </w:rPr>
            </w:pPr>
            <w:r>
              <w:rPr>
                <w:rFonts w:hint="eastAsia"/>
                <w:color w:val="auto"/>
                <w:highlight w:val="none"/>
              </w:rPr>
              <w:t>所投主要材料（详见本项目清单主要材料价格表）属于《节能产品政府采购品目清单》</w:t>
            </w:r>
            <w:r>
              <w:rPr>
                <w:rFonts w:hint="eastAsia" w:ascii="宋体" w:hAnsi="宋体" w:cs="Segoe UI"/>
                <w:color w:val="auto"/>
                <w:highlight w:val="none"/>
                <w:shd w:val="clear" w:color="auto" w:fill="FFFFFF"/>
              </w:rPr>
              <w:t>范围的且具有国家确定的认证机构出具的</w:t>
            </w:r>
            <w:r>
              <w:rPr>
                <w:rFonts w:hint="eastAsia"/>
                <w:color w:val="auto"/>
                <w:highlight w:val="none"/>
              </w:rPr>
              <w:t>、处于有效期之内的节能产品认证证书的每提供一个得0.25分；</w:t>
            </w:r>
          </w:p>
          <w:p w14:paraId="0D97A7C0">
            <w:pPr>
              <w:spacing w:line="400" w:lineRule="exact"/>
              <w:rPr>
                <w:color w:val="auto"/>
                <w:highlight w:val="none"/>
              </w:rPr>
            </w:pPr>
            <w:r>
              <w:rPr>
                <w:rFonts w:hint="eastAsia"/>
                <w:color w:val="auto"/>
                <w:highlight w:val="none"/>
              </w:rPr>
              <w:t>所投主要材料（详见本项目清单主要材料价格表）属于《环境标志产品政府采购品目清单》</w:t>
            </w:r>
            <w:r>
              <w:rPr>
                <w:rFonts w:hint="eastAsia" w:ascii="宋体" w:hAnsi="宋体" w:cs="Segoe UI"/>
                <w:color w:val="auto"/>
                <w:highlight w:val="none"/>
                <w:shd w:val="clear" w:color="auto" w:fill="FFFFFF"/>
              </w:rPr>
              <w:t>范围的且具有国家确定的认证机构出具的</w:t>
            </w:r>
            <w:r>
              <w:rPr>
                <w:rFonts w:hint="eastAsia"/>
                <w:color w:val="auto"/>
                <w:highlight w:val="none"/>
              </w:rPr>
              <w:t>、处于有效期之内的环境标志产品认证证书的每提供一个得0.25分。</w:t>
            </w:r>
          </w:p>
          <w:p w14:paraId="652D2371">
            <w:pPr>
              <w:spacing w:line="400" w:lineRule="exact"/>
              <w:rPr>
                <w:rFonts w:ascii="宋体" w:hAnsi="宋体" w:cs="宋体"/>
                <w:color w:val="auto"/>
                <w:highlight w:val="none"/>
              </w:rPr>
            </w:pPr>
            <w:r>
              <w:rPr>
                <w:rFonts w:hint="eastAsia"/>
                <w:color w:val="auto"/>
                <w:highlight w:val="none"/>
              </w:rPr>
              <w:t>注：响应文件中提供以下资料：《市场监管总局关于发布参与实施政府采购节能产品、</w:t>
            </w:r>
            <w:r>
              <w:rPr>
                <w:rFonts w:hint="eastAsia" w:ascii="宋体" w:hAnsi="宋体" w:cs="Segoe UI"/>
                <w:color w:val="auto"/>
                <w:highlight w:val="none"/>
                <w:shd w:val="clear" w:color="auto" w:fill="FFFFFF"/>
              </w:rPr>
              <w:t>环境标志产品认证机构名录的公告</w:t>
            </w:r>
            <w:r>
              <w:rPr>
                <w:rFonts w:hint="eastAsia"/>
                <w:color w:val="auto"/>
                <w:highlight w:val="none"/>
              </w:rPr>
              <w:t>》中的认证机构出具的、处于有效期之内的节能产品/环境标志产品认证证书复印件，本项最高得0.5分。</w:t>
            </w:r>
          </w:p>
        </w:tc>
        <w:tc>
          <w:tcPr>
            <w:tcW w:w="430" w:type="pct"/>
            <w:vAlign w:val="center"/>
          </w:tcPr>
          <w:p w14:paraId="0FB5830A">
            <w:pPr>
              <w:spacing w:line="400" w:lineRule="exact"/>
              <w:jc w:val="center"/>
              <w:rPr>
                <w:rFonts w:ascii="宋体" w:hAnsi="宋体" w:cs="宋体"/>
                <w:color w:val="auto"/>
                <w:highlight w:val="none"/>
              </w:rPr>
            </w:pPr>
            <w:r>
              <w:rPr>
                <w:rFonts w:hint="eastAsia" w:ascii="宋体" w:hAnsi="宋体" w:cs="宋体"/>
                <w:color w:val="auto"/>
                <w:highlight w:val="none"/>
              </w:rPr>
              <w:t>0.5</w:t>
            </w:r>
          </w:p>
        </w:tc>
      </w:tr>
    </w:tbl>
    <w:p w14:paraId="216AAA4D">
      <w:pPr>
        <w:spacing w:before="120" w:beforeLines="50" w:line="360" w:lineRule="auto"/>
        <w:ind w:firstLine="476"/>
        <w:rPr>
          <w:rFonts w:ascii="宋体" w:hAnsi="宋体"/>
          <w:color w:val="auto"/>
          <w:spacing w:val="14"/>
          <w:szCs w:val="21"/>
          <w:highlight w:val="none"/>
        </w:rPr>
      </w:pPr>
      <w:r>
        <w:rPr>
          <w:rFonts w:hint="eastAsia" w:ascii="宋体" w:hAnsi="宋体"/>
          <w:color w:val="auto"/>
          <w:spacing w:val="14"/>
          <w:szCs w:val="21"/>
          <w:highlight w:val="none"/>
        </w:rPr>
        <w:t>评委签名：                                 日  期：</w:t>
      </w:r>
    </w:p>
    <w:p w14:paraId="14140393">
      <w:pPr>
        <w:spacing w:before="120" w:beforeLines="50" w:line="360" w:lineRule="auto"/>
        <w:ind w:firstLine="476"/>
        <w:rPr>
          <w:rFonts w:ascii="宋体" w:hAnsi="宋体"/>
          <w:color w:val="auto"/>
          <w:spacing w:val="14"/>
          <w:szCs w:val="21"/>
          <w:highlight w:val="none"/>
        </w:rPr>
      </w:pPr>
    </w:p>
    <w:p w14:paraId="5ED9C956">
      <w:pPr>
        <w:widowControl/>
        <w:snapToGrid w:val="0"/>
        <w:spacing w:line="560" w:lineRule="exact"/>
        <w:jc w:val="center"/>
        <w:rPr>
          <w:rFonts w:ascii="宋体" w:hAnsi="宋体" w:cs="宋体"/>
          <w:b/>
          <w:color w:val="auto"/>
          <w:szCs w:val="21"/>
          <w:highlight w:val="none"/>
        </w:rPr>
      </w:pPr>
      <w:r>
        <w:rPr>
          <w:rFonts w:hint="eastAsia" w:ascii="宋体" w:hAnsi="宋体" w:cs="宋体"/>
          <w:b/>
          <w:color w:val="auto"/>
          <w:szCs w:val="21"/>
          <w:highlight w:val="none"/>
        </w:rPr>
        <w:t>价格评分表</w:t>
      </w:r>
    </w:p>
    <w:tbl>
      <w:tblPr>
        <w:tblStyle w:val="17"/>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88"/>
        <w:gridCol w:w="772"/>
      </w:tblGrid>
      <w:tr w14:paraId="049A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1" w:hRule="atLeast"/>
        </w:trPr>
        <w:tc>
          <w:tcPr>
            <w:tcW w:w="7763" w:type="dxa"/>
            <w:gridSpan w:val="2"/>
            <w:tcBorders>
              <w:tl2br w:val="single" w:color="000000" w:sz="4" w:space="0"/>
            </w:tcBorders>
          </w:tcPr>
          <w:p w14:paraId="640DC527">
            <w:pPr>
              <w:spacing w:line="320" w:lineRule="exact"/>
              <w:ind w:right="420" w:firstLine="4410" w:firstLineChars="2100"/>
              <w:rPr>
                <w:rFonts w:ascii="宋体" w:hAnsi="宋体" w:cs="宋体"/>
                <w:color w:val="auto"/>
                <w:szCs w:val="21"/>
                <w:highlight w:val="none"/>
              </w:rPr>
            </w:pPr>
            <w:r>
              <w:rPr>
                <w:rFonts w:hint="eastAsia" w:ascii="宋体" w:hAnsi="宋体" w:cs="宋体"/>
                <w:color w:val="auto"/>
                <w:szCs w:val="21"/>
                <w:highlight w:val="none"/>
              </w:rPr>
              <w:t xml:space="preserve">                 供应商</w:t>
            </w:r>
          </w:p>
          <w:p w14:paraId="7F514BFF">
            <w:pPr>
              <w:spacing w:line="320" w:lineRule="exact"/>
              <w:ind w:firstLine="945" w:firstLineChars="450"/>
              <w:rPr>
                <w:rFonts w:ascii="宋体" w:hAnsi="宋体" w:cs="宋体"/>
                <w:color w:val="auto"/>
                <w:szCs w:val="21"/>
                <w:highlight w:val="none"/>
                <w:lang w:val="ru-RU"/>
              </w:rPr>
            </w:pPr>
            <w:r>
              <w:rPr>
                <w:rFonts w:hint="eastAsia" w:ascii="宋体" w:hAnsi="宋体" w:cs="宋体"/>
                <w:color w:val="auto"/>
                <w:szCs w:val="21"/>
                <w:highlight w:val="none"/>
              </w:rPr>
              <w:t>分值</w:t>
            </w:r>
          </w:p>
        </w:tc>
        <w:tc>
          <w:tcPr>
            <w:tcW w:w="772" w:type="dxa"/>
            <w:vAlign w:val="center"/>
          </w:tcPr>
          <w:p w14:paraId="6CDD65E0">
            <w:pPr>
              <w:spacing w:line="320" w:lineRule="exact"/>
              <w:jc w:val="center"/>
              <w:rPr>
                <w:rFonts w:ascii="宋体" w:hAnsi="宋体" w:cs="宋体"/>
                <w:color w:val="auto"/>
                <w:szCs w:val="21"/>
                <w:highlight w:val="none"/>
                <w:lang w:val="ru-RU"/>
              </w:rPr>
            </w:pPr>
          </w:p>
        </w:tc>
      </w:tr>
      <w:tr w14:paraId="4CEC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trPr>
        <w:tc>
          <w:tcPr>
            <w:tcW w:w="675" w:type="dxa"/>
            <w:vAlign w:val="center"/>
          </w:tcPr>
          <w:p w14:paraId="2D8E72CA">
            <w:pPr>
              <w:jc w:val="center"/>
              <w:rPr>
                <w:rFonts w:ascii="宋体" w:hAnsi="宋体" w:cs="宋体"/>
                <w:color w:val="auto"/>
                <w:szCs w:val="21"/>
                <w:highlight w:val="none"/>
              </w:rPr>
            </w:pPr>
            <w:r>
              <w:rPr>
                <w:rFonts w:hint="eastAsia" w:ascii="宋体" w:hAnsi="宋体" w:cs="宋体"/>
                <w:color w:val="auto"/>
                <w:szCs w:val="21"/>
                <w:highlight w:val="none"/>
              </w:rPr>
              <w:t>价</w:t>
            </w:r>
          </w:p>
          <w:p w14:paraId="4CD67943">
            <w:pPr>
              <w:jc w:val="center"/>
              <w:rPr>
                <w:rFonts w:ascii="宋体" w:hAnsi="宋体" w:cs="宋体"/>
                <w:color w:val="auto"/>
                <w:szCs w:val="21"/>
                <w:highlight w:val="none"/>
              </w:rPr>
            </w:pPr>
            <w:r>
              <w:rPr>
                <w:rFonts w:hint="eastAsia" w:ascii="宋体" w:hAnsi="宋体" w:cs="宋体"/>
                <w:color w:val="auto"/>
                <w:szCs w:val="21"/>
                <w:highlight w:val="none"/>
              </w:rPr>
              <w:t>格</w:t>
            </w:r>
          </w:p>
          <w:p w14:paraId="5AF6DCED">
            <w:pPr>
              <w:jc w:val="center"/>
              <w:rPr>
                <w:rFonts w:ascii="宋体" w:hAnsi="宋体" w:cs="宋体"/>
                <w:color w:val="auto"/>
                <w:szCs w:val="21"/>
                <w:highlight w:val="none"/>
              </w:rPr>
            </w:pPr>
            <w:r>
              <w:rPr>
                <w:rFonts w:hint="eastAsia" w:ascii="宋体" w:hAnsi="宋体" w:cs="宋体"/>
                <w:color w:val="auto"/>
                <w:szCs w:val="21"/>
                <w:highlight w:val="none"/>
              </w:rPr>
              <w:t>分</w:t>
            </w:r>
          </w:p>
          <w:p w14:paraId="4B8644EB">
            <w:pPr>
              <w:jc w:val="center"/>
              <w:rPr>
                <w:rFonts w:ascii="宋体" w:hAnsi="宋体" w:cs="宋体"/>
                <w:color w:val="auto"/>
                <w:szCs w:val="21"/>
                <w:highlight w:val="none"/>
              </w:rPr>
            </w:pPr>
            <w:r>
              <w:rPr>
                <w:rFonts w:hint="eastAsia" w:ascii="宋体" w:hAnsi="宋体" w:cs="宋体"/>
                <w:color w:val="auto"/>
                <w:szCs w:val="21"/>
                <w:highlight w:val="none"/>
              </w:rPr>
              <w:t>30</w:t>
            </w:r>
          </w:p>
          <w:p w14:paraId="790EB685">
            <w:pPr>
              <w:jc w:val="center"/>
              <w:rPr>
                <w:rFonts w:ascii="宋体" w:hAnsi="宋体" w:cs="宋体"/>
                <w:color w:val="auto"/>
                <w:szCs w:val="21"/>
                <w:highlight w:val="none"/>
              </w:rPr>
            </w:pPr>
            <w:r>
              <w:rPr>
                <w:rFonts w:hint="eastAsia" w:ascii="宋体" w:hAnsi="宋体" w:cs="宋体"/>
                <w:color w:val="auto"/>
                <w:szCs w:val="21"/>
                <w:highlight w:val="none"/>
              </w:rPr>
              <w:t>分</w:t>
            </w:r>
          </w:p>
        </w:tc>
        <w:tc>
          <w:tcPr>
            <w:tcW w:w="7088" w:type="dxa"/>
          </w:tcPr>
          <w:p w14:paraId="447D13A3">
            <w:pPr>
              <w:spacing w:before="48" w:beforeLines="20" w:line="320" w:lineRule="exact"/>
              <w:ind w:left="105" w:hanging="105" w:hangingChars="50"/>
              <w:rPr>
                <w:rFonts w:ascii="宋体" w:hAnsi="宋体" w:cs="宋体"/>
                <w:color w:val="auto"/>
                <w:szCs w:val="21"/>
                <w:highlight w:val="none"/>
              </w:rPr>
            </w:pPr>
            <w:r>
              <w:rPr>
                <w:rFonts w:hint="eastAsia" w:ascii="宋体" w:hAnsi="宋体" w:cs="宋体"/>
                <w:color w:val="auto"/>
                <w:szCs w:val="21"/>
                <w:highlight w:val="none"/>
              </w:rPr>
              <w:t>评审基准价=满足采购文件要求且最低的参与评审的价格（最后报价）</w:t>
            </w:r>
          </w:p>
          <w:p w14:paraId="0D672FDB">
            <w:pPr>
              <w:spacing w:before="48" w:beforeLines="20" w:line="320" w:lineRule="exact"/>
              <w:rPr>
                <w:rFonts w:ascii="宋体" w:hAnsi="宋体" w:cs="宋体"/>
                <w:color w:val="auto"/>
                <w:szCs w:val="21"/>
                <w:highlight w:val="none"/>
              </w:rPr>
            </w:pPr>
            <w:r>
              <w:rPr>
                <w:rFonts w:hint="eastAsia" w:ascii="宋体" w:hAnsi="宋体" w:cs="宋体"/>
                <w:color w:val="auto"/>
                <w:szCs w:val="21"/>
                <w:highlight w:val="none"/>
              </w:rPr>
              <w:t>参与评审的价格=响应报价</w:t>
            </w:r>
          </w:p>
          <w:p w14:paraId="4AA39DA7">
            <w:pPr>
              <w:widowControl/>
              <w:spacing w:before="48" w:beforeLines="20"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响应报价得分=(评审基准价/</w:t>
            </w:r>
            <w:r>
              <w:rPr>
                <w:rFonts w:hint="eastAsia" w:ascii="宋体" w:hAnsi="宋体" w:cs="宋体"/>
                <w:color w:val="auto"/>
                <w:szCs w:val="21"/>
                <w:highlight w:val="none"/>
              </w:rPr>
              <w:t>参与评审的价格</w:t>
            </w:r>
            <w:r>
              <w:rPr>
                <w:rFonts w:hint="eastAsia" w:ascii="宋体" w:hAnsi="宋体" w:cs="宋体"/>
                <w:color w:val="auto"/>
                <w:kern w:val="0"/>
                <w:szCs w:val="21"/>
                <w:highlight w:val="none"/>
              </w:rPr>
              <w:t>)×30</w:t>
            </w:r>
          </w:p>
          <w:p w14:paraId="01E3F93F">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响应报价得分以四舍五入保留小数点后二位。</w:t>
            </w:r>
          </w:p>
        </w:tc>
        <w:tc>
          <w:tcPr>
            <w:tcW w:w="772" w:type="dxa"/>
            <w:vAlign w:val="center"/>
          </w:tcPr>
          <w:p w14:paraId="21DD96BE">
            <w:pPr>
              <w:spacing w:line="320" w:lineRule="exact"/>
              <w:jc w:val="center"/>
              <w:rPr>
                <w:rFonts w:ascii="宋体" w:hAnsi="宋体" w:cs="宋体"/>
                <w:color w:val="auto"/>
                <w:szCs w:val="21"/>
                <w:highlight w:val="none"/>
              </w:rPr>
            </w:pPr>
          </w:p>
        </w:tc>
      </w:tr>
      <w:tr w14:paraId="5786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763" w:type="dxa"/>
            <w:gridSpan w:val="2"/>
            <w:vAlign w:val="center"/>
          </w:tcPr>
          <w:p w14:paraId="30CE3CB9">
            <w:pPr>
              <w:spacing w:line="320" w:lineRule="exact"/>
              <w:jc w:val="center"/>
              <w:rPr>
                <w:rFonts w:ascii="宋体" w:hAnsi="宋体" w:cs="宋体"/>
                <w:color w:val="auto"/>
                <w:szCs w:val="21"/>
                <w:highlight w:val="none"/>
              </w:rPr>
            </w:pPr>
            <w:r>
              <w:rPr>
                <w:rFonts w:hint="eastAsia" w:ascii="宋体" w:hAnsi="宋体" w:cs="宋体"/>
                <w:bCs/>
                <w:color w:val="auto"/>
                <w:szCs w:val="21"/>
                <w:highlight w:val="none"/>
              </w:rPr>
              <w:t>报价合计（30分）</w:t>
            </w:r>
          </w:p>
        </w:tc>
        <w:tc>
          <w:tcPr>
            <w:tcW w:w="772" w:type="dxa"/>
            <w:vAlign w:val="center"/>
          </w:tcPr>
          <w:p w14:paraId="72FC639D">
            <w:pPr>
              <w:spacing w:line="320" w:lineRule="exact"/>
              <w:jc w:val="center"/>
              <w:rPr>
                <w:rFonts w:ascii="宋体" w:hAnsi="宋体" w:cs="宋体"/>
                <w:color w:val="auto"/>
                <w:szCs w:val="21"/>
                <w:highlight w:val="none"/>
              </w:rPr>
            </w:pPr>
          </w:p>
        </w:tc>
      </w:tr>
    </w:tbl>
    <w:p w14:paraId="5CE244B3">
      <w:pPr>
        <w:spacing w:line="400" w:lineRule="exact"/>
        <w:rPr>
          <w:rFonts w:ascii="宋体" w:hAnsi="宋体" w:cs="宋体"/>
          <w:b/>
          <w:bCs/>
          <w:color w:val="auto"/>
          <w:szCs w:val="21"/>
          <w:highlight w:val="none"/>
        </w:rPr>
      </w:pPr>
    </w:p>
    <w:p w14:paraId="6F727312">
      <w:pPr>
        <w:spacing w:line="400" w:lineRule="exact"/>
        <w:ind w:left="360" w:firstLine="105" w:firstLineChars="50"/>
        <w:rPr>
          <w:rFonts w:ascii="宋体" w:hAnsi="宋体" w:cs="宋体"/>
          <w:color w:val="auto"/>
          <w:szCs w:val="21"/>
          <w:highlight w:val="none"/>
        </w:rPr>
      </w:pPr>
      <w:r>
        <w:rPr>
          <w:rFonts w:hint="eastAsia" w:ascii="宋体" w:hAnsi="宋体" w:cs="宋体"/>
          <w:color w:val="auto"/>
          <w:szCs w:val="21"/>
          <w:highlight w:val="none"/>
        </w:rPr>
        <w:t>磋商小组成员签名：                                       年  月  日</w:t>
      </w:r>
    </w:p>
    <w:p w14:paraId="14B576E6">
      <w:pPr>
        <w:spacing w:before="120" w:beforeLines="50" w:line="360" w:lineRule="auto"/>
        <w:ind w:firstLine="476"/>
        <w:rPr>
          <w:rFonts w:ascii="宋体" w:hAnsi="宋体"/>
          <w:color w:val="auto"/>
          <w:spacing w:val="14"/>
          <w:szCs w:val="21"/>
          <w:highlight w:val="none"/>
        </w:rPr>
      </w:pPr>
    </w:p>
    <w:p w14:paraId="109F04B0">
      <w:pPr>
        <w:spacing w:before="120" w:beforeLines="50" w:line="360" w:lineRule="auto"/>
        <w:ind w:firstLine="476"/>
        <w:rPr>
          <w:rFonts w:ascii="宋体" w:hAnsi="宋体"/>
          <w:color w:val="auto"/>
          <w:spacing w:val="14"/>
          <w:szCs w:val="21"/>
          <w:highlight w:val="none"/>
        </w:rPr>
      </w:pPr>
    </w:p>
    <w:p w14:paraId="3F839114">
      <w:pPr>
        <w:spacing w:before="120" w:beforeLines="50" w:line="360" w:lineRule="auto"/>
        <w:ind w:firstLine="476"/>
        <w:rPr>
          <w:rFonts w:ascii="宋体" w:hAnsi="宋体"/>
          <w:color w:val="auto"/>
          <w:spacing w:val="14"/>
          <w:szCs w:val="21"/>
          <w:highlight w:val="none"/>
        </w:rPr>
      </w:pPr>
    </w:p>
    <w:p w14:paraId="35618E7F">
      <w:pPr>
        <w:spacing w:before="120" w:beforeLines="50" w:line="360" w:lineRule="auto"/>
        <w:ind w:firstLine="476"/>
        <w:rPr>
          <w:rFonts w:ascii="宋体" w:hAnsi="宋体"/>
          <w:color w:val="auto"/>
          <w:spacing w:val="14"/>
          <w:szCs w:val="21"/>
          <w:highlight w:val="none"/>
        </w:rPr>
      </w:pPr>
      <w:r>
        <w:rPr>
          <w:rFonts w:ascii="宋体" w:hAnsi="宋体"/>
          <w:color w:val="auto"/>
          <w:spacing w:val="14"/>
          <w:szCs w:val="21"/>
          <w:highlight w:val="none"/>
        </w:rPr>
        <w:br w:type="page"/>
      </w:r>
    </w:p>
    <w:p w14:paraId="7AA47CFE">
      <w:pPr>
        <w:pStyle w:val="4"/>
        <w:rPr>
          <w:rFonts w:ascii="宋体" w:hAnsi="宋体"/>
          <w:color w:val="auto"/>
          <w:highlight w:val="none"/>
        </w:rPr>
      </w:pPr>
      <w:bookmarkStart w:id="67" w:name="_Toc387415175"/>
      <w:bookmarkEnd w:id="67"/>
      <w:bookmarkStart w:id="68" w:name="_Toc387415173"/>
      <w:bookmarkEnd w:id="68"/>
      <w:bookmarkStart w:id="69" w:name="_Toc387415172"/>
      <w:bookmarkEnd w:id="69"/>
      <w:bookmarkStart w:id="70" w:name="_Toc387415178"/>
      <w:bookmarkEnd w:id="70"/>
      <w:bookmarkStart w:id="71" w:name="_Toc387415177"/>
      <w:bookmarkEnd w:id="71"/>
      <w:bookmarkStart w:id="72" w:name="_Toc387415174"/>
      <w:bookmarkEnd w:id="72"/>
      <w:bookmarkStart w:id="73" w:name="_Toc387415171"/>
      <w:bookmarkEnd w:id="73"/>
      <w:bookmarkStart w:id="74" w:name="_Toc387415176"/>
      <w:bookmarkEnd w:id="74"/>
      <w:bookmarkStart w:id="75" w:name="_Toc34844745"/>
      <w:bookmarkStart w:id="76" w:name="_Toc86053875"/>
      <w:r>
        <w:rPr>
          <w:rFonts w:hint="eastAsia" w:ascii="宋体" w:hAnsi="宋体"/>
          <w:color w:val="auto"/>
          <w:highlight w:val="none"/>
        </w:rPr>
        <w:t>第五章  合同草案条款</w:t>
      </w:r>
      <w:bookmarkEnd w:id="75"/>
      <w:bookmarkEnd w:id="76"/>
    </w:p>
    <w:p w14:paraId="135C1AD5">
      <w:pPr>
        <w:pStyle w:val="15"/>
        <w:spacing w:before="0" w:after="0" w:line="360" w:lineRule="auto"/>
        <w:ind w:firstLine="422"/>
        <w:jc w:val="left"/>
        <w:rPr>
          <w:rFonts w:ascii="宋体" w:hAnsi="宋体" w:eastAsia="宋体"/>
          <w:color w:val="auto"/>
          <w:sz w:val="21"/>
          <w:szCs w:val="21"/>
          <w:highlight w:val="none"/>
        </w:rPr>
      </w:pPr>
      <w:r>
        <w:rPr>
          <w:rFonts w:hint="eastAsia" w:ascii="宋体" w:hAnsi="宋体" w:eastAsia="宋体"/>
          <w:color w:val="auto"/>
          <w:sz w:val="21"/>
          <w:highlight w:val="none"/>
        </w:rPr>
        <w:t>注：本合同文本为成交后签订合同的草案，并根据磋商结果签订，请供应商仔细阅读并理解。</w:t>
      </w:r>
    </w:p>
    <w:p w14:paraId="4F7E08E9">
      <w:pPr>
        <w:pStyle w:val="29"/>
        <w:rPr>
          <w:color w:val="auto"/>
          <w:highlight w:val="none"/>
        </w:rPr>
      </w:pPr>
    </w:p>
    <w:p w14:paraId="3128C0F1">
      <w:pPr>
        <w:pStyle w:val="29"/>
        <w:rPr>
          <w:color w:val="auto"/>
          <w:highlight w:val="none"/>
        </w:rPr>
      </w:pPr>
    </w:p>
    <w:p w14:paraId="037E9F6B">
      <w:pPr>
        <w:jc w:val="center"/>
        <w:rPr>
          <w:rFonts w:ascii="宋体" w:hAnsi="宋体" w:cs="宋体"/>
          <w:b/>
          <w:color w:val="auto"/>
          <w:sz w:val="48"/>
          <w:highlight w:val="none"/>
        </w:rPr>
      </w:pPr>
    </w:p>
    <w:p w14:paraId="2BB67263">
      <w:pPr>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合同编号：</w:t>
      </w:r>
    </w:p>
    <w:p w14:paraId="114F0161">
      <w:pPr>
        <w:rPr>
          <w:rFonts w:asciiTheme="minorEastAsia" w:hAnsiTheme="minorEastAsia" w:cstheme="minorEastAsia"/>
          <w:b/>
          <w:color w:val="auto"/>
          <w:sz w:val="48"/>
          <w:highlight w:val="none"/>
          <w:u w:val="single"/>
        </w:rPr>
      </w:pPr>
    </w:p>
    <w:p w14:paraId="1EF4AFAC">
      <w:pPr>
        <w:rPr>
          <w:rFonts w:asciiTheme="minorEastAsia" w:hAnsiTheme="minorEastAsia" w:cstheme="minorEastAsia"/>
          <w:b/>
          <w:color w:val="auto"/>
          <w:sz w:val="48"/>
          <w:highlight w:val="none"/>
          <w:u w:val="single"/>
        </w:rPr>
      </w:pPr>
    </w:p>
    <w:p w14:paraId="2C040D43">
      <w:pPr>
        <w:rPr>
          <w:rFonts w:asciiTheme="minorEastAsia" w:hAnsiTheme="minorEastAsia" w:cstheme="minorEastAsia"/>
          <w:b/>
          <w:color w:val="auto"/>
          <w:sz w:val="48"/>
          <w:highlight w:val="none"/>
        </w:rPr>
      </w:pPr>
    </w:p>
    <w:p w14:paraId="327D8A86">
      <w:pPr>
        <w:jc w:val="center"/>
        <w:rPr>
          <w:rFonts w:asciiTheme="minorEastAsia" w:hAnsiTheme="minorEastAsia" w:cstheme="minorEastAsia"/>
          <w:b/>
          <w:color w:val="auto"/>
          <w:sz w:val="48"/>
          <w:highlight w:val="none"/>
        </w:rPr>
      </w:pPr>
    </w:p>
    <w:p w14:paraId="1537FF96">
      <w:pPr>
        <w:spacing w:line="480" w:lineRule="exact"/>
        <w:jc w:val="center"/>
        <w:rPr>
          <w:rFonts w:asciiTheme="minorEastAsia" w:hAnsiTheme="minorEastAsia" w:cstheme="minorEastAsia"/>
          <w:b/>
          <w:color w:val="auto"/>
          <w:sz w:val="48"/>
          <w:highlight w:val="none"/>
        </w:rPr>
      </w:pPr>
      <w:r>
        <w:rPr>
          <w:rFonts w:hint="eastAsia" w:asciiTheme="minorEastAsia" w:hAnsiTheme="minorEastAsia" w:cstheme="minorEastAsia"/>
          <w:b/>
          <w:color w:val="auto"/>
          <w:sz w:val="44"/>
          <w:szCs w:val="44"/>
          <w:highlight w:val="none"/>
          <w:u w:val="thick"/>
        </w:rPr>
        <w:t>浙江工商职业技术学院学生文体活动中心改造项目</w:t>
      </w:r>
      <w:r>
        <w:rPr>
          <w:rFonts w:hint="eastAsia" w:asciiTheme="minorEastAsia" w:hAnsiTheme="minorEastAsia" w:cstheme="minorEastAsia"/>
          <w:b/>
          <w:color w:val="auto"/>
          <w:sz w:val="48"/>
          <w:highlight w:val="none"/>
        </w:rPr>
        <w:t>建设工程施工合同</w:t>
      </w:r>
    </w:p>
    <w:p w14:paraId="2054ED38">
      <w:pPr>
        <w:spacing w:line="480" w:lineRule="exact"/>
        <w:jc w:val="center"/>
        <w:rPr>
          <w:rFonts w:asciiTheme="minorEastAsia" w:hAnsiTheme="minorEastAsia" w:cstheme="minorEastAsia"/>
          <w:color w:val="auto"/>
          <w:sz w:val="24"/>
          <w:highlight w:val="none"/>
        </w:rPr>
      </w:pPr>
    </w:p>
    <w:p w14:paraId="751D3B02">
      <w:pPr>
        <w:spacing w:line="480" w:lineRule="exact"/>
        <w:rPr>
          <w:rFonts w:asciiTheme="minorEastAsia" w:hAnsiTheme="minorEastAsia" w:cstheme="minorEastAsia"/>
          <w:color w:val="auto"/>
          <w:sz w:val="36"/>
          <w:szCs w:val="36"/>
          <w:highlight w:val="none"/>
        </w:rPr>
      </w:pPr>
    </w:p>
    <w:p w14:paraId="7D6DA85F">
      <w:pPr>
        <w:spacing w:line="480" w:lineRule="exact"/>
        <w:rPr>
          <w:rFonts w:asciiTheme="minorEastAsia" w:hAnsiTheme="minorEastAsia" w:cstheme="minorEastAsia"/>
          <w:color w:val="auto"/>
          <w:sz w:val="36"/>
          <w:szCs w:val="36"/>
          <w:highlight w:val="none"/>
        </w:rPr>
      </w:pPr>
    </w:p>
    <w:p w14:paraId="72E12D09">
      <w:pPr>
        <w:spacing w:line="480" w:lineRule="exact"/>
        <w:rPr>
          <w:rFonts w:asciiTheme="minorEastAsia" w:hAnsiTheme="minorEastAsia" w:cstheme="minorEastAsia"/>
          <w:color w:val="auto"/>
          <w:sz w:val="36"/>
          <w:szCs w:val="36"/>
          <w:highlight w:val="none"/>
        </w:rPr>
      </w:pPr>
    </w:p>
    <w:p w14:paraId="43899B18">
      <w:pPr>
        <w:spacing w:line="480" w:lineRule="exact"/>
        <w:rPr>
          <w:rFonts w:asciiTheme="minorEastAsia" w:hAnsiTheme="minorEastAsia" w:cstheme="minorEastAsia"/>
          <w:color w:val="auto"/>
          <w:sz w:val="36"/>
          <w:szCs w:val="36"/>
          <w:highlight w:val="none"/>
        </w:rPr>
      </w:pPr>
    </w:p>
    <w:p w14:paraId="110FC60F">
      <w:pPr>
        <w:spacing w:line="480" w:lineRule="exact"/>
        <w:rPr>
          <w:rFonts w:asciiTheme="minorEastAsia" w:hAnsiTheme="minorEastAsia" w:cstheme="minorEastAsia"/>
          <w:color w:val="auto"/>
          <w:sz w:val="36"/>
          <w:szCs w:val="36"/>
          <w:highlight w:val="none"/>
        </w:rPr>
      </w:pPr>
    </w:p>
    <w:p w14:paraId="252DD4DD">
      <w:pPr>
        <w:spacing w:line="480" w:lineRule="exact"/>
        <w:rPr>
          <w:rFonts w:asciiTheme="minorEastAsia" w:hAnsiTheme="minorEastAsia" w:cstheme="minorEastAsia"/>
          <w:color w:val="auto"/>
          <w:sz w:val="36"/>
          <w:szCs w:val="36"/>
          <w:highlight w:val="none"/>
        </w:rPr>
      </w:pPr>
    </w:p>
    <w:p w14:paraId="6A4BEA97">
      <w:pPr>
        <w:spacing w:line="480" w:lineRule="exact"/>
        <w:rPr>
          <w:rFonts w:asciiTheme="minorEastAsia" w:hAnsiTheme="minorEastAsia" w:cstheme="minorEastAsia"/>
          <w:color w:val="auto"/>
          <w:sz w:val="36"/>
          <w:szCs w:val="36"/>
          <w:highlight w:val="none"/>
        </w:rPr>
      </w:pPr>
    </w:p>
    <w:p w14:paraId="7D73878E">
      <w:pPr>
        <w:spacing w:line="480" w:lineRule="exact"/>
        <w:rPr>
          <w:rFonts w:asciiTheme="minorEastAsia" w:hAnsiTheme="minorEastAsia" w:cstheme="minorEastAsia"/>
          <w:color w:val="auto"/>
          <w:sz w:val="36"/>
          <w:szCs w:val="36"/>
          <w:highlight w:val="none"/>
        </w:rPr>
      </w:pPr>
    </w:p>
    <w:p w14:paraId="54245795">
      <w:pPr>
        <w:spacing w:line="480" w:lineRule="exact"/>
        <w:rPr>
          <w:rFonts w:asciiTheme="minorEastAsia" w:hAnsiTheme="minorEastAsia" w:cstheme="minorEastAsia"/>
          <w:color w:val="auto"/>
          <w:sz w:val="36"/>
          <w:szCs w:val="36"/>
          <w:highlight w:val="none"/>
        </w:rPr>
      </w:pPr>
    </w:p>
    <w:p w14:paraId="1140D8DB">
      <w:pPr>
        <w:spacing w:line="480" w:lineRule="exact"/>
        <w:rPr>
          <w:rFonts w:asciiTheme="minorEastAsia" w:hAnsiTheme="minorEastAsia" w:cstheme="minorEastAsia"/>
          <w:color w:val="auto"/>
          <w:sz w:val="36"/>
          <w:szCs w:val="36"/>
          <w:highlight w:val="none"/>
        </w:rPr>
      </w:pPr>
    </w:p>
    <w:p w14:paraId="7FCC0858">
      <w:pPr>
        <w:widowControl/>
        <w:spacing w:before="120" w:beforeLines="50" w:after="120" w:afterLines="50" w:line="360" w:lineRule="auto"/>
        <w:rPr>
          <w:rFonts w:asciiTheme="minorEastAsia" w:hAnsiTheme="minorEastAsia" w:cstheme="minorEastAsia"/>
          <w:b/>
          <w:color w:val="auto"/>
          <w:kern w:val="0"/>
          <w:sz w:val="36"/>
          <w:szCs w:val="36"/>
          <w:highlight w:val="none"/>
        </w:rPr>
      </w:pPr>
      <w:r>
        <w:rPr>
          <w:rFonts w:hint="eastAsia" w:asciiTheme="minorEastAsia" w:hAnsiTheme="minorEastAsia" w:cstheme="minorEastAsia"/>
          <w:b/>
          <w:color w:val="auto"/>
          <w:kern w:val="0"/>
          <w:sz w:val="36"/>
          <w:szCs w:val="36"/>
          <w:highlight w:val="none"/>
        </w:rPr>
        <w:t>甲方（发包人）：</w:t>
      </w:r>
      <w:r>
        <w:rPr>
          <w:rFonts w:hint="eastAsia" w:asciiTheme="minorEastAsia" w:hAnsiTheme="minorEastAsia" w:cstheme="minorEastAsia"/>
          <w:b/>
          <w:color w:val="auto"/>
          <w:kern w:val="0"/>
          <w:sz w:val="36"/>
          <w:szCs w:val="36"/>
          <w:highlight w:val="none"/>
          <w:u w:val="single"/>
        </w:rPr>
        <w:t xml:space="preserve">浙江工商职业技术学院        </w:t>
      </w:r>
    </w:p>
    <w:p w14:paraId="5169206A">
      <w:pPr>
        <w:rPr>
          <w:rFonts w:asciiTheme="minorEastAsia" w:hAnsiTheme="minorEastAsia" w:cstheme="minorEastAsia"/>
          <w:b/>
          <w:color w:val="auto"/>
          <w:kern w:val="0"/>
          <w:sz w:val="36"/>
          <w:szCs w:val="36"/>
          <w:highlight w:val="none"/>
          <w:u w:val="single"/>
        </w:rPr>
      </w:pPr>
      <w:r>
        <w:rPr>
          <w:rFonts w:hint="eastAsia" w:asciiTheme="minorEastAsia" w:hAnsiTheme="minorEastAsia" w:cstheme="minorEastAsia"/>
          <w:b/>
          <w:color w:val="auto"/>
          <w:kern w:val="0"/>
          <w:sz w:val="36"/>
          <w:szCs w:val="36"/>
          <w:highlight w:val="none"/>
        </w:rPr>
        <w:t>乙方（承包方）：</w:t>
      </w:r>
      <w:r>
        <w:rPr>
          <w:rFonts w:hint="eastAsia" w:asciiTheme="minorEastAsia" w:hAnsiTheme="minorEastAsia" w:cstheme="minorEastAsia"/>
          <w:b/>
          <w:color w:val="auto"/>
          <w:kern w:val="0"/>
          <w:sz w:val="36"/>
          <w:szCs w:val="36"/>
          <w:highlight w:val="none"/>
          <w:u w:val="single"/>
        </w:rPr>
        <w:t xml:space="preserve">                            </w:t>
      </w:r>
    </w:p>
    <w:p w14:paraId="490D5381">
      <w:pPr>
        <w:widowControl/>
        <w:jc w:val="left"/>
        <w:rPr>
          <w:rFonts w:asciiTheme="minorEastAsia" w:hAnsiTheme="minorEastAsia" w:cstheme="minorEastAsia"/>
          <w:b/>
          <w:color w:val="auto"/>
          <w:kern w:val="0"/>
          <w:sz w:val="36"/>
          <w:szCs w:val="36"/>
          <w:highlight w:val="none"/>
        </w:rPr>
      </w:pPr>
      <w:r>
        <w:rPr>
          <w:rFonts w:asciiTheme="minorEastAsia" w:hAnsiTheme="minorEastAsia" w:cstheme="minorEastAsia"/>
          <w:b/>
          <w:color w:val="auto"/>
          <w:kern w:val="0"/>
          <w:sz w:val="36"/>
          <w:szCs w:val="36"/>
          <w:highlight w:val="none"/>
        </w:rPr>
        <w:br w:type="page"/>
      </w:r>
    </w:p>
    <w:p w14:paraId="1F496344">
      <w:pPr>
        <w:spacing w:line="400" w:lineRule="exact"/>
        <w:jc w:val="center"/>
        <w:rPr>
          <w:rFonts w:asciiTheme="minorEastAsia" w:hAnsiTheme="minorEastAsia" w:cstheme="minorEastAsia"/>
          <w:b/>
          <w:bCs/>
          <w:color w:val="auto"/>
          <w:sz w:val="40"/>
          <w:szCs w:val="30"/>
          <w:highlight w:val="none"/>
        </w:rPr>
      </w:pPr>
      <w:r>
        <w:rPr>
          <w:rFonts w:hint="eastAsia" w:asciiTheme="minorEastAsia" w:hAnsiTheme="minorEastAsia" w:cstheme="minorEastAsia"/>
          <w:b/>
          <w:bCs/>
          <w:color w:val="auto"/>
          <w:sz w:val="40"/>
          <w:szCs w:val="30"/>
          <w:highlight w:val="none"/>
        </w:rPr>
        <w:t>第一部分 合同协议书</w:t>
      </w:r>
    </w:p>
    <w:p w14:paraId="5D71F4A7">
      <w:pPr>
        <w:spacing w:line="400" w:lineRule="exact"/>
        <w:jc w:val="center"/>
        <w:rPr>
          <w:rFonts w:asciiTheme="minorEastAsia" w:hAnsiTheme="minorEastAsia" w:cstheme="minorEastAsia"/>
          <w:b/>
          <w:bCs/>
          <w:color w:val="auto"/>
          <w:sz w:val="40"/>
          <w:szCs w:val="30"/>
          <w:highlight w:val="none"/>
        </w:rPr>
      </w:pPr>
    </w:p>
    <w:p w14:paraId="77C39969">
      <w:pPr>
        <w:spacing w:line="300" w:lineRule="exact"/>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甲方（发包人）：</w:t>
      </w:r>
      <w:r>
        <w:rPr>
          <w:rFonts w:hint="eastAsia" w:asciiTheme="minorEastAsia" w:hAnsiTheme="minorEastAsia" w:cstheme="minorEastAsia"/>
          <w:b/>
          <w:color w:val="auto"/>
          <w:sz w:val="24"/>
          <w:highlight w:val="none"/>
          <w:u w:val="single"/>
        </w:rPr>
        <w:t xml:space="preserve">  </w:t>
      </w:r>
      <w:r>
        <w:rPr>
          <w:rFonts w:hint="eastAsia" w:asciiTheme="minorEastAsia" w:hAnsiTheme="minorEastAsia" w:cstheme="minorEastAsia"/>
          <w:color w:val="auto"/>
          <w:highlight w:val="none"/>
          <w:u w:val="single"/>
        </w:rPr>
        <w:t xml:space="preserve">浙江工商职业技术学院   </w:t>
      </w:r>
      <w:r>
        <w:rPr>
          <w:rFonts w:hint="eastAsia" w:asciiTheme="minorEastAsia" w:hAnsiTheme="minorEastAsia" w:cstheme="minorEastAsia"/>
          <w:b/>
          <w:color w:val="auto"/>
          <w:sz w:val="24"/>
          <w:highlight w:val="none"/>
          <w:u w:val="single"/>
        </w:rPr>
        <w:t xml:space="preserve">                 </w:t>
      </w:r>
    </w:p>
    <w:p w14:paraId="25E13CD2">
      <w:pPr>
        <w:spacing w:line="300" w:lineRule="exact"/>
        <w:rPr>
          <w:rFonts w:asciiTheme="minorEastAsia" w:hAnsiTheme="minorEastAsia" w:cstheme="minorEastAsia"/>
          <w:b/>
          <w:color w:val="auto"/>
          <w:sz w:val="24"/>
          <w:highlight w:val="none"/>
          <w:u w:val="single"/>
        </w:rPr>
      </w:pPr>
      <w:r>
        <w:rPr>
          <w:rFonts w:hint="eastAsia" w:asciiTheme="minorEastAsia" w:hAnsiTheme="minorEastAsia" w:cstheme="minorEastAsia"/>
          <w:b/>
          <w:color w:val="auto"/>
          <w:sz w:val="24"/>
          <w:highlight w:val="none"/>
        </w:rPr>
        <w:t xml:space="preserve">               </w:t>
      </w:r>
      <w:r>
        <w:rPr>
          <w:rFonts w:hint="eastAsia" w:asciiTheme="minorEastAsia" w:hAnsiTheme="minorEastAsia" w:cstheme="minorEastAsia"/>
          <w:b/>
          <w:color w:val="auto"/>
          <w:sz w:val="24"/>
          <w:highlight w:val="none"/>
          <w:u w:val="single"/>
        </w:rPr>
        <w:t xml:space="preserve">  </w:t>
      </w:r>
      <w:r>
        <w:rPr>
          <w:rFonts w:hint="eastAsia" w:asciiTheme="minorEastAsia" w:hAnsiTheme="minorEastAsia" w:cstheme="minorEastAsia"/>
          <w:color w:val="auto"/>
          <w:highlight w:val="none"/>
          <w:u w:val="single"/>
        </w:rPr>
        <w:t>组织机构代码：12330000470002828U</w:t>
      </w:r>
      <w:r>
        <w:rPr>
          <w:rFonts w:hint="eastAsia" w:asciiTheme="minorEastAsia" w:hAnsiTheme="minorEastAsia" w:cstheme="minorEastAsia"/>
          <w:b/>
          <w:color w:val="auto"/>
          <w:sz w:val="24"/>
          <w:highlight w:val="none"/>
          <w:u w:val="single"/>
        </w:rPr>
        <w:t xml:space="preserve">         </w:t>
      </w:r>
    </w:p>
    <w:p w14:paraId="4CE6F883">
      <w:pPr>
        <w:spacing w:line="300" w:lineRule="exact"/>
        <w:rPr>
          <w:rFonts w:asciiTheme="minorEastAsia" w:hAnsiTheme="minorEastAsia" w:cstheme="minorEastAsia"/>
          <w:color w:val="auto"/>
          <w:highlight w:val="none"/>
          <w:u w:val="single"/>
        </w:rPr>
      </w:pPr>
      <w:r>
        <w:rPr>
          <w:rFonts w:hint="eastAsia" w:asciiTheme="minorEastAsia" w:hAnsiTheme="minorEastAsia" w:cstheme="minorEastAsia"/>
          <w:b/>
          <w:color w:val="auto"/>
          <w:sz w:val="24"/>
          <w:highlight w:val="none"/>
        </w:rPr>
        <w:t>乙方（承包方）：</w:t>
      </w:r>
      <w:r>
        <w:rPr>
          <w:rFonts w:hint="eastAsia" w:asciiTheme="minorEastAsia" w:hAnsiTheme="minorEastAsia" w:cstheme="minorEastAsia"/>
          <w:b/>
          <w:color w:val="auto"/>
          <w:sz w:val="24"/>
          <w:highlight w:val="none"/>
          <w:u w:val="single"/>
        </w:rPr>
        <w:t xml:space="preserve">                                       </w:t>
      </w:r>
    </w:p>
    <w:p w14:paraId="53D8AA95">
      <w:pPr>
        <w:spacing w:line="300" w:lineRule="exact"/>
        <w:ind w:firstLine="560" w:firstLineChars="200"/>
        <w:rPr>
          <w:rFonts w:asciiTheme="minorEastAsia" w:hAnsiTheme="minorEastAsia" w:cstheme="minorEastAsia"/>
          <w:bCs/>
          <w:color w:val="auto"/>
          <w:sz w:val="28"/>
          <w:szCs w:val="21"/>
          <w:highlight w:val="none"/>
        </w:rPr>
      </w:pPr>
      <w:r>
        <w:rPr>
          <w:rFonts w:hint="eastAsia" w:asciiTheme="minorEastAsia" w:hAnsiTheme="minorEastAsia" w:cstheme="minorEastAsia"/>
          <w:bCs/>
          <w:color w:val="auto"/>
          <w:sz w:val="28"/>
          <w:szCs w:val="21"/>
          <w:highlight w:val="none"/>
        </w:rPr>
        <w:t xml:space="preserve">         </w:t>
      </w:r>
      <w:r>
        <w:rPr>
          <w:rFonts w:hint="eastAsia" w:asciiTheme="minorEastAsia" w:hAnsiTheme="minorEastAsia" w:cstheme="minorEastAsia"/>
          <w:bCs/>
          <w:color w:val="auto"/>
          <w:sz w:val="28"/>
          <w:szCs w:val="21"/>
          <w:highlight w:val="none"/>
          <w:u w:val="single"/>
        </w:rPr>
        <w:t xml:space="preserve">  </w:t>
      </w:r>
      <w:r>
        <w:rPr>
          <w:rFonts w:hint="eastAsia" w:asciiTheme="minorEastAsia" w:hAnsiTheme="minorEastAsia" w:cstheme="minorEastAsia"/>
          <w:color w:val="auto"/>
          <w:highlight w:val="none"/>
          <w:u w:val="single"/>
        </w:rPr>
        <w:t xml:space="preserve">                                         </w:t>
      </w:r>
      <w:r>
        <w:rPr>
          <w:rFonts w:hint="eastAsia" w:asciiTheme="minorEastAsia" w:hAnsiTheme="minorEastAsia" w:cstheme="minorEastAsia"/>
          <w:bCs/>
          <w:color w:val="auto"/>
          <w:sz w:val="28"/>
          <w:szCs w:val="21"/>
          <w:highlight w:val="none"/>
          <w:u w:val="single"/>
        </w:rPr>
        <w:t xml:space="preserve"> </w:t>
      </w:r>
    </w:p>
    <w:p w14:paraId="3A14ECAC">
      <w:pPr>
        <w:spacing w:line="400" w:lineRule="exact"/>
        <w:ind w:firstLine="42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依据《中华人民共和国民法典》、《中华人民共和国建筑法》等相关法律法规，甲、乙双方经充分协商，为进一步明确各方责任，加强互相配合协作，现就</w:t>
      </w:r>
      <w:r>
        <w:rPr>
          <w:rFonts w:hint="eastAsia" w:asciiTheme="minorEastAsia" w:hAnsiTheme="minorEastAsia" w:cstheme="minorEastAsia"/>
          <w:color w:val="auto"/>
          <w:szCs w:val="21"/>
          <w:highlight w:val="none"/>
          <w:u w:val="single"/>
        </w:rPr>
        <w:t>浙江工商职业技术学院学生文体活动中心改造项目</w:t>
      </w:r>
      <w:r>
        <w:rPr>
          <w:rFonts w:hint="eastAsia" w:asciiTheme="minorEastAsia" w:hAnsiTheme="minorEastAsia" w:cstheme="minorEastAsia"/>
          <w:color w:val="auto"/>
          <w:highlight w:val="none"/>
        </w:rPr>
        <w:t>工程施工及有关事项达成如下协议，以资共守：</w:t>
      </w:r>
    </w:p>
    <w:p w14:paraId="4FC85475">
      <w:pPr>
        <w:pStyle w:val="30"/>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第一条 工程概况</w:t>
      </w:r>
    </w:p>
    <w:p w14:paraId="535CDB67">
      <w:pPr>
        <w:spacing w:line="400" w:lineRule="exact"/>
        <w:jc w:val="left"/>
        <w:rPr>
          <w:rFonts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 xml:space="preserve">1.1 </w:t>
      </w:r>
      <w:r>
        <w:rPr>
          <w:rFonts w:hint="eastAsia" w:asciiTheme="minorEastAsia" w:hAnsiTheme="minorEastAsia" w:cstheme="minorEastAsia"/>
          <w:color w:val="auto"/>
          <w:szCs w:val="21"/>
          <w:highlight w:val="none"/>
        </w:rPr>
        <w:t>工程名称：</w:t>
      </w:r>
      <w:r>
        <w:rPr>
          <w:rFonts w:hint="eastAsia" w:asciiTheme="minorEastAsia" w:hAnsiTheme="minorEastAsia" w:cstheme="minorEastAsia"/>
          <w:color w:val="auto"/>
          <w:szCs w:val="21"/>
          <w:highlight w:val="none"/>
          <w:u w:val="single"/>
        </w:rPr>
        <w:t xml:space="preserve">浙江工商职业技术学院学生文体活动中心改造项目                     </w:t>
      </w:r>
    </w:p>
    <w:p w14:paraId="2C59E286">
      <w:pPr>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1.2 </w:t>
      </w:r>
      <w:r>
        <w:rPr>
          <w:rFonts w:hint="eastAsia" w:asciiTheme="minorEastAsia" w:hAnsiTheme="minorEastAsia" w:cstheme="minorEastAsia"/>
          <w:color w:val="auto"/>
          <w:szCs w:val="21"/>
          <w:highlight w:val="none"/>
        </w:rPr>
        <w:t>工程地点：</w:t>
      </w:r>
      <w:r>
        <w:rPr>
          <w:rFonts w:hint="eastAsia" w:asciiTheme="minorEastAsia" w:hAnsiTheme="minorEastAsia" w:cstheme="minorEastAsia"/>
          <w:color w:val="auto"/>
          <w:szCs w:val="21"/>
          <w:highlight w:val="none"/>
          <w:u w:val="single"/>
        </w:rPr>
        <w:t xml:space="preserve"> </w:t>
      </w:r>
      <w:r>
        <w:rPr>
          <w:rFonts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u w:val="single"/>
        </w:rPr>
        <w:t xml:space="preserve">                              </w:t>
      </w:r>
      <w:r>
        <w:rPr>
          <w:rFonts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u w:val="single"/>
        </w:rPr>
        <w:t xml:space="preserve">     </w:t>
      </w:r>
    </w:p>
    <w:p w14:paraId="0F53FBEF">
      <w:pPr>
        <w:spacing w:line="400" w:lineRule="exact"/>
        <w:jc w:val="left"/>
        <w:rPr>
          <w:rFonts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 xml:space="preserve">1.3 </w:t>
      </w:r>
      <w:r>
        <w:rPr>
          <w:rFonts w:hint="eastAsia" w:asciiTheme="minorEastAsia" w:hAnsiTheme="minorEastAsia" w:cstheme="minorEastAsia"/>
          <w:color w:val="auto"/>
          <w:szCs w:val="21"/>
          <w:highlight w:val="none"/>
        </w:rPr>
        <w:t>承包范围：</w:t>
      </w:r>
      <w:r>
        <w:rPr>
          <w:rFonts w:hint="eastAsia" w:asciiTheme="minorEastAsia" w:hAnsiTheme="minorEastAsia" w:cstheme="minorEastAsia"/>
          <w:color w:val="auto"/>
          <w:szCs w:val="21"/>
          <w:highlight w:val="none"/>
          <w:u w:val="single"/>
        </w:rPr>
        <w:t>对浙江工商职业技术学院学生文体活动中心改造项目的施工总承包（具体详见图纸及工程清单）</w:t>
      </w:r>
    </w:p>
    <w:p w14:paraId="23F4BDB8">
      <w:pPr>
        <w:spacing w:line="400" w:lineRule="exact"/>
        <w:jc w:val="left"/>
        <w:rPr>
          <w:rFonts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1.4 承包面积</w:t>
      </w: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u w:val="single"/>
        </w:rPr>
        <w:t xml:space="preserve">                                            </w:t>
      </w:r>
      <w:r>
        <w:rPr>
          <w:rFonts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u w:val="single"/>
        </w:rPr>
        <w:t xml:space="preserve">                  </w:t>
      </w:r>
    </w:p>
    <w:p w14:paraId="7F1EF0AA">
      <w:pPr>
        <w:spacing w:line="400" w:lineRule="exact"/>
        <w:ind w:left="1680" w:hanging="1680" w:hangingChars="800"/>
        <w:jc w:val="left"/>
        <w:rPr>
          <w:rFonts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 xml:space="preserve">1.5 </w:t>
      </w:r>
      <w:r>
        <w:rPr>
          <w:rFonts w:hint="eastAsia" w:asciiTheme="minorEastAsia" w:hAnsiTheme="minorEastAsia" w:cstheme="minorEastAsia"/>
          <w:color w:val="auto"/>
          <w:szCs w:val="21"/>
          <w:highlight w:val="none"/>
        </w:rPr>
        <w:t>承包方式：</w:t>
      </w:r>
      <w:r>
        <w:rPr>
          <w:rFonts w:hint="eastAsia" w:asciiTheme="minorEastAsia" w:hAnsiTheme="minorEastAsia" w:cstheme="minorEastAsia"/>
          <w:color w:val="auto"/>
          <w:szCs w:val="21"/>
          <w:highlight w:val="none"/>
          <w:u w:val="single"/>
        </w:rPr>
        <w:t xml:space="preserve">                                                                   </w:t>
      </w:r>
    </w:p>
    <w:p w14:paraId="6103AC22">
      <w:pPr>
        <w:spacing w:line="400" w:lineRule="exact"/>
        <w:ind w:left="1680" w:hanging="1680" w:hangingChars="800"/>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1.6资金来源：</w:t>
      </w:r>
      <w:r>
        <w:rPr>
          <w:rFonts w:hint="eastAsia" w:asciiTheme="minorEastAsia" w:hAnsiTheme="minorEastAsia" w:cstheme="minorEastAsia"/>
          <w:color w:val="auto"/>
          <w:kern w:val="0"/>
          <w:szCs w:val="21"/>
          <w:highlight w:val="none"/>
          <w:u w:val="single"/>
        </w:rPr>
        <w:t xml:space="preserve">                                                                   </w:t>
      </w:r>
    </w:p>
    <w:p w14:paraId="64EF7049">
      <w:pPr>
        <w:pStyle w:val="30"/>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第二条 合同工期</w:t>
      </w:r>
    </w:p>
    <w:p w14:paraId="50B39BDA">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2.1 计划开工日期：</w:t>
      </w:r>
      <w:r>
        <w:rPr>
          <w:rFonts w:hint="eastAsia" w:asciiTheme="minorEastAsia" w:hAnsiTheme="minorEastAsia" w:cstheme="minorEastAsia"/>
          <w:color w:val="auto"/>
          <w:highlight w:val="none"/>
          <w:u w:val="single"/>
        </w:rPr>
        <w:t>以开工报告日期为准</w:t>
      </w:r>
      <w:r>
        <w:rPr>
          <w:rFonts w:hint="eastAsia" w:asciiTheme="minorEastAsia" w:hAnsiTheme="minorEastAsia" w:cstheme="minorEastAsia"/>
          <w:color w:val="auto"/>
          <w:highlight w:val="none"/>
        </w:rPr>
        <w:t>；计划竣工日期：</w:t>
      </w:r>
      <w:r>
        <w:rPr>
          <w:rFonts w:hint="eastAsia" w:asciiTheme="minorEastAsia" w:hAnsiTheme="minorEastAsia" w:cstheme="minorEastAsia"/>
          <w:color w:val="auto"/>
          <w:highlight w:val="none"/>
          <w:u w:val="single"/>
        </w:rPr>
        <w:t>以竣工报告日期为准</w:t>
      </w:r>
      <w:r>
        <w:rPr>
          <w:rFonts w:hint="eastAsia" w:asciiTheme="minorEastAsia" w:hAnsiTheme="minorEastAsia" w:cstheme="minorEastAsia"/>
          <w:color w:val="auto"/>
          <w:highlight w:val="none"/>
        </w:rPr>
        <w:t>。</w:t>
      </w:r>
    </w:p>
    <w:p w14:paraId="156ED34A">
      <w:pPr>
        <w:adjustRightInd w:val="0"/>
        <w:spacing w:line="400" w:lineRule="exact"/>
        <w:rPr>
          <w:rFonts w:asciiTheme="minorEastAsia" w:hAnsiTheme="minorEastAsia" w:cstheme="minorEastAsia"/>
          <w:color w:val="auto"/>
          <w:highlight w:val="none"/>
          <w:u w:val="single"/>
        </w:rPr>
      </w:pPr>
      <w:r>
        <w:rPr>
          <w:rFonts w:hint="eastAsia" w:asciiTheme="minorEastAsia" w:hAnsiTheme="minorEastAsia" w:cstheme="minorEastAsia"/>
          <w:color w:val="auto"/>
          <w:highlight w:val="none"/>
        </w:rPr>
        <w:t>2.2 工期：</w:t>
      </w:r>
      <w:r>
        <w:rPr>
          <w:rFonts w:hint="eastAsia" w:asciiTheme="minorEastAsia" w:hAnsiTheme="minorEastAsia" w:cstheme="minorEastAsia"/>
          <w:color w:val="auto"/>
          <w:highlight w:val="none"/>
          <w:u w:val="single"/>
        </w:rPr>
        <w:t xml:space="preserve">                                                                     </w:t>
      </w:r>
    </w:p>
    <w:p w14:paraId="57AC703C">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2.3 本工程开工日期若有调整，以发包人的书面通知为准，</w:t>
      </w:r>
      <w:r>
        <w:rPr>
          <w:rFonts w:hint="eastAsia" w:asciiTheme="minorEastAsia" w:hAnsiTheme="minorEastAsia" w:cstheme="minorEastAsia"/>
          <w:color w:val="auto"/>
          <w:kern w:val="0"/>
          <w:szCs w:val="21"/>
          <w:highlight w:val="none"/>
        </w:rPr>
        <w:t>并根据发包人要求更改的施工进度计划完成整个工程的施工</w:t>
      </w:r>
      <w:r>
        <w:rPr>
          <w:rFonts w:hint="eastAsia" w:asciiTheme="minorEastAsia" w:hAnsiTheme="minorEastAsia" w:cstheme="minorEastAsia"/>
          <w:color w:val="auto"/>
          <w:highlight w:val="none"/>
        </w:rPr>
        <w:t>、验收等工作。</w:t>
      </w:r>
      <w:bookmarkStart w:id="77" w:name="_Toc351203484"/>
    </w:p>
    <w:p w14:paraId="0D5A8A09">
      <w:pPr>
        <w:pStyle w:val="30"/>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第三条 合同价款、</w:t>
      </w:r>
      <w:bookmarkEnd w:id="77"/>
      <w:r>
        <w:rPr>
          <w:rFonts w:hint="eastAsia" w:asciiTheme="minorEastAsia" w:hAnsiTheme="minorEastAsia" w:eastAsiaTheme="minorEastAsia" w:cstheme="minorEastAsia"/>
          <w:color w:val="auto"/>
          <w:sz w:val="24"/>
          <w:szCs w:val="21"/>
          <w:highlight w:val="none"/>
        </w:rPr>
        <w:t>形式与支付</w:t>
      </w:r>
    </w:p>
    <w:p w14:paraId="656E45BF">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3.1 合同价格</w:t>
      </w:r>
    </w:p>
    <w:p w14:paraId="52769F5B">
      <w:pPr>
        <w:rPr>
          <w:rFonts w:asciiTheme="minorEastAsia" w:hAnsiTheme="minorEastAsia" w:cstheme="minorEastAsia"/>
          <w:color w:val="auto"/>
          <w:kern w:val="0"/>
          <w:sz w:val="24"/>
          <w:highlight w:val="none"/>
        </w:rPr>
      </w:pPr>
      <w:r>
        <w:rPr>
          <w:rFonts w:hint="eastAsia" w:asciiTheme="minorEastAsia" w:hAnsiTheme="minorEastAsia" w:cstheme="minorEastAsia"/>
          <w:color w:val="auto"/>
          <w:highlight w:val="none"/>
        </w:rPr>
        <w:t>□是否为暂定合同价；合同价款人民币</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highlight w:val="none"/>
        </w:rPr>
        <w:t>元（小写），</w:t>
      </w:r>
      <w:r>
        <w:rPr>
          <w:rFonts w:hint="eastAsia" w:asciiTheme="minorEastAsia" w:hAnsiTheme="minorEastAsia" w:cstheme="minorEastAsia"/>
          <w:color w:val="auto"/>
          <w:highlight w:val="none"/>
          <w:u w:val="single"/>
        </w:rPr>
        <w:t xml:space="preserve">                </w:t>
      </w:r>
      <w:r>
        <w:rPr>
          <w:rFonts w:hint="eastAsia" w:asciiTheme="minorEastAsia" w:hAnsiTheme="minorEastAsia" w:cstheme="minorEastAsia"/>
          <w:color w:val="auto"/>
          <w:highlight w:val="none"/>
        </w:rPr>
        <w:t>元（大写）。</w:t>
      </w:r>
    </w:p>
    <w:p w14:paraId="2BCC4046">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3.2 价格形式</w:t>
      </w:r>
    </w:p>
    <w:p w14:paraId="55CA8B94">
      <w:pPr>
        <w:tabs>
          <w:tab w:val="right" w:pos="9036"/>
        </w:tabs>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3.2.1 </w:t>
      </w:r>
      <w:r>
        <w:rPr>
          <w:rFonts w:hint="eastAsia" w:asciiTheme="minorEastAsia" w:hAnsiTheme="minorEastAsia" w:cstheme="minorEastAsia"/>
          <w:color w:val="auto"/>
          <w:szCs w:val="21"/>
          <w:highlight w:val="none"/>
        </w:rPr>
        <w:t>本工程为</w:t>
      </w:r>
      <w:r>
        <w:rPr>
          <w:rFonts w:hint="eastAsia" w:asciiTheme="minorEastAsia" w:hAnsiTheme="minorEastAsia" w:cstheme="minorEastAsia"/>
          <w:color w:val="auto"/>
          <w:szCs w:val="21"/>
          <w:highlight w:val="none"/>
          <w:u w:val="single"/>
        </w:rPr>
        <w:t xml:space="preserve"> A </w:t>
      </w:r>
      <w:r>
        <w:rPr>
          <w:rFonts w:hint="eastAsia" w:asciiTheme="minorEastAsia" w:hAnsiTheme="minorEastAsia" w:cstheme="minorEastAsia"/>
          <w:color w:val="auto"/>
          <w:szCs w:val="21"/>
          <w:highlight w:val="none"/>
        </w:rPr>
        <w:t>（A、固定单价合同；B、固定总价合同；C、其他形式</w:t>
      </w:r>
      <w:r>
        <w:rPr>
          <w:rFonts w:hint="eastAsia" w:asciiTheme="minorEastAsia" w:hAnsiTheme="minorEastAsia" w:cstheme="minorEastAsia"/>
          <w:color w:val="auto"/>
          <w:szCs w:val="21"/>
          <w:highlight w:val="none"/>
          <w:u w:val="single"/>
        </w:rPr>
        <w:t xml:space="preserve">      /         </w:t>
      </w:r>
      <w:r>
        <w:rPr>
          <w:rFonts w:hint="eastAsia" w:asciiTheme="minorEastAsia" w:hAnsiTheme="minorEastAsia" w:cstheme="minorEastAsia"/>
          <w:color w:val="auto"/>
          <w:szCs w:val="21"/>
          <w:highlight w:val="none"/>
        </w:rPr>
        <w:t>）。</w:t>
      </w:r>
    </w:p>
    <w:p w14:paraId="565997E9">
      <w:pPr>
        <w:tabs>
          <w:tab w:val="right" w:pos="9036"/>
        </w:tabs>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3.2.2 若合同为固定总价合同，则本合同项下关于固定单价合同特用的条款将不再适用，且除根据合同约定的在工程实施过程中需进行增减的款项外，合同价格不予调整。</w:t>
      </w:r>
    </w:p>
    <w:p w14:paraId="4625BC1B">
      <w:pPr>
        <w:tabs>
          <w:tab w:val="right" w:pos="9036"/>
        </w:tabs>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b/>
          <w:color w:val="auto"/>
          <w:kern w:val="0"/>
          <w:szCs w:val="21"/>
          <w:highlight w:val="none"/>
        </w:rPr>
        <w:t>3.3支付方式</w:t>
      </w:r>
    </w:p>
    <w:p w14:paraId="30AE3851">
      <w:pPr>
        <w:tabs>
          <w:tab w:val="right" w:pos="9036"/>
        </w:tabs>
        <w:spacing w:line="400" w:lineRule="exact"/>
        <w:rPr>
          <w:rFonts w:asciiTheme="minorEastAsia" w:hAnsiTheme="minorEastAsia" w:cstheme="minorEastAsia"/>
          <w:b/>
          <w:color w:val="auto"/>
          <w:kern w:val="0"/>
          <w:szCs w:val="21"/>
          <w:highlight w:val="none"/>
        </w:rPr>
      </w:pPr>
    </w:p>
    <w:p w14:paraId="26B35378">
      <w:pPr>
        <w:tabs>
          <w:tab w:val="right" w:pos="9036"/>
        </w:tabs>
        <w:spacing w:line="400" w:lineRule="exac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3.4付款账号</w:t>
      </w:r>
    </w:p>
    <w:p w14:paraId="4895E67B">
      <w:pPr>
        <w:tabs>
          <w:tab w:val="right" w:pos="9036"/>
        </w:tabs>
        <w:spacing w:line="400" w:lineRule="exact"/>
        <w:rPr>
          <w:rFonts w:asciiTheme="minorEastAsia" w:hAnsiTheme="minorEastAsia" w:cstheme="minorEastAsia"/>
          <w:color w:val="auto"/>
          <w:kern w:val="0"/>
          <w:szCs w:val="21"/>
          <w:highlight w:val="none"/>
          <w:u w:val="single"/>
        </w:rPr>
      </w:pPr>
      <w:r>
        <w:rPr>
          <w:rFonts w:hint="eastAsia" w:asciiTheme="minorEastAsia" w:hAnsiTheme="minorEastAsia" w:cstheme="minorEastAsia"/>
          <w:color w:val="auto"/>
          <w:kern w:val="0"/>
          <w:szCs w:val="21"/>
          <w:highlight w:val="none"/>
        </w:rPr>
        <w:t>开户银行：</w:t>
      </w:r>
      <w:r>
        <w:rPr>
          <w:rFonts w:hint="eastAsia" w:asciiTheme="minorEastAsia" w:hAnsiTheme="minorEastAsia" w:cstheme="minorEastAsia"/>
          <w:color w:val="auto"/>
          <w:kern w:val="0"/>
          <w:szCs w:val="21"/>
          <w:highlight w:val="none"/>
          <w:u w:val="single"/>
        </w:rPr>
        <w:t xml:space="preserve">                                                                        </w:t>
      </w:r>
    </w:p>
    <w:p w14:paraId="39B7C5E4">
      <w:pPr>
        <w:tabs>
          <w:tab w:val="right" w:pos="9036"/>
        </w:tabs>
        <w:spacing w:line="400" w:lineRule="exact"/>
        <w:rPr>
          <w:rFonts w:asciiTheme="minorEastAsia" w:hAnsiTheme="minorEastAsia" w:cstheme="minorEastAsia"/>
          <w:color w:val="auto"/>
          <w:kern w:val="0"/>
          <w:szCs w:val="21"/>
          <w:highlight w:val="none"/>
          <w:u w:val="single"/>
        </w:rPr>
      </w:pPr>
      <w:r>
        <w:rPr>
          <w:rFonts w:hint="eastAsia" w:asciiTheme="minorEastAsia" w:hAnsiTheme="minorEastAsia" w:cstheme="minorEastAsia"/>
          <w:color w:val="auto"/>
          <w:kern w:val="0"/>
          <w:szCs w:val="21"/>
          <w:highlight w:val="none"/>
        </w:rPr>
        <w:t>开户名称：</w:t>
      </w:r>
      <w:r>
        <w:rPr>
          <w:rFonts w:hint="eastAsia" w:asciiTheme="minorEastAsia" w:hAnsiTheme="minorEastAsia" w:cstheme="minorEastAsia"/>
          <w:color w:val="auto"/>
          <w:kern w:val="0"/>
          <w:szCs w:val="21"/>
          <w:highlight w:val="none"/>
          <w:u w:val="single"/>
        </w:rPr>
        <w:t xml:space="preserve">                                                                         </w:t>
      </w:r>
    </w:p>
    <w:p w14:paraId="5A2F8110">
      <w:pPr>
        <w:tabs>
          <w:tab w:val="right" w:pos="9036"/>
        </w:tabs>
        <w:spacing w:line="400" w:lineRule="exact"/>
        <w:rPr>
          <w:rFonts w:asciiTheme="minorEastAsia" w:hAnsiTheme="minorEastAsia" w:cstheme="minorEastAsia"/>
          <w:color w:val="auto"/>
          <w:kern w:val="0"/>
          <w:szCs w:val="21"/>
          <w:highlight w:val="none"/>
          <w:u w:val="single"/>
        </w:rPr>
      </w:pPr>
      <w:r>
        <w:rPr>
          <w:rFonts w:hint="eastAsia" w:asciiTheme="minorEastAsia" w:hAnsiTheme="minorEastAsia" w:cstheme="minorEastAsia"/>
          <w:color w:val="auto"/>
          <w:kern w:val="0"/>
          <w:szCs w:val="21"/>
          <w:highlight w:val="none"/>
        </w:rPr>
        <w:t>开户号码：</w:t>
      </w:r>
      <w:r>
        <w:rPr>
          <w:rFonts w:hint="eastAsia" w:asciiTheme="minorEastAsia" w:hAnsiTheme="minorEastAsia" w:cstheme="minorEastAsia"/>
          <w:color w:val="auto"/>
          <w:kern w:val="0"/>
          <w:szCs w:val="21"/>
          <w:highlight w:val="none"/>
          <w:u w:val="single"/>
        </w:rPr>
        <w:t xml:space="preserve">                                                                          </w:t>
      </w:r>
    </w:p>
    <w:p w14:paraId="6B77165B">
      <w:pPr>
        <w:pStyle w:val="30"/>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第四条 工程质量</w:t>
      </w:r>
    </w:p>
    <w:p w14:paraId="52A18F34">
      <w:pPr>
        <w:spacing w:line="400" w:lineRule="exac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szCs w:val="21"/>
          <w:highlight w:val="none"/>
        </w:rPr>
        <w:t>4.1</w:t>
      </w:r>
      <w:r>
        <w:rPr>
          <w:rFonts w:hint="eastAsia" w:asciiTheme="minorEastAsia" w:hAnsiTheme="minorEastAsia" w:cstheme="minorEastAsia"/>
          <w:b/>
          <w:color w:val="auto"/>
          <w:kern w:val="0"/>
          <w:szCs w:val="21"/>
          <w:highlight w:val="none"/>
        </w:rPr>
        <w:t xml:space="preserve"> 质量要求</w:t>
      </w:r>
    </w:p>
    <w:p w14:paraId="1AFF9855">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4.1.1 </w:t>
      </w:r>
      <w:r>
        <w:rPr>
          <w:rFonts w:hint="eastAsia" w:asciiTheme="minorEastAsia" w:hAnsiTheme="minorEastAsia" w:cstheme="minorEastAsia"/>
          <w:color w:val="auto"/>
          <w:kern w:val="0"/>
          <w:szCs w:val="21"/>
          <w:highlight w:val="none"/>
        </w:rPr>
        <w:t>工程质量达到</w:t>
      </w:r>
      <w:r>
        <w:rPr>
          <w:rFonts w:hint="eastAsia" w:asciiTheme="minorEastAsia" w:hAnsiTheme="minorEastAsia" w:cstheme="minorEastAsia"/>
          <w:color w:val="auto"/>
          <w:kern w:val="0"/>
          <w:szCs w:val="21"/>
          <w:highlight w:val="none"/>
          <w:u w:val="single"/>
        </w:rPr>
        <w:t xml:space="preserve">  合格  </w:t>
      </w:r>
      <w:r>
        <w:rPr>
          <w:rFonts w:hint="eastAsia" w:asciiTheme="minorEastAsia" w:hAnsiTheme="minorEastAsia" w:cstheme="minorEastAsia"/>
          <w:color w:val="auto"/>
          <w:kern w:val="0"/>
          <w:szCs w:val="21"/>
          <w:highlight w:val="none"/>
        </w:rPr>
        <w:t>标准</w:t>
      </w:r>
    </w:p>
    <w:p w14:paraId="5A83B192">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4.1.2</w:t>
      </w:r>
      <w:r>
        <w:rPr>
          <w:rFonts w:hint="eastAsia" w:asciiTheme="minorEastAsia" w:hAnsiTheme="minorEastAsia" w:cstheme="minorEastAsia"/>
          <w:color w:val="auto"/>
          <w:kern w:val="0"/>
          <w:szCs w:val="21"/>
          <w:highlight w:val="none"/>
        </w:rPr>
        <w:t xml:space="preserve"> 特殊质量与保修标准： </w:t>
      </w:r>
      <w:r>
        <w:rPr>
          <w:rFonts w:hint="eastAsia" w:asciiTheme="minorEastAsia" w:hAnsiTheme="minorEastAsia" w:cstheme="minorEastAsia"/>
          <w:color w:val="auto"/>
          <w:kern w:val="0"/>
          <w:szCs w:val="21"/>
          <w:highlight w:val="none"/>
          <w:u w:val="single"/>
        </w:rPr>
        <w:t xml:space="preserve">   /                                            </w:t>
      </w:r>
    </w:p>
    <w:p w14:paraId="09400CD4">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4.1.3 关于工程奖项的约定：</w:t>
      </w:r>
      <w:r>
        <w:rPr>
          <w:rFonts w:hint="eastAsia" w:asciiTheme="minorEastAsia" w:hAnsiTheme="minorEastAsia" w:cstheme="minorEastAsia"/>
          <w:color w:val="auto"/>
          <w:kern w:val="0"/>
          <w:szCs w:val="21"/>
          <w:highlight w:val="none"/>
          <w:u w:val="single"/>
        </w:rPr>
        <w:t xml:space="preserve">    /                                                  </w:t>
      </w:r>
    </w:p>
    <w:p w14:paraId="7938CBDF">
      <w:pPr>
        <w:pStyle w:val="30"/>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第五条 联络</w:t>
      </w:r>
    </w:p>
    <w:p w14:paraId="12F22652">
      <w:pP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5.1 承包人项目经理：</w:t>
      </w:r>
      <w:r>
        <w:rPr>
          <w:rFonts w:hint="eastAsia" w:asciiTheme="minorEastAsia" w:hAnsiTheme="minorEastAsia" w:cstheme="minorEastAsia"/>
          <w:color w:val="auto"/>
          <w:szCs w:val="21"/>
          <w:highlight w:val="none"/>
          <w:u w:val="single"/>
        </w:rPr>
        <w:t xml:space="preserve">     </w:t>
      </w:r>
      <w:r>
        <w:rPr>
          <w:rFonts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rPr>
        <w:t>。</w:t>
      </w:r>
    </w:p>
    <w:p w14:paraId="6EB4D873">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5.2 </w:t>
      </w:r>
      <w:r>
        <w:rPr>
          <w:rFonts w:hint="eastAsia" w:asciiTheme="minorEastAsia" w:hAnsiTheme="minorEastAsia" w:cstheme="minorEastAsia"/>
          <w:color w:val="auto"/>
          <w:szCs w:val="21"/>
          <w:highlight w:val="none"/>
        </w:rPr>
        <w:t>发包人和承包方应当在本合同约定的时间内将与合同有关的通知、批准、证明、证书、指示、指令、要求、请求、同意、意见、确定和决定等书面函件送达对方当事人。</w:t>
      </w:r>
    </w:p>
    <w:p w14:paraId="2AE0AA9E">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发包人指定的接收地点与联络人：</w:t>
      </w:r>
      <w:r>
        <w:rPr>
          <w:rFonts w:hint="eastAsia" w:asciiTheme="minorEastAsia" w:hAnsiTheme="minorEastAsia" w:cstheme="minorEastAsia"/>
          <w:color w:val="auto"/>
          <w:szCs w:val="21"/>
          <w:highlight w:val="none"/>
          <w:u w:val="single"/>
        </w:rPr>
        <w:t xml:space="preserve">    发包人驻项目办公所在地                         </w:t>
      </w:r>
    </w:p>
    <w:p w14:paraId="07FE262D">
      <w:pPr>
        <w:spacing w:line="400" w:lineRule="exact"/>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rPr>
        <w:t>承包方指定的接收地点与联络人：</w:t>
      </w:r>
      <w:r>
        <w:rPr>
          <w:rFonts w:hint="eastAsia" w:asciiTheme="minorEastAsia" w:hAnsiTheme="minorEastAsia" w:cstheme="minorEastAsia"/>
          <w:color w:val="auto"/>
          <w:szCs w:val="21"/>
          <w:highlight w:val="none"/>
          <w:u w:val="single"/>
        </w:rPr>
        <w:t xml:space="preserve">    承包方驻项目办公所在地                         </w:t>
      </w:r>
    </w:p>
    <w:p w14:paraId="3C0B375B">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监理人指定的接收地点与联络人：</w:t>
      </w:r>
      <w:r>
        <w:rPr>
          <w:rFonts w:hint="eastAsia" w:asciiTheme="minorEastAsia" w:hAnsiTheme="minorEastAsia" w:cstheme="minorEastAsia"/>
          <w:color w:val="auto"/>
          <w:highlight w:val="none"/>
          <w:u w:val="single"/>
        </w:rPr>
        <w:t xml:space="preserve">    监理人驻项目办公所在地                          </w:t>
      </w:r>
    </w:p>
    <w:p w14:paraId="155781F1">
      <w:pPr>
        <w:pStyle w:val="30"/>
        <w:spacing w:line="400" w:lineRule="exact"/>
        <w:rPr>
          <w:rFonts w:asciiTheme="minorEastAsia" w:hAnsiTheme="minorEastAsia" w:eastAsiaTheme="minorEastAsia" w:cstheme="minorEastAsia"/>
          <w:color w:val="auto"/>
          <w:sz w:val="24"/>
          <w:szCs w:val="21"/>
          <w:highlight w:val="none"/>
        </w:rPr>
      </w:pPr>
      <w:bookmarkStart w:id="78" w:name="_Toc351203486"/>
      <w:r>
        <w:rPr>
          <w:rFonts w:hint="eastAsia" w:asciiTheme="minorEastAsia" w:hAnsiTheme="minorEastAsia" w:eastAsiaTheme="minorEastAsia" w:cstheme="minorEastAsia"/>
          <w:color w:val="auto"/>
          <w:sz w:val="24"/>
          <w:szCs w:val="21"/>
          <w:highlight w:val="none"/>
        </w:rPr>
        <w:t>第六条 合同文件构成</w:t>
      </w:r>
      <w:bookmarkEnd w:id="78"/>
    </w:p>
    <w:p w14:paraId="5920B2E5">
      <w:pPr>
        <w:spacing w:line="400" w:lineRule="exact"/>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rPr>
        <w:t>6.1 本协议书与下列文件一起构成合同文件：</w:t>
      </w:r>
      <w:r>
        <w:rPr>
          <w:rFonts w:hint="eastAsia" w:asciiTheme="minorEastAsia" w:hAnsiTheme="minorEastAsia" w:cstheme="minorEastAsia"/>
          <w:color w:val="auto"/>
          <w:highlight w:val="none"/>
        </w:rPr>
        <w:t>确定成交通知书</w:t>
      </w:r>
      <w:r>
        <w:rPr>
          <w:rFonts w:hint="eastAsia" w:asciiTheme="minorEastAsia" w:hAnsiTheme="minorEastAsia" w:cstheme="minorEastAsia"/>
          <w:color w:val="auto"/>
          <w:szCs w:val="21"/>
          <w:highlight w:val="none"/>
        </w:rPr>
        <w:t>；磋商响应函及其附录（如果有）；专用合同条款及其附件；通用合同条款；技术标准和要求；图纸；已标价工程量清单；其他</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rPr>
        <w:t>；</w:t>
      </w:r>
    </w:p>
    <w:p w14:paraId="567BEBCF">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6.2 </w:t>
      </w:r>
      <w:r>
        <w:rPr>
          <w:rFonts w:hint="eastAsia" w:asciiTheme="minorEastAsia" w:hAnsiTheme="minorEastAsia" w:cstheme="minorEastAsia"/>
          <w:color w:val="auto"/>
          <w:szCs w:val="21"/>
          <w:highlight w:val="none"/>
        </w:rPr>
        <w:t>在合同订立及履行过程中形成的与合同有关的文件均构成合同文件组成部分。</w:t>
      </w:r>
    </w:p>
    <w:p w14:paraId="6B123E43">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6.3 </w:t>
      </w:r>
      <w:r>
        <w:rPr>
          <w:rFonts w:hint="eastAsia" w:asciiTheme="minorEastAsia" w:hAnsiTheme="minorEastAsia" w:cstheme="minorEastAsia"/>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35EB76EB">
      <w:pPr>
        <w:pStyle w:val="30"/>
        <w:spacing w:line="400" w:lineRule="exact"/>
        <w:rPr>
          <w:rFonts w:asciiTheme="minorEastAsia" w:hAnsiTheme="minorEastAsia" w:eastAsiaTheme="minorEastAsia" w:cstheme="minorEastAsia"/>
          <w:color w:val="auto"/>
          <w:sz w:val="24"/>
          <w:szCs w:val="21"/>
          <w:highlight w:val="none"/>
        </w:rPr>
      </w:pPr>
      <w:bookmarkStart w:id="79" w:name="_Toc351203487"/>
      <w:r>
        <w:rPr>
          <w:rFonts w:hint="eastAsia" w:asciiTheme="minorEastAsia" w:hAnsiTheme="minorEastAsia" w:eastAsiaTheme="minorEastAsia" w:cstheme="minorEastAsia"/>
          <w:color w:val="auto"/>
          <w:sz w:val="24"/>
          <w:szCs w:val="21"/>
          <w:highlight w:val="none"/>
        </w:rPr>
        <w:t>第七条 承诺</w:t>
      </w:r>
      <w:bookmarkEnd w:id="79"/>
    </w:p>
    <w:p w14:paraId="253DE279">
      <w:pPr>
        <w:adjustRightInd w:val="0"/>
        <w:spacing w:line="400" w:lineRule="exact"/>
        <w:rPr>
          <w:rFonts w:asciiTheme="minorEastAsia" w:hAnsiTheme="minorEastAsia" w:cstheme="minorEastAsia"/>
          <w:bCs/>
          <w:color w:val="auto"/>
          <w:highlight w:val="none"/>
        </w:rPr>
      </w:pPr>
      <w:r>
        <w:rPr>
          <w:rFonts w:hint="eastAsia" w:asciiTheme="minorEastAsia" w:hAnsiTheme="minorEastAsia" w:cstheme="minorEastAsia"/>
          <w:color w:val="auto"/>
          <w:highlight w:val="none"/>
        </w:rPr>
        <w:t xml:space="preserve">7.1 </w:t>
      </w:r>
      <w:r>
        <w:rPr>
          <w:rFonts w:hint="eastAsia" w:asciiTheme="minorEastAsia" w:hAnsiTheme="minorEastAsia" w:cstheme="minorEastAsia"/>
          <w:bCs/>
          <w:color w:val="auto"/>
          <w:highlight w:val="none"/>
        </w:rPr>
        <w:t>发包人承诺按照法律规定履行项目审批手续、筹集工程建设资金并按照合同约定的期限和方式支付合同价款。</w:t>
      </w:r>
    </w:p>
    <w:p w14:paraId="52261246">
      <w:pPr>
        <w:adjustRightInd w:val="0"/>
        <w:spacing w:line="400" w:lineRule="exact"/>
        <w:rPr>
          <w:rFonts w:asciiTheme="minorEastAsia" w:hAnsiTheme="minorEastAsia" w:cstheme="minorEastAsia"/>
          <w:bCs/>
          <w:color w:val="auto"/>
          <w:highlight w:val="none"/>
        </w:rPr>
      </w:pPr>
      <w:r>
        <w:rPr>
          <w:rFonts w:hint="eastAsia" w:asciiTheme="minorEastAsia" w:hAnsiTheme="minorEastAsia" w:cstheme="minorEastAsia"/>
          <w:color w:val="auto"/>
          <w:highlight w:val="none"/>
        </w:rPr>
        <w:t xml:space="preserve">7.2 </w:t>
      </w:r>
      <w:r>
        <w:rPr>
          <w:rFonts w:hint="eastAsia" w:asciiTheme="minorEastAsia" w:hAnsiTheme="minorEastAsia" w:cstheme="minorEastAsia"/>
          <w:bCs/>
          <w:color w:val="auto"/>
          <w:highlight w:val="none"/>
        </w:rPr>
        <w:t>承包方承诺按照法律规定及合同约定组织完成工程施工，确保工程质量和安全，不进行转包及违法分包，并在缺陷责任期及保修期内承担相应的工程维修责任。</w:t>
      </w:r>
    </w:p>
    <w:p w14:paraId="1997EADD">
      <w:pPr>
        <w:adjustRightInd w:val="0"/>
        <w:spacing w:line="400" w:lineRule="exact"/>
        <w:rPr>
          <w:rFonts w:asciiTheme="minorEastAsia" w:hAnsiTheme="minorEastAsia" w:cstheme="minorEastAsia"/>
          <w:bCs/>
          <w:color w:val="auto"/>
          <w:highlight w:val="none"/>
        </w:rPr>
      </w:pPr>
      <w:r>
        <w:rPr>
          <w:rFonts w:hint="eastAsia" w:asciiTheme="minorEastAsia" w:hAnsiTheme="minorEastAsia" w:cstheme="minorEastAsia"/>
          <w:color w:val="auto"/>
          <w:highlight w:val="none"/>
        </w:rPr>
        <w:t xml:space="preserve">7.3 </w:t>
      </w:r>
      <w:r>
        <w:rPr>
          <w:rFonts w:hint="eastAsia" w:asciiTheme="minorEastAsia" w:hAnsiTheme="minorEastAsia" w:cstheme="minorEastAsia"/>
          <w:bCs/>
          <w:color w:val="auto"/>
          <w:highlight w:val="none"/>
        </w:rPr>
        <w:t>发包人和承包方通过竞争性磋商采购形式签订合同的，双方理解并承诺不再就同一工程另行签订与合同实质性内容相背离的协议。</w:t>
      </w:r>
    </w:p>
    <w:p w14:paraId="7419D52F">
      <w:pPr>
        <w:pStyle w:val="30"/>
        <w:spacing w:line="400" w:lineRule="exact"/>
        <w:rPr>
          <w:rFonts w:asciiTheme="minorEastAsia" w:hAnsiTheme="minorEastAsia" w:eastAsiaTheme="minorEastAsia" w:cstheme="minorEastAsia"/>
          <w:color w:val="auto"/>
          <w:sz w:val="24"/>
          <w:szCs w:val="21"/>
          <w:highlight w:val="none"/>
        </w:rPr>
      </w:pPr>
      <w:bookmarkStart w:id="80" w:name="_Toc351203488"/>
      <w:r>
        <w:rPr>
          <w:rFonts w:hint="eastAsia" w:asciiTheme="minorEastAsia" w:hAnsiTheme="minorEastAsia" w:eastAsiaTheme="minorEastAsia" w:cstheme="minorEastAsia"/>
          <w:color w:val="auto"/>
          <w:sz w:val="24"/>
          <w:szCs w:val="21"/>
          <w:highlight w:val="none"/>
        </w:rPr>
        <w:t>第八条 词语含义</w:t>
      </w:r>
      <w:bookmarkEnd w:id="80"/>
    </w:p>
    <w:p w14:paraId="1E144F0F">
      <w:pPr>
        <w:adjustRightInd w:val="0"/>
        <w:spacing w:line="4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本协议书中词语含义与第二部分通用合同条款中赋予的含义相同。</w:t>
      </w:r>
    </w:p>
    <w:p w14:paraId="0C29A3FB">
      <w:pPr>
        <w:pStyle w:val="30"/>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第九条</w:t>
      </w:r>
      <w:bookmarkStart w:id="81" w:name="_Toc351203489"/>
      <w:r>
        <w:rPr>
          <w:rFonts w:hint="eastAsia" w:asciiTheme="minorEastAsia" w:hAnsiTheme="minorEastAsia" w:eastAsiaTheme="minorEastAsia" w:cstheme="minorEastAsia"/>
          <w:color w:val="auto"/>
          <w:sz w:val="24"/>
          <w:szCs w:val="21"/>
          <w:highlight w:val="none"/>
        </w:rPr>
        <w:t xml:space="preserve"> 签订时间</w:t>
      </w:r>
      <w:bookmarkEnd w:id="81"/>
      <w:r>
        <w:rPr>
          <w:rFonts w:hint="eastAsia" w:asciiTheme="minorEastAsia" w:hAnsiTheme="minorEastAsia" w:eastAsiaTheme="minorEastAsia" w:cstheme="minorEastAsia"/>
          <w:color w:val="auto"/>
          <w:sz w:val="24"/>
          <w:szCs w:val="21"/>
          <w:highlight w:val="none"/>
        </w:rPr>
        <w:t>、地点、生效时间</w:t>
      </w:r>
    </w:p>
    <w:p w14:paraId="34848A22">
      <w:pPr>
        <w:adjustRightInd w:val="0"/>
        <w:spacing w:line="4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本合同于</w:t>
      </w:r>
      <w:r>
        <w:rPr>
          <w:rFonts w:hint="eastAsia" w:asciiTheme="minorEastAsia" w:hAnsiTheme="minorEastAsia" w:cstheme="minorEastAsia"/>
          <w:bCs/>
          <w:color w:val="auto"/>
          <w:highlight w:val="none"/>
          <w:u w:val="single"/>
        </w:rPr>
        <w:t xml:space="preserve">        </w:t>
      </w:r>
      <w:r>
        <w:rPr>
          <w:rFonts w:hint="eastAsia" w:asciiTheme="minorEastAsia" w:hAnsiTheme="minorEastAsia" w:cstheme="minorEastAsia"/>
          <w:bCs/>
          <w:color w:val="auto"/>
          <w:highlight w:val="none"/>
        </w:rPr>
        <w:t>年</w:t>
      </w:r>
      <w:r>
        <w:rPr>
          <w:rFonts w:hint="eastAsia" w:asciiTheme="minorEastAsia" w:hAnsiTheme="minorEastAsia" w:cstheme="minorEastAsia"/>
          <w:bCs/>
          <w:color w:val="auto"/>
          <w:highlight w:val="none"/>
          <w:u w:val="single"/>
        </w:rPr>
        <w:t xml:space="preserve">        </w:t>
      </w:r>
      <w:r>
        <w:rPr>
          <w:rFonts w:hint="eastAsia" w:asciiTheme="minorEastAsia" w:hAnsiTheme="minorEastAsia" w:cstheme="minorEastAsia"/>
          <w:bCs/>
          <w:color w:val="auto"/>
          <w:highlight w:val="none"/>
        </w:rPr>
        <w:t>月</w:t>
      </w:r>
      <w:r>
        <w:rPr>
          <w:rFonts w:hint="eastAsia" w:asciiTheme="minorEastAsia" w:hAnsiTheme="minorEastAsia" w:cstheme="minorEastAsia"/>
          <w:bCs/>
          <w:color w:val="auto"/>
          <w:highlight w:val="none"/>
          <w:u w:val="single"/>
        </w:rPr>
        <w:t xml:space="preserve">        </w:t>
      </w:r>
      <w:r>
        <w:rPr>
          <w:rFonts w:hint="eastAsia" w:asciiTheme="minorEastAsia" w:hAnsiTheme="minorEastAsia" w:cstheme="minorEastAsia"/>
          <w:bCs/>
          <w:color w:val="auto"/>
          <w:highlight w:val="none"/>
        </w:rPr>
        <w:t>日签订；本合同在</w:t>
      </w:r>
      <w:r>
        <w:rPr>
          <w:rFonts w:hint="eastAsia" w:asciiTheme="minorEastAsia" w:hAnsiTheme="minorEastAsia" w:cstheme="minorEastAsia"/>
          <w:bCs/>
          <w:color w:val="auto"/>
          <w:highlight w:val="none"/>
          <w:u w:val="single"/>
        </w:rPr>
        <w:t xml:space="preserve"> 宁波 </w:t>
      </w:r>
      <w:r>
        <w:rPr>
          <w:rFonts w:hint="eastAsia" w:asciiTheme="minorEastAsia" w:hAnsiTheme="minorEastAsia" w:cstheme="minorEastAsia"/>
          <w:bCs/>
          <w:color w:val="auto"/>
          <w:highlight w:val="none"/>
        </w:rPr>
        <w:t>签订；本合同自</w:t>
      </w:r>
      <w:r>
        <w:rPr>
          <w:rFonts w:hint="eastAsia" w:asciiTheme="minorEastAsia" w:hAnsiTheme="minorEastAsia" w:cstheme="minorEastAsia"/>
          <w:color w:val="auto"/>
          <w:spacing w:val="14"/>
          <w:highlight w:val="none"/>
          <w:u w:val="single"/>
        </w:rPr>
        <w:t>双方签字盖章后</w:t>
      </w:r>
      <w:r>
        <w:rPr>
          <w:rFonts w:hint="eastAsia" w:asciiTheme="minorEastAsia" w:hAnsiTheme="minorEastAsia" w:cstheme="minorEastAsia"/>
          <w:bCs/>
          <w:color w:val="auto"/>
          <w:highlight w:val="none"/>
          <w:u w:val="single"/>
        </w:rPr>
        <w:t xml:space="preserve"> </w:t>
      </w:r>
      <w:r>
        <w:rPr>
          <w:rFonts w:hint="eastAsia" w:asciiTheme="minorEastAsia" w:hAnsiTheme="minorEastAsia" w:cstheme="minorEastAsia"/>
          <w:bCs/>
          <w:color w:val="auto"/>
          <w:highlight w:val="none"/>
        </w:rPr>
        <w:t>生效。</w:t>
      </w:r>
    </w:p>
    <w:p w14:paraId="5BB40BCC">
      <w:pPr>
        <w:pStyle w:val="30"/>
        <w:spacing w:line="400" w:lineRule="exact"/>
        <w:rPr>
          <w:rFonts w:asciiTheme="minorEastAsia" w:hAnsiTheme="minorEastAsia" w:eastAsiaTheme="minorEastAsia" w:cstheme="minorEastAsia"/>
          <w:color w:val="auto"/>
          <w:sz w:val="24"/>
          <w:szCs w:val="21"/>
          <w:highlight w:val="none"/>
        </w:rPr>
      </w:pPr>
      <w:bookmarkStart w:id="82" w:name="_Toc351203491"/>
      <w:r>
        <w:rPr>
          <w:rFonts w:hint="eastAsia" w:asciiTheme="minorEastAsia" w:hAnsiTheme="minorEastAsia" w:eastAsiaTheme="minorEastAsia" w:cstheme="minorEastAsia"/>
          <w:color w:val="auto"/>
          <w:sz w:val="24"/>
          <w:szCs w:val="21"/>
          <w:highlight w:val="none"/>
        </w:rPr>
        <w:t>第十条 补充协议</w:t>
      </w:r>
      <w:bookmarkEnd w:id="82"/>
    </w:p>
    <w:p w14:paraId="25357BF6">
      <w:pPr>
        <w:adjustRightInd w:val="0"/>
        <w:spacing w:line="400" w:lineRule="exact"/>
        <w:rPr>
          <w:rFonts w:asciiTheme="minorEastAsia" w:hAnsiTheme="minorEastAsia" w:cstheme="minorEastAsia"/>
          <w:b/>
          <w:bCs/>
          <w:color w:val="auto"/>
          <w:highlight w:val="none"/>
        </w:rPr>
      </w:pPr>
      <w:r>
        <w:rPr>
          <w:rFonts w:hint="eastAsia" w:asciiTheme="minorEastAsia" w:hAnsiTheme="minorEastAsia" w:cstheme="minorEastAsia"/>
          <w:bCs/>
          <w:color w:val="auto"/>
          <w:highlight w:val="none"/>
        </w:rPr>
        <w:t>合同未尽事宜，合同当事人另行签订补充协议，补充协议是合同的组成部分。</w:t>
      </w:r>
      <w:bookmarkStart w:id="83" w:name="_Toc351203492"/>
    </w:p>
    <w:bookmarkEnd w:id="83"/>
    <w:p w14:paraId="0FE14098">
      <w:pPr>
        <w:pStyle w:val="30"/>
        <w:spacing w:line="400" w:lineRule="exact"/>
        <w:rPr>
          <w:rFonts w:asciiTheme="minorEastAsia" w:hAnsiTheme="minorEastAsia" w:eastAsiaTheme="minorEastAsia" w:cstheme="minorEastAsia"/>
          <w:color w:val="auto"/>
          <w:sz w:val="24"/>
          <w:szCs w:val="21"/>
          <w:highlight w:val="none"/>
        </w:rPr>
      </w:pPr>
      <w:bookmarkStart w:id="84" w:name="_Toc351203493"/>
      <w:r>
        <w:rPr>
          <w:rFonts w:hint="eastAsia" w:asciiTheme="minorEastAsia" w:hAnsiTheme="minorEastAsia" w:eastAsiaTheme="minorEastAsia" w:cstheme="minorEastAsia"/>
          <w:color w:val="auto"/>
          <w:sz w:val="24"/>
          <w:szCs w:val="21"/>
          <w:highlight w:val="none"/>
        </w:rPr>
        <w:t>第十一条 合同份数</w:t>
      </w:r>
      <w:bookmarkEnd w:id="84"/>
    </w:p>
    <w:p w14:paraId="4F77D1D9">
      <w:pPr>
        <w:adjustRightInd w:val="0"/>
        <w:spacing w:line="4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本合同一式</w:t>
      </w:r>
      <w:r>
        <w:rPr>
          <w:rFonts w:hint="eastAsia" w:asciiTheme="minorEastAsia" w:hAnsiTheme="minorEastAsia" w:cstheme="minorEastAsia"/>
          <w:bCs/>
          <w:color w:val="auto"/>
          <w:highlight w:val="none"/>
          <w:u w:val="single"/>
        </w:rPr>
        <w:t xml:space="preserve">   6   </w:t>
      </w:r>
      <w:r>
        <w:rPr>
          <w:rFonts w:hint="eastAsia" w:asciiTheme="minorEastAsia" w:hAnsiTheme="minorEastAsia" w:cstheme="minorEastAsia"/>
          <w:bCs/>
          <w:color w:val="auto"/>
          <w:highlight w:val="none"/>
        </w:rPr>
        <w:t>份，均具有同等法律效力，发包人、承包方各执</w:t>
      </w:r>
      <w:r>
        <w:rPr>
          <w:rFonts w:hint="eastAsia" w:asciiTheme="minorEastAsia" w:hAnsiTheme="minorEastAsia" w:cstheme="minorEastAsia"/>
          <w:bCs/>
          <w:color w:val="auto"/>
          <w:highlight w:val="none"/>
          <w:u w:val="single"/>
        </w:rPr>
        <w:t xml:space="preserve">   3  </w:t>
      </w:r>
      <w:r>
        <w:rPr>
          <w:rFonts w:hint="eastAsia" w:asciiTheme="minorEastAsia" w:hAnsiTheme="minorEastAsia" w:cstheme="minorEastAsia"/>
          <w:bCs/>
          <w:color w:val="auto"/>
          <w:highlight w:val="none"/>
        </w:rPr>
        <w:t>份。</w:t>
      </w:r>
    </w:p>
    <w:p w14:paraId="42BA4860">
      <w:pPr>
        <w:spacing w:line="400" w:lineRule="exact"/>
        <w:rPr>
          <w:rFonts w:asciiTheme="minorEastAsia" w:hAnsiTheme="minorEastAsia" w:cstheme="minorEastAsia"/>
          <w:b/>
          <w:color w:val="auto"/>
          <w:sz w:val="24"/>
          <w:highlight w:val="none"/>
        </w:rPr>
      </w:pPr>
    </w:p>
    <w:p w14:paraId="7F775CD8">
      <w:pPr>
        <w:spacing w:line="400" w:lineRule="exact"/>
        <w:jc w:val="center"/>
        <w:rPr>
          <w:rFonts w:asciiTheme="minorEastAsia" w:hAnsiTheme="minorEastAsia" w:cstheme="minorEastAsia"/>
          <w:b/>
          <w:bCs/>
          <w:color w:val="auto"/>
          <w:sz w:val="40"/>
          <w:szCs w:val="30"/>
          <w:highlight w:val="none"/>
        </w:rPr>
      </w:pPr>
      <w:r>
        <w:rPr>
          <w:rFonts w:hint="eastAsia" w:asciiTheme="minorEastAsia" w:hAnsiTheme="minorEastAsia" w:cstheme="minorEastAsia"/>
          <w:b/>
          <w:bCs/>
          <w:color w:val="auto"/>
          <w:sz w:val="40"/>
          <w:szCs w:val="30"/>
          <w:highlight w:val="none"/>
        </w:rPr>
        <w:t>第二部分 通用合同条款</w:t>
      </w:r>
    </w:p>
    <w:p w14:paraId="2131BFBC">
      <w:pPr>
        <w:spacing w:line="4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通用合同条款直接引用中国建筑工业出版社出版的《建设工程施工合同（示范文本）（GF-2017-0201）第二部分“通用合同条款”内容。</w:t>
      </w:r>
    </w:p>
    <w:p w14:paraId="0C954D1E">
      <w:pPr>
        <w:pStyle w:val="3"/>
        <w:rPr>
          <w:color w:val="auto"/>
          <w:highlight w:val="none"/>
        </w:rPr>
      </w:pPr>
    </w:p>
    <w:p w14:paraId="56BC25C1">
      <w:pPr>
        <w:spacing w:line="400" w:lineRule="exact"/>
        <w:jc w:val="center"/>
        <w:rPr>
          <w:rFonts w:asciiTheme="minorEastAsia" w:hAnsiTheme="minorEastAsia" w:cstheme="minorEastAsia"/>
          <w:b/>
          <w:bCs/>
          <w:color w:val="auto"/>
          <w:sz w:val="40"/>
          <w:szCs w:val="30"/>
          <w:highlight w:val="none"/>
        </w:rPr>
      </w:pPr>
      <w:r>
        <w:rPr>
          <w:rFonts w:hint="eastAsia" w:asciiTheme="minorEastAsia" w:hAnsiTheme="minorEastAsia" w:cstheme="minorEastAsia"/>
          <w:b/>
          <w:bCs/>
          <w:color w:val="auto"/>
          <w:sz w:val="40"/>
          <w:szCs w:val="30"/>
          <w:highlight w:val="none"/>
        </w:rPr>
        <w:t>第三部分 专用合同条款</w:t>
      </w:r>
    </w:p>
    <w:p w14:paraId="0B013D40">
      <w:pPr>
        <w:spacing w:line="400" w:lineRule="exact"/>
        <w:rPr>
          <w:rFonts w:asciiTheme="minorEastAsia" w:hAnsiTheme="minorEastAsia" w:cstheme="minorEastAsia"/>
          <w:b/>
          <w:color w:val="auto"/>
          <w:sz w:val="24"/>
          <w:highlight w:val="none"/>
        </w:rPr>
      </w:pPr>
      <w:bookmarkStart w:id="85" w:name="_Toc351203633"/>
      <w:bookmarkStart w:id="86" w:name="_Toc296891196"/>
      <w:bookmarkStart w:id="87" w:name="_Toc296503156"/>
      <w:bookmarkStart w:id="88" w:name="_Toc296346657"/>
      <w:bookmarkStart w:id="89" w:name="_Toc296890984"/>
      <w:bookmarkStart w:id="90" w:name="_Toc292559361"/>
      <w:bookmarkStart w:id="91" w:name="_Toc297048342"/>
      <w:bookmarkStart w:id="92" w:name="_Toc296944495"/>
      <w:bookmarkStart w:id="93" w:name="_Toc297120456"/>
      <w:bookmarkStart w:id="94" w:name="_Toc292559866"/>
      <w:bookmarkStart w:id="95" w:name="_Toc296347155"/>
      <w:r>
        <w:rPr>
          <w:rFonts w:hint="eastAsia" w:asciiTheme="minorEastAsia" w:hAnsiTheme="minorEastAsia" w:cstheme="minorEastAsia"/>
          <w:b/>
          <w:color w:val="auto"/>
          <w:sz w:val="24"/>
          <w:highlight w:val="none"/>
        </w:rPr>
        <w:t>第一条 一般约定</w:t>
      </w:r>
      <w:bookmarkEnd w:id="85"/>
    </w:p>
    <w:p w14:paraId="49977573">
      <w:pPr>
        <w:spacing w:line="400" w:lineRule="exac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szCs w:val="21"/>
          <w:highlight w:val="none"/>
        </w:rPr>
        <w:t xml:space="preserve">1.1 </w:t>
      </w:r>
      <w:r>
        <w:rPr>
          <w:rFonts w:hint="eastAsia" w:asciiTheme="minorEastAsia" w:hAnsiTheme="minorEastAsia" w:cstheme="minorEastAsia"/>
          <w:b/>
          <w:color w:val="auto"/>
          <w:kern w:val="0"/>
          <w:szCs w:val="21"/>
          <w:highlight w:val="none"/>
        </w:rPr>
        <w:t>词语定义与解释</w:t>
      </w:r>
    </w:p>
    <w:p w14:paraId="52819544">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本合同项下的词语定义与解释参照住房和城乡建设部、国家工商行政管理总局制定的《建设工程施工合同（示范文本）》（GF-2017-0201）通用条款中的相关描述。</w:t>
      </w:r>
    </w:p>
    <w:p w14:paraId="50483F66">
      <w:pPr>
        <w:pStyle w:val="24"/>
        <w:spacing w:before="120" w:line="400" w:lineRule="exact"/>
        <w:rPr>
          <w:rFonts w:asciiTheme="minorEastAsia" w:hAnsiTheme="minorEastAsia" w:cstheme="minorEastAsia"/>
          <w:color w:val="auto"/>
          <w:kern w:val="0"/>
          <w:sz w:val="21"/>
          <w:szCs w:val="21"/>
          <w:highlight w:val="none"/>
        </w:rPr>
      </w:pPr>
      <w:r>
        <w:rPr>
          <w:rFonts w:hint="eastAsia" w:asciiTheme="minorEastAsia" w:hAnsiTheme="minorEastAsia" w:cstheme="minorEastAsia"/>
          <w:color w:val="auto"/>
          <w:sz w:val="21"/>
          <w:szCs w:val="21"/>
          <w:highlight w:val="none"/>
        </w:rPr>
        <w:t>1.2</w:t>
      </w:r>
      <w:r>
        <w:rPr>
          <w:rFonts w:hint="eastAsia" w:asciiTheme="minorEastAsia" w:hAnsiTheme="minorEastAsia" w:cstheme="minorEastAsia"/>
          <w:color w:val="auto"/>
          <w:kern w:val="0"/>
          <w:sz w:val="21"/>
          <w:szCs w:val="21"/>
          <w:highlight w:val="none"/>
        </w:rPr>
        <w:t xml:space="preserve"> 法律 </w:t>
      </w:r>
    </w:p>
    <w:p w14:paraId="7EB502E5">
      <w:pPr>
        <w:autoSpaceDE w:val="0"/>
        <w:autoSpaceDN w:val="0"/>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适用于合同的其他规范性文件：国家、建设部、浙江省及宁波市有关工程建设的法律、法规、规定、办法（如有冲突，按就高原则处理）。</w:t>
      </w:r>
    </w:p>
    <w:p w14:paraId="013CF90A">
      <w:pPr>
        <w:autoSpaceDE w:val="0"/>
        <w:autoSpaceDN w:val="0"/>
        <w:adjustRightInd w:val="0"/>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1.3 标准和规范</w:t>
      </w:r>
    </w:p>
    <w:p w14:paraId="1B2AB333">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适用于工程的标准规范包括：现行国家、建设部、浙江省及宁波市与本工程相关的施工及验收规范、标准（如有冲突，按就高原则处理）。</w:t>
      </w:r>
    </w:p>
    <w:p w14:paraId="502978B4">
      <w:pPr>
        <w:spacing w:line="400" w:lineRule="exac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szCs w:val="21"/>
          <w:highlight w:val="none"/>
        </w:rPr>
        <w:t>1.4</w:t>
      </w:r>
      <w:r>
        <w:rPr>
          <w:rFonts w:hint="eastAsia" w:asciiTheme="minorEastAsia" w:hAnsiTheme="minorEastAsia" w:cstheme="minorEastAsia"/>
          <w:b/>
          <w:color w:val="auto"/>
          <w:kern w:val="0"/>
          <w:szCs w:val="21"/>
          <w:highlight w:val="none"/>
        </w:rPr>
        <w:t xml:space="preserve"> 合同文件的组成</w:t>
      </w:r>
    </w:p>
    <w:p w14:paraId="62087A2D">
      <w:pPr>
        <w:autoSpaceDE w:val="0"/>
        <w:autoSpaceDN w:val="0"/>
        <w:adjustRightInd w:val="0"/>
        <w:spacing w:line="40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本合同文件的组成包括：</w:t>
      </w:r>
      <w:r>
        <w:rPr>
          <w:rFonts w:hint="eastAsia" w:asciiTheme="minorEastAsia" w:hAnsiTheme="minorEastAsia" w:cstheme="minorEastAsia"/>
          <w:color w:val="auto"/>
          <w:highlight w:val="none"/>
        </w:rPr>
        <w:t>（1）</w:t>
      </w:r>
      <w:r>
        <w:rPr>
          <w:rFonts w:hint="eastAsia" w:asciiTheme="minorEastAsia" w:hAnsiTheme="minorEastAsia" w:cstheme="minorEastAsia"/>
          <w:color w:val="auto"/>
          <w:highlight w:val="none"/>
          <w:u w:val="single"/>
        </w:rPr>
        <w:t>本合同协议书</w:t>
      </w:r>
      <w:r>
        <w:rPr>
          <w:rFonts w:hint="eastAsia" w:asciiTheme="minorEastAsia" w:hAnsiTheme="minorEastAsia" w:cstheme="minorEastAsia"/>
          <w:color w:val="auto"/>
          <w:kern w:val="0"/>
          <w:szCs w:val="21"/>
          <w:highlight w:val="none"/>
          <w:u w:val="single"/>
        </w:rPr>
        <w:t>及其附件；</w:t>
      </w:r>
      <w:r>
        <w:rPr>
          <w:rFonts w:hint="eastAsia" w:asciiTheme="minorEastAsia" w:hAnsiTheme="minorEastAsia" w:cstheme="minorEastAsia"/>
          <w:color w:val="auto"/>
          <w:highlight w:val="none"/>
          <w:u w:val="single"/>
        </w:rPr>
        <w:t>（2）确定成交通知书；（3）本合同专用条款；（4）补充协议；（5）</w:t>
      </w:r>
      <w:r>
        <w:rPr>
          <w:rFonts w:hint="eastAsia" w:asciiTheme="minorEastAsia" w:hAnsiTheme="minorEastAsia" w:cstheme="minorEastAsia"/>
          <w:color w:val="auto"/>
          <w:szCs w:val="21"/>
          <w:highlight w:val="none"/>
          <w:u w:val="single"/>
        </w:rPr>
        <w:t>合同履行过程中经双方确认的会议纪要；</w:t>
      </w:r>
      <w:r>
        <w:rPr>
          <w:rFonts w:hint="eastAsia" w:asciiTheme="minorEastAsia" w:hAnsiTheme="minorEastAsia" w:cstheme="minorEastAsia"/>
          <w:color w:val="auto"/>
          <w:highlight w:val="none"/>
          <w:u w:val="single"/>
        </w:rPr>
        <w:t>（6）采购文件及附件；（7）响应文件及附件；（8）本合同通用条款；（9）施工图纸；（10）</w:t>
      </w:r>
      <w:r>
        <w:rPr>
          <w:rFonts w:hint="eastAsia" w:asciiTheme="minorEastAsia" w:hAnsiTheme="minorEastAsia" w:cstheme="minorEastAsia"/>
          <w:color w:val="auto"/>
          <w:kern w:val="0"/>
          <w:szCs w:val="21"/>
          <w:highlight w:val="none"/>
          <w:u w:val="single"/>
        </w:rPr>
        <w:t>已标价工程量清单或预算书；</w:t>
      </w:r>
      <w:r>
        <w:rPr>
          <w:rFonts w:hint="eastAsia" w:asciiTheme="minorEastAsia" w:hAnsiTheme="minorEastAsia" w:cstheme="minorEastAsia"/>
          <w:color w:val="auto"/>
          <w:highlight w:val="none"/>
          <w:u w:val="single"/>
        </w:rPr>
        <w:t>（11）</w:t>
      </w:r>
      <w:r>
        <w:rPr>
          <w:rFonts w:hint="eastAsia" w:asciiTheme="minorEastAsia" w:hAnsiTheme="minorEastAsia" w:cstheme="minorEastAsia"/>
          <w:color w:val="auto"/>
          <w:szCs w:val="21"/>
          <w:highlight w:val="none"/>
          <w:u w:val="single"/>
        </w:rPr>
        <w:t>经发包方批准的施工组织设计；</w:t>
      </w:r>
      <w:r>
        <w:rPr>
          <w:rFonts w:hint="eastAsia" w:asciiTheme="minorEastAsia" w:hAnsiTheme="minorEastAsia" w:cstheme="minorEastAsia"/>
          <w:color w:val="auto"/>
          <w:highlight w:val="none"/>
          <w:u w:val="single"/>
        </w:rPr>
        <w:t>（12）相关技术标准及规范等;</w:t>
      </w:r>
    </w:p>
    <w:p w14:paraId="7A43FE57">
      <w:pPr>
        <w:pStyle w:val="24"/>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1.5 合同文件的优先顺序</w:t>
      </w:r>
    </w:p>
    <w:p w14:paraId="1D814253">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本合同文件的优先解释顺序执行通用条款。</w:t>
      </w:r>
      <w:bookmarkEnd w:id="86"/>
      <w:bookmarkEnd w:id="87"/>
      <w:bookmarkEnd w:id="88"/>
      <w:bookmarkEnd w:id="89"/>
      <w:bookmarkEnd w:id="90"/>
      <w:bookmarkEnd w:id="91"/>
      <w:bookmarkEnd w:id="92"/>
      <w:bookmarkEnd w:id="93"/>
      <w:bookmarkEnd w:id="94"/>
      <w:bookmarkEnd w:id="95"/>
    </w:p>
    <w:p w14:paraId="02DA213B">
      <w:pPr>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1.6 图纸交底和承包方文件</w:t>
      </w:r>
    </w:p>
    <w:p w14:paraId="053974F5">
      <w:pPr>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1.6.1 图纸的提供和交底</w:t>
      </w:r>
    </w:p>
    <w:p w14:paraId="0848880B">
      <w:pPr>
        <w:spacing w:line="400" w:lineRule="exact"/>
        <w:jc w:val="left"/>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rPr>
        <w:t>1.6.1.1 需要由发包人提供和交底的文件，包括：</w:t>
      </w:r>
      <w:r>
        <w:rPr>
          <w:rFonts w:hint="eastAsia" w:asciiTheme="minorEastAsia" w:hAnsiTheme="minorEastAsia" w:cstheme="minorEastAsia"/>
          <w:color w:val="auto"/>
          <w:szCs w:val="21"/>
          <w:highlight w:val="none"/>
          <w:u w:val="single"/>
        </w:rPr>
        <w:t xml:space="preserve">      /                              </w:t>
      </w:r>
    </w:p>
    <w:p w14:paraId="6197B878">
      <w:pPr>
        <w:spacing w:line="400" w:lineRule="exact"/>
        <w:jc w:val="left"/>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u w:val="single"/>
        </w:rPr>
        <w:t xml:space="preserve">                                                                               </w:t>
      </w:r>
    </w:p>
    <w:p w14:paraId="148CC42B">
      <w:pPr>
        <w:spacing w:line="400" w:lineRule="exact"/>
        <w:jc w:val="left"/>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rPr>
        <w:t>1.6.1.2 发包人提供的文件的期限与数量：</w:t>
      </w:r>
      <w:r>
        <w:rPr>
          <w:rFonts w:hint="eastAsia" w:asciiTheme="minorEastAsia" w:hAnsiTheme="minorEastAsia" w:cstheme="minorEastAsia"/>
          <w:color w:val="auto"/>
          <w:szCs w:val="21"/>
          <w:highlight w:val="none"/>
          <w:u w:val="single"/>
        </w:rPr>
        <w:t xml:space="preserve">           /                               </w:t>
      </w:r>
    </w:p>
    <w:p w14:paraId="774E59C5">
      <w:pPr>
        <w:spacing w:line="400" w:lineRule="exact"/>
        <w:jc w:val="left"/>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u w:val="single"/>
        </w:rPr>
        <w:t xml:space="preserve">                                                                               </w:t>
      </w:r>
    </w:p>
    <w:p w14:paraId="13D6C498">
      <w:pPr>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1.6.2 图纸的修改和补充</w:t>
      </w:r>
    </w:p>
    <w:p w14:paraId="3140AF98">
      <w:pPr>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承包方在收到发包人提供的图纸后，发现图纸存在差错、遗漏或缺陷的，应及时书面通知发包人和监理人。图纸需要修改和补充的，应经图纸原设计人及审批部门同意，并由监理人在工程或工程相应部位施工前将修改后的图纸或补充图纸提交给承包方，承包方应当按修改或补充后的图纸施工。</w:t>
      </w:r>
    </w:p>
    <w:p w14:paraId="199D32C9">
      <w:pPr>
        <w:spacing w:line="400" w:lineRule="exact"/>
        <w:jc w:val="lef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1.7 承包方文件</w:t>
      </w:r>
    </w:p>
    <w:p w14:paraId="3EB21752">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1.7.1需要由承包方提供的文件，包括：施工组织设计、工程进度计划、专项施工方案、加工图、大样图、协调配合图等其他与工程有关发包人认为需要向其提供的材料。</w:t>
      </w:r>
    </w:p>
    <w:p w14:paraId="51357782">
      <w:pPr>
        <w:spacing w:line="400" w:lineRule="exact"/>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rPr>
        <w:t>1.7.2 承包方提供的文件的期限与数量：</w:t>
      </w:r>
      <w:r>
        <w:rPr>
          <w:rFonts w:hint="eastAsia" w:asciiTheme="minorEastAsia" w:hAnsiTheme="minorEastAsia" w:cstheme="minorEastAsia"/>
          <w:color w:val="auto"/>
          <w:szCs w:val="21"/>
          <w:highlight w:val="none"/>
          <w:u w:val="single"/>
        </w:rPr>
        <w:t xml:space="preserve">      /                                        </w:t>
      </w:r>
    </w:p>
    <w:p w14:paraId="0B36A473">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1.7.3 现场图纸准备</w:t>
      </w:r>
    </w:p>
    <w:p w14:paraId="4A4F8AAC">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承包方应在施工现场保存至少一套完整的图纸和承包方文件。</w:t>
      </w:r>
    </w:p>
    <w:p w14:paraId="6887B97B">
      <w:pPr>
        <w:pStyle w:val="24"/>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1.8 交通运输</w:t>
      </w:r>
    </w:p>
    <w:p w14:paraId="39E38B16">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1.8.1 承包方出入现场的权利执行通用条款。</w:t>
      </w:r>
    </w:p>
    <w:p w14:paraId="695B97F1">
      <w:pPr>
        <w:spacing w:line="400" w:lineRule="exact"/>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rPr>
        <w:t>1.8.2 关于场外交通和场内交通边界的约定：</w:t>
      </w:r>
      <w:r>
        <w:rPr>
          <w:rFonts w:hint="eastAsia" w:asciiTheme="minorEastAsia" w:hAnsiTheme="minorEastAsia" w:cstheme="minorEastAsia"/>
          <w:color w:val="auto"/>
          <w:szCs w:val="21"/>
          <w:highlight w:val="none"/>
          <w:u w:val="single"/>
        </w:rPr>
        <w:t xml:space="preserve">  按本工程用地红线范围界定</w:t>
      </w:r>
      <w:r>
        <w:rPr>
          <w:rFonts w:hint="eastAsia" w:asciiTheme="minorEastAsia" w:hAnsiTheme="minorEastAsia" w:cstheme="minorEastAsia"/>
          <w:color w:val="auto"/>
          <w:szCs w:val="21"/>
          <w:highlight w:val="none"/>
        </w:rPr>
        <w:t xml:space="preserve">。             </w:t>
      </w:r>
    </w:p>
    <w:p w14:paraId="79E0E74B">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1.8.3关于发包人向承包方免费提供满足工程施工需要的场内道路和交通设施的约定：</w:t>
      </w:r>
      <w:r>
        <w:rPr>
          <w:rFonts w:hint="eastAsia" w:asciiTheme="minorEastAsia" w:hAnsiTheme="minorEastAsia" w:cstheme="minorEastAsia"/>
          <w:color w:val="auto"/>
          <w:szCs w:val="21"/>
          <w:highlight w:val="none"/>
          <w:u w:val="single"/>
        </w:rPr>
        <w:t>发包人仅提供通往指定区域通道。场地内临时及出入通道的修建与养护由承包方负责，工程完工前承包方应对因施工造成的原有道路、排水等设施的损坏进行修缮，恢复原有使用功能，并包括到养护、道路部门办理所有相关手续，所有费用包含在合同价中</w:t>
      </w:r>
      <w:r>
        <w:rPr>
          <w:rFonts w:hint="eastAsia" w:asciiTheme="minorEastAsia" w:hAnsiTheme="minorEastAsia" w:cstheme="minorEastAsia"/>
          <w:color w:val="auto"/>
          <w:szCs w:val="21"/>
          <w:highlight w:val="none"/>
        </w:rPr>
        <w:t xml:space="preserve">。                 </w:t>
      </w:r>
    </w:p>
    <w:p w14:paraId="441613EB">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1.8.4 超大件和超重件的运输</w:t>
      </w:r>
    </w:p>
    <w:p w14:paraId="1E06F8F6">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运输超大件或超重件所需的道路和桥梁临时加固改造费用和其他有关费用由</w:t>
      </w:r>
      <w:r>
        <w:rPr>
          <w:rFonts w:hint="eastAsia" w:asciiTheme="minorEastAsia" w:hAnsiTheme="minorEastAsia" w:cstheme="minorEastAsia"/>
          <w:color w:val="auto"/>
          <w:szCs w:val="21"/>
          <w:highlight w:val="none"/>
          <w:u w:val="single"/>
        </w:rPr>
        <w:t xml:space="preserve"> B </w:t>
      </w:r>
      <w:r>
        <w:rPr>
          <w:rFonts w:hint="eastAsia" w:asciiTheme="minorEastAsia" w:hAnsiTheme="minorEastAsia" w:cstheme="minorEastAsia"/>
          <w:color w:val="auto"/>
          <w:szCs w:val="21"/>
          <w:highlight w:val="none"/>
        </w:rPr>
        <w:t xml:space="preserve">（A、发包人/B、承包方）承担。 </w:t>
      </w:r>
    </w:p>
    <w:p w14:paraId="0C89C000">
      <w:pPr>
        <w:pStyle w:val="24"/>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1.9 知识产权</w:t>
      </w:r>
    </w:p>
    <w:p w14:paraId="1B97702E">
      <w:pPr>
        <w:pStyle w:val="24"/>
        <w:tabs>
          <w:tab w:val="left" w:pos="7587"/>
        </w:tabs>
        <w:spacing w:line="400" w:lineRule="exact"/>
        <w:rPr>
          <w:rFonts w:asciiTheme="minorEastAsia" w:hAnsiTheme="minorEastAsia" w:cstheme="minorEastAsia"/>
          <w:b w:val="0"/>
          <w:color w:val="auto"/>
          <w:sz w:val="21"/>
          <w:szCs w:val="21"/>
          <w:highlight w:val="none"/>
        </w:rPr>
      </w:pPr>
      <w:r>
        <w:rPr>
          <w:rFonts w:hint="eastAsia" w:asciiTheme="minorEastAsia" w:hAnsiTheme="minorEastAsia" w:cstheme="minorEastAsia"/>
          <w:b w:val="0"/>
          <w:color w:val="auto"/>
          <w:sz w:val="21"/>
          <w:szCs w:val="21"/>
          <w:highlight w:val="none"/>
        </w:rPr>
        <w:t>1.9.1关于本合同的知识产权、使用及使用费用约定：执行通用条款。</w:t>
      </w:r>
    </w:p>
    <w:p w14:paraId="1BB766AF">
      <w:pPr>
        <w:pStyle w:val="24"/>
        <w:tabs>
          <w:tab w:val="left" w:pos="7587"/>
        </w:tabs>
        <w:spacing w:line="400" w:lineRule="exact"/>
        <w:rPr>
          <w:rFonts w:asciiTheme="minorEastAsia" w:hAnsiTheme="minorEastAsia" w:cstheme="minorEastAsia"/>
          <w:b w:val="0"/>
          <w:color w:val="auto"/>
          <w:sz w:val="21"/>
          <w:szCs w:val="21"/>
          <w:highlight w:val="none"/>
        </w:rPr>
      </w:pPr>
      <w:r>
        <w:rPr>
          <w:rFonts w:hint="eastAsia" w:asciiTheme="minorEastAsia" w:hAnsiTheme="minorEastAsia" w:cstheme="minorEastAsia"/>
          <w:b w:val="0"/>
          <w:color w:val="auto"/>
          <w:sz w:val="21"/>
          <w:szCs w:val="21"/>
          <w:highlight w:val="none"/>
        </w:rPr>
        <w:t>1.</w:t>
      </w:r>
      <w:r>
        <w:rPr>
          <w:rFonts w:asciiTheme="minorEastAsia" w:hAnsiTheme="minorEastAsia" w:cstheme="minorEastAsia"/>
          <w:b w:val="0"/>
          <w:color w:val="auto"/>
          <w:sz w:val="21"/>
          <w:szCs w:val="21"/>
          <w:highlight w:val="none"/>
        </w:rPr>
        <w:t>9</w:t>
      </w:r>
      <w:r>
        <w:rPr>
          <w:rFonts w:hint="eastAsia" w:asciiTheme="minorEastAsia" w:hAnsiTheme="minorEastAsia" w:cstheme="minorEastAsia"/>
          <w:b w:val="0"/>
          <w:color w:val="auto"/>
          <w:sz w:val="21"/>
          <w:szCs w:val="21"/>
          <w:highlight w:val="none"/>
        </w:rPr>
        <w:t>.</w:t>
      </w:r>
      <w:r>
        <w:rPr>
          <w:rFonts w:asciiTheme="minorEastAsia" w:hAnsiTheme="minorEastAsia" w:cstheme="minorEastAsia"/>
          <w:b w:val="0"/>
          <w:color w:val="auto"/>
          <w:sz w:val="21"/>
          <w:szCs w:val="21"/>
          <w:highlight w:val="none"/>
        </w:rPr>
        <w:t>2</w:t>
      </w:r>
      <w:r>
        <w:rPr>
          <w:rFonts w:hint="eastAsia" w:asciiTheme="minorEastAsia" w:hAnsiTheme="minorEastAsia" w:cstheme="minorEastAsia"/>
          <w:b w:val="0"/>
          <w:color w:val="auto"/>
          <w:sz w:val="21"/>
          <w:szCs w:val="21"/>
          <w:highlight w:val="none"/>
        </w:rPr>
        <w:t xml:space="preserve"> 承包人在施工过程中所采用的专利、专有技术、技术秘密的使用费的承担方式：</w:t>
      </w:r>
      <w:r>
        <w:rPr>
          <w:rFonts w:hint="eastAsia" w:asciiTheme="minorEastAsia" w:hAnsiTheme="minorEastAsia" w:cstheme="minorEastAsia"/>
          <w:b w:val="0"/>
          <w:color w:val="auto"/>
          <w:sz w:val="21"/>
          <w:szCs w:val="21"/>
          <w:highlight w:val="none"/>
          <w:u w:val="single"/>
        </w:rPr>
        <w:t xml:space="preserve">均已在合同综合单价中考虑，并均已包含在合同总价中 </w:t>
      </w:r>
      <w:r>
        <w:rPr>
          <w:rFonts w:hint="eastAsia" w:asciiTheme="minorEastAsia" w:hAnsiTheme="minorEastAsia" w:cstheme="minorEastAsia"/>
          <w:b w:val="0"/>
          <w:color w:val="auto"/>
          <w:sz w:val="21"/>
          <w:szCs w:val="21"/>
          <w:highlight w:val="none"/>
        </w:rPr>
        <w:t>。</w:t>
      </w:r>
    </w:p>
    <w:p w14:paraId="65EB1679">
      <w:pPr>
        <w:pStyle w:val="24"/>
        <w:tabs>
          <w:tab w:val="left" w:pos="7587"/>
        </w:tabs>
        <w:spacing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1.10 工程量清单错误的修正</w:t>
      </w:r>
    </w:p>
    <w:p w14:paraId="06CA0411">
      <w:pPr>
        <w:pStyle w:val="30"/>
        <w:spacing w:line="400" w:lineRule="exact"/>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甲、乙双方约定允许对下列工程量清单的错误进行调整：</w:t>
      </w:r>
    </w:p>
    <w:p w14:paraId="0F0AA711">
      <w:pPr>
        <w:pStyle w:val="30"/>
        <w:spacing w:line="400" w:lineRule="exact"/>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（1）工程量清单存在缺项、漏项；</w:t>
      </w:r>
    </w:p>
    <w:p w14:paraId="26B7F512">
      <w:pPr>
        <w:pStyle w:val="30"/>
        <w:spacing w:line="400" w:lineRule="exact"/>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（2）任一招标工程量清单项目的工程量有偏差；</w:t>
      </w:r>
    </w:p>
    <w:p w14:paraId="7A41685C">
      <w:pPr>
        <w:pStyle w:val="30"/>
        <w:spacing w:line="400" w:lineRule="exact"/>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（3）未按照国家现行计量规范强制性规定计量。</w:t>
      </w:r>
    </w:p>
    <w:p w14:paraId="3A4D93CC">
      <w:pPr>
        <w:pStyle w:val="30"/>
        <w:spacing w:line="400" w:lineRule="exact"/>
        <w:rPr>
          <w:rFonts w:asciiTheme="minorEastAsia" w:hAnsiTheme="minorEastAsia" w:eastAsiaTheme="minorEastAsia" w:cstheme="minorEastAsia"/>
          <w:color w:val="auto"/>
          <w:sz w:val="24"/>
          <w:szCs w:val="21"/>
          <w:highlight w:val="none"/>
        </w:rPr>
      </w:pPr>
    </w:p>
    <w:p w14:paraId="4D2BD50C">
      <w:pPr>
        <w:pStyle w:val="30"/>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第二条 发包人</w:t>
      </w:r>
    </w:p>
    <w:p w14:paraId="25990254">
      <w:pPr>
        <w:pStyle w:val="24"/>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2.1 发包人代表</w:t>
      </w:r>
    </w:p>
    <w:p w14:paraId="79FB299A">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发包人对发包人代表的授权范围如下：代表发包人履行发包人对工程建设管理的权利和义务，签发（或会签）各项工程联系单，对承包方、监理人有监督、协调的权利。工程价款洽商、索赔事项的处理、合同的变更等事项，由发包人代表在监理人的配合下完成，但最终需经发包人同意。</w:t>
      </w:r>
    </w:p>
    <w:p w14:paraId="3377F806">
      <w:pPr>
        <w:pStyle w:val="24"/>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2.2 资金来源支付担保</w:t>
      </w:r>
    </w:p>
    <w:p w14:paraId="1C72DA6B">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按《宁波市房屋建筑和市政基础设施工程担保管理办法（试行）》规定，发包人</w:t>
      </w:r>
      <w:r>
        <w:rPr>
          <w:rFonts w:hint="eastAsia" w:asciiTheme="minorEastAsia" w:hAnsiTheme="minorEastAsia" w:cstheme="minorEastAsia"/>
          <w:color w:val="auto"/>
          <w:kern w:val="0"/>
          <w:szCs w:val="21"/>
          <w:highlight w:val="none"/>
          <w:u w:val="single"/>
        </w:rPr>
        <w:t xml:space="preserve"> B </w:t>
      </w:r>
      <w:r>
        <w:rPr>
          <w:rFonts w:hint="eastAsia" w:asciiTheme="minorEastAsia" w:hAnsiTheme="minorEastAsia" w:cstheme="minorEastAsia"/>
          <w:color w:val="auto"/>
          <w:szCs w:val="21"/>
          <w:highlight w:val="none"/>
        </w:rPr>
        <w:t>（A、应当；/B、不需）向承包方提供合同款的支付担保。</w:t>
      </w:r>
    </w:p>
    <w:p w14:paraId="7D320559">
      <w:pPr>
        <w:spacing w:before="120"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2.</w:t>
      </w:r>
      <w:r>
        <w:rPr>
          <w:rFonts w:asciiTheme="minorEastAsia" w:hAnsiTheme="minorEastAsia" w:cstheme="minorEastAsia"/>
          <w:b/>
          <w:color w:val="auto"/>
          <w:szCs w:val="21"/>
          <w:highlight w:val="none"/>
        </w:rPr>
        <w:t>3</w:t>
      </w:r>
      <w:r>
        <w:rPr>
          <w:rFonts w:hint="eastAsia" w:asciiTheme="minorEastAsia" w:hAnsiTheme="minorEastAsia" w:cstheme="minorEastAsia"/>
          <w:b/>
          <w:color w:val="auto"/>
          <w:szCs w:val="21"/>
          <w:highlight w:val="none"/>
        </w:rPr>
        <w:t xml:space="preserve"> 施工现场的提供</w:t>
      </w:r>
    </w:p>
    <w:p w14:paraId="0304164E">
      <w:pPr>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关于发包人移交施工现场的期限要求：发包人在合同签订时已向承包人移交施工现场，合同签订完视同承包人已对现有场地有充分了解，承包人就无条件接受发包人提供的场地现状，其他需满足施工要求的现场条件均由承包人自行解决。</w:t>
      </w:r>
    </w:p>
    <w:p w14:paraId="4ED86243">
      <w:pPr>
        <w:pStyle w:val="30"/>
        <w:spacing w:line="400" w:lineRule="exact"/>
        <w:rPr>
          <w:rFonts w:asciiTheme="minorEastAsia" w:hAnsiTheme="minorEastAsia" w:eastAsiaTheme="minorEastAsia" w:cstheme="minorEastAsia"/>
          <w:color w:val="auto"/>
          <w:sz w:val="24"/>
          <w:szCs w:val="21"/>
          <w:highlight w:val="none"/>
        </w:rPr>
      </w:pPr>
    </w:p>
    <w:p w14:paraId="5E3E7976">
      <w:pPr>
        <w:pStyle w:val="30"/>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第三条 承包方</w:t>
      </w:r>
    </w:p>
    <w:p w14:paraId="1DC67B89">
      <w:pPr>
        <w:pStyle w:val="24"/>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3.1 承包方的一般义务</w:t>
      </w:r>
    </w:p>
    <w:p w14:paraId="627DFE2D">
      <w:pPr>
        <w:autoSpaceDE w:val="0"/>
        <w:autoSpaceDN w:val="0"/>
        <w:adjustRightInd w:val="0"/>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（1）办理法律规定应由承包方办理的许可和批准，并将办理结果书面报送发包人留存；</w:t>
      </w:r>
    </w:p>
    <w:p w14:paraId="168CE229">
      <w:pPr>
        <w:autoSpaceDE w:val="0"/>
        <w:autoSpaceDN w:val="0"/>
        <w:adjustRightInd w:val="0"/>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（2）按法律规定和合同约定完成工程，并在保修期内承担保修义务；</w:t>
      </w:r>
    </w:p>
    <w:p w14:paraId="35CD0242">
      <w:pPr>
        <w:autoSpaceDE w:val="0"/>
        <w:autoSpaceDN w:val="0"/>
        <w:adjustRightInd w:val="0"/>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（3）按法律规定和合同约定采取施工安全和环境保护措施，办理工伤保险，确保工程及人员、材料、设备和设施的安全；</w:t>
      </w:r>
    </w:p>
    <w:p w14:paraId="14DC5CC5">
      <w:pPr>
        <w:autoSpaceDE w:val="0"/>
        <w:autoSpaceDN w:val="0"/>
        <w:adjustRightInd w:val="0"/>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按合同约定的工作内容和施工进度要求，编制施工组织设计和施工措施计划，开工前7天提交施工组织设计，并根据中标工期同时提交详细的施工进度计划，并对所有施工作业和施工方法的完备性和安全可靠性负责；</w:t>
      </w:r>
    </w:p>
    <w:p w14:paraId="64DFAD48">
      <w:pPr>
        <w:autoSpaceDE w:val="0"/>
        <w:autoSpaceDN w:val="0"/>
        <w:adjustRightInd w:val="0"/>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在进行合同约定的各项工作时，不得侵害发包人与他人使用公用道路、水源、市政管网等公共设施的权利，避免对邻近的公共设施产生干扰。承包方占用或使用他人的施工场地，影响他人作业或生活的，应承担相应责任；</w:t>
      </w:r>
    </w:p>
    <w:p w14:paraId="74079A70">
      <w:pPr>
        <w:autoSpaceDE w:val="0"/>
        <w:autoSpaceDN w:val="0"/>
        <w:adjustRightInd w:val="0"/>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（6）按照本合同项下关于环境保护的约定负责施工场地及其周边环境与生态的保护工作；</w:t>
      </w:r>
    </w:p>
    <w:p w14:paraId="62BCC17B">
      <w:pPr>
        <w:autoSpaceDE w:val="0"/>
        <w:autoSpaceDN w:val="0"/>
        <w:adjustRightInd w:val="0"/>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（7）按本合同项下关于安全文明施工的约定采取施工安全措施，确保工程及其人员、材料、设备和设施的安全，若发生因工程施工造成的人身伤害和财产损失，承包方应承担赔偿责任；</w:t>
      </w:r>
    </w:p>
    <w:p w14:paraId="7E578331">
      <w:pPr>
        <w:autoSpaceDE w:val="0"/>
        <w:autoSpaceDN w:val="0"/>
        <w:adjustRightInd w:val="0"/>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（8）将发包人按合同约定支付的各项价款专用于合同工程，且应及时支付其雇用人员工资；</w:t>
      </w:r>
    </w:p>
    <w:p w14:paraId="7E50E423">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（9）</w:t>
      </w:r>
      <w:r>
        <w:rPr>
          <w:rFonts w:hint="eastAsia" w:asciiTheme="minorEastAsia" w:hAnsiTheme="minorEastAsia" w:cstheme="minorEastAsia"/>
          <w:color w:val="auto"/>
          <w:szCs w:val="21"/>
          <w:highlight w:val="none"/>
        </w:rPr>
        <w:t>工程完工后，具备初步验收条件10天内，提供完整的竣工资料2套，竣工图纸2套，初步竣工结算报告及相关的结算资料2套，以及上述资料的电子文档或影印资料1份。工程综合验收后，承包方根据初步验收情况，须向发包人递交初步竣工结算资料的补充材料及完整的结算资料二套。由此产生的费用由承包方承担；</w:t>
      </w:r>
    </w:p>
    <w:p w14:paraId="004CFDF1">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（10）施工用水、电按中标合同价格的1‰计取，费用承包方承担，粉刷项目和1</w:t>
      </w:r>
      <w:r>
        <w:rPr>
          <w:rFonts w:asciiTheme="minorEastAsia" w:hAnsiTheme="minorEastAsia" w:cstheme="minorEastAsia"/>
          <w:color w:val="auto"/>
          <w:szCs w:val="21"/>
          <w:highlight w:val="none"/>
        </w:rPr>
        <w:t>0</w:t>
      </w:r>
      <w:r>
        <w:rPr>
          <w:rFonts w:hint="eastAsia" w:asciiTheme="minorEastAsia" w:hAnsiTheme="minorEastAsia" w:cstheme="minorEastAsia"/>
          <w:color w:val="auto"/>
          <w:szCs w:val="21"/>
          <w:highlight w:val="none"/>
        </w:rPr>
        <w:t>万以下的小额工程除外；电讯设施由承包方自行解决，承包方负责保管发包人移交的水电线路及设备，费用由承包方承担；承包方负责将水电线路接至施工时所需的地点，相关费用由承包方承担。</w:t>
      </w:r>
    </w:p>
    <w:p w14:paraId="24B6B755">
      <w:pPr>
        <w:spacing w:line="440" w:lineRule="exact"/>
        <w:rPr>
          <w:rFonts w:asciiTheme="minorEastAsia" w:hAnsiTheme="minorEastAsia" w:cstheme="minorEastAsia"/>
          <w:color w:val="auto"/>
          <w:highlight w:val="none"/>
        </w:rPr>
      </w:pPr>
      <w:r>
        <w:rPr>
          <w:rFonts w:hint="eastAsia" w:asciiTheme="minorEastAsia" w:hAnsiTheme="minorEastAsia" w:cstheme="minorEastAsia"/>
          <w:color w:val="auto"/>
          <w:szCs w:val="21"/>
          <w:highlight w:val="none"/>
        </w:rPr>
        <w:t>（11）</w:t>
      </w:r>
      <w:r>
        <w:rPr>
          <w:rFonts w:hint="eastAsia" w:asciiTheme="minorEastAsia" w:hAnsiTheme="minorEastAsia" w:cstheme="minorEastAsia"/>
          <w:color w:val="auto"/>
          <w:highlight w:val="none"/>
        </w:rPr>
        <w:t>承包方采购材料设备的约定：</w:t>
      </w:r>
    </w:p>
    <w:p w14:paraId="10A3F4E0">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材料设备采购应根据磋商文件、设计文件和国家有关规定的具体要求进行采购，所有材料应选用具有一定生产规模和市场信誉好的制造商的产品，产品需经发包人和发包人委托的监理单位确认后方可采购，否则，因此引起的一切后果都由承包方自行承担；所有材料均应有合格证和质保书、国家规定的认证证书、报告、符合国家规定的技术标准和本工程质量要求，发包人和委托的监理单位均有权委托具有相应资质的检测机构进行检测，但该检测仅为初步质量检验，并不免除承包方的产品质量保证责任；当承包方选定的材料质量达不到预期质量目标要求时，发包人有权要求承包方立即进行更换返工，更换返工的费用由承包方承担；若使用不合格材料或不符合本工程质量要求的材料施工，一经发现，发包人或监理有权制止使用并要求承包方无偿负责更换，甚至停工、返工或解除合同，并要求承包方赔偿损失。无论发包人和发包人委托的监理单位是否发现和制止，由于使用不合格材料或不符合工程质量目标要求的材料施工后所引起的一切责任均由承包方自负。</w:t>
      </w:r>
    </w:p>
    <w:p w14:paraId="7CF5F1B0">
      <w:pPr>
        <w:pStyle w:val="24"/>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3.2 项目经理</w:t>
      </w:r>
    </w:p>
    <w:p w14:paraId="0245F59C">
      <w:pPr>
        <w:pStyle w:val="9"/>
        <w:spacing w:line="400" w:lineRule="exact"/>
        <w:ind w:firstLine="0" w:firstLineChars="0"/>
        <w:rPr>
          <w:rFonts w:asciiTheme="minorEastAsia" w:hAnsiTheme="minorEastAsia" w:cstheme="minorEastAsia"/>
          <w:color w:val="auto"/>
          <w:highlight w:val="none"/>
        </w:rPr>
      </w:pPr>
      <w:r>
        <w:rPr>
          <w:rFonts w:hint="eastAsia" w:asciiTheme="minorEastAsia" w:hAnsiTheme="minorEastAsia" w:cstheme="minorEastAsia"/>
          <w:color w:val="auto"/>
          <w:highlight w:val="none"/>
        </w:rPr>
        <w:t>3.2.1承包方委派的项目经理及其执业行为应遵守通用条款约定，违反约定的，发包人将要求承包方承担相应的违约责任。</w:t>
      </w:r>
    </w:p>
    <w:p w14:paraId="50EC2123">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3.2.2承包方项目经理必须与承包方投标时所承诺的人员一致，并在根据本合同约定的开工日期前到任。项目经理不得违反本市建设行政主管部门对项目经理的管理规定。未经发包人书面许可，承包方不得更换项目经理。承包方项目经理以及项目管理机构关键岗位人员的姓名、职称、身份证号、执业资格证书号、注册证书号、执业印章号、安全生产考核合格证书号等资料应当在合同中作为附件载明。</w:t>
      </w:r>
    </w:p>
    <w:p w14:paraId="0DC00FCA">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3.2.3</w:t>
      </w:r>
      <w:r>
        <w:rPr>
          <w:rFonts w:hint="eastAsia" w:asciiTheme="minorEastAsia" w:hAnsiTheme="minorEastAsia" w:cstheme="minorEastAsia"/>
          <w:color w:val="auto"/>
          <w:kern w:val="0"/>
          <w:szCs w:val="21"/>
          <w:highlight w:val="none"/>
        </w:rPr>
        <w:t>承包方对项目经理的授权如下：在承包方授权范围内履行承包方的职权，对工程建设的质量、安全、工期以及工程造价控制负责，所有上报给发包人的文件均需项目经理签字。</w:t>
      </w:r>
    </w:p>
    <w:p w14:paraId="1C2A7B39">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3.2.4 </w:t>
      </w:r>
      <w:r>
        <w:rPr>
          <w:rFonts w:hint="eastAsia" w:asciiTheme="minorEastAsia" w:hAnsiTheme="minorEastAsia" w:cstheme="minorEastAsia"/>
          <w:color w:val="auto"/>
          <w:kern w:val="0"/>
          <w:szCs w:val="21"/>
          <w:highlight w:val="none"/>
        </w:rPr>
        <w:t>承包方未提交项目经理及其施工人员的劳动合同与社会保险缴纳证明的违约责任：考虑到工程施工类安全保障的重要性，承包方应当向发包人提交项目经理及其施工人员的劳动合同与社会保险缴纳证明。否则造成的一切损失均由承包方承担。</w:t>
      </w:r>
    </w:p>
    <w:p w14:paraId="24C5EE15">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3.2.5 </w:t>
      </w:r>
      <w:r>
        <w:rPr>
          <w:rFonts w:hint="eastAsia" w:asciiTheme="minorEastAsia" w:hAnsiTheme="minorEastAsia" w:cstheme="minorEastAsia"/>
          <w:color w:val="auto"/>
          <w:kern w:val="0"/>
          <w:szCs w:val="21"/>
          <w:highlight w:val="none"/>
        </w:rPr>
        <w:t>关于项目经理每月在施工现场的时间要求：每月在施工现场时间不得少于</w:t>
      </w:r>
      <w:r>
        <w:rPr>
          <w:rFonts w:hint="eastAsia" w:asciiTheme="minorEastAsia" w:hAnsiTheme="minorEastAsia" w:cstheme="minorEastAsia"/>
          <w:color w:val="auto"/>
          <w:kern w:val="0"/>
          <w:szCs w:val="21"/>
          <w:highlight w:val="none"/>
          <w:u w:val="single"/>
        </w:rPr>
        <w:t xml:space="preserve"> B </w:t>
      </w:r>
      <w:r>
        <w:rPr>
          <w:rFonts w:hint="eastAsia" w:asciiTheme="minorEastAsia" w:hAnsiTheme="minorEastAsia" w:cstheme="minorEastAsia"/>
          <w:color w:val="auto"/>
          <w:kern w:val="0"/>
          <w:szCs w:val="21"/>
          <w:highlight w:val="none"/>
        </w:rPr>
        <w:t>（A、15；/B、25）天，每天工作时间不得少于</w:t>
      </w:r>
      <w:r>
        <w:rPr>
          <w:rFonts w:hint="eastAsia" w:asciiTheme="minorEastAsia" w:hAnsiTheme="minorEastAsia" w:cstheme="minorEastAsia"/>
          <w:color w:val="auto"/>
          <w:kern w:val="0"/>
          <w:szCs w:val="21"/>
          <w:highlight w:val="none"/>
          <w:u w:val="single"/>
        </w:rPr>
        <w:t xml:space="preserve"> B </w:t>
      </w:r>
      <w:r>
        <w:rPr>
          <w:rFonts w:hint="eastAsia" w:asciiTheme="minorEastAsia" w:hAnsiTheme="minorEastAsia" w:cstheme="minorEastAsia"/>
          <w:color w:val="auto"/>
          <w:kern w:val="0"/>
          <w:szCs w:val="21"/>
          <w:highlight w:val="none"/>
        </w:rPr>
        <w:t>（A、5；/B、8）小时，且重要工程例会及验收环节等必须由项目经理参加。</w:t>
      </w:r>
    </w:p>
    <w:p w14:paraId="584B7431">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3.2.6 </w:t>
      </w:r>
      <w:r>
        <w:rPr>
          <w:rFonts w:hint="eastAsia" w:asciiTheme="minorEastAsia" w:hAnsiTheme="minorEastAsia" w:cstheme="minorEastAsia"/>
          <w:color w:val="auto"/>
          <w:kern w:val="0"/>
          <w:szCs w:val="21"/>
          <w:highlight w:val="none"/>
        </w:rPr>
        <w:t>项目经理未经批准，擅自离开施工现场的违约责任：处违约金</w:t>
      </w:r>
      <w:r>
        <w:rPr>
          <w:rFonts w:hint="eastAsia" w:asciiTheme="minorEastAsia" w:hAnsiTheme="minorEastAsia" w:cstheme="minorEastAsia"/>
          <w:color w:val="auto"/>
          <w:kern w:val="0"/>
          <w:szCs w:val="21"/>
          <w:highlight w:val="none"/>
          <w:u w:val="single"/>
        </w:rPr>
        <w:t xml:space="preserve"> C </w:t>
      </w:r>
      <w:r>
        <w:rPr>
          <w:rFonts w:hint="eastAsia" w:asciiTheme="minorEastAsia" w:hAnsiTheme="minorEastAsia" w:cstheme="minorEastAsia"/>
          <w:color w:val="auto"/>
          <w:kern w:val="0"/>
          <w:szCs w:val="21"/>
          <w:highlight w:val="none"/>
        </w:rPr>
        <w:t>（A、500；/ B、1000； /C、2000）元/次，违约金从合同款中扣除，</w:t>
      </w:r>
      <w:r>
        <w:rPr>
          <w:rFonts w:hint="eastAsia" w:asciiTheme="minorEastAsia" w:hAnsiTheme="minorEastAsia" w:cstheme="minorEastAsia"/>
          <w:color w:val="auto"/>
          <w:highlight w:val="none"/>
        </w:rPr>
        <w:t>违约金限额为工程质量保证金金额的30%</w:t>
      </w:r>
      <w:r>
        <w:rPr>
          <w:rFonts w:hint="eastAsia" w:asciiTheme="minorEastAsia" w:hAnsiTheme="minorEastAsia" w:cstheme="minorEastAsia"/>
          <w:color w:val="auto"/>
          <w:kern w:val="0"/>
          <w:szCs w:val="21"/>
          <w:highlight w:val="none"/>
        </w:rPr>
        <w:t>，该项限额不足时，</w:t>
      </w:r>
      <w:r>
        <w:rPr>
          <w:rFonts w:hint="eastAsia" w:ascii="宋体" w:hAnsi="宋体" w:cs="宋体"/>
          <w:color w:val="auto"/>
          <w:szCs w:val="21"/>
          <w:highlight w:val="none"/>
        </w:rPr>
        <w:t>发包人有权向承包人合同金额中追偿</w:t>
      </w:r>
      <w:r>
        <w:rPr>
          <w:rFonts w:hint="eastAsia" w:asciiTheme="minorEastAsia" w:hAnsiTheme="minorEastAsia" w:cstheme="minorEastAsia"/>
          <w:color w:val="auto"/>
          <w:kern w:val="0"/>
          <w:szCs w:val="21"/>
          <w:highlight w:val="none"/>
        </w:rPr>
        <w:t>。发包人对项目经理擅自离开施工现场的违约处理，应根据监理人对项目经理的考勤结果进行。</w:t>
      </w:r>
    </w:p>
    <w:p w14:paraId="61B57076">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3.2.7 </w:t>
      </w:r>
      <w:r>
        <w:rPr>
          <w:rFonts w:hint="eastAsia" w:asciiTheme="minorEastAsia" w:hAnsiTheme="minorEastAsia" w:cstheme="minorEastAsia"/>
          <w:color w:val="auto"/>
          <w:kern w:val="0"/>
          <w:szCs w:val="21"/>
          <w:highlight w:val="none"/>
        </w:rPr>
        <w:t>承包方擅自更换项目经理的违约责任：处违约金</w:t>
      </w:r>
      <w:r>
        <w:rPr>
          <w:rFonts w:hint="eastAsia" w:asciiTheme="minorEastAsia" w:hAnsiTheme="minorEastAsia" w:cstheme="minorEastAsia"/>
          <w:color w:val="auto"/>
          <w:kern w:val="0"/>
          <w:szCs w:val="21"/>
          <w:highlight w:val="none"/>
          <w:u w:val="single"/>
        </w:rPr>
        <w:t xml:space="preserve"> A </w:t>
      </w:r>
      <w:r>
        <w:rPr>
          <w:rFonts w:hint="eastAsia" w:asciiTheme="minorEastAsia" w:hAnsiTheme="minorEastAsia" w:cstheme="minorEastAsia"/>
          <w:color w:val="auto"/>
          <w:kern w:val="0"/>
          <w:szCs w:val="21"/>
          <w:highlight w:val="none"/>
        </w:rPr>
        <w:t>(A、20000；/B、50000)元/次，违约金从合同款中扣除，</w:t>
      </w:r>
      <w:r>
        <w:rPr>
          <w:rFonts w:hint="eastAsia" w:asciiTheme="minorEastAsia" w:hAnsiTheme="minorEastAsia" w:cstheme="minorEastAsia"/>
          <w:color w:val="auto"/>
          <w:highlight w:val="none"/>
        </w:rPr>
        <w:t>违约金限额为工程质量保证金金额的30%</w:t>
      </w:r>
      <w:r>
        <w:rPr>
          <w:rFonts w:hint="eastAsia" w:asciiTheme="minorEastAsia" w:hAnsiTheme="minorEastAsia" w:cstheme="minorEastAsia"/>
          <w:color w:val="auto"/>
          <w:kern w:val="0"/>
          <w:szCs w:val="21"/>
          <w:highlight w:val="none"/>
        </w:rPr>
        <w:t>，该项限额不足时，</w:t>
      </w:r>
      <w:r>
        <w:rPr>
          <w:rFonts w:hint="eastAsia" w:ascii="宋体" w:hAnsi="宋体" w:cs="宋体"/>
          <w:color w:val="auto"/>
          <w:szCs w:val="21"/>
          <w:highlight w:val="none"/>
          <w:u w:val="single"/>
        </w:rPr>
        <w:t>发包人有权向承包方合同金额中追偿</w:t>
      </w:r>
      <w:r>
        <w:rPr>
          <w:rFonts w:hint="eastAsia" w:asciiTheme="minorEastAsia" w:hAnsiTheme="minorEastAsia" w:cstheme="minorEastAsia"/>
          <w:color w:val="auto"/>
          <w:kern w:val="0"/>
          <w:szCs w:val="21"/>
          <w:highlight w:val="none"/>
        </w:rPr>
        <w:t>，且有权拒绝接受其擅自更换的项目经理。</w:t>
      </w:r>
    </w:p>
    <w:p w14:paraId="08A857F4">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3.2.8 </w:t>
      </w:r>
      <w:r>
        <w:rPr>
          <w:rFonts w:hint="eastAsia" w:asciiTheme="minorEastAsia" w:hAnsiTheme="minorEastAsia" w:cstheme="minorEastAsia"/>
          <w:color w:val="auto"/>
          <w:kern w:val="0"/>
          <w:szCs w:val="21"/>
          <w:highlight w:val="none"/>
        </w:rPr>
        <w:t>承包方无正当理由拒绝更换项目经理的违约责任：发包人认为项目经理无法履行职责，应提供相关证明材料，并签发《整改通知书》，承包方在收到《整改通知书》3日内后仍无改善的，发包人有权要求承包方更换项目经理。承包方无正当理由拒绝更换的，发包人可以一次性扣除承包方</w:t>
      </w:r>
      <w:r>
        <w:rPr>
          <w:rFonts w:hint="eastAsia" w:asciiTheme="minorEastAsia" w:hAnsiTheme="minorEastAsia" w:cstheme="minorEastAsia"/>
          <w:color w:val="auto"/>
          <w:highlight w:val="none"/>
        </w:rPr>
        <w:t>工程质量保证金金额的30%</w:t>
      </w:r>
      <w:r>
        <w:rPr>
          <w:rFonts w:hint="eastAsia" w:asciiTheme="minorEastAsia" w:hAnsiTheme="minorEastAsia" w:cstheme="minorEastAsia"/>
          <w:color w:val="auto"/>
          <w:kern w:val="0"/>
          <w:szCs w:val="21"/>
          <w:highlight w:val="none"/>
        </w:rPr>
        <w:t>，款项在合同款中扣除，由此造成的一切损失由承包方承担。</w:t>
      </w:r>
    </w:p>
    <w:p w14:paraId="3D42F37F">
      <w:pPr>
        <w:pStyle w:val="24"/>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3.3 承包方人员</w:t>
      </w:r>
    </w:p>
    <w:p w14:paraId="4C843065">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3.3.1 </w:t>
      </w:r>
      <w:r>
        <w:rPr>
          <w:rFonts w:hint="eastAsia" w:asciiTheme="minorEastAsia" w:hAnsiTheme="minorEastAsia" w:cstheme="minorEastAsia"/>
          <w:color w:val="auto"/>
          <w:kern w:val="0"/>
          <w:szCs w:val="21"/>
          <w:highlight w:val="none"/>
        </w:rPr>
        <w:t>承包方应接到开工通知后7天内提交与</w:t>
      </w:r>
      <w:r>
        <w:rPr>
          <w:rFonts w:hint="eastAsia" w:asciiTheme="minorEastAsia" w:hAnsiTheme="minorEastAsia" w:cstheme="minorEastAsia"/>
          <w:color w:val="auto"/>
          <w:szCs w:val="21"/>
          <w:highlight w:val="none"/>
        </w:rPr>
        <w:t>投标时所承诺的人员一致的</w:t>
      </w:r>
      <w:r>
        <w:rPr>
          <w:rFonts w:hint="eastAsia" w:asciiTheme="minorEastAsia" w:hAnsiTheme="minorEastAsia" w:cstheme="minorEastAsia"/>
          <w:color w:val="auto"/>
          <w:kern w:val="0"/>
          <w:szCs w:val="21"/>
          <w:highlight w:val="none"/>
        </w:rPr>
        <w:t>项目管理机构及施工现场管理人员安排报告。</w:t>
      </w:r>
    </w:p>
    <w:p w14:paraId="064163B1">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3.3.2 </w:t>
      </w:r>
      <w:r>
        <w:rPr>
          <w:rFonts w:hint="eastAsia" w:asciiTheme="minorEastAsia" w:hAnsiTheme="minorEastAsia" w:cstheme="minorEastAsia"/>
          <w:color w:val="auto"/>
          <w:kern w:val="0"/>
          <w:szCs w:val="21"/>
          <w:highlight w:val="none"/>
        </w:rPr>
        <w:t>承包方无正当理由拒绝撤换主要施工管理人员的违约责任：发包人认为主要施工管理人员（指技术负责人、安全员、施工员、质量员）无法履行职责的，应提供相关证明材料，并签发《整改通知书》。承包方在收到《整改通知书》后仍无改善的，发包人有权要求承包方更换管理人员。承包方无正当理由拒绝更换的，发包人可以一次性扣除工程质量保证金</w:t>
      </w:r>
      <w:r>
        <w:rPr>
          <w:rFonts w:hint="eastAsia" w:asciiTheme="minorEastAsia" w:hAnsiTheme="minorEastAsia" w:cstheme="minorEastAsia"/>
          <w:color w:val="auto"/>
          <w:highlight w:val="none"/>
        </w:rPr>
        <w:t>金额的30%</w:t>
      </w:r>
      <w:r>
        <w:rPr>
          <w:rFonts w:hint="eastAsia" w:asciiTheme="minorEastAsia" w:hAnsiTheme="minorEastAsia" w:cstheme="minorEastAsia"/>
          <w:color w:val="auto"/>
          <w:kern w:val="0"/>
          <w:szCs w:val="21"/>
          <w:highlight w:val="none"/>
        </w:rPr>
        <w:t>。</w:t>
      </w:r>
    </w:p>
    <w:p w14:paraId="159A3E57">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3.3.3 </w:t>
      </w:r>
      <w:r>
        <w:rPr>
          <w:rFonts w:hint="eastAsia" w:asciiTheme="minorEastAsia" w:hAnsiTheme="minorEastAsia" w:cstheme="minorEastAsia"/>
          <w:color w:val="auto"/>
          <w:kern w:val="0"/>
          <w:szCs w:val="21"/>
          <w:highlight w:val="none"/>
        </w:rPr>
        <w:t>承包方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59565C8E">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3.3.4</w:t>
      </w:r>
      <w:r>
        <w:rPr>
          <w:rFonts w:hint="eastAsia" w:asciiTheme="minorEastAsia" w:hAnsiTheme="minorEastAsia" w:cstheme="minorEastAsia"/>
          <w:color w:val="auto"/>
          <w:kern w:val="0"/>
          <w:szCs w:val="21"/>
          <w:highlight w:val="none"/>
        </w:rPr>
        <w:t xml:space="preserve"> 承包方擅自更换主要施工管理人员的违约责任：处违约金5000元/人/次，违约金从合同款中扣除，</w:t>
      </w:r>
      <w:r>
        <w:rPr>
          <w:rFonts w:hint="eastAsia" w:asciiTheme="minorEastAsia" w:hAnsiTheme="minorEastAsia" w:cstheme="minorEastAsia"/>
          <w:color w:val="auto"/>
          <w:highlight w:val="none"/>
        </w:rPr>
        <w:t>违约金限额为工程质量保证金金额的30%</w:t>
      </w:r>
      <w:r>
        <w:rPr>
          <w:rFonts w:hint="eastAsia" w:asciiTheme="minorEastAsia" w:hAnsiTheme="minorEastAsia" w:cstheme="minorEastAsia"/>
          <w:color w:val="auto"/>
          <w:kern w:val="0"/>
          <w:szCs w:val="21"/>
          <w:highlight w:val="none"/>
        </w:rPr>
        <w:t>，该项限额不足时，</w:t>
      </w:r>
      <w:r>
        <w:rPr>
          <w:rFonts w:hint="eastAsia" w:ascii="宋体" w:hAnsi="宋体" w:cs="宋体"/>
          <w:color w:val="auto"/>
          <w:szCs w:val="21"/>
          <w:highlight w:val="none"/>
        </w:rPr>
        <w:t>发包人有权向承包方合同金额中追偿</w:t>
      </w:r>
      <w:r>
        <w:rPr>
          <w:rFonts w:hint="eastAsia" w:asciiTheme="minorEastAsia" w:hAnsiTheme="minorEastAsia" w:cstheme="minorEastAsia"/>
          <w:color w:val="auto"/>
          <w:kern w:val="0"/>
          <w:szCs w:val="21"/>
          <w:highlight w:val="none"/>
        </w:rPr>
        <w:t>，且有权拒绝接受其擅自更换的主要施工管理人员。</w:t>
      </w:r>
    </w:p>
    <w:p w14:paraId="6129A254">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3.3.5 </w:t>
      </w:r>
      <w:r>
        <w:rPr>
          <w:rFonts w:hint="eastAsia" w:asciiTheme="minorEastAsia" w:hAnsiTheme="minorEastAsia" w:cstheme="minorEastAsia"/>
          <w:color w:val="auto"/>
          <w:kern w:val="0"/>
          <w:szCs w:val="21"/>
          <w:highlight w:val="none"/>
        </w:rPr>
        <w:t>承包方主要施工管理人员擅自离开施工现场的违约责任：处违约金2000元/人/次，违约金从工程质量保证金中扣除，</w:t>
      </w:r>
      <w:r>
        <w:rPr>
          <w:rFonts w:hint="eastAsia" w:asciiTheme="minorEastAsia" w:hAnsiTheme="minorEastAsia" w:cstheme="minorEastAsia"/>
          <w:color w:val="auto"/>
          <w:highlight w:val="none"/>
        </w:rPr>
        <w:t>违约金限额为工程质量保证金金额的30%</w:t>
      </w:r>
      <w:r>
        <w:rPr>
          <w:rFonts w:hint="eastAsia" w:asciiTheme="minorEastAsia" w:hAnsiTheme="minorEastAsia" w:cstheme="minorEastAsia"/>
          <w:color w:val="auto"/>
          <w:kern w:val="0"/>
          <w:szCs w:val="21"/>
          <w:highlight w:val="none"/>
        </w:rPr>
        <w:t>，该项限额不足时，</w:t>
      </w:r>
      <w:r>
        <w:rPr>
          <w:rFonts w:hint="eastAsia" w:ascii="宋体" w:hAnsi="宋体" w:cs="宋体"/>
          <w:color w:val="auto"/>
          <w:szCs w:val="21"/>
          <w:highlight w:val="none"/>
        </w:rPr>
        <w:t>发包人有权向承包方合同金额中追偿</w:t>
      </w:r>
      <w:r>
        <w:rPr>
          <w:rFonts w:hint="eastAsia" w:asciiTheme="minorEastAsia" w:hAnsiTheme="minorEastAsia" w:cstheme="minorEastAsia"/>
          <w:color w:val="auto"/>
          <w:kern w:val="0"/>
          <w:szCs w:val="21"/>
          <w:highlight w:val="none"/>
        </w:rPr>
        <w:t>。</w:t>
      </w:r>
    </w:p>
    <w:p w14:paraId="15455C31">
      <w:pPr>
        <w:pStyle w:val="24"/>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3.4</w:t>
      </w:r>
      <w:r>
        <w:rPr>
          <w:rFonts w:hint="eastAsia" w:asciiTheme="minorEastAsia" w:hAnsiTheme="minorEastAsia" w:cstheme="minorEastAsia"/>
          <w:b w:val="0"/>
          <w:color w:val="auto"/>
          <w:sz w:val="21"/>
          <w:szCs w:val="21"/>
          <w:highlight w:val="none"/>
        </w:rPr>
        <w:t xml:space="preserve"> </w:t>
      </w:r>
      <w:r>
        <w:rPr>
          <w:rFonts w:hint="eastAsia" w:asciiTheme="minorEastAsia" w:hAnsiTheme="minorEastAsia" w:cstheme="minorEastAsia"/>
          <w:color w:val="auto"/>
          <w:sz w:val="21"/>
          <w:szCs w:val="21"/>
          <w:highlight w:val="none"/>
        </w:rPr>
        <w:t>工程照管与成品、半成品保护</w:t>
      </w:r>
    </w:p>
    <w:p w14:paraId="20EE77F4">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工程照管与成品、半成品保护的相关约定执行通用条款</w:t>
      </w:r>
    </w:p>
    <w:p w14:paraId="777C8F4C">
      <w:pPr>
        <w:pStyle w:val="30"/>
        <w:spacing w:line="400" w:lineRule="exact"/>
        <w:rPr>
          <w:rFonts w:asciiTheme="minorEastAsia" w:hAnsiTheme="minorEastAsia" w:eastAsiaTheme="minorEastAsia" w:cstheme="minorEastAsia"/>
          <w:color w:val="auto"/>
          <w:sz w:val="24"/>
          <w:szCs w:val="21"/>
          <w:highlight w:val="none"/>
        </w:rPr>
      </w:pPr>
    </w:p>
    <w:p w14:paraId="009257A4">
      <w:pPr>
        <w:pStyle w:val="30"/>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第四条 监理人</w:t>
      </w:r>
    </w:p>
    <w:p w14:paraId="0938D9F7">
      <w:pPr>
        <w:pStyle w:val="24"/>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4.1 监理人的一般规定</w:t>
      </w:r>
    </w:p>
    <w:p w14:paraId="650E92B9">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4.1.1 </w:t>
      </w:r>
      <w:r>
        <w:rPr>
          <w:rFonts w:hint="eastAsia" w:asciiTheme="minorEastAsia" w:hAnsiTheme="minorEastAsia" w:cstheme="minorEastAsia"/>
          <w:color w:val="auto"/>
          <w:kern w:val="0"/>
          <w:szCs w:val="21"/>
          <w:highlight w:val="none"/>
        </w:rPr>
        <w:t>关于监理人的监理内容：工程建设监理合同授予监理人的权利。</w:t>
      </w:r>
    </w:p>
    <w:p w14:paraId="7B1FBF2C">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4.1.2 </w:t>
      </w:r>
      <w:r>
        <w:rPr>
          <w:rFonts w:hint="eastAsia" w:asciiTheme="minorEastAsia" w:hAnsiTheme="minorEastAsia" w:cstheme="minorEastAsia"/>
          <w:color w:val="auto"/>
          <w:kern w:val="0"/>
          <w:szCs w:val="21"/>
          <w:highlight w:val="none"/>
        </w:rPr>
        <w:t xml:space="preserve">关于监理人的监理权限：涉及费用、工期、图纸更改等工程变更指令和付款、暂停工程施工指令的下达权需取得发包人书面批准方可执行。 </w:t>
      </w:r>
    </w:p>
    <w:p w14:paraId="0BF5FC2A">
      <w:pPr>
        <w:autoSpaceDE w:val="0"/>
        <w:autoSpaceDN w:val="0"/>
        <w:adjustRightInd w:val="0"/>
        <w:spacing w:line="40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4.1.3 </w:t>
      </w:r>
      <w:r>
        <w:rPr>
          <w:rFonts w:hint="eastAsia" w:asciiTheme="minorEastAsia" w:hAnsiTheme="minorEastAsia" w:cstheme="minorEastAsia"/>
          <w:color w:val="auto"/>
          <w:kern w:val="0"/>
          <w:szCs w:val="21"/>
          <w:highlight w:val="none"/>
        </w:rPr>
        <w:t>关于监理人在施工现场的办公场所、生活场所的提供的约定：监理人在施工现场的办公场所、生活场所由发包人提供。</w:t>
      </w:r>
    </w:p>
    <w:p w14:paraId="76D7906D">
      <w:pPr>
        <w:pStyle w:val="24"/>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4.2 商定或确定</w:t>
      </w:r>
    </w:p>
    <w:p w14:paraId="46CC9624">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当合同当事人对需要商定或确定的事项不能达成一致时，总监理工程师应按照合同约定作出公正确定，应在合同当事人会商之日起</w:t>
      </w:r>
      <w:r>
        <w:rPr>
          <w:rFonts w:hint="eastAsia" w:asciiTheme="minorEastAsia" w:hAnsiTheme="minorEastAsia" w:cstheme="minorEastAsia"/>
          <w:color w:val="auto"/>
          <w:kern w:val="0"/>
          <w:szCs w:val="21"/>
          <w:highlight w:val="none"/>
          <w:u w:val="single"/>
        </w:rPr>
        <w:t xml:space="preserve"> A </w:t>
      </w:r>
      <w:r>
        <w:rPr>
          <w:rFonts w:hint="eastAsia" w:asciiTheme="minorEastAsia" w:hAnsiTheme="minorEastAsia" w:cstheme="minorEastAsia"/>
          <w:color w:val="auto"/>
          <w:kern w:val="0"/>
          <w:szCs w:val="21"/>
          <w:highlight w:val="none"/>
        </w:rPr>
        <w:t>（A、7；/ B、14；/ C、21 ）天内提供书面确定意见。</w:t>
      </w:r>
    </w:p>
    <w:p w14:paraId="31A8B653">
      <w:pPr>
        <w:pStyle w:val="24"/>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4.3 隐蔽工程检查</w:t>
      </w:r>
    </w:p>
    <w:p w14:paraId="3067606D">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4.3.1承包方提前通知监理人隐蔽工程检查的期限的约定：承包方应在共同检查前</w:t>
      </w:r>
      <w:r>
        <w:rPr>
          <w:rFonts w:hint="eastAsia" w:asciiTheme="minorEastAsia" w:hAnsiTheme="minorEastAsia" w:cstheme="minorEastAsia"/>
          <w:color w:val="auto"/>
          <w:kern w:val="0"/>
          <w:szCs w:val="21"/>
          <w:highlight w:val="none"/>
          <w:u w:val="single"/>
        </w:rPr>
        <w:t xml:space="preserve"> A </w:t>
      </w:r>
      <w:r>
        <w:rPr>
          <w:rFonts w:hint="eastAsia" w:asciiTheme="minorEastAsia" w:hAnsiTheme="minorEastAsia" w:cstheme="minorEastAsia"/>
          <w:color w:val="auto"/>
          <w:kern w:val="0"/>
          <w:szCs w:val="21"/>
          <w:highlight w:val="none"/>
        </w:rPr>
        <w:t>（A、24；/ B、48；/ C、72 ）小时书面通知监理人检查 。</w:t>
      </w:r>
    </w:p>
    <w:p w14:paraId="08EAFA03">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4.3.2监理人不能按时进行检查时，应提前</w:t>
      </w:r>
      <w:r>
        <w:rPr>
          <w:rFonts w:hint="eastAsia" w:asciiTheme="minorEastAsia" w:hAnsiTheme="minorEastAsia" w:cstheme="minorEastAsia"/>
          <w:color w:val="auto"/>
          <w:kern w:val="0"/>
          <w:szCs w:val="21"/>
          <w:highlight w:val="none"/>
          <w:u w:val="single"/>
        </w:rPr>
        <w:t xml:space="preserve"> B </w:t>
      </w:r>
      <w:r>
        <w:rPr>
          <w:rFonts w:hint="eastAsia" w:asciiTheme="minorEastAsia" w:hAnsiTheme="minorEastAsia" w:cstheme="minorEastAsia"/>
          <w:color w:val="auto"/>
          <w:kern w:val="0"/>
          <w:szCs w:val="21"/>
          <w:highlight w:val="none"/>
        </w:rPr>
        <w:t>（A、12；/ B、24；/ C、36 ）小时提交书面延期要求。延期最长不得超过：</w:t>
      </w:r>
      <w:r>
        <w:rPr>
          <w:rFonts w:hint="eastAsia" w:asciiTheme="minorEastAsia" w:hAnsiTheme="minorEastAsia" w:cstheme="minorEastAsia"/>
          <w:color w:val="auto"/>
          <w:kern w:val="0"/>
          <w:szCs w:val="21"/>
          <w:highlight w:val="none"/>
          <w:u w:val="single"/>
        </w:rPr>
        <w:t xml:space="preserve"> B </w:t>
      </w:r>
      <w:r>
        <w:rPr>
          <w:rFonts w:hint="eastAsia" w:asciiTheme="minorEastAsia" w:hAnsiTheme="minorEastAsia" w:cstheme="minorEastAsia"/>
          <w:color w:val="auto"/>
          <w:kern w:val="0"/>
          <w:szCs w:val="21"/>
          <w:highlight w:val="none"/>
        </w:rPr>
        <w:t>（A、24；/ B、48；/ C、72 ）小时。</w:t>
      </w:r>
    </w:p>
    <w:p w14:paraId="3985F259">
      <w:pPr>
        <w:pStyle w:val="30"/>
        <w:spacing w:line="400" w:lineRule="exact"/>
        <w:rPr>
          <w:rFonts w:asciiTheme="minorEastAsia" w:hAnsiTheme="minorEastAsia" w:eastAsiaTheme="minorEastAsia" w:cstheme="minorEastAsia"/>
          <w:color w:val="auto"/>
          <w:sz w:val="24"/>
          <w:szCs w:val="21"/>
          <w:highlight w:val="none"/>
        </w:rPr>
      </w:pPr>
    </w:p>
    <w:p w14:paraId="62AF0F14">
      <w:pPr>
        <w:pStyle w:val="30"/>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第五条 安全文明施工与环境保护</w:t>
      </w:r>
    </w:p>
    <w:p w14:paraId="70E26ECB">
      <w:pPr>
        <w:pStyle w:val="24"/>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kern w:val="0"/>
          <w:sz w:val="21"/>
          <w:szCs w:val="21"/>
          <w:highlight w:val="none"/>
        </w:rPr>
        <w:t>5.1</w:t>
      </w:r>
      <w:r>
        <w:rPr>
          <w:rFonts w:hint="eastAsia" w:asciiTheme="minorEastAsia" w:hAnsiTheme="minorEastAsia" w:cstheme="minorEastAsia"/>
          <w:color w:val="auto"/>
          <w:sz w:val="21"/>
          <w:szCs w:val="21"/>
          <w:highlight w:val="none"/>
        </w:rPr>
        <w:t>安全文明施工</w:t>
      </w:r>
    </w:p>
    <w:p w14:paraId="39C15D9A">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5.1.1 项目安全生产的达标目标及相应事项的约定：</w:t>
      </w:r>
      <w:r>
        <w:rPr>
          <w:rFonts w:hint="eastAsia" w:asciiTheme="minorEastAsia" w:hAnsiTheme="minorEastAsia" w:cstheme="minorEastAsia"/>
          <w:color w:val="auto"/>
          <w:kern w:val="0"/>
          <w:szCs w:val="21"/>
          <w:highlight w:val="none"/>
          <w:u w:val="single"/>
        </w:rPr>
        <w:t xml:space="preserve"> 合格 </w:t>
      </w:r>
      <w:r>
        <w:rPr>
          <w:rFonts w:hint="eastAsia" w:asciiTheme="minorEastAsia" w:hAnsiTheme="minorEastAsia" w:cstheme="minorEastAsia"/>
          <w:color w:val="auto"/>
          <w:kern w:val="0"/>
          <w:szCs w:val="21"/>
          <w:highlight w:val="none"/>
        </w:rPr>
        <w:t>。</w:t>
      </w:r>
    </w:p>
    <w:p w14:paraId="4A30C086">
      <w:pPr>
        <w:adjustRightInd w:val="0"/>
        <w:snapToGri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5.1.2 关于治安保卫的特别约定：执行通用条款。</w:t>
      </w:r>
    </w:p>
    <w:p w14:paraId="4B56BDE1">
      <w:pPr>
        <w:adjustRightInd w:val="0"/>
        <w:snapToGri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5.1.3文明施工应按《宁波市建设工程文明施工管理规定》、“宁波市城市管理局关于印发市政公用（轨道交通）工程扬尘综合整治专项行动实施方案的通知（市政安质监【2013】16号）”文件要求执行。</w:t>
      </w:r>
    </w:p>
    <w:p w14:paraId="59BF3B7A">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5.1.4 关于安全文明施工费支付比例和支付期限的约定： </w:t>
      </w:r>
      <w:r>
        <w:rPr>
          <w:rFonts w:hint="eastAsia" w:asciiTheme="minorEastAsia" w:hAnsiTheme="minorEastAsia" w:cstheme="minorEastAsia"/>
          <w:color w:val="auto"/>
          <w:kern w:val="0"/>
          <w:szCs w:val="21"/>
          <w:highlight w:val="none"/>
          <w:u w:val="single"/>
        </w:rPr>
        <w:t xml:space="preserve">  /  </w:t>
      </w:r>
      <w:r>
        <w:rPr>
          <w:rFonts w:hint="eastAsia" w:asciiTheme="minorEastAsia" w:hAnsiTheme="minorEastAsia" w:cstheme="minorEastAsia"/>
          <w:color w:val="auto"/>
          <w:kern w:val="0"/>
          <w:szCs w:val="21"/>
          <w:highlight w:val="none"/>
        </w:rPr>
        <w:t>。</w:t>
      </w:r>
    </w:p>
    <w:p w14:paraId="18598FE3">
      <w:pPr>
        <w:pStyle w:val="30"/>
        <w:spacing w:line="400" w:lineRule="exact"/>
        <w:rPr>
          <w:rFonts w:asciiTheme="minorEastAsia" w:hAnsiTheme="minorEastAsia" w:eastAsiaTheme="minorEastAsia" w:cstheme="minorEastAsia"/>
          <w:color w:val="auto"/>
          <w:sz w:val="24"/>
          <w:szCs w:val="21"/>
          <w:highlight w:val="none"/>
        </w:rPr>
      </w:pPr>
    </w:p>
    <w:p w14:paraId="3EF1C5C4">
      <w:pPr>
        <w:pStyle w:val="30"/>
        <w:spacing w:line="400" w:lineRule="exact"/>
        <w:rPr>
          <w:rFonts w:asciiTheme="minorEastAsia" w:hAnsiTheme="minorEastAsia" w:eastAsiaTheme="minorEastAsia" w:cstheme="minorEastAsia"/>
          <w:color w:val="auto"/>
          <w:sz w:val="24"/>
          <w:szCs w:val="21"/>
          <w:highlight w:val="none"/>
        </w:rPr>
      </w:pPr>
      <w:r>
        <w:rPr>
          <w:rFonts w:asciiTheme="minorEastAsia" w:hAnsiTheme="minorEastAsia" w:eastAsiaTheme="minorEastAsia" w:cstheme="minorEastAsia"/>
          <w:color w:val="auto"/>
          <w:sz w:val="24"/>
          <w:szCs w:val="21"/>
          <w:highlight w:val="none"/>
        </w:rPr>
        <mc:AlternateContent>
          <mc:Choice Requires="wps">
            <w:drawing>
              <wp:anchor distT="0" distB="0" distL="114300" distR="114300" simplePos="0" relativeHeight="251659264" behindDoc="0" locked="0" layoutInCell="1" allowOverlap="1">
                <wp:simplePos x="0" y="0"/>
                <wp:positionH relativeFrom="column">
                  <wp:posOffset>4400550</wp:posOffset>
                </wp:positionH>
                <wp:positionV relativeFrom="paragraph">
                  <wp:posOffset>165100</wp:posOffset>
                </wp:positionV>
                <wp:extent cx="635" cy="0"/>
                <wp:effectExtent l="0" t="4445" r="0" b="5080"/>
                <wp:wrapNone/>
                <wp:docPr id="3"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346.5pt;margin-top:13pt;height:0pt;width:0.05pt;z-index:251659264;mso-width-relative:page;mso-height-relative:page;" filled="f" stroked="t" coordsize="21600,21600" o:gfxdata="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ctq0tUAAAAJAQAADwAA&#10;AAAAAAABACAAAAAiAAAAZHJzL2Rvd25yZXYueG1sUEsBAhQAFAAAAAgAh07iQCnEV9HgAQAA2QMA&#10;AA4AAAAAAAAAAQAgAAAAJAEAAGRycy9lMm9Eb2MueG1sUEsFBgAAAAAGAAYAWQEAAHY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auto"/>
          <w:sz w:val="24"/>
          <w:szCs w:val="21"/>
          <w:highlight w:val="none"/>
        </w:rPr>
        <w:t>第六条工期进度</w:t>
      </w:r>
    </w:p>
    <w:p w14:paraId="5C3CC2EC">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6.2 施工组织设计</w:t>
      </w:r>
    </w:p>
    <w:p w14:paraId="220EC5F5">
      <w:pPr>
        <w:widowControl/>
        <w:spacing w:line="400" w:lineRule="exact"/>
        <w:jc w:val="left"/>
        <w:rPr>
          <w:rFonts w:asciiTheme="minorEastAsia" w:hAnsiTheme="minorEastAsia" w:cstheme="minorEastAsia"/>
          <w:color w:val="auto"/>
          <w:highlight w:val="none"/>
        </w:rPr>
      </w:pPr>
      <w:r>
        <w:rPr>
          <w:rFonts w:hint="eastAsia" w:asciiTheme="minorEastAsia" w:hAnsiTheme="minorEastAsia" w:cstheme="minorEastAsia"/>
          <w:color w:val="auto"/>
          <w:kern w:val="0"/>
          <w:szCs w:val="21"/>
          <w:highlight w:val="none"/>
        </w:rPr>
        <w:t xml:space="preserve">6.2.1 </w:t>
      </w:r>
      <w:r>
        <w:rPr>
          <w:rFonts w:hint="eastAsia" w:asciiTheme="minorEastAsia" w:hAnsiTheme="minorEastAsia" w:cstheme="minorEastAsia"/>
          <w:color w:val="auto"/>
          <w:highlight w:val="none"/>
        </w:rPr>
        <w:t>自本合同签订后</w:t>
      </w:r>
      <w:r>
        <w:rPr>
          <w:rFonts w:hint="eastAsia" w:asciiTheme="minorEastAsia" w:hAnsiTheme="minorEastAsia" w:cstheme="minorEastAsia"/>
          <w:color w:val="auto"/>
          <w:highlight w:val="none"/>
          <w:u w:val="single"/>
        </w:rPr>
        <w:t xml:space="preserve">    7   </w:t>
      </w:r>
      <w:r>
        <w:rPr>
          <w:rFonts w:hint="eastAsia" w:asciiTheme="minorEastAsia" w:hAnsiTheme="minorEastAsia" w:cstheme="minorEastAsia"/>
          <w:color w:val="auto"/>
          <w:highlight w:val="none"/>
        </w:rPr>
        <w:t>日内承包方应向发包人和监理人分别提交</w:t>
      </w:r>
      <w:r>
        <w:rPr>
          <w:rFonts w:hint="eastAsia" w:asciiTheme="minorEastAsia" w:hAnsiTheme="minorEastAsia" w:cstheme="minorEastAsia"/>
          <w:color w:val="auto"/>
          <w:highlight w:val="none"/>
          <w:u w:val="single"/>
        </w:rPr>
        <w:t xml:space="preserve">   1    </w:t>
      </w:r>
      <w:r>
        <w:rPr>
          <w:rFonts w:hint="eastAsia" w:asciiTheme="minorEastAsia" w:hAnsiTheme="minorEastAsia" w:cstheme="minorEastAsia"/>
          <w:color w:val="auto"/>
          <w:highlight w:val="none"/>
        </w:rPr>
        <w:t>套施工组织设计，施工组织设计的内容选择包含以下内容：□各分部分项施工方案与技术措施；□工程进度管理体系与措施；□工程质量管理体系与措施；□施工现场平面布置图；□施工进度计划和保证措施；□劳动力及材料供应计划；□施工机械设备的选用；□安全生产、文明施工措施；□环境保护、成本控制措施；□约定的其他内容：</w:t>
      </w:r>
      <w:r>
        <w:rPr>
          <w:rFonts w:hint="eastAsia" w:asciiTheme="minorEastAsia" w:hAnsiTheme="minorEastAsia" w:cstheme="minorEastAsia"/>
          <w:color w:val="auto"/>
          <w:highlight w:val="none"/>
          <w:u w:val="single"/>
        </w:rPr>
        <w:t xml:space="preserve">        /             </w:t>
      </w:r>
      <w:r>
        <w:rPr>
          <w:rFonts w:hint="eastAsia" w:asciiTheme="minorEastAsia" w:hAnsiTheme="minorEastAsia" w:cstheme="minorEastAsia"/>
          <w:color w:val="auto"/>
          <w:highlight w:val="none"/>
        </w:rPr>
        <w:t>。</w:t>
      </w:r>
    </w:p>
    <w:p w14:paraId="2BCD02E6">
      <w:pPr>
        <w:autoSpaceDE w:val="0"/>
        <w:autoSpaceDN w:val="0"/>
        <w:adjustRightInd w:val="0"/>
        <w:spacing w:line="400" w:lineRule="exact"/>
        <w:jc w:val="left"/>
        <w:rPr>
          <w:rFonts w:asciiTheme="minorEastAsia" w:hAnsiTheme="minorEastAsia" w:cstheme="minorEastAsia"/>
          <w:color w:val="auto"/>
          <w:highlight w:val="none"/>
        </w:rPr>
      </w:pPr>
      <w:r>
        <w:rPr>
          <w:rFonts w:hint="eastAsia" w:asciiTheme="minorEastAsia" w:hAnsiTheme="minorEastAsia" w:cstheme="minorEastAsia"/>
          <w:color w:val="auto"/>
          <w:kern w:val="0"/>
          <w:szCs w:val="21"/>
          <w:highlight w:val="none"/>
        </w:rPr>
        <w:t xml:space="preserve">6.2.2 </w:t>
      </w:r>
      <w:r>
        <w:rPr>
          <w:rFonts w:hint="eastAsia" w:asciiTheme="minorEastAsia" w:hAnsiTheme="minorEastAsia" w:cstheme="minorEastAsia"/>
          <w:color w:val="auto"/>
          <w:highlight w:val="none"/>
        </w:rPr>
        <w:t>发包人和监理人应在收到施工组织设计后合理期限内确认或提出修改意见。对发包人和监理人提出的意见和要求，承包方应自费修改完善。根据工程实际情况需要修改施工组织设计的，承包方应向发包人和监理人提交修改后的施工组织设计。</w:t>
      </w:r>
    </w:p>
    <w:p w14:paraId="72F5028D">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6.3 施工进度计划</w:t>
      </w:r>
    </w:p>
    <w:p w14:paraId="3C6FC2A0">
      <w:pPr>
        <w:autoSpaceDE w:val="0"/>
        <w:autoSpaceDN w:val="0"/>
        <w:adjustRightInd w:val="0"/>
        <w:spacing w:line="400" w:lineRule="exact"/>
        <w:jc w:val="left"/>
        <w:rPr>
          <w:rFonts w:asciiTheme="minorEastAsia" w:hAnsiTheme="minorEastAsia" w:cstheme="minorEastAsia"/>
          <w:color w:val="auto"/>
          <w:highlight w:val="none"/>
        </w:rPr>
      </w:pPr>
      <w:r>
        <w:rPr>
          <w:rFonts w:hint="eastAsia" w:asciiTheme="minorEastAsia" w:hAnsiTheme="minorEastAsia" w:cstheme="minorEastAsia"/>
          <w:color w:val="auto"/>
          <w:kern w:val="0"/>
          <w:szCs w:val="21"/>
          <w:highlight w:val="none"/>
        </w:rPr>
        <w:t xml:space="preserve">6.3.1 </w:t>
      </w:r>
      <w:r>
        <w:rPr>
          <w:rFonts w:hint="eastAsia" w:asciiTheme="minorEastAsia" w:hAnsiTheme="minorEastAsia" w:cstheme="minorEastAsia"/>
          <w:color w:val="auto"/>
          <w:highlight w:val="none"/>
        </w:rPr>
        <w:t>承包方应按照本合同关于施工组织设计的约定向发包人和监理人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68A4114">
      <w:pPr>
        <w:autoSpaceDE w:val="0"/>
        <w:autoSpaceDN w:val="0"/>
        <w:adjustRightInd w:val="0"/>
        <w:spacing w:line="400" w:lineRule="exact"/>
        <w:jc w:val="left"/>
        <w:rPr>
          <w:rFonts w:asciiTheme="minorEastAsia" w:hAnsiTheme="minorEastAsia" w:cstheme="minorEastAsia"/>
          <w:color w:val="auto"/>
          <w:highlight w:val="none"/>
        </w:rPr>
      </w:pPr>
      <w:r>
        <w:rPr>
          <w:rFonts w:hint="eastAsia" w:asciiTheme="minorEastAsia" w:hAnsiTheme="minorEastAsia" w:cstheme="minorEastAsia"/>
          <w:color w:val="auto"/>
          <w:kern w:val="0"/>
          <w:szCs w:val="21"/>
          <w:highlight w:val="none"/>
        </w:rPr>
        <w:t xml:space="preserve">6.3.2 </w:t>
      </w:r>
      <w:r>
        <w:rPr>
          <w:rFonts w:hint="eastAsia" w:asciiTheme="minorEastAsia" w:hAnsiTheme="minorEastAsia" w:cstheme="minorEastAsia"/>
          <w:color w:val="auto"/>
          <w:highlight w:val="none"/>
        </w:rPr>
        <w:t>施工进度计划不符合合同要求或与工程的实际进度不一致的，承包方应向发包人和监理人提交修订的施工进度计划，并附具有关措施和相关资料，发包人和监理人应在收到修订的施工进度计划后合理期限内确认或提出修改意见。发包人和监理人对承包方提交的施工进度计划的确认，不能减轻或免除承包方根据法律规定和合同约定应承担的责任或义务。</w:t>
      </w:r>
    </w:p>
    <w:p w14:paraId="20EF64A6">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6.4 开工</w:t>
      </w:r>
    </w:p>
    <w:p w14:paraId="1AF4F99E">
      <w:pPr>
        <w:autoSpaceDE w:val="0"/>
        <w:autoSpaceDN w:val="0"/>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kern w:val="0"/>
          <w:szCs w:val="21"/>
          <w:highlight w:val="none"/>
        </w:rPr>
        <w:t>6.4.1</w:t>
      </w:r>
      <w:r>
        <w:rPr>
          <w:rFonts w:hint="eastAsia" w:asciiTheme="minorEastAsia" w:hAnsiTheme="minorEastAsia" w:cstheme="minorEastAsia"/>
          <w:b/>
          <w:color w:val="auto"/>
          <w:kern w:val="0"/>
          <w:szCs w:val="21"/>
          <w:highlight w:val="none"/>
        </w:rPr>
        <w:t xml:space="preserve"> </w:t>
      </w:r>
      <w:r>
        <w:rPr>
          <w:rFonts w:hint="eastAsia" w:asciiTheme="minorEastAsia" w:hAnsiTheme="minorEastAsia" w:cstheme="minorEastAsia"/>
          <w:color w:val="auto"/>
          <w:highlight w:val="none"/>
        </w:rPr>
        <w:t>开工准备</w:t>
      </w:r>
    </w:p>
    <w:p w14:paraId="4318D68C">
      <w:pPr>
        <w:autoSpaceDE w:val="0"/>
        <w:autoSpaceDN w:val="0"/>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承包方应按第</w:t>
      </w:r>
      <w:r>
        <w:rPr>
          <w:rFonts w:asciiTheme="minorEastAsia" w:hAnsiTheme="minorEastAsia" w:cstheme="minorEastAsia"/>
          <w:color w:val="auto"/>
          <w:highlight w:val="none"/>
        </w:rPr>
        <w:t>6.2</w:t>
      </w:r>
      <w:r>
        <w:rPr>
          <w:rFonts w:hint="eastAsia" w:asciiTheme="minorEastAsia" w:hAnsiTheme="minorEastAsia" w:cstheme="minorEastAsia"/>
          <w:color w:val="auto"/>
          <w:highlight w:val="none"/>
        </w:rPr>
        <w:t>条[施工组织设计]约定的时间向发包人和监理人提交工程开工报审表，经发包人批准后执行，承包方且需要在开工7日前办理完成所有开工的各项行政审批和许可。开工报审表应详细说明按施工进度计划正常施工所需的施工道路、临时设施、材料、工程设备、施工设备、施工人员等落实情况以及工程的进度安排。</w:t>
      </w:r>
    </w:p>
    <w:p w14:paraId="2AEBA2E2">
      <w:pPr>
        <w:autoSpaceDE w:val="0"/>
        <w:autoSpaceDN w:val="0"/>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kern w:val="0"/>
          <w:szCs w:val="21"/>
          <w:highlight w:val="none"/>
        </w:rPr>
        <w:t xml:space="preserve">6.4.2 </w:t>
      </w:r>
      <w:r>
        <w:rPr>
          <w:rFonts w:hint="eastAsia" w:asciiTheme="minorEastAsia" w:hAnsiTheme="minorEastAsia" w:cstheme="minorEastAsia"/>
          <w:color w:val="auto"/>
          <w:highlight w:val="none"/>
        </w:rPr>
        <w:t>开工通知</w:t>
      </w:r>
    </w:p>
    <w:p w14:paraId="2CD492C4">
      <w:pPr>
        <w:autoSpaceDE w:val="0"/>
        <w:autoSpaceDN w:val="0"/>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发包人应在计划开工日期前7天内向承包方下达开工通知，因发包人原因未能在期限内发出开工通知的，承包方应当向发包人书面发函敦促，不得直接提出价格调整和要求违约诉求。</w:t>
      </w:r>
    </w:p>
    <w:p w14:paraId="720F3ACC">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6.5 工期延误</w:t>
      </w:r>
    </w:p>
    <w:p w14:paraId="4D4F9CE5">
      <w:pPr>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1）因承包方原因导致工期延误，逾期竣工5天以内的按10000元人民币/天扣除工期延误费，5天以上的，则以上天数按20000元人民币/天计算，10天以上的，则以上天数按100000元人民币/天计算，（以上含本数，以下不含）。竣工日期以监理单位和甲方批复的竣工验收申请日期为准。</w:t>
      </w:r>
    </w:p>
    <w:p w14:paraId="0242CF8B">
      <w:pPr>
        <w:spacing w:line="400" w:lineRule="exact"/>
        <w:rPr>
          <w:rFonts w:ascii="宋体" w:hAnsi="宋体"/>
          <w:color w:val="auto"/>
          <w:szCs w:val="21"/>
          <w:highlight w:val="none"/>
        </w:rPr>
      </w:pPr>
      <w:r>
        <w:rPr>
          <w:rFonts w:hint="eastAsia" w:ascii="宋体" w:hAnsi="宋体"/>
          <w:color w:val="auto"/>
          <w:szCs w:val="21"/>
          <w:highlight w:val="none"/>
        </w:rPr>
        <w:t>（2）承包方未能在规定的工期内完成施工内容，延误项目或因施工单位自身能力等主观原因造成不能完成发包人要求的，发包人有权扣除该项目合同总额的10%作为违约金；连续三次未达到施工要求或延误工期的，发包人有权解除合同。</w:t>
      </w:r>
    </w:p>
    <w:p w14:paraId="5820AC82">
      <w:pPr>
        <w:numPr>
          <w:ilvl w:val="0"/>
          <w:numId w:val="2"/>
        </w:numPr>
        <w:autoSpaceDE w:val="0"/>
        <w:autoSpaceDN w:val="0"/>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为了保证学校开学后的正常运营，本工程所有楼幢影响学生住宿的建筑装饰以及土建施工最迟必须于开学前完成，并保证开学后宿舍正常使用。如开学后施工的改造内容如需采取相应安全措施的，施工方自行承担费用。</w:t>
      </w:r>
    </w:p>
    <w:p w14:paraId="7886ED17">
      <w:pPr>
        <w:numPr>
          <w:ilvl w:val="0"/>
          <w:numId w:val="2"/>
        </w:numPr>
        <w:autoSpaceDE w:val="0"/>
        <w:autoSpaceDN w:val="0"/>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如施工方未能按上述时间点完工建筑装饰以及土建施工，并且影响学生宿舍正常使用的，则此部分施工内容完工工期延期的实际损失均由承包方承担，承包方支付违约金以及支付发包人由此引起的损失费用后，不免除施工期间保障学生住宿安全的责任和对承包方追责惩罚的权利。</w:t>
      </w:r>
    </w:p>
    <w:p w14:paraId="6B42717B">
      <w:pPr>
        <w:autoSpaceDE w:val="0"/>
        <w:autoSpaceDN w:val="0"/>
        <w:spacing w:line="400" w:lineRule="exact"/>
        <w:rPr>
          <w:rFonts w:ascii="宋体" w:hAnsi="宋体"/>
          <w:color w:val="auto"/>
          <w:szCs w:val="21"/>
          <w:highlight w:val="none"/>
        </w:rPr>
      </w:pPr>
      <w:r>
        <w:rPr>
          <w:rFonts w:hint="eastAsia" w:ascii="宋体" w:hAnsi="宋体"/>
          <w:color w:val="auto"/>
          <w:szCs w:val="21"/>
          <w:highlight w:val="none"/>
        </w:rPr>
        <w:t>（5）承包方在工程完工日起15日内配合发包人完成验收，对验收过程中需要整改的项目三天内完成整改；若整改不能按期完成，发包人有权扣除该项目总额的10%作为违约金。</w:t>
      </w:r>
    </w:p>
    <w:p w14:paraId="6F086BB3">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6.6 异常恶劣的气候条件</w:t>
      </w:r>
    </w:p>
    <w:p w14:paraId="3118A126">
      <w:pPr>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发包人和承包方同意以下情形视为异常恶劣的气候条件：</w:t>
      </w:r>
    </w:p>
    <w:p w14:paraId="18EAF0AB">
      <w:pPr>
        <w:autoSpaceDE w:val="0"/>
        <w:autoSpaceDN w:val="0"/>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（1）12小时内降雨量达到50mm以上；</w:t>
      </w:r>
    </w:p>
    <w:p w14:paraId="081F9D00">
      <w:pPr>
        <w:autoSpaceDE w:val="0"/>
        <w:autoSpaceDN w:val="0"/>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（2）风速达到8级及以上的热带风暴（或台风）；</w:t>
      </w:r>
    </w:p>
    <w:p w14:paraId="3FD6CA6A">
      <w:pPr>
        <w:autoSpaceDE w:val="0"/>
        <w:autoSpaceDN w:val="0"/>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（3）日气温超过38度或低于零下10度；</w:t>
      </w:r>
    </w:p>
    <w:p w14:paraId="2E200DF0">
      <w:pPr>
        <w:autoSpaceDE w:val="0"/>
        <w:autoSpaceDN w:val="0"/>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（4）造成工程损坏的冰雹和12小时内降雪量达到4mm及以上的大雪灾害；</w:t>
      </w:r>
    </w:p>
    <w:p w14:paraId="1EC38A54">
      <w:pPr>
        <w:autoSpaceDE w:val="0"/>
        <w:autoSpaceDN w:val="0"/>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（5）政府有关部门通知停工的其它恶劣气候条件。</w:t>
      </w:r>
    </w:p>
    <w:p w14:paraId="4E9E7FB2">
      <w:pPr>
        <w:spacing w:line="400" w:lineRule="exact"/>
        <w:rPr>
          <w:rFonts w:asciiTheme="minorEastAsia" w:hAnsiTheme="minorEastAsia" w:cstheme="minorEastAsia"/>
          <w:b/>
          <w:bCs/>
          <w:color w:val="auto"/>
          <w:sz w:val="24"/>
          <w:highlight w:val="none"/>
        </w:rPr>
      </w:pPr>
    </w:p>
    <w:p w14:paraId="3195BEEF">
      <w:pPr>
        <w:spacing w:line="400" w:lineRule="exact"/>
        <w:rPr>
          <w:rFonts w:asciiTheme="minorEastAsia" w:hAnsiTheme="minorEastAsia" w:cstheme="minorEastAsia"/>
          <w:color w:val="auto"/>
          <w:sz w:val="24"/>
          <w:highlight w:val="none"/>
        </w:rPr>
      </w:pPr>
      <w:r>
        <w:rPr>
          <w:rFonts w:hint="eastAsia" w:asciiTheme="minorEastAsia" w:hAnsiTheme="minorEastAsia" w:cstheme="minorEastAsia"/>
          <w:b/>
          <w:bCs/>
          <w:color w:val="auto"/>
          <w:sz w:val="24"/>
          <w:highlight w:val="none"/>
        </w:rPr>
        <w:t>第七条 合同计量与取费</w:t>
      </w:r>
    </w:p>
    <w:p w14:paraId="58CAA68C">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7.3 价格调整</w:t>
      </w:r>
    </w:p>
    <w:p w14:paraId="71642CE3">
      <w:pPr>
        <w:autoSpaceDE w:val="0"/>
        <w:autoSpaceDN w:val="0"/>
        <w:adjustRightInd w:val="0"/>
        <w:spacing w:line="360" w:lineRule="auto"/>
        <w:jc w:val="left"/>
        <w:rPr>
          <w:rFonts w:asciiTheme="minorEastAsia" w:hAnsiTheme="minorEastAsia" w:cstheme="minorEastAsia"/>
          <w:color w:val="auto"/>
          <w:kern w:val="0"/>
          <w:highlight w:val="none"/>
          <w:u w:val="single"/>
        </w:rPr>
      </w:pPr>
      <w:r>
        <w:rPr>
          <w:rFonts w:hint="eastAsia" w:asciiTheme="minorEastAsia" w:hAnsiTheme="minorEastAsia" w:cstheme="minorEastAsia"/>
          <w:color w:val="auto"/>
          <w:kern w:val="0"/>
          <w:szCs w:val="21"/>
          <w:highlight w:val="none"/>
        </w:rPr>
        <w:t>7.3.1 单价</w:t>
      </w:r>
      <w:r>
        <w:rPr>
          <w:rFonts w:hint="eastAsia" w:asciiTheme="minorEastAsia" w:hAnsiTheme="minorEastAsia" w:cstheme="minorEastAsia"/>
          <w:color w:val="auto"/>
          <w:kern w:val="0"/>
          <w:highlight w:val="none"/>
          <w:u w:val="single"/>
        </w:rPr>
        <w:t>合同包括的风险范围: 1、合同履行期间物价上涨（另有约定除外）；2、定额、标准及规范调整: 国家政策变化以及一个有经验的承包方可以或应该预见的风险。3、因临时停电、停水引起的费用增加。</w:t>
      </w:r>
    </w:p>
    <w:p w14:paraId="2B1AED1D">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7.3.1.1 风险费用的计算方法:以上风险费用已在投标报价时考虑，不再另行计取。如因此而造成停工、罢工的，除按工期有关条款外，所有损失及费用由乙方自行承担，发包人有权追偿。</w:t>
      </w:r>
    </w:p>
    <w:p w14:paraId="430733B2">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7.3.1.2 风险范围以外合同价格的调整方法：按照合理的成本与利润构成的原则，由甲乙双方按照第4.2款[商定或确定]确定变更工作的单价。</w:t>
      </w:r>
    </w:p>
    <w:p w14:paraId="06571C6B">
      <w:pPr>
        <w:autoSpaceDE w:val="0"/>
        <w:autoSpaceDN w:val="0"/>
        <w:adjustRightInd w:val="0"/>
        <w:spacing w:line="360" w:lineRule="auto"/>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7.3.3 总价合同包含的风险范围：主要建筑材料（设备）及施工机械台班市场价格的增减幅度未超过</w:t>
      </w:r>
      <w:r>
        <w:rPr>
          <w:rFonts w:hint="eastAsia" w:asciiTheme="minorEastAsia" w:hAnsiTheme="minorEastAsia" w:cstheme="minorEastAsia"/>
          <w:color w:val="auto"/>
          <w:kern w:val="0"/>
          <w:szCs w:val="21"/>
          <w:highlight w:val="none"/>
          <w:u w:val="single"/>
        </w:rPr>
        <w:t xml:space="preserve"> C </w:t>
      </w:r>
      <w:r>
        <w:rPr>
          <w:rFonts w:hint="eastAsia" w:asciiTheme="minorEastAsia" w:hAnsiTheme="minorEastAsia" w:cstheme="minorEastAsia"/>
          <w:color w:val="auto"/>
          <w:kern w:val="0"/>
          <w:szCs w:val="21"/>
          <w:highlight w:val="none"/>
        </w:rPr>
        <w:t xml:space="preserve">（A、5；/B、10；/C、20），根据第8.3.1款约定的价格调整办法。 </w:t>
      </w:r>
    </w:p>
    <w:p w14:paraId="56E9E5CC">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7.4 预付款</w:t>
      </w:r>
    </w:p>
    <w:p w14:paraId="6621B466">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7.4.1 预付款支付比例约定：</w:t>
      </w:r>
      <w:r>
        <w:rPr>
          <w:rFonts w:hint="eastAsia" w:asciiTheme="minorEastAsia" w:hAnsiTheme="minorEastAsia" w:cstheme="minorEastAsia"/>
          <w:color w:val="auto"/>
          <w:highlight w:val="none"/>
          <w:u w:val="single"/>
        </w:rPr>
        <w:t xml:space="preserve">   </w:t>
      </w:r>
      <w:r>
        <w:rPr>
          <w:rFonts w:hint="eastAsia"/>
          <w:color w:val="auto"/>
          <w:highlight w:val="none"/>
          <w:u w:val="single"/>
        </w:rPr>
        <w:t xml:space="preserve">  </w:t>
      </w:r>
      <w:r>
        <w:rPr>
          <w:rFonts w:hint="eastAsia" w:asciiTheme="minorEastAsia" w:hAnsiTheme="minorEastAsia" w:cstheme="minorEastAsia"/>
          <w:color w:val="auto"/>
          <w:highlight w:val="none"/>
          <w:u w:val="single"/>
        </w:rPr>
        <w:t xml:space="preserve">  </w:t>
      </w:r>
    </w:p>
    <w:p w14:paraId="36129F79">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7.4.2 预付款担保</w:t>
      </w:r>
    </w:p>
    <w:p w14:paraId="037CA673">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（1）当承包方的建筑市场信用等级为C级及以下时，应当向发包人提供符合本合同附件《预付款保函》格式的银行保函一份。担保期限自发包人支付预付款之日至预付款扣回之日止。</w:t>
      </w:r>
    </w:p>
    <w:p w14:paraId="600A33CF">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（2）承包方的信用等级以本合同约定的发包人应当支付预付款的时间所在季度的本市建筑市场信用等级确定。</w:t>
      </w:r>
    </w:p>
    <w:p w14:paraId="02728896">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（3）承包方与预付款担保有关的任何利息或其它类似的费用或者收益由承包方承担。</w:t>
      </w:r>
    </w:p>
    <w:p w14:paraId="7EEE83AF">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7.5 计量</w:t>
      </w:r>
    </w:p>
    <w:p w14:paraId="1F3EBC53">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7.5.1 关于工程量计算原则约定：工程量计量按照合同约定的工程量计算规则、图纸及变更指示等进行计量。工程量计算规则应以相关的国家标准、行业标准等为依据。</w:t>
      </w:r>
    </w:p>
    <w:p w14:paraId="44CB8E59">
      <w:pPr>
        <w:adjustRightInd w:val="0"/>
        <w:spacing w:line="400" w:lineRule="exact"/>
        <w:rPr>
          <w:rFonts w:asciiTheme="minorEastAsia" w:hAnsiTheme="minorEastAsia" w:cstheme="minorEastAsia"/>
          <w:color w:val="auto"/>
          <w:highlight w:val="none"/>
          <w:u w:val="single"/>
        </w:rPr>
      </w:pPr>
      <w:r>
        <w:rPr>
          <w:rFonts w:hint="eastAsia" w:asciiTheme="minorEastAsia" w:hAnsiTheme="minorEastAsia" w:cstheme="minorEastAsia"/>
          <w:color w:val="auto"/>
          <w:highlight w:val="none"/>
        </w:rPr>
        <w:t>7.5.2 关于计量周期及本合同计量方式和程序的约定：</w:t>
      </w:r>
      <w:r>
        <w:rPr>
          <w:rFonts w:hint="eastAsia" w:asciiTheme="minorEastAsia" w:hAnsiTheme="minorEastAsia" w:cstheme="minorEastAsia"/>
          <w:color w:val="auto"/>
          <w:highlight w:val="none"/>
          <w:u w:val="single"/>
        </w:rPr>
        <w:t xml:space="preserve">  除本合同另有约定外执行通用条款。                       </w:t>
      </w:r>
    </w:p>
    <w:p w14:paraId="5020D023">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7.5.3 工程量计算依据</w:t>
      </w:r>
    </w:p>
    <w:p w14:paraId="15DDA675">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可能包括但不限于：</w:t>
      </w:r>
      <w:r>
        <w:rPr>
          <w:rFonts w:hint="eastAsia" w:asciiTheme="minorEastAsia" w:hAnsiTheme="minorEastAsia" w:cstheme="minorEastAsia"/>
          <w:color w:val="auto"/>
          <w:kern w:val="0"/>
          <w:sz w:val="22"/>
          <w:highlight w:val="none"/>
          <w:lang w:val="zh-CN"/>
        </w:rPr>
        <w:t>清单根据《浙江省建设工程工程量清单计价指引》（2013）市政工</w:t>
      </w:r>
      <w:r>
        <w:rPr>
          <w:rFonts w:hint="eastAsia" w:asciiTheme="minorEastAsia" w:hAnsiTheme="minorEastAsia" w:cstheme="minorEastAsia"/>
          <w:color w:val="auto"/>
          <w:kern w:val="0"/>
          <w:szCs w:val="21"/>
          <w:highlight w:val="none"/>
        </w:rPr>
        <w:t>程、建筑工程、园林景观工程；浙江省相关补充规定及宁波市造价管理处的相关文件；其他：        /</w:t>
      </w:r>
      <w:r>
        <w:rPr>
          <w:rFonts w:hint="eastAsia" w:asciiTheme="minorEastAsia" w:hAnsi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rPr>
        <w:t>。</w:t>
      </w:r>
    </w:p>
    <w:p w14:paraId="7347A4E0">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7.5.4 取费依据（若发生则按以下依据计取）</w:t>
      </w:r>
    </w:p>
    <w:p w14:paraId="1E8D256E">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请参照招标清单编制说明 。      </w:t>
      </w:r>
    </w:p>
    <w:p w14:paraId="27E1B0C6">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7.6 关于措施项目费的约定</w:t>
      </w:r>
    </w:p>
    <w:p w14:paraId="18475E2B">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本工程措施费包干使用，结算时不做调整。</w:t>
      </w:r>
    </w:p>
    <w:p w14:paraId="04F460FB">
      <w:pPr>
        <w:pStyle w:val="30"/>
        <w:spacing w:line="400" w:lineRule="exact"/>
        <w:rPr>
          <w:rFonts w:asciiTheme="minorEastAsia" w:hAnsiTheme="minorEastAsia" w:eastAsiaTheme="minorEastAsia" w:cstheme="minorEastAsia"/>
          <w:color w:val="auto"/>
          <w:sz w:val="24"/>
          <w:szCs w:val="21"/>
          <w:highlight w:val="none"/>
        </w:rPr>
      </w:pPr>
    </w:p>
    <w:p w14:paraId="2E3929FE">
      <w:pPr>
        <w:pStyle w:val="30"/>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第八条 变更</w:t>
      </w:r>
    </w:p>
    <w:p w14:paraId="620CC093">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8.1变更的范围</w:t>
      </w:r>
    </w:p>
    <w:p w14:paraId="1E44B64C">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合同双方当事人约定：合同履行过程中发生以下情形的，应按照本条约定进行合同变更。</w:t>
      </w:r>
    </w:p>
    <w:p w14:paraId="4D1254DB">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（1）发包人提供的工程量清单数量误差；</w:t>
      </w:r>
    </w:p>
    <w:p w14:paraId="534E27D4">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（2）发包人和监理签证；</w:t>
      </w:r>
    </w:p>
    <w:p w14:paraId="785ADAC9">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（3）暂定价项目或暂列金额。</w:t>
      </w:r>
    </w:p>
    <w:p w14:paraId="50884B01">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设计变更必须经设计单位确认；因工程变更而产生的新增减工程量，经参建各方工程联系单盖章签复意见后，方可作为决算依据。发包人根据工程需要修改施工图或发出指令增加或减少工程量，工程量不论增减多少，承包方均应服从；对变更（或增加）项目中的无价材料（或项目）发包人有权按规定进行招标或进行政府采购确定价格及供货单位。</w:t>
      </w:r>
    </w:p>
    <w:p w14:paraId="17B2341E">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8.2 变更估价</w:t>
      </w:r>
    </w:p>
    <w:p w14:paraId="2A8612B4">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8.2.1 关于变更单价的约定：</w:t>
      </w:r>
    </w:p>
    <w:p w14:paraId="748858E2">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（1）已标价的预算书有相同项目的，按照相同项目单价认定；</w:t>
      </w:r>
    </w:p>
    <w:p w14:paraId="2DC6B99C">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已标价的预算书中无相同项目，但有类似项目的，参照类似项目单价（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3BCB518A">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（3）当实际工程量与预算书中列明的该项工程量出现偏差时，该部分单价可选</w:t>
      </w:r>
      <w:r>
        <w:rPr>
          <w:rFonts w:hint="eastAsia" w:asciiTheme="minorEastAsia" w:hAnsiTheme="minorEastAsia" w:cstheme="minorEastAsia"/>
          <w:color w:val="auto"/>
          <w:kern w:val="0"/>
          <w:szCs w:val="21"/>
          <w:highlight w:val="none"/>
          <w:u w:val="single"/>
        </w:rPr>
        <w:t xml:space="preserve"> B </w:t>
      </w:r>
      <w:r>
        <w:rPr>
          <w:rFonts w:hint="eastAsia" w:asciiTheme="minorEastAsia" w:hAnsiTheme="minorEastAsia" w:cstheme="minorEastAsia"/>
          <w:color w:val="auto"/>
          <w:kern w:val="0"/>
          <w:szCs w:val="21"/>
          <w:highlight w:val="none"/>
        </w:rPr>
        <w:t>（A / B）方式调整：</w:t>
      </w:r>
    </w:p>
    <w:p w14:paraId="0203F9FF">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A.变更导致实际完成的变更工程量与预算书中列明的该项目工程量的变化幅度超过15%的，增加部分的工程量的综合单价应予调整；当工程量减少15%以上时，减少后剩余部分的工程量的单价应予以调整。</w:t>
      </w:r>
    </w:p>
    <w:p w14:paraId="6D9A5D76">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B.合价金额占合同总价2%及以上的分部分项清单项目，其工程量增加或减少超过本项目工程数量15%及以上时，或合价金额占合同总价不到2%的分部分项清单项目，但其工程量增加或减少超过本项目工程数量25%及以上时，其增加部分工程量或减少后剩余部分工程量的相应单价应予调整。</w:t>
      </w:r>
    </w:p>
    <w:p w14:paraId="5600700E">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已标价的预算书中无相同项目及类似项目单价的，应由承包方根据变更工程资料、计量规则和计价办法、工程造价管理机构发布的信息价格和承包方报价浮动率提出变更工程项目的单价，并应报发包人确认后调整。浮动率=（中标价/招标控制价—1）*100%，中标价及招标控制价均指剔除了以项为单位的暂估价、暂列金额后的价格。</w:t>
      </w:r>
    </w:p>
    <w:p w14:paraId="69D7A120">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已标价的预算书中无相同项目及类似项目单价的，且工程造价管理机构发布的信息价格缺价的，应由承包方根据变更工程资料、计量规则、计价办法和通过市场调查等取得有合法依据的市场价格提出变更工程项目的单价，并应发包人确认后调整。</w:t>
      </w:r>
    </w:p>
    <w:p w14:paraId="104D32E0">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（6）施工中出现施工图纸或设计变更与工程量清单项目特征描述不符的，发承包双方应按新的项目特征确定相应工程量清单项目，按本条款（1）—（5）的规定重新确定相应预算书项目的单价，并调整合同价款。</w:t>
      </w:r>
      <w:r>
        <w:rPr>
          <w:rFonts w:hint="eastAsia" w:asciiTheme="minorEastAsia" w:hAnsiTheme="minorEastAsia" w:cstheme="minorEastAsia"/>
          <w:b/>
          <w:color w:val="auto"/>
          <w:kern w:val="0"/>
          <w:szCs w:val="21"/>
          <w:highlight w:val="none"/>
        </w:rPr>
        <w:t xml:space="preserve"> </w:t>
      </w:r>
    </w:p>
    <w:p w14:paraId="7CA58494">
      <w:pPr>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 xml:space="preserve">8.3 </w:t>
      </w:r>
      <w:r>
        <w:rPr>
          <w:rFonts w:hint="eastAsia" w:asciiTheme="minorEastAsia" w:hAnsiTheme="minorEastAsia" w:cstheme="minorEastAsia"/>
          <w:b/>
          <w:color w:val="auto"/>
          <w:szCs w:val="21"/>
          <w:highlight w:val="none"/>
        </w:rPr>
        <w:t>暂估价</w:t>
      </w:r>
    </w:p>
    <w:p w14:paraId="74DC0D5C">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8.3.1 暂定材料价的结算办法：工程暂定材料价格由发包人会同监理单位等相关单位根据市场价格确定，由发包人和监理单位在定牌定价签证单上签字盖章后，作为竣工结算的依据，承包方不得以任何理由拒绝或推迟由发包人定牌定价相关材料及项目的施工，否则按竞争性磋商文件相应规定处罚。</w:t>
      </w:r>
    </w:p>
    <w:p w14:paraId="38F97C55">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8.3.2 专业工程暂估价项目：按实结算，不发生或采购人不要求承包方完成则不计取。专业工程暂估价在结算时，应先从合同总价中扣除采购人提供的专业工程暂估价及相应的规费、税金，再按发包人签证的综合单价或本合同条款8.2.1款规定确定综合单价，工程量按实调整，进行结算。</w:t>
      </w:r>
    </w:p>
    <w:p w14:paraId="562390BC">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8.3.3专业工程暂估价部分实施时由承包方负责提供该部分内容图纸。</w:t>
      </w:r>
    </w:p>
    <w:p w14:paraId="2D745D8E">
      <w:pPr>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 xml:space="preserve">8.4 </w:t>
      </w:r>
      <w:r>
        <w:rPr>
          <w:rFonts w:hint="eastAsia" w:asciiTheme="minorEastAsia" w:hAnsiTheme="minorEastAsia" w:cstheme="minorEastAsia"/>
          <w:b/>
          <w:color w:val="auto"/>
          <w:szCs w:val="21"/>
          <w:highlight w:val="none"/>
        </w:rPr>
        <w:t>暂列金额</w:t>
      </w:r>
    </w:p>
    <w:p w14:paraId="6435E195">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8.4.1 合同当事人关于暂列金额使用的约定：由发包人通过监理人发出使用指令。</w:t>
      </w:r>
    </w:p>
    <w:p w14:paraId="021BF889">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8.4.2 暂列金额结算办法：暂列金额按实结算，不发生则不计取；暂列金额在结算时，应先从合同总价中扣除采购人提供的暂列金额，再按发包人签证的综合单价或本合同条款8.2.1款规定确定综合单价，工程量按实调整，进行结算。</w:t>
      </w:r>
    </w:p>
    <w:p w14:paraId="061A465D">
      <w:pPr>
        <w:spacing w:line="400" w:lineRule="exac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 xml:space="preserve">8.5 </w:t>
      </w:r>
      <w:r>
        <w:rPr>
          <w:rFonts w:hint="eastAsia" w:asciiTheme="minorEastAsia" w:hAnsiTheme="minorEastAsia" w:cstheme="minorEastAsia"/>
          <w:b/>
          <w:color w:val="auto"/>
          <w:szCs w:val="21"/>
          <w:highlight w:val="none"/>
        </w:rPr>
        <w:t>承包方的合理化建议</w:t>
      </w:r>
    </w:p>
    <w:p w14:paraId="3909FFCE">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8.5.1 监理人审查承包方合理化建议的期限：执行通用条款。</w:t>
      </w:r>
    </w:p>
    <w:p w14:paraId="4FA75E23">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8.5.2 发包人审批承包方合理化建议的期限：执行通用条款。</w:t>
      </w:r>
    </w:p>
    <w:p w14:paraId="62D34D3D">
      <w:pPr>
        <w:pStyle w:val="24"/>
        <w:spacing w:line="400" w:lineRule="exact"/>
        <w:rPr>
          <w:rFonts w:asciiTheme="minorEastAsia" w:hAnsiTheme="minorEastAsia" w:cstheme="minorEastAsia"/>
          <w:color w:val="auto"/>
          <w:kern w:val="0"/>
          <w:szCs w:val="21"/>
          <w:highlight w:val="none"/>
        </w:rPr>
      </w:pPr>
    </w:p>
    <w:p w14:paraId="5F4705E9">
      <w:pPr>
        <w:pStyle w:val="24"/>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第九条 竣工验收与结算</w:t>
      </w:r>
    </w:p>
    <w:p w14:paraId="42BA92F0">
      <w:pPr>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9.1</w:t>
      </w:r>
      <w:r>
        <w:rPr>
          <w:rFonts w:hint="eastAsia" w:asciiTheme="minorEastAsia" w:hAnsiTheme="minorEastAsia" w:cstheme="minorEastAsia"/>
          <w:b/>
          <w:color w:val="auto"/>
          <w:szCs w:val="21"/>
          <w:highlight w:val="none"/>
        </w:rPr>
        <w:t>验收</w:t>
      </w:r>
    </w:p>
    <w:p w14:paraId="0AA3CC1F">
      <w:pPr>
        <w:pStyle w:val="24"/>
        <w:spacing w:line="400" w:lineRule="exact"/>
        <w:rPr>
          <w:rFonts w:asciiTheme="minorEastAsia" w:hAnsiTheme="minorEastAsia" w:cstheme="minorEastAsia"/>
          <w:b w:val="0"/>
          <w:color w:val="auto"/>
          <w:kern w:val="0"/>
          <w:sz w:val="21"/>
          <w:szCs w:val="21"/>
          <w:highlight w:val="none"/>
        </w:rPr>
      </w:pPr>
      <w:r>
        <w:rPr>
          <w:rFonts w:hint="eastAsia" w:asciiTheme="minorEastAsia" w:hAnsiTheme="minorEastAsia" w:cstheme="minorEastAsia"/>
          <w:b w:val="0"/>
          <w:color w:val="auto"/>
          <w:kern w:val="0"/>
          <w:sz w:val="21"/>
          <w:szCs w:val="21"/>
          <w:highlight w:val="none"/>
        </w:rPr>
        <w:t>9.1.1 关于分部分项目工程验收的约定：执行通用条款。</w:t>
      </w:r>
    </w:p>
    <w:p w14:paraId="48DA66F3">
      <w:pPr>
        <w:pStyle w:val="24"/>
        <w:spacing w:line="400" w:lineRule="exact"/>
        <w:rPr>
          <w:rFonts w:asciiTheme="minorEastAsia" w:hAnsiTheme="minorEastAsia" w:cstheme="minorEastAsia"/>
          <w:b w:val="0"/>
          <w:color w:val="auto"/>
          <w:kern w:val="0"/>
          <w:sz w:val="21"/>
          <w:szCs w:val="21"/>
          <w:highlight w:val="none"/>
        </w:rPr>
      </w:pPr>
      <w:r>
        <w:rPr>
          <w:rFonts w:hint="eastAsia" w:asciiTheme="minorEastAsia" w:hAnsiTheme="minorEastAsia" w:cstheme="minorEastAsia"/>
          <w:b w:val="0"/>
          <w:color w:val="auto"/>
          <w:kern w:val="0"/>
          <w:sz w:val="21"/>
          <w:szCs w:val="21"/>
          <w:highlight w:val="none"/>
        </w:rPr>
        <w:t>9.1.2 关于竣工验收程序的约定：执行通用条款。</w:t>
      </w:r>
    </w:p>
    <w:p w14:paraId="7DAC6020">
      <w:pPr>
        <w:pStyle w:val="24"/>
        <w:spacing w:line="400" w:lineRule="exact"/>
        <w:rPr>
          <w:rFonts w:asciiTheme="minorEastAsia" w:hAnsiTheme="minorEastAsia" w:cstheme="minorEastAsia"/>
          <w:b w:val="0"/>
          <w:color w:val="auto"/>
          <w:kern w:val="0"/>
          <w:sz w:val="21"/>
          <w:szCs w:val="21"/>
          <w:highlight w:val="none"/>
        </w:rPr>
      </w:pPr>
      <w:r>
        <w:rPr>
          <w:rFonts w:hint="eastAsia" w:asciiTheme="minorEastAsia" w:hAnsiTheme="minorEastAsia" w:cstheme="minorEastAsia"/>
          <w:b w:val="0"/>
          <w:color w:val="auto"/>
          <w:kern w:val="0"/>
          <w:sz w:val="21"/>
          <w:szCs w:val="21"/>
          <w:highlight w:val="none"/>
        </w:rPr>
        <w:t>9.1.3发包人无理由不按照本项约定组织竣工验收、颁发工程接收证书的承包方需书面发函敦促，不得直接向发包人主张违约金。</w:t>
      </w:r>
    </w:p>
    <w:p w14:paraId="58F0A263">
      <w:pPr>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 xml:space="preserve">9.2 </w:t>
      </w:r>
      <w:r>
        <w:rPr>
          <w:rFonts w:hint="eastAsia" w:asciiTheme="minorEastAsia" w:hAnsiTheme="minorEastAsia" w:cstheme="minorEastAsia"/>
          <w:b/>
          <w:color w:val="auto"/>
          <w:szCs w:val="21"/>
          <w:highlight w:val="none"/>
        </w:rPr>
        <w:t>移交、接收全部与部分工程</w:t>
      </w:r>
    </w:p>
    <w:p w14:paraId="2292860F">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9.2.1 承包方向发包人移交工程的期限：在颁发工程接收证书后</w:t>
      </w:r>
      <w:r>
        <w:rPr>
          <w:rFonts w:hint="eastAsia" w:asciiTheme="minorEastAsia" w:hAnsiTheme="minorEastAsia" w:cstheme="minorEastAsia"/>
          <w:color w:val="auto"/>
          <w:kern w:val="0"/>
          <w:szCs w:val="21"/>
          <w:highlight w:val="none"/>
          <w:u w:val="single"/>
        </w:rPr>
        <w:t xml:space="preserve"> B </w:t>
      </w:r>
      <w:r>
        <w:rPr>
          <w:rFonts w:hint="eastAsia" w:asciiTheme="minorEastAsia" w:hAnsiTheme="minorEastAsia" w:cstheme="minorEastAsia"/>
          <w:color w:val="auto"/>
          <w:kern w:val="0"/>
          <w:szCs w:val="21"/>
          <w:highlight w:val="none"/>
        </w:rPr>
        <w:t>（A、7；/ B、14；/ C、21）天内完成工程的移交。</w:t>
      </w:r>
    </w:p>
    <w:p w14:paraId="6A2DBBF9">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9.2.2 发包人无正当理由未按本合同约定接收全部或部分工程的，除承担自应接收工程之日起的工程照管、成本保护、保管等与工程有关的各项费用外，应当按本合同约定的提前竣工奖励的5倍标准向承包方支付逾期接收工程的违约金。</w:t>
      </w:r>
    </w:p>
    <w:p w14:paraId="77912714">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9.2.3 承包方未按本合同约定移交工程的，除承担自应接收工程之日起的工程照管、成本保护、保管等与工程有关的各项费用外，应当按本合同约定的工期延误赔偿标准的5倍向发包人支付逾期移交工程的违约金。</w:t>
      </w:r>
    </w:p>
    <w:p w14:paraId="1695327D">
      <w:pPr>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 xml:space="preserve">9.3 </w:t>
      </w:r>
      <w:r>
        <w:rPr>
          <w:rFonts w:hint="eastAsia" w:asciiTheme="minorEastAsia" w:hAnsiTheme="minorEastAsia" w:cstheme="minorEastAsia"/>
          <w:b/>
          <w:color w:val="auto"/>
          <w:szCs w:val="21"/>
          <w:highlight w:val="none"/>
        </w:rPr>
        <w:t>工程试车</w:t>
      </w:r>
    </w:p>
    <w:p w14:paraId="74BEA193">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9.3.1 关于试车程序及费用的约定：执行通用条款。</w:t>
      </w:r>
    </w:p>
    <w:p w14:paraId="50497F22">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9.3.2 关于投料试车相关事项的约定：执行通用条款。</w:t>
      </w:r>
    </w:p>
    <w:p w14:paraId="2E9F2993">
      <w:pPr>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 xml:space="preserve">9.4 </w:t>
      </w:r>
      <w:r>
        <w:rPr>
          <w:rFonts w:hint="eastAsia" w:asciiTheme="minorEastAsia" w:hAnsiTheme="minorEastAsia" w:cstheme="minorEastAsia"/>
          <w:b/>
          <w:color w:val="auto"/>
          <w:szCs w:val="21"/>
          <w:highlight w:val="none"/>
        </w:rPr>
        <w:t>竣工退场</w:t>
      </w:r>
    </w:p>
    <w:p w14:paraId="2B0AA74C">
      <w:pPr>
        <w:adjustRightInd w:val="0"/>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9.4.1 </w:t>
      </w:r>
      <w:r>
        <w:rPr>
          <w:rFonts w:hint="eastAsia" w:asciiTheme="minorEastAsia" w:hAnsiTheme="minorEastAsia" w:cstheme="minorEastAsia"/>
          <w:color w:val="auto"/>
          <w:szCs w:val="21"/>
          <w:highlight w:val="none"/>
        </w:rPr>
        <w:t>承包方应当在发包人颁发工程接收证书后</w:t>
      </w:r>
      <w:r>
        <w:rPr>
          <w:rFonts w:hint="eastAsia" w:asciiTheme="minorEastAsia" w:hAnsiTheme="minorEastAsia" w:cstheme="minorEastAsia"/>
          <w:color w:val="auto"/>
          <w:szCs w:val="21"/>
          <w:highlight w:val="none"/>
          <w:u w:val="single"/>
        </w:rPr>
        <w:t xml:space="preserve"> B </w:t>
      </w:r>
      <w:r>
        <w:rPr>
          <w:rFonts w:hint="eastAsia" w:asciiTheme="minorEastAsia" w:hAnsiTheme="minorEastAsia" w:cstheme="minorEastAsia"/>
          <w:color w:val="auto"/>
          <w:kern w:val="0"/>
          <w:szCs w:val="21"/>
          <w:highlight w:val="none"/>
        </w:rPr>
        <w:t>（A、7；/ B、14；/ C、21）天</w:t>
      </w:r>
      <w:r>
        <w:rPr>
          <w:rFonts w:hint="eastAsia" w:asciiTheme="minorEastAsia" w:hAnsiTheme="minorEastAsia" w:cstheme="minorEastAsia"/>
          <w:color w:val="auto"/>
          <w:szCs w:val="21"/>
          <w:highlight w:val="none"/>
        </w:rPr>
        <w:t>内完成竣工退场，逾期未完成的，按通用条款执行。</w:t>
      </w:r>
    </w:p>
    <w:p w14:paraId="52C0DF9B">
      <w:pPr>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 xml:space="preserve">9.5 </w:t>
      </w:r>
      <w:r>
        <w:rPr>
          <w:rFonts w:hint="eastAsia" w:asciiTheme="minorEastAsia" w:hAnsiTheme="minorEastAsia" w:cstheme="minorEastAsia"/>
          <w:b/>
          <w:color w:val="auto"/>
          <w:szCs w:val="21"/>
          <w:highlight w:val="none"/>
        </w:rPr>
        <w:t>竣工结算</w:t>
      </w:r>
    </w:p>
    <w:p w14:paraId="4C4F24B6">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9.5.1 承包方应当在工程竣工验收合格后</w:t>
      </w:r>
      <w:r>
        <w:rPr>
          <w:rFonts w:hint="eastAsia" w:asciiTheme="minorEastAsia" w:hAnsiTheme="minorEastAsia" w:cstheme="minorEastAsia"/>
          <w:color w:val="auto"/>
          <w:kern w:val="0"/>
          <w:szCs w:val="21"/>
          <w:highlight w:val="none"/>
          <w:u w:val="single"/>
        </w:rPr>
        <w:t xml:space="preserve"> A </w:t>
      </w:r>
      <w:r>
        <w:rPr>
          <w:rFonts w:hint="eastAsia" w:asciiTheme="minorEastAsia" w:hAnsiTheme="minorEastAsia" w:cstheme="minorEastAsia"/>
          <w:color w:val="auto"/>
          <w:kern w:val="0"/>
          <w:szCs w:val="21"/>
          <w:highlight w:val="none"/>
        </w:rPr>
        <w:t>（A、14；/ B、21；/ C、28）天内向发包人或其委托的工程造价咨询人提交竣工结算申请单及其完整的结算资料3份。</w:t>
      </w:r>
    </w:p>
    <w:p w14:paraId="13402712">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9.5.2 发包人或其委托的工程造价咨询人对竣工结算申请单有异议或者结算资料不符合要求的，有权要求承包方进行修正和提供补充资料，但应当出具书面的意见。承包方应当按照发包人或其委托的工程造价咨询人出具的书面意见提交修正后的竣工结算申请单或结算资料，竣工结算申请的时间从提交修正后的竣工结算申请单或结算资料起计算。</w:t>
      </w:r>
    </w:p>
    <w:p w14:paraId="1F27A5EC">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9.5.3 竣工结算申请单应包括的内容：按通用条款执行。</w:t>
      </w:r>
    </w:p>
    <w:p w14:paraId="4F15140B">
      <w:pPr>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 xml:space="preserve">9.6 </w:t>
      </w:r>
      <w:r>
        <w:rPr>
          <w:rFonts w:hint="eastAsia" w:asciiTheme="minorEastAsia" w:hAnsiTheme="minorEastAsia" w:cstheme="minorEastAsia"/>
          <w:b/>
          <w:color w:val="auto"/>
          <w:szCs w:val="21"/>
          <w:highlight w:val="none"/>
        </w:rPr>
        <w:t>结算审核</w:t>
      </w:r>
    </w:p>
    <w:p w14:paraId="76AEC482">
      <w:pPr>
        <w:pStyle w:val="9"/>
        <w:adjustRightInd w:val="0"/>
        <w:spacing w:line="400" w:lineRule="exact"/>
        <w:ind w:firstLine="0" w:firstLineChars="0"/>
        <w:rPr>
          <w:rFonts w:asciiTheme="minorEastAsia" w:hAnsiTheme="minorEastAsia" w:cstheme="minorEastAsia"/>
          <w:color w:val="auto"/>
          <w:highlight w:val="none"/>
          <w:u w:val="single"/>
        </w:rPr>
      </w:pPr>
      <w:r>
        <w:rPr>
          <w:rFonts w:hint="eastAsia" w:asciiTheme="minorEastAsia" w:hAnsiTheme="minorEastAsia" w:cstheme="minorEastAsia"/>
          <w:color w:val="auto"/>
          <w:highlight w:val="none"/>
        </w:rPr>
        <w:t>9.6.1 发包人或其委托的工程造价咨询人应在收到符合要求的竣工结算申请单及其结算资料后</w:t>
      </w:r>
      <w:r>
        <w:rPr>
          <w:rFonts w:hint="eastAsia" w:asciiTheme="minorEastAsia" w:hAnsiTheme="minorEastAsia" w:cstheme="minorEastAsia"/>
          <w:color w:val="auto"/>
          <w:highlight w:val="none"/>
          <w:u w:val="single"/>
        </w:rPr>
        <w:t xml:space="preserve"> C </w:t>
      </w:r>
      <w:r>
        <w:rPr>
          <w:rFonts w:hint="eastAsia" w:asciiTheme="minorEastAsia" w:hAnsiTheme="minorEastAsia" w:cstheme="minorEastAsia"/>
          <w:color w:val="auto"/>
          <w:highlight w:val="none"/>
        </w:rPr>
        <w:t>（A、14；/ B、28；/ C、56）天内完成审批，并由监理人向承包方签发经发包人签认的竣工付款证书。</w:t>
      </w:r>
    </w:p>
    <w:p w14:paraId="29B59940">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9.6.2 </w:t>
      </w:r>
      <w:r>
        <w:rPr>
          <w:rFonts w:hint="eastAsia" w:asciiTheme="minorEastAsia" w:hAnsiTheme="minorEastAsia" w:cstheme="minorEastAsia"/>
          <w:color w:val="auto"/>
          <w:szCs w:val="21"/>
          <w:highlight w:val="none"/>
        </w:rPr>
        <w:t>发包人在收到承包方提交的竣工结算申请单后</w:t>
      </w:r>
      <w:r>
        <w:rPr>
          <w:rFonts w:hint="eastAsia" w:asciiTheme="minorEastAsia" w:hAnsiTheme="minorEastAsia" w:cstheme="minorEastAsia"/>
          <w:color w:val="auto"/>
          <w:szCs w:val="21"/>
          <w:highlight w:val="none"/>
          <w:u w:val="single"/>
        </w:rPr>
        <w:t xml:space="preserve"> B </w:t>
      </w:r>
      <w:r>
        <w:rPr>
          <w:rFonts w:hint="eastAsia" w:asciiTheme="minorEastAsia" w:hAnsiTheme="minorEastAsia" w:cstheme="minorEastAsia"/>
          <w:color w:val="auto"/>
          <w:kern w:val="0"/>
          <w:szCs w:val="21"/>
          <w:highlight w:val="none"/>
        </w:rPr>
        <w:t>（A、28；/ B、56；/ C、112）</w:t>
      </w:r>
      <w:r>
        <w:rPr>
          <w:rFonts w:hint="eastAsia" w:asciiTheme="minorEastAsia" w:hAnsiTheme="minorEastAsia" w:cstheme="minorEastAsia"/>
          <w:color w:val="auto"/>
          <w:szCs w:val="21"/>
          <w:highlight w:val="none"/>
        </w:rPr>
        <w:t>天应当提出异议或者出具结算报告的，若未出具则不视为发包人认可承包方提交的竣工结算申请单的默许。</w:t>
      </w:r>
    </w:p>
    <w:p w14:paraId="36C506FD">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9.6.3 </w:t>
      </w:r>
      <w:r>
        <w:rPr>
          <w:rFonts w:hint="eastAsia" w:asciiTheme="minorEastAsia" w:hAnsiTheme="minorEastAsia" w:cstheme="minorEastAsia"/>
          <w:color w:val="auto"/>
          <w:szCs w:val="21"/>
          <w:highlight w:val="none"/>
        </w:rPr>
        <w:t>发包人应在签发竣工付款证书后</w:t>
      </w:r>
      <w:r>
        <w:rPr>
          <w:rFonts w:hint="eastAsia" w:asciiTheme="minorEastAsia" w:hAnsiTheme="minorEastAsia" w:cstheme="minorEastAsia"/>
          <w:color w:val="auto"/>
          <w:szCs w:val="21"/>
          <w:highlight w:val="none"/>
          <w:u w:val="single"/>
        </w:rPr>
        <w:t xml:space="preserve"> C </w:t>
      </w:r>
      <w:r>
        <w:rPr>
          <w:rFonts w:hint="eastAsia" w:asciiTheme="minorEastAsia" w:hAnsiTheme="minorEastAsia" w:cstheme="minorEastAsia"/>
          <w:color w:val="auto"/>
          <w:kern w:val="0"/>
          <w:szCs w:val="21"/>
          <w:highlight w:val="none"/>
        </w:rPr>
        <w:t>（A、7；/ B、14；/ C、21）</w:t>
      </w:r>
      <w:r>
        <w:rPr>
          <w:rFonts w:hint="eastAsia" w:asciiTheme="minorEastAsia" w:hAnsiTheme="minorEastAsia" w:cstheme="minorEastAsia"/>
          <w:color w:val="auto"/>
          <w:szCs w:val="21"/>
          <w:highlight w:val="none"/>
        </w:rPr>
        <w:t>个工作日内，完成对承包方的竣工付款。发包人逾期支付的违约责任按通用条款执行。</w:t>
      </w:r>
    </w:p>
    <w:p w14:paraId="3FA9F07A">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9.6.4 </w:t>
      </w:r>
      <w:r>
        <w:rPr>
          <w:rFonts w:hint="eastAsia" w:asciiTheme="minorEastAsia" w:hAnsiTheme="minorEastAsia" w:cstheme="minorEastAsia"/>
          <w:color w:val="auto"/>
          <w:szCs w:val="21"/>
          <w:highlight w:val="none"/>
        </w:rPr>
        <w:t>承包方对发包人签发的竣工付款证书有异议的内容，应在收到竣工付款证书后7天内提出；承包方逾期未提出异议的，视为认可发包人的审核结果。</w:t>
      </w:r>
    </w:p>
    <w:p w14:paraId="757B469E">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b/>
          <w:color w:val="auto"/>
          <w:highlight w:val="none"/>
        </w:rPr>
        <w:t>9.7 审计</w:t>
      </w:r>
      <w:r>
        <w:rPr>
          <w:rFonts w:hint="eastAsia" w:asciiTheme="minorEastAsia" w:hAnsiTheme="minorEastAsia" w:cstheme="minorEastAsia"/>
          <w:color w:val="auto"/>
          <w:highlight w:val="none"/>
        </w:rPr>
        <w:t>（本项适用按规定需要进行固定资产投资审计的项目）</w:t>
      </w:r>
    </w:p>
    <w:p w14:paraId="1551147C">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9.7.1 发包人应在完成竣工结算审批后</w:t>
      </w:r>
      <w:r>
        <w:rPr>
          <w:rFonts w:hint="eastAsia" w:asciiTheme="minorEastAsia" w:hAnsiTheme="minorEastAsia" w:cstheme="minorEastAsia"/>
          <w:color w:val="auto"/>
          <w:highlight w:val="none"/>
          <w:u w:val="single"/>
        </w:rPr>
        <w:t xml:space="preserve"> C </w:t>
      </w:r>
      <w:r>
        <w:rPr>
          <w:rFonts w:hint="eastAsia" w:asciiTheme="minorEastAsia" w:hAnsiTheme="minorEastAsia" w:cstheme="minorEastAsia"/>
          <w:color w:val="auto"/>
          <w:highlight w:val="none"/>
        </w:rPr>
        <w:t>（A、7；/ B、14；/ C、21）天内向审计部门提交符合审计要求的资料。</w:t>
      </w:r>
    </w:p>
    <w:p w14:paraId="628BA0E7">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9.7.2 承包方有义务积极配合审计工作，确保审计工作的顺利开展。</w:t>
      </w:r>
    </w:p>
    <w:p w14:paraId="21A89F2D">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9.7.3 预付合同尾款</w:t>
      </w:r>
    </w:p>
    <w:p w14:paraId="5CEF5258">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（1）在发包人向审计部门提交审计资料后</w:t>
      </w:r>
      <w:r>
        <w:rPr>
          <w:rFonts w:hint="eastAsia" w:asciiTheme="minorEastAsia" w:hAnsiTheme="minorEastAsia" w:cstheme="minorEastAsia"/>
          <w:color w:val="auto"/>
          <w:highlight w:val="none"/>
          <w:u w:val="single"/>
        </w:rPr>
        <w:t xml:space="preserve"> C </w:t>
      </w:r>
      <w:r>
        <w:rPr>
          <w:rFonts w:hint="eastAsia" w:asciiTheme="minorEastAsia" w:hAnsiTheme="minorEastAsia" w:cstheme="minorEastAsia"/>
          <w:color w:val="auto"/>
          <w:highlight w:val="none"/>
        </w:rPr>
        <w:t>（A、2 ；/  B、4；/ C、6；/D、其他)个月内未完成审计工作的，经承包方申请，发包人</w:t>
      </w:r>
      <w:r>
        <w:rPr>
          <w:rFonts w:hint="eastAsia" w:asciiTheme="minorEastAsia" w:hAnsiTheme="minorEastAsia" w:cstheme="minorEastAsia"/>
          <w:color w:val="auto"/>
          <w:highlight w:val="none"/>
          <w:u w:val="single"/>
        </w:rPr>
        <w:t xml:space="preserve"> B </w:t>
      </w:r>
      <w:r>
        <w:rPr>
          <w:rFonts w:hint="eastAsia" w:asciiTheme="minorEastAsia" w:hAnsiTheme="minorEastAsia" w:cstheme="minorEastAsia"/>
          <w:color w:val="auto"/>
          <w:highlight w:val="none"/>
        </w:rPr>
        <w:t>（ A、同意；/ B、不同意）向承包方先预付经工程竣工结算确认的合同尾款。</w:t>
      </w:r>
    </w:p>
    <w:p w14:paraId="6436E15E">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9.7.4 合同尾款预付担保</w:t>
      </w:r>
    </w:p>
    <w:p w14:paraId="2870C677">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（1）发包人同意向承包方预付部分或全部合同尾款的，承包方</w:t>
      </w:r>
      <w:r>
        <w:rPr>
          <w:rFonts w:hint="eastAsia" w:asciiTheme="minorEastAsia" w:hAnsiTheme="minorEastAsia" w:cstheme="minorEastAsia"/>
          <w:color w:val="auto"/>
          <w:highlight w:val="none"/>
          <w:u w:val="single"/>
        </w:rPr>
        <w:t xml:space="preserve"> A </w:t>
      </w:r>
      <w:r>
        <w:rPr>
          <w:rFonts w:hint="eastAsia" w:asciiTheme="minorEastAsia" w:hAnsiTheme="minorEastAsia" w:cstheme="minorEastAsia"/>
          <w:color w:val="auto"/>
          <w:highlight w:val="none"/>
        </w:rPr>
        <w:t>（A、需要；B不需要）在提交申请书的同时向发包人提交符合格式的银行保函一份。合同尾款预付担保金额与预付的合同尾款金额对等。</w:t>
      </w:r>
    </w:p>
    <w:p w14:paraId="097A8B9D">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（2）合同尾款预付担保期限自发包人签发合同尾款预付款证书之日起至发包人和承包方经审计确认的工程尾款结清止。</w:t>
      </w:r>
    </w:p>
    <w:p w14:paraId="3D4ACB58">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（3）</w:t>
      </w:r>
      <w:r>
        <w:rPr>
          <w:rFonts w:hint="eastAsia" w:asciiTheme="minorEastAsia" w:hAnsiTheme="minorEastAsia" w:cstheme="minorEastAsia"/>
          <w:color w:val="auto"/>
          <w:kern w:val="0"/>
          <w:szCs w:val="21"/>
          <w:highlight w:val="none"/>
        </w:rPr>
        <w:t>承包方与合同尾款预付担保有关的任何利息或其它类似的费用或者收益由承包方承担</w:t>
      </w:r>
      <w:r>
        <w:rPr>
          <w:rFonts w:hint="eastAsia" w:asciiTheme="minorEastAsia" w:hAnsiTheme="minorEastAsia" w:cstheme="minorEastAsia"/>
          <w:color w:val="auto"/>
          <w:highlight w:val="none"/>
        </w:rPr>
        <w:t>。</w:t>
      </w:r>
    </w:p>
    <w:p w14:paraId="7967C97B">
      <w:pPr>
        <w:adjustRightInd w:val="0"/>
        <w:spacing w:line="400" w:lineRule="exact"/>
        <w:rPr>
          <w:rFonts w:asciiTheme="minorEastAsia" w:hAnsiTheme="minorEastAsia" w:cstheme="minorEastAsia"/>
          <w:b/>
          <w:color w:val="auto"/>
          <w:highlight w:val="none"/>
        </w:rPr>
      </w:pPr>
      <w:r>
        <w:rPr>
          <w:rFonts w:hint="eastAsia" w:asciiTheme="minorEastAsia" w:hAnsiTheme="minorEastAsia" w:cstheme="minorEastAsia"/>
          <w:color w:val="auto"/>
          <w:highlight w:val="none"/>
        </w:rPr>
        <w:t>（4）发包人应在签发合同尾款预付款证书后</w:t>
      </w:r>
      <w:r>
        <w:rPr>
          <w:rFonts w:hint="eastAsia" w:asciiTheme="minorEastAsia" w:hAnsiTheme="minorEastAsia" w:cstheme="minorEastAsia"/>
          <w:color w:val="auto"/>
          <w:highlight w:val="none"/>
          <w:u w:val="single"/>
        </w:rPr>
        <w:t xml:space="preserve"> C </w:t>
      </w:r>
      <w:r>
        <w:rPr>
          <w:rFonts w:hint="eastAsia" w:asciiTheme="minorEastAsia" w:hAnsiTheme="minorEastAsia" w:cstheme="minorEastAsia"/>
          <w:color w:val="auto"/>
          <w:highlight w:val="none"/>
        </w:rPr>
        <w:t>（A、7；/ B、14；/ C、21）天内，向承包方预付合同尾款。</w:t>
      </w:r>
    </w:p>
    <w:p w14:paraId="1DA95DB6">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（5）经审计确认承包方需要退还部分或全部合同尾款预付款项的，承包方须按审计报告要求的时间内将应退款项退还给发包人，否则发包人有权向第三方担保人提出索赔。</w:t>
      </w:r>
    </w:p>
    <w:p w14:paraId="057CC37F">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（6）承包方提交质量保证金的，合同尾款应扣除本合同约定的质量保证金额度。</w:t>
      </w:r>
    </w:p>
    <w:p w14:paraId="1E649157">
      <w:pPr>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 xml:space="preserve">9.8 </w:t>
      </w:r>
      <w:r>
        <w:rPr>
          <w:rFonts w:hint="eastAsia" w:asciiTheme="minorEastAsia" w:hAnsiTheme="minorEastAsia" w:cstheme="minorEastAsia"/>
          <w:b/>
          <w:color w:val="auto"/>
          <w:szCs w:val="21"/>
          <w:highlight w:val="none"/>
        </w:rPr>
        <w:t>最终结清</w:t>
      </w:r>
    </w:p>
    <w:p w14:paraId="132884E9">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9.8.1 </w:t>
      </w:r>
      <w:r>
        <w:rPr>
          <w:rFonts w:hint="eastAsia" w:asciiTheme="minorEastAsia" w:hAnsiTheme="minorEastAsia" w:cstheme="minorEastAsia"/>
          <w:color w:val="auto"/>
          <w:szCs w:val="21"/>
          <w:highlight w:val="none"/>
        </w:rPr>
        <w:t>最终结清申请单</w:t>
      </w:r>
    </w:p>
    <w:p w14:paraId="147F8B01">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（1）承包方应在缺陷责任期终止证书颁发后7天内提交3份最终结清申请，并提供相关证明材料。最终结清申请应列明质量保证金、应扣除的质量保证金、缺陷责任期内发生的增减费用。</w:t>
      </w:r>
    </w:p>
    <w:p w14:paraId="7C046D37">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（2）发包人对最终结清申请单内容有异议的，有权要求承包方进行修正和提供补充资料，但应当出具书面意见。承包方应当按照发包人的书面意见提交修正后的最终结清申请单。</w:t>
      </w:r>
    </w:p>
    <w:p w14:paraId="50DEDE9A">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9.8.2 </w:t>
      </w:r>
      <w:r>
        <w:rPr>
          <w:rFonts w:hint="eastAsia" w:asciiTheme="minorEastAsia" w:hAnsiTheme="minorEastAsia" w:cstheme="minorEastAsia"/>
          <w:color w:val="auto"/>
          <w:szCs w:val="21"/>
          <w:highlight w:val="none"/>
        </w:rPr>
        <w:t>最终结清证书和支付</w:t>
      </w:r>
    </w:p>
    <w:p w14:paraId="110E8B19">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（1）发包人应在收到承包方提交的最终结清申请单后</w:t>
      </w:r>
      <w:r>
        <w:rPr>
          <w:rFonts w:hint="eastAsia" w:asciiTheme="minorEastAsia" w:hAnsiTheme="minorEastAsia" w:cstheme="minorEastAsia"/>
          <w:color w:val="auto"/>
          <w:szCs w:val="21"/>
          <w:highlight w:val="none"/>
          <w:u w:val="single"/>
        </w:rPr>
        <w:t xml:space="preserve"> C </w:t>
      </w:r>
      <w:r>
        <w:rPr>
          <w:rFonts w:hint="eastAsia" w:asciiTheme="minorEastAsia" w:hAnsiTheme="minorEastAsia" w:cstheme="minorEastAsia"/>
          <w:color w:val="auto"/>
          <w:kern w:val="0"/>
          <w:szCs w:val="21"/>
          <w:highlight w:val="none"/>
        </w:rPr>
        <w:t>（A、7；/ B、14；/ C、21）</w:t>
      </w:r>
      <w:r>
        <w:rPr>
          <w:rFonts w:hint="eastAsia" w:asciiTheme="minorEastAsia" w:hAnsiTheme="minorEastAsia" w:cstheme="minorEastAsia"/>
          <w:color w:val="auto"/>
          <w:szCs w:val="21"/>
          <w:highlight w:val="none"/>
        </w:rPr>
        <w:t>天内完成审批并向承包方颁发最终结清证书。发包人逾期未完成审批，又未提出修改意见的，视为发包人同意承包方提交的最终结清申请单并已颁发最终结清证书 。</w:t>
      </w:r>
    </w:p>
    <w:p w14:paraId="75FAE6B1">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（2）发包人应在颁发最终结清证书后</w:t>
      </w:r>
      <w:r>
        <w:rPr>
          <w:rFonts w:hint="eastAsia" w:asciiTheme="minorEastAsia" w:hAnsiTheme="minorEastAsia" w:cstheme="minorEastAsia"/>
          <w:color w:val="auto"/>
          <w:szCs w:val="21"/>
          <w:highlight w:val="none"/>
          <w:u w:val="single"/>
        </w:rPr>
        <w:t xml:space="preserve"> C </w:t>
      </w:r>
      <w:r>
        <w:rPr>
          <w:rFonts w:hint="eastAsia" w:asciiTheme="minorEastAsia" w:hAnsiTheme="minorEastAsia" w:cstheme="minorEastAsia"/>
          <w:color w:val="auto"/>
          <w:kern w:val="0"/>
          <w:szCs w:val="21"/>
          <w:highlight w:val="none"/>
        </w:rPr>
        <w:t>（A、7；/ B、14；/ C、21）天</w:t>
      </w:r>
      <w:r>
        <w:rPr>
          <w:rFonts w:hint="eastAsia" w:asciiTheme="minorEastAsia" w:hAnsiTheme="minorEastAsia" w:cstheme="minorEastAsia"/>
          <w:color w:val="auto"/>
          <w:szCs w:val="21"/>
          <w:highlight w:val="none"/>
        </w:rPr>
        <w:t>内完成支付。发包人逾期支付的违约责任按通用条款执行。</w:t>
      </w:r>
    </w:p>
    <w:p w14:paraId="3570FF60">
      <w:pPr>
        <w:pStyle w:val="24"/>
        <w:spacing w:before="120" w:line="400" w:lineRule="exact"/>
        <w:rPr>
          <w:rFonts w:asciiTheme="minorEastAsia" w:hAnsiTheme="minorEastAsia" w:cstheme="minorEastAsia"/>
          <w:color w:val="auto"/>
          <w:kern w:val="0"/>
          <w:szCs w:val="21"/>
          <w:highlight w:val="none"/>
        </w:rPr>
      </w:pPr>
    </w:p>
    <w:p w14:paraId="4B01CF14">
      <w:pPr>
        <w:pStyle w:val="24"/>
        <w:spacing w:before="120"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第十条 缺陷责任期与保修</w:t>
      </w:r>
    </w:p>
    <w:p w14:paraId="1F721DDD">
      <w:pPr>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10.1</w:t>
      </w:r>
      <w:r>
        <w:rPr>
          <w:rFonts w:hint="eastAsia" w:asciiTheme="minorEastAsia" w:hAnsiTheme="minorEastAsia" w:cstheme="minorEastAsia"/>
          <w:b/>
          <w:color w:val="auto"/>
          <w:szCs w:val="21"/>
          <w:highlight w:val="none"/>
        </w:rPr>
        <w:t>缺陷责任期</w:t>
      </w:r>
    </w:p>
    <w:p w14:paraId="77F07AD4">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10.1.1</w:t>
      </w:r>
      <w:r>
        <w:rPr>
          <w:rFonts w:hint="eastAsia" w:asciiTheme="minorEastAsia" w:hAnsiTheme="minorEastAsia" w:cstheme="minorEastAsia"/>
          <w:color w:val="auto"/>
          <w:szCs w:val="21"/>
          <w:highlight w:val="none"/>
        </w:rPr>
        <w:t>本合同缺陷责任期为</w:t>
      </w:r>
      <w:r>
        <w:rPr>
          <w:rFonts w:hint="eastAsia" w:asciiTheme="minorEastAsia" w:hAnsiTheme="minorEastAsia" w:cstheme="minorEastAsia"/>
          <w:color w:val="auto"/>
          <w:szCs w:val="21"/>
          <w:highlight w:val="none"/>
          <w:u w:val="single"/>
        </w:rPr>
        <w:t xml:space="preserve"> C </w:t>
      </w:r>
      <w:r>
        <w:rPr>
          <w:rFonts w:hint="eastAsia" w:asciiTheme="minorEastAsia" w:hAnsiTheme="minorEastAsia" w:cstheme="minorEastAsia"/>
          <w:color w:val="auto"/>
          <w:kern w:val="0"/>
          <w:szCs w:val="21"/>
          <w:highlight w:val="none"/>
        </w:rPr>
        <w:t>（A、6；/ B、12；/ C、24）</w:t>
      </w:r>
      <w:r>
        <w:rPr>
          <w:rFonts w:hint="eastAsia" w:asciiTheme="minorEastAsia" w:hAnsiTheme="minorEastAsia" w:cstheme="minorEastAsia"/>
          <w:color w:val="auto"/>
          <w:szCs w:val="21"/>
          <w:highlight w:val="none"/>
        </w:rPr>
        <w:t>个月。</w:t>
      </w:r>
    </w:p>
    <w:p w14:paraId="5FA50529">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5.1.2工程竣工验收合格后，因承包方原因导致的缺陷使工程或某项主要设备不能按原定目的使用的，发包人有权在原缺陷责任期届满前要求承包方延长缺陷责任期，延长的缺陷责任期为</w:t>
      </w:r>
      <w:r>
        <w:rPr>
          <w:rFonts w:hint="eastAsia" w:asciiTheme="minorEastAsia" w:hAnsiTheme="minorEastAsia" w:cstheme="minorEastAsia"/>
          <w:color w:val="auto"/>
          <w:szCs w:val="21"/>
          <w:highlight w:val="none"/>
          <w:u w:val="single"/>
        </w:rPr>
        <w:t xml:space="preserve"> C </w:t>
      </w:r>
      <w:r>
        <w:rPr>
          <w:rFonts w:hint="eastAsia" w:asciiTheme="minorEastAsia" w:hAnsiTheme="minorEastAsia" w:cstheme="minorEastAsia"/>
          <w:color w:val="auto"/>
          <w:kern w:val="0"/>
          <w:szCs w:val="21"/>
          <w:highlight w:val="none"/>
        </w:rPr>
        <w:t>（A、6；/ B、12；/ C、24）</w:t>
      </w:r>
      <w:r>
        <w:rPr>
          <w:rFonts w:hint="eastAsia" w:asciiTheme="minorEastAsia" w:hAnsiTheme="minorEastAsia" w:cstheme="minorEastAsia"/>
          <w:color w:val="auto"/>
          <w:szCs w:val="21"/>
          <w:highlight w:val="none"/>
        </w:rPr>
        <w:t>个月。</w:t>
      </w:r>
    </w:p>
    <w:p w14:paraId="58C3D055">
      <w:pPr>
        <w:pStyle w:val="24"/>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 xml:space="preserve">10.2 质量保证担保 </w:t>
      </w:r>
    </w:p>
    <w:p w14:paraId="6B1C2FEF">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10.2.1 </w:t>
      </w:r>
      <w:r>
        <w:rPr>
          <w:rFonts w:hint="eastAsia" w:asciiTheme="minorEastAsia" w:hAnsiTheme="minorEastAsia" w:cstheme="minorEastAsia"/>
          <w:color w:val="auto"/>
          <w:szCs w:val="21"/>
          <w:highlight w:val="none"/>
        </w:rPr>
        <w:t>按《宁波市房屋建筑和市政基础设施工程担保管理办法（试行）》规定，</w:t>
      </w:r>
      <w:r>
        <w:rPr>
          <w:rFonts w:hint="eastAsia" w:asciiTheme="minorEastAsia" w:hAnsiTheme="minorEastAsia" w:cstheme="minorEastAsia"/>
          <w:color w:val="auto"/>
          <w:kern w:val="0"/>
          <w:szCs w:val="21"/>
          <w:highlight w:val="none"/>
        </w:rPr>
        <w:t>承包方提供的质量保证担保形式为</w:t>
      </w:r>
      <w:r>
        <w:rPr>
          <w:rFonts w:hint="eastAsia" w:asciiTheme="minorEastAsia" w:hAnsiTheme="minorEastAsia" w:cstheme="minorEastAsia"/>
          <w:color w:val="auto"/>
          <w:kern w:val="0"/>
          <w:szCs w:val="21"/>
          <w:highlight w:val="none"/>
          <w:u w:val="single"/>
        </w:rPr>
        <w:t xml:space="preserve"> </w:t>
      </w:r>
      <w:r>
        <w:rPr>
          <w:rFonts w:asciiTheme="minorEastAsia" w:hAnsi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rPr>
        <w:t>（A、质量保证金保函；/ B、质量保证金）。</w:t>
      </w:r>
    </w:p>
    <w:p w14:paraId="3367C29C">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10.2.2 </w:t>
      </w:r>
      <w:r>
        <w:rPr>
          <w:rFonts w:hint="eastAsia" w:asciiTheme="minorEastAsia" w:hAnsiTheme="minorEastAsia" w:cstheme="minorEastAsia"/>
          <w:color w:val="auto"/>
          <w:szCs w:val="21"/>
          <w:highlight w:val="none"/>
        </w:rPr>
        <w:t>采用质量保证金保函的，承包方最迟在缺陷责任期开始前7日将向发包人提供符合格式的银行保函一份。</w:t>
      </w:r>
    </w:p>
    <w:p w14:paraId="2EA1ABF8">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10.2.3 </w:t>
      </w:r>
      <w:r>
        <w:rPr>
          <w:rFonts w:hint="eastAsia" w:asciiTheme="minorEastAsia" w:hAnsiTheme="minorEastAsia" w:cstheme="minorEastAsia"/>
          <w:color w:val="auto"/>
          <w:szCs w:val="21"/>
          <w:highlight w:val="none"/>
        </w:rPr>
        <w:t>缺陷责任期延长的，承包方最迟应在原缺陷责任期届满之日前14天向发包人提交延长缺陷责任期的质量保证金保函或顺延原保函的有效期截止时间，否则发包人有权向第三方担保人提出索赔。</w:t>
      </w:r>
    </w:p>
    <w:p w14:paraId="0B4F2602">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10.2.4 </w:t>
      </w:r>
      <w:r>
        <w:rPr>
          <w:rFonts w:hint="eastAsia" w:asciiTheme="minorEastAsia" w:hAnsiTheme="minorEastAsia" w:cstheme="minorEastAsia"/>
          <w:color w:val="auto"/>
          <w:szCs w:val="21"/>
          <w:highlight w:val="none"/>
        </w:rPr>
        <w:t>质量保证金保函担保时间或质量保证金扣留期限与第10.1款约定的责任期保持一致。</w:t>
      </w:r>
    </w:p>
    <w:p w14:paraId="7671D731">
      <w:pPr>
        <w:spacing w:line="400" w:lineRule="exact"/>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 xml:space="preserve">10.2.5 </w:t>
      </w:r>
      <w:r>
        <w:rPr>
          <w:rFonts w:hint="eastAsia" w:asciiTheme="minorEastAsia" w:hAnsiTheme="minorEastAsia" w:cstheme="minorEastAsia"/>
          <w:bCs/>
          <w:color w:val="auto"/>
          <w:szCs w:val="21"/>
          <w:highlight w:val="none"/>
        </w:rPr>
        <w:t>质量保证金额度暂定为</w:t>
      </w:r>
      <w:r>
        <w:rPr>
          <w:rFonts w:hint="eastAsia" w:asciiTheme="minorEastAsia" w:hAnsiTheme="minorEastAsia" w:cstheme="minorEastAsia"/>
          <w:bCs/>
          <w:color w:val="auto"/>
          <w:kern w:val="0"/>
          <w:szCs w:val="21"/>
          <w:highlight w:val="none"/>
        </w:rPr>
        <w:t>合同金额</w:t>
      </w:r>
      <w:r>
        <w:rPr>
          <w:rFonts w:hint="eastAsia" w:asciiTheme="minorEastAsia" w:hAnsiTheme="minorEastAsia" w:cstheme="minorEastAsia"/>
          <w:bCs/>
          <w:color w:val="auto"/>
          <w:szCs w:val="21"/>
          <w:highlight w:val="none"/>
          <w:u w:val="single"/>
        </w:rPr>
        <w:t xml:space="preserve">  1.5 % ；</w:t>
      </w:r>
      <w:r>
        <w:rPr>
          <w:rFonts w:hint="eastAsia" w:cs="宋体"/>
          <w:color w:val="auto"/>
          <w:szCs w:val="21"/>
          <w:highlight w:val="none"/>
        </w:rPr>
        <w:t>承包人最迟在缺陷责任期开始前7日内向发包人提交质量保证金。</w:t>
      </w:r>
    </w:p>
    <w:p w14:paraId="0859630C">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10.2.6 </w:t>
      </w:r>
      <w:r>
        <w:rPr>
          <w:rFonts w:hint="eastAsia" w:asciiTheme="minorEastAsia" w:hAnsiTheme="minorEastAsia" w:cstheme="minorEastAsia"/>
          <w:color w:val="auto"/>
          <w:szCs w:val="21"/>
          <w:highlight w:val="none"/>
        </w:rPr>
        <w:t>承包方与质量保证担保有关的任何利息或其它类似的费用或者收益由承包方承担；因承包方原因导致缺陷责任期延长的，继续提供质量保证担保所增加的费用由承包方承担。</w:t>
      </w:r>
    </w:p>
    <w:p w14:paraId="68397ABB">
      <w:pPr>
        <w:pStyle w:val="24"/>
        <w:spacing w:line="400" w:lineRule="exact"/>
        <w:rPr>
          <w:rFonts w:asciiTheme="minorEastAsia" w:hAnsiTheme="minorEastAsia" w:cstheme="minorEastAsia"/>
          <w:b w:val="0"/>
          <w:color w:val="auto"/>
          <w:kern w:val="0"/>
          <w:sz w:val="21"/>
          <w:szCs w:val="21"/>
          <w:highlight w:val="none"/>
        </w:rPr>
      </w:pPr>
      <w:r>
        <w:rPr>
          <w:rFonts w:hint="eastAsia" w:asciiTheme="minorEastAsia" w:hAnsiTheme="minorEastAsia" w:cstheme="minorEastAsia"/>
          <w:b w:val="0"/>
          <w:color w:val="auto"/>
          <w:kern w:val="0"/>
          <w:sz w:val="21"/>
          <w:szCs w:val="21"/>
          <w:highlight w:val="none"/>
        </w:rPr>
        <w:t>10.2.7质量保修金的退还：质量缺陷责任期满并管理移交乙方开具收据后，3</w:t>
      </w:r>
      <w:r>
        <w:rPr>
          <w:rFonts w:asciiTheme="minorEastAsia" w:hAnsiTheme="minorEastAsia" w:cstheme="minorEastAsia"/>
          <w:b w:val="0"/>
          <w:color w:val="auto"/>
          <w:kern w:val="0"/>
          <w:sz w:val="21"/>
          <w:szCs w:val="21"/>
          <w:highlight w:val="none"/>
        </w:rPr>
        <w:t>0</w:t>
      </w:r>
      <w:r>
        <w:rPr>
          <w:rFonts w:hint="eastAsia" w:asciiTheme="minorEastAsia" w:hAnsiTheme="minorEastAsia" w:cstheme="minorEastAsia"/>
          <w:b w:val="0"/>
          <w:color w:val="auto"/>
          <w:kern w:val="0"/>
          <w:sz w:val="21"/>
          <w:szCs w:val="21"/>
          <w:highlight w:val="none"/>
        </w:rPr>
        <w:t>日内无息退还。</w:t>
      </w:r>
    </w:p>
    <w:p w14:paraId="00263AB1">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10.3 保修的一般规定</w:t>
      </w:r>
    </w:p>
    <w:p w14:paraId="55A65B36">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10.3.1 根据国务院的《建设工程质量管理条例》第三十二条规定：施工单位对施工中出现质量问题的建设工程或者竣工验收不合格的建设工程，应当负责返修。</w:t>
      </w:r>
    </w:p>
    <w:p w14:paraId="6A060853">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10.3.2 基础设施工程、房屋建筑的</w:t>
      </w:r>
      <w:r>
        <w:rPr>
          <w:color w:val="auto"/>
          <w:highlight w:val="none"/>
        </w:rPr>
        <w:fldChar w:fldCharType="begin"/>
      </w:r>
      <w:r>
        <w:rPr>
          <w:color w:val="auto"/>
          <w:highlight w:val="none"/>
        </w:rPr>
        <w:instrText xml:space="preserve"> HYPERLINK "http://baike.baidu.com/item/%E5%9C%B0%E5%9F%BA%E5%9F%BA%E7%A1%80%E5%B7%A5%E7%A8%8B" \t "_blank" </w:instrText>
      </w:r>
      <w:r>
        <w:rPr>
          <w:color w:val="auto"/>
          <w:highlight w:val="none"/>
        </w:rPr>
        <w:fldChar w:fldCharType="separate"/>
      </w:r>
      <w:r>
        <w:rPr>
          <w:rFonts w:hint="eastAsia" w:asciiTheme="minorEastAsia" w:hAnsiTheme="minorEastAsia" w:cstheme="minorEastAsia"/>
          <w:color w:val="auto"/>
          <w:kern w:val="0"/>
          <w:szCs w:val="21"/>
          <w:highlight w:val="none"/>
        </w:rPr>
        <w:t>地基基础工程</w:t>
      </w:r>
      <w:r>
        <w:rPr>
          <w:rFonts w:hint="eastAsia" w:asciiTheme="minorEastAsia" w:hAnsiTheme="minorEastAsia" w:cstheme="minorEastAsia"/>
          <w:color w:val="auto"/>
          <w:kern w:val="0"/>
          <w:szCs w:val="21"/>
          <w:highlight w:val="none"/>
        </w:rPr>
        <w:fldChar w:fldCharType="end"/>
      </w:r>
      <w:r>
        <w:rPr>
          <w:rFonts w:hint="eastAsia" w:asciiTheme="minorEastAsia" w:hAnsiTheme="minorEastAsia" w:cstheme="minorEastAsia"/>
          <w:color w:val="auto"/>
          <w:kern w:val="0"/>
          <w:szCs w:val="21"/>
          <w:highlight w:val="none"/>
        </w:rPr>
        <w:t>和</w:t>
      </w:r>
      <w:r>
        <w:rPr>
          <w:color w:val="auto"/>
          <w:highlight w:val="none"/>
        </w:rPr>
        <w:fldChar w:fldCharType="begin"/>
      </w:r>
      <w:r>
        <w:rPr>
          <w:color w:val="auto"/>
          <w:highlight w:val="none"/>
        </w:rPr>
        <w:instrText xml:space="preserve"> HYPERLINK "http://baike.baidu.com/item/%E4%B8%BB%E4%BD%93%E7%BB%93%E6%9E%84%E5%B7%A5%E7%A8%8B" \t "_blank" </w:instrText>
      </w:r>
      <w:r>
        <w:rPr>
          <w:color w:val="auto"/>
          <w:highlight w:val="none"/>
        </w:rPr>
        <w:fldChar w:fldCharType="separate"/>
      </w:r>
      <w:r>
        <w:rPr>
          <w:rFonts w:hint="eastAsia" w:asciiTheme="minorEastAsia" w:hAnsiTheme="minorEastAsia" w:cstheme="minorEastAsia"/>
          <w:color w:val="auto"/>
          <w:kern w:val="0"/>
          <w:szCs w:val="21"/>
          <w:highlight w:val="none"/>
        </w:rPr>
        <w:t>主体结构工程</w:t>
      </w:r>
      <w:r>
        <w:rPr>
          <w:rFonts w:hint="eastAsia" w:asciiTheme="minorEastAsia" w:hAnsiTheme="minorEastAsia" w:cstheme="minorEastAsia"/>
          <w:color w:val="auto"/>
          <w:kern w:val="0"/>
          <w:szCs w:val="21"/>
          <w:highlight w:val="none"/>
        </w:rPr>
        <w:fldChar w:fldCharType="end"/>
      </w:r>
      <w:r>
        <w:rPr>
          <w:rFonts w:hint="eastAsia" w:asciiTheme="minorEastAsia" w:hAnsiTheme="minorEastAsia" w:cstheme="minorEastAsia"/>
          <w:color w:val="auto"/>
          <w:kern w:val="0"/>
          <w:szCs w:val="21"/>
          <w:highlight w:val="none"/>
        </w:rPr>
        <w:t>，为设计文件规定的该工程的合理使用年限。</w:t>
      </w:r>
    </w:p>
    <w:p w14:paraId="047A3AFD">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10.3.3 屋面防水工程、有防水要求的卫生间、房间和外墙面的防渗漏，为5年。</w:t>
      </w:r>
    </w:p>
    <w:p w14:paraId="60359F6D">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10.3.4 供热与供冷系统，为2个采暖期、供冷期。</w:t>
      </w:r>
    </w:p>
    <w:p w14:paraId="0431F630">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10.3.5 电气管线、给排水管道、设备安装和装修工程，为2年，本项目质保期为2年。</w:t>
      </w:r>
    </w:p>
    <w:p w14:paraId="0BBE3DE6">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10.3.6 根据国务院的《建设工程质量管理条例》第四十一条规定：建设工程在保修范围和保修期限内发生质量问题的，施工单位应当履行保修义务，并对造成的损失承担赔偿责任。</w:t>
      </w:r>
    </w:p>
    <w:p w14:paraId="1C594559">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10.4 修复通知</w:t>
      </w:r>
    </w:p>
    <w:p w14:paraId="27C621EE">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合同当事人约定：保修期内，出现质量问题，承包方在接到发包人通知必须立即组织人员进场维修，响应时间（到现场）不得大于</w:t>
      </w:r>
      <w:r>
        <w:rPr>
          <w:rFonts w:asciiTheme="minorEastAsia" w:hAnsiTheme="minorEastAsia" w:cstheme="minorEastAsia"/>
          <w:color w:val="auto"/>
          <w:kern w:val="0"/>
          <w:szCs w:val="21"/>
          <w:highlight w:val="none"/>
        </w:rPr>
        <w:t>4</w:t>
      </w:r>
      <w:r>
        <w:rPr>
          <w:rFonts w:hint="eastAsia" w:asciiTheme="minorEastAsia" w:hAnsiTheme="minorEastAsia" w:cstheme="minorEastAsia"/>
          <w:color w:val="auto"/>
          <w:kern w:val="0"/>
          <w:szCs w:val="21"/>
          <w:highlight w:val="none"/>
        </w:rPr>
        <w:t>小时，一般质量维修需在</w:t>
      </w:r>
      <w:r>
        <w:rPr>
          <w:rFonts w:asciiTheme="minorEastAsia" w:hAnsiTheme="minorEastAsia" w:cstheme="minorEastAsia"/>
          <w:color w:val="auto"/>
          <w:kern w:val="0"/>
          <w:szCs w:val="21"/>
          <w:highlight w:val="none"/>
        </w:rPr>
        <w:t>3</w:t>
      </w:r>
      <w:r>
        <w:rPr>
          <w:rFonts w:hint="eastAsia" w:asciiTheme="minorEastAsia" w:hAnsiTheme="minorEastAsia" w:cstheme="minorEastAsia"/>
          <w:color w:val="auto"/>
          <w:kern w:val="0"/>
          <w:szCs w:val="21"/>
          <w:highlight w:val="none"/>
        </w:rPr>
        <w:t>天内维修完毕，严重质量问题需在接到发包人通知后</w:t>
      </w:r>
      <w:r>
        <w:rPr>
          <w:rFonts w:asciiTheme="minorEastAsia" w:hAnsiTheme="minorEastAsia" w:cstheme="minorEastAsia"/>
          <w:color w:val="auto"/>
          <w:kern w:val="0"/>
          <w:szCs w:val="21"/>
          <w:highlight w:val="none"/>
        </w:rPr>
        <w:t>3</w:t>
      </w:r>
      <w:r>
        <w:rPr>
          <w:rFonts w:hint="eastAsia" w:asciiTheme="minorEastAsia" w:hAnsiTheme="minorEastAsia" w:cstheme="minorEastAsia"/>
          <w:color w:val="auto"/>
          <w:kern w:val="0"/>
          <w:szCs w:val="21"/>
          <w:highlight w:val="none"/>
        </w:rPr>
        <w:t>天内拿出维修方案（须经发包人认可），按维修方案进行维修。若承包方未按约定时间到场，发包人有权自行组织修复或委托第三方修复，发生的修理费用从承包方工程质量保证金中扣除，并视具体情况追究承包方延误维修时间造成的直接损失。</w:t>
      </w:r>
    </w:p>
    <w:p w14:paraId="77105C95">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10.4.1本项目保修期执行《建设工程质量管理条例》及浙江省、宁波市相关保修规定。</w:t>
      </w:r>
    </w:p>
    <w:p w14:paraId="49BCB804">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10.4.2本工程保修期《工程质量保修书》所约定的期间，保修期始于项目正式竣工验收合格的日期。在保修期内承包方应无偿对项目进行修理。</w:t>
      </w:r>
    </w:p>
    <w:p w14:paraId="67EC3CE7">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10.4.3在保修期内，接到发包人指令后，及时赶到现场并采取切实可行的措施进行抢险抢修，完成相关维修工作内容，否则发包人有权采取一切措施自行完成，相关费用由承包方承担，并扣罚该分部工程保修费。</w:t>
      </w:r>
    </w:p>
    <w:p w14:paraId="6CE966BF">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10.4.4若因维修人员不到位，保修金不予退还，影响恶劣的，发包人有权向承包方索赔，且由此所造成的一切损失由承包方负责。</w:t>
      </w:r>
    </w:p>
    <w:p w14:paraId="51179EC1">
      <w:pPr>
        <w:pStyle w:val="24"/>
        <w:spacing w:before="120" w:line="400" w:lineRule="exact"/>
        <w:rPr>
          <w:rFonts w:asciiTheme="minorEastAsia" w:hAnsiTheme="minorEastAsia" w:cstheme="minorEastAsia"/>
          <w:color w:val="auto"/>
          <w:kern w:val="0"/>
          <w:szCs w:val="21"/>
          <w:highlight w:val="none"/>
        </w:rPr>
      </w:pPr>
    </w:p>
    <w:p w14:paraId="12322536">
      <w:pPr>
        <w:pStyle w:val="24"/>
        <w:spacing w:before="120"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第十一条 违约</w:t>
      </w:r>
    </w:p>
    <w:p w14:paraId="28CA4CF4">
      <w:pPr>
        <w:pStyle w:val="24"/>
        <w:spacing w:before="120" w:line="400" w:lineRule="exact"/>
        <w:rPr>
          <w:rFonts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11.1 发包人违约</w:t>
      </w:r>
    </w:p>
    <w:p w14:paraId="73F6F94A">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11.1.1</w:t>
      </w:r>
      <w:r>
        <w:rPr>
          <w:rFonts w:hint="eastAsia" w:asciiTheme="minorEastAsia" w:hAnsiTheme="minorEastAsia" w:cstheme="minorEastAsia"/>
          <w:color w:val="auto"/>
          <w:szCs w:val="21"/>
          <w:highlight w:val="none"/>
        </w:rPr>
        <w:t xml:space="preserve"> 发包人在合同履行过程中发生的违约情形：参照通用条款。</w:t>
      </w:r>
    </w:p>
    <w:p w14:paraId="64C6851D">
      <w:pPr>
        <w:autoSpaceDE w:val="0"/>
        <w:autoSpaceDN w:val="0"/>
        <w:adjustRightInd w:val="0"/>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11.1.2 </w:t>
      </w:r>
      <w:r>
        <w:rPr>
          <w:rFonts w:hint="eastAsia" w:asciiTheme="minorEastAsia" w:hAnsiTheme="minorEastAsia" w:cstheme="minorEastAsia"/>
          <w:color w:val="auto"/>
          <w:szCs w:val="21"/>
          <w:highlight w:val="none"/>
        </w:rPr>
        <w:t>发包人发生上款约定的违约情形时，承包方应当先行向发包人书面发出通知，要求发包人采取有效措施纠正违约行为。发包人收到承包方通知后28天内仍不纠正违约行为的，承包方方可暂停相应部位工程施工，并追究发包人的违约责任或解除合同。</w:t>
      </w:r>
    </w:p>
    <w:p w14:paraId="2EEDA5D8">
      <w:pPr>
        <w:autoSpaceDE w:val="0"/>
        <w:autoSpaceDN w:val="0"/>
        <w:adjustRightInd w:val="0"/>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11.1.3 </w:t>
      </w:r>
      <w:r>
        <w:rPr>
          <w:rFonts w:hint="eastAsia" w:asciiTheme="minorEastAsia" w:hAnsiTheme="minorEastAsia" w:cstheme="minorEastAsia"/>
          <w:color w:val="auto"/>
          <w:szCs w:val="21"/>
          <w:highlight w:val="none"/>
        </w:rPr>
        <w:t>发包人违约的责任</w:t>
      </w:r>
    </w:p>
    <w:p w14:paraId="6E00100E">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违约金以未按合同约定支付部分的合同价款为基数计算（以全国银行间同业拆借中心公布的贷款市场报价利率为准）；逾期支付超过56天的，承包方可要求发包人支付两倍违约金（以全国银行间同业拆借中心公布的贷款市场报价利率为准），同时承包方可要求发包人支付合同价款。除此之外，承包方有权向发包人追偿由于发包人违约行为给承包方造成的重大经济损失。</w:t>
      </w:r>
    </w:p>
    <w:p w14:paraId="1374D8F5">
      <w:pPr>
        <w:autoSpaceDE w:val="0"/>
        <w:autoSpaceDN w:val="0"/>
        <w:adjustRightInd w:val="0"/>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11.1.4 </w:t>
      </w:r>
      <w:r>
        <w:rPr>
          <w:rFonts w:hint="eastAsia" w:asciiTheme="minorEastAsia" w:hAnsiTheme="minorEastAsia" w:cstheme="minorEastAsia"/>
          <w:color w:val="auto"/>
          <w:szCs w:val="21"/>
          <w:highlight w:val="none"/>
        </w:rPr>
        <w:t>因发包人违约解除合同后的付款</w:t>
      </w:r>
    </w:p>
    <w:p w14:paraId="04B3E9D4">
      <w:pPr>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承包方按照本款约定解除合同后，发包人应在28天内支付下列款项，并解除履约担保：</w:t>
      </w:r>
    </w:p>
    <w:p w14:paraId="051E0DAF">
      <w:pPr>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（1）合同解除前所完成工作的价款；</w:t>
      </w:r>
    </w:p>
    <w:p w14:paraId="6CFFB7BB">
      <w:pPr>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（2）按照合同约定在合同解除前应支付的违约金；</w:t>
      </w:r>
    </w:p>
    <w:p w14:paraId="293873E0">
      <w:pPr>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（3）按照合同约定应退还的工程质量保证金。</w:t>
      </w:r>
    </w:p>
    <w:p w14:paraId="75C2246D">
      <w:pPr>
        <w:pStyle w:val="24"/>
        <w:spacing w:before="120" w:line="400" w:lineRule="exact"/>
        <w:rPr>
          <w:rFonts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11.2 承包方违约</w:t>
      </w:r>
    </w:p>
    <w:p w14:paraId="33FC5173">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11.2.1 </w:t>
      </w:r>
      <w:r>
        <w:rPr>
          <w:rFonts w:hint="eastAsia" w:asciiTheme="minorEastAsia" w:hAnsiTheme="minorEastAsia" w:cstheme="minorEastAsia"/>
          <w:color w:val="auto"/>
          <w:szCs w:val="21"/>
          <w:highlight w:val="none"/>
        </w:rPr>
        <w:t>承包方违约的情形按通用条款确定。</w:t>
      </w:r>
    </w:p>
    <w:p w14:paraId="71CD7953">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11.2.2 </w:t>
      </w:r>
      <w:r>
        <w:rPr>
          <w:rFonts w:hint="eastAsia" w:asciiTheme="minorEastAsia" w:hAnsiTheme="minorEastAsia" w:cstheme="minorEastAsia"/>
          <w:color w:val="auto"/>
          <w:szCs w:val="21"/>
          <w:highlight w:val="none"/>
        </w:rPr>
        <w:t>本工程禁止承包方将其承包的全部建筑工程转包给他人，禁止将其承包的全部建筑工程肢解以后以分包的名义分别转包给他人。若有违反，发包人有权一次性没收全部工程质量保证金并解除合同，</w:t>
      </w:r>
      <w:r>
        <w:rPr>
          <w:rFonts w:hint="eastAsia" w:asciiTheme="minorEastAsia" w:hAnsiTheme="minorEastAsia" w:cstheme="minorEastAsia"/>
          <w:color w:val="auto"/>
          <w:kern w:val="0"/>
          <w:szCs w:val="21"/>
          <w:highlight w:val="none"/>
        </w:rPr>
        <w:t>由此造成的费用增加和工期延误损失均由承包方承担。承包方违反合同约定采购和使用不合格的材料和工程设备的；每发现一次，根据情节严重程度处于1000-100000元罚款。发包人有权对承包方不服从工程质量、进度、安全文明等管理的行为，酌情处以1000-10000元/次的罚款，并在当期工程款中扣除。</w:t>
      </w:r>
    </w:p>
    <w:p w14:paraId="72B4491B">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11.2.3 </w:t>
      </w:r>
      <w:r>
        <w:rPr>
          <w:rFonts w:hint="eastAsia" w:asciiTheme="minorEastAsia" w:hAnsiTheme="minorEastAsia" w:cstheme="minorEastAsia"/>
          <w:color w:val="auto"/>
          <w:szCs w:val="21"/>
          <w:highlight w:val="none"/>
        </w:rPr>
        <w:t>承包方违约的责任</w:t>
      </w:r>
    </w:p>
    <w:p w14:paraId="096576A4">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承包方应承担其违约行为及纠正其违约行为而增加的费用和（或）延误的工期。延误工期的，根据实际延误的时间，按</w:t>
      </w:r>
      <w:r>
        <w:rPr>
          <w:rFonts w:hint="eastAsia" w:asciiTheme="minorEastAsia" w:hAnsiTheme="minorEastAsia" w:cstheme="minorEastAsia"/>
          <w:color w:val="auto"/>
          <w:kern w:val="0"/>
          <w:szCs w:val="21"/>
          <w:highlight w:val="none"/>
        </w:rPr>
        <w:t>本合同约定的工期延误赔偿标准向发</w:t>
      </w:r>
      <w:r>
        <w:rPr>
          <w:rFonts w:hint="eastAsia" w:asciiTheme="minorEastAsia" w:hAnsiTheme="minorEastAsia" w:cstheme="minorEastAsia"/>
          <w:color w:val="auto"/>
          <w:szCs w:val="21"/>
          <w:highlight w:val="none"/>
        </w:rPr>
        <w:t>包人支付违约金；延误超过56天的，按</w:t>
      </w:r>
      <w:r>
        <w:rPr>
          <w:rFonts w:hint="eastAsia" w:asciiTheme="minorEastAsia" w:hAnsiTheme="minorEastAsia" w:cstheme="minorEastAsia"/>
          <w:color w:val="auto"/>
          <w:kern w:val="0"/>
          <w:szCs w:val="21"/>
          <w:highlight w:val="none"/>
        </w:rPr>
        <w:t>本合同约定的工期延误赔偿标准两倍支付违约金；逾期竣工违约金的限额不足时，发包人有权向承包方追偿。</w:t>
      </w:r>
    </w:p>
    <w:p w14:paraId="14851F5D">
      <w:pPr>
        <w:pStyle w:val="30"/>
        <w:spacing w:line="400" w:lineRule="exact"/>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kern w:val="0"/>
          <w:sz w:val="21"/>
          <w:szCs w:val="21"/>
          <w:highlight w:val="none"/>
        </w:rPr>
        <w:t>11.2.4</w:t>
      </w:r>
      <w:r>
        <w:rPr>
          <w:rFonts w:hint="eastAsia" w:asciiTheme="minorEastAsia" w:hAnsiTheme="minorEastAsia" w:eastAsiaTheme="minorEastAsia" w:cstheme="minorEastAsia"/>
          <w:b w:val="0"/>
          <w:color w:val="auto"/>
          <w:sz w:val="21"/>
          <w:szCs w:val="21"/>
          <w:highlight w:val="none"/>
        </w:rPr>
        <w:t xml:space="preserve"> 根本违约</w:t>
      </w:r>
    </w:p>
    <w:p w14:paraId="5210E596">
      <w:pPr>
        <w:spacing w:line="400" w:lineRule="exact"/>
        <w:rPr>
          <w:rFonts w:ascii="宋体" w:hAnsi="宋体"/>
          <w:color w:val="auto"/>
          <w:szCs w:val="21"/>
          <w:highlight w:val="none"/>
        </w:rPr>
      </w:pPr>
      <w:r>
        <w:rPr>
          <w:rFonts w:hint="eastAsia" w:ascii="宋体" w:hAnsi="宋体"/>
          <w:color w:val="auto"/>
          <w:szCs w:val="21"/>
          <w:highlight w:val="none"/>
        </w:rPr>
        <w:t>承包方未能在规定的工期内完成施工内容，延误项目或因施工单位自身能力等主观原因造成不能完成发包人要求的，发包人有权按本协议约定追究承包方的违约责任。连续三次未达到施工要求或延误工期的，发包人有权解除合同。</w:t>
      </w:r>
    </w:p>
    <w:p w14:paraId="6D448B2C">
      <w:pPr>
        <w:pStyle w:val="30"/>
        <w:spacing w:line="400" w:lineRule="exact"/>
        <w:rPr>
          <w:rFonts w:asciiTheme="minorEastAsia" w:hAnsiTheme="minorEastAsia" w:eastAsiaTheme="minorEastAsia" w:cstheme="minorEastAsia"/>
          <w:color w:val="auto"/>
          <w:kern w:val="0"/>
          <w:sz w:val="24"/>
          <w:szCs w:val="21"/>
          <w:highlight w:val="none"/>
        </w:rPr>
      </w:pPr>
    </w:p>
    <w:p w14:paraId="799C1576">
      <w:pPr>
        <w:pStyle w:val="30"/>
        <w:spacing w:line="400" w:lineRule="exact"/>
        <w:rPr>
          <w:rFonts w:asciiTheme="minorEastAsia" w:hAnsiTheme="minorEastAsia" w:eastAsiaTheme="minorEastAsia" w:cstheme="minorEastAsia"/>
          <w:color w:val="auto"/>
          <w:kern w:val="0"/>
          <w:sz w:val="24"/>
          <w:szCs w:val="21"/>
          <w:highlight w:val="none"/>
        </w:rPr>
      </w:pPr>
      <w:r>
        <w:rPr>
          <w:rFonts w:hint="eastAsia" w:asciiTheme="minorEastAsia" w:hAnsiTheme="minorEastAsia" w:eastAsiaTheme="minorEastAsia" w:cstheme="minorEastAsia"/>
          <w:color w:val="auto"/>
          <w:kern w:val="0"/>
          <w:sz w:val="24"/>
          <w:szCs w:val="21"/>
          <w:highlight w:val="none"/>
        </w:rPr>
        <w:t>第十二条 不可抗力</w:t>
      </w:r>
    </w:p>
    <w:p w14:paraId="73F04115">
      <w:pPr>
        <w:pStyle w:val="30"/>
        <w:spacing w:line="400" w:lineRule="exact"/>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12.1 不可抗力的确认</w:t>
      </w:r>
    </w:p>
    <w:p w14:paraId="62FDAE26">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除通用合同条款约定的不可抗力事件之外，视为不可抗力的其他情形： 火灾、洪水、罢工、政府征用、政府禁止令、疫情等。</w:t>
      </w:r>
    </w:p>
    <w:p w14:paraId="390EDAD2">
      <w:pPr>
        <w:pStyle w:val="24"/>
        <w:spacing w:before="120" w:line="400" w:lineRule="exact"/>
        <w:rPr>
          <w:rFonts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12.2 因不可抗力解除合同</w:t>
      </w:r>
    </w:p>
    <w:p w14:paraId="09ED7D2A">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合同解除后，发包人应在商定或确定发包人应支付款项后28 天内完成款项的支付。</w:t>
      </w:r>
    </w:p>
    <w:p w14:paraId="76E763AF">
      <w:pPr>
        <w:pStyle w:val="30"/>
        <w:spacing w:line="400" w:lineRule="exact"/>
        <w:rPr>
          <w:rFonts w:asciiTheme="minorEastAsia" w:hAnsiTheme="minorEastAsia" w:eastAsiaTheme="minorEastAsia" w:cstheme="minorEastAsia"/>
          <w:color w:val="auto"/>
          <w:sz w:val="24"/>
          <w:szCs w:val="21"/>
          <w:highlight w:val="none"/>
        </w:rPr>
      </w:pPr>
    </w:p>
    <w:p w14:paraId="25E82FF4">
      <w:pPr>
        <w:pStyle w:val="30"/>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第十三条 保险</w:t>
      </w:r>
    </w:p>
    <w:p w14:paraId="57847563">
      <w:pPr>
        <w:pStyle w:val="24"/>
        <w:spacing w:before="120" w:line="400" w:lineRule="exact"/>
        <w:rPr>
          <w:rFonts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13.1 工程保险</w:t>
      </w:r>
    </w:p>
    <w:p w14:paraId="0F983753">
      <w:pPr>
        <w:pStyle w:val="24"/>
        <w:spacing w:before="120" w:line="400" w:lineRule="exact"/>
        <w:rPr>
          <w:rFonts w:asciiTheme="minorEastAsia" w:hAnsiTheme="minorEastAsia" w:cstheme="minorEastAsia"/>
          <w:b w:val="0"/>
          <w:color w:val="auto"/>
          <w:kern w:val="0"/>
          <w:sz w:val="21"/>
          <w:szCs w:val="21"/>
          <w:highlight w:val="none"/>
          <w:u w:val="single"/>
        </w:rPr>
      </w:pPr>
      <w:r>
        <w:rPr>
          <w:rFonts w:hint="eastAsia" w:asciiTheme="minorEastAsia" w:hAnsiTheme="minorEastAsia" w:cstheme="minorEastAsia"/>
          <w:b w:val="0"/>
          <w:color w:val="auto"/>
          <w:kern w:val="0"/>
          <w:sz w:val="21"/>
          <w:szCs w:val="21"/>
          <w:highlight w:val="none"/>
        </w:rPr>
        <w:t>关于工程保险的特别约定：</w:t>
      </w:r>
      <w:r>
        <w:rPr>
          <w:rFonts w:hint="eastAsia" w:asciiTheme="minorEastAsia" w:hAnsiTheme="minorEastAsia" w:cstheme="minorEastAsia"/>
          <w:b w:val="0"/>
          <w:color w:val="auto"/>
          <w:kern w:val="0"/>
          <w:sz w:val="21"/>
          <w:szCs w:val="21"/>
          <w:highlight w:val="none"/>
          <w:u w:val="single"/>
        </w:rPr>
        <w:t>承包人进场施工前必须办妥职工意外伤害险及发包人另有要求的其余险种，费用均在承包人的投标报价和合同总价中综合考虑，承包人不再向发包人另外计取；在施工过程中发生的一切安全生产事故及其他事故，由承包人负担一切责任，同发包人无涉。</w:t>
      </w:r>
    </w:p>
    <w:p w14:paraId="5D8F3541">
      <w:pPr>
        <w:pStyle w:val="24"/>
        <w:spacing w:before="120" w:line="400" w:lineRule="exact"/>
        <w:rPr>
          <w:rFonts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13.2 其他保险</w:t>
      </w:r>
    </w:p>
    <w:p w14:paraId="59FAF11A">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关于其他保险的约定：除第三者责任险外，保险费用由被保险人承担；承包方</w:t>
      </w:r>
      <w:r>
        <w:rPr>
          <w:rFonts w:hint="eastAsia" w:asciiTheme="minorEastAsia" w:hAnsiTheme="minorEastAsia" w:cstheme="minorEastAsia"/>
          <w:color w:val="auto"/>
          <w:kern w:val="0"/>
          <w:szCs w:val="21"/>
          <w:highlight w:val="none"/>
          <w:u w:val="single"/>
        </w:rPr>
        <w:t xml:space="preserve"> B </w:t>
      </w:r>
      <w:r>
        <w:rPr>
          <w:rFonts w:hint="eastAsia" w:asciiTheme="minorEastAsia" w:hAnsiTheme="minorEastAsia" w:cstheme="minorEastAsia"/>
          <w:color w:val="auto"/>
          <w:kern w:val="0"/>
          <w:szCs w:val="21"/>
          <w:highlight w:val="none"/>
        </w:rPr>
        <w:t>（A、应当；/ B、不需）为其施工设备等办理财产保险。</w:t>
      </w:r>
    </w:p>
    <w:p w14:paraId="0B006145">
      <w:pPr>
        <w:pStyle w:val="30"/>
        <w:spacing w:line="400" w:lineRule="exact"/>
        <w:rPr>
          <w:rFonts w:asciiTheme="minorEastAsia" w:hAnsiTheme="minorEastAsia" w:eastAsiaTheme="minorEastAsia" w:cstheme="minorEastAsia"/>
          <w:color w:val="auto"/>
          <w:sz w:val="24"/>
          <w:szCs w:val="21"/>
          <w:highlight w:val="none"/>
        </w:rPr>
      </w:pPr>
    </w:p>
    <w:p w14:paraId="28A039FB">
      <w:pPr>
        <w:pStyle w:val="30"/>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第十四条 争议解决</w:t>
      </w:r>
    </w:p>
    <w:p w14:paraId="25DD2894">
      <w:pPr>
        <w:pStyle w:val="24"/>
        <w:spacing w:before="120" w:line="400" w:lineRule="exact"/>
        <w:rPr>
          <w:rFonts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14.1 争议评审</w:t>
      </w:r>
    </w:p>
    <w:p w14:paraId="306A79CD">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合同当事人</w:t>
      </w:r>
      <w:r>
        <w:rPr>
          <w:rFonts w:hint="eastAsia" w:asciiTheme="minorEastAsia" w:hAnsiTheme="minorEastAsia" w:cstheme="minorEastAsia"/>
          <w:color w:val="auto"/>
          <w:kern w:val="0"/>
          <w:szCs w:val="21"/>
          <w:highlight w:val="none"/>
          <w:u w:val="single"/>
        </w:rPr>
        <w:t xml:space="preserve"> B </w:t>
      </w:r>
      <w:r>
        <w:rPr>
          <w:rFonts w:hint="eastAsia" w:asciiTheme="minorEastAsia" w:hAnsiTheme="minorEastAsia" w:cstheme="minorEastAsia"/>
          <w:color w:val="auto"/>
          <w:kern w:val="0"/>
          <w:szCs w:val="21"/>
          <w:highlight w:val="none"/>
        </w:rPr>
        <w:t xml:space="preserve">（A、同意；/ B、不同意）将工程争议提交争议评审小组决定。  </w:t>
      </w:r>
    </w:p>
    <w:p w14:paraId="7FCF849C">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14.1.1 争议评审小组的确定</w:t>
      </w:r>
    </w:p>
    <w:p w14:paraId="571F5E64">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（1）争议评审小组组成：发包人和承包方共同选择3名争议评审员组成争议评审小组。</w:t>
      </w:r>
    </w:p>
    <w:p w14:paraId="6974F6C5">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选定争议评审员的期限：自合同签订后28天内，或者争议发生后14天内，选定争议评审员。</w:t>
      </w:r>
    </w:p>
    <w:p w14:paraId="472BD89B">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（2）争议评审小组成员的报酬承担方式：甲乙双方各承担一半。</w:t>
      </w:r>
    </w:p>
    <w:p w14:paraId="78218181">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（3）其他事项的约定：</w:t>
      </w:r>
      <w:r>
        <w:rPr>
          <w:rFonts w:hint="eastAsia" w:asciiTheme="minorEastAsia" w:hAnsiTheme="minorEastAsia" w:cstheme="minorEastAsia"/>
          <w:color w:val="auto"/>
          <w:kern w:val="0"/>
          <w:szCs w:val="21"/>
          <w:highlight w:val="none"/>
          <w:u w:val="single"/>
        </w:rPr>
        <w:t xml:space="preserve">   /   </w:t>
      </w:r>
      <w:r>
        <w:rPr>
          <w:rFonts w:hint="eastAsia" w:asciiTheme="minorEastAsia" w:hAnsiTheme="minorEastAsia" w:cstheme="minorEastAsia"/>
          <w:color w:val="auto"/>
          <w:kern w:val="0"/>
          <w:szCs w:val="21"/>
          <w:highlight w:val="none"/>
        </w:rPr>
        <w:t>。</w:t>
      </w:r>
    </w:p>
    <w:p w14:paraId="387231D7">
      <w:pPr>
        <w:pStyle w:val="24"/>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kern w:val="0"/>
          <w:sz w:val="21"/>
          <w:szCs w:val="21"/>
          <w:highlight w:val="none"/>
        </w:rPr>
        <w:t xml:space="preserve">14.2 </w:t>
      </w:r>
      <w:r>
        <w:rPr>
          <w:rFonts w:hint="eastAsia" w:asciiTheme="minorEastAsia" w:hAnsiTheme="minorEastAsia" w:cstheme="minorEastAsia"/>
          <w:color w:val="auto"/>
          <w:sz w:val="21"/>
          <w:szCs w:val="21"/>
          <w:highlight w:val="none"/>
        </w:rPr>
        <w:t>仲裁或诉讼</w:t>
      </w:r>
    </w:p>
    <w:p w14:paraId="0FEEE83D">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因合同及合同有关事项发生的争议，按下列第</w:t>
      </w:r>
      <w:r>
        <w:rPr>
          <w:rFonts w:hint="eastAsia" w:asciiTheme="minorEastAsia" w:hAnsiTheme="minorEastAsia" w:cstheme="minorEastAsia"/>
          <w:color w:val="auto"/>
          <w:kern w:val="0"/>
          <w:szCs w:val="21"/>
          <w:highlight w:val="none"/>
          <w:u w:val="single"/>
        </w:rPr>
        <w:t xml:space="preserve"> 1 </w:t>
      </w:r>
      <w:r>
        <w:rPr>
          <w:rFonts w:hint="eastAsia" w:asciiTheme="minorEastAsia" w:hAnsiTheme="minorEastAsia" w:cstheme="minorEastAsia"/>
          <w:color w:val="auto"/>
          <w:kern w:val="0"/>
          <w:szCs w:val="21"/>
          <w:highlight w:val="none"/>
        </w:rPr>
        <w:t>种方式解决：</w:t>
      </w:r>
    </w:p>
    <w:p w14:paraId="5B502B8C">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（1）向</w:t>
      </w:r>
      <w:r>
        <w:rPr>
          <w:rFonts w:hint="eastAsia" w:asciiTheme="minorEastAsia" w:hAnsiTheme="minorEastAsia" w:cstheme="minorEastAsia"/>
          <w:color w:val="auto"/>
          <w:kern w:val="0"/>
          <w:szCs w:val="21"/>
          <w:highlight w:val="none"/>
          <w:u w:val="single"/>
        </w:rPr>
        <w:t xml:space="preserve">  宁波  </w:t>
      </w:r>
      <w:r>
        <w:rPr>
          <w:rFonts w:hint="eastAsia" w:asciiTheme="minorEastAsia" w:hAnsiTheme="minorEastAsia" w:cstheme="minorEastAsia"/>
          <w:color w:val="auto"/>
          <w:kern w:val="0"/>
          <w:szCs w:val="21"/>
          <w:highlight w:val="none"/>
        </w:rPr>
        <w:t>仲裁委员会申请仲裁；</w:t>
      </w:r>
    </w:p>
    <w:p w14:paraId="2DA38D53">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（2）向</w:t>
      </w:r>
      <w:r>
        <w:rPr>
          <w:rFonts w:hint="eastAsia" w:asciiTheme="minorEastAsia" w:hAnsiTheme="minorEastAsia" w:cstheme="minorEastAsia"/>
          <w:color w:val="auto"/>
          <w:kern w:val="0"/>
          <w:szCs w:val="21"/>
          <w:highlight w:val="none"/>
          <w:u w:val="single"/>
        </w:rPr>
        <w:t xml:space="preserve"> 宁波市海曙区 </w:t>
      </w:r>
      <w:r>
        <w:rPr>
          <w:rFonts w:hint="eastAsia" w:asciiTheme="minorEastAsia" w:hAnsiTheme="minorEastAsia" w:cstheme="minorEastAsia"/>
          <w:color w:val="auto"/>
          <w:kern w:val="0"/>
          <w:szCs w:val="21"/>
          <w:highlight w:val="none"/>
        </w:rPr>
        <w:t>人民法院起诉。</w:t>
      </w:r>
    </w:p>
    <w:p w14:paraId="76717F77">
      <w:pPr>
        <w:adjustRightInd w:val="0"/>
        <w:spacing w:line="400" w:lineRule="exact"/>
        <w:rPr>
          <w:rFonts w:asciiTheme="minorEastAsia" w:hAnsiTheme="minorEastAsia" w:cstheme="minorEastAsia"/>
          <w:b/>
          <w:color w:val="auto"/>
          <w:sz w:val="24"/>
          <w:szCs w:val="21"/>
          <w:highlight w:val="none"/>
        </w:rPr>
      </w:pPr>
    </w:p>
    <w:p w14:paraId="7B340205">
      <w:pPr>
        <w:adjustRightInd w:val="0"/>
        <w:spacing w:line="400" w:lineRule="exact"/>
        <w:rPr>
          <w:rFonts w:asciiTheme="minorEastAsia" w:hAnsiTheme="minorEastAsia" w:cstheme="minorEastAsia"/>
          <w:b/>
          <w:color w:val="auto"/>
          <w:sz w:val="24"/>
          <w:szCs w:val="21"/>
          <w:highlight w:val="none"/>
        </w:rPr>
      </w:pPr>
      <w:r>
        <w:rPr>
          <w:rFonts w:hint="eastAsia" w:asciiTheme="minorEastAsia" w:hAnsiTheme="minorEastAsia" w:cstheme="minorEastAsia"/>
          <w:b/>
          <w:color w:val="auto"/>
          <w:sz w:val="24"/>
          <w:szCs w:val="21"/>
          <w:highlight w:val="none"/>
        </w:rPr>
        <w:t>第十五条 补充约定</w:t>
      </w:r>
    </w:p>
    <w:p w14:paraId="153E7B85">
      <w:pPr>
        <w:adjustRightInd w:val="0"/>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15.1 </w:t>
      </w:r>
      <w:r>
        <w:rPr>
          <w:rFonts w:hint="eastAsia" w:asciiTheme="minorEastAsia" w:hAnsiTheme="minorEastAsia" w:cstheme="minorEastAsia"/>
          <w:color w:val="auto"/>
          <w:szCs w:val="21"/>
          <w:highlight w:val="none"/>
        </w:rPr>
        <w:t>本合同内涉及监理人的相关内容，可按发包人理解，由发包人行使监理人权力。</w:t>
      </w:r>
    </w:p>
    <w:p w14:paraId="191560FB">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15.2 承包方施工时所使用材料都必须保证安全环保，并在项目竣工后对发包人指定的地点委托具有相关检测资质的第三方检测机构进行现场空气质量检测报告作为发包人验收时的必要资料。承包方在投标时应将检测费用综合考虑在投标报价内，发包人不再另行支付。检测报告数据未达标的，承包方应自行承担整改的责任及费用，直至达到标准，未达标期间承包方应按日向发包人支付违约金。施工过程中所涉及的设备及材料进场前须提供样品供采购人确认后方可进场。</w:t>
      </w:r>
    </w:p>
    <w:p w14:paraId="6436317B">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 15.3响应文件的充分性</w:t>
      </w:r>
    </w:p>
    <w:p w14:paraId="0E1533A6">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方已经认真研究了发包人提供的合同文件，对任何有可能存在的问题已经得到发包人的澄清和解答，并对由合同文件所定义的承包方合同工作内容达到彻底和充分的理解，并已将这种理解全部反映到承包方的响应文件中。报价必须与施工组织设计相一致，对施工组织设计的内容未在报价中体现的均视同承包方优惠。施工期间由于承包方原因造成施工方案的更改，所增加的工程费用及工期一概不予调整，属施工技术组织措施失误造成的费用及延误工期均由承包方承担。</w:t>
      </w:r>
    </w:p>
    <w:p w14:paraId="5E6B135C">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15.4合同双方确认，本合同及本合同约定的其它文件组成部分中的各项约定都是通过磋商采购过程形成的合法成果，不存在与采购文件和中标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4CD2A922">
      <w:pPr>
        <w:spacing w:line="400" w:lineRule="exact"/>
        <w:rPr>
          <w:rFonts w:ascii="宋体" w:hAnsi="宋体"/>
          <w:color w:val="auto"/>
          <w:szCs w:val="21"/>
          <w:highlight w:val="none"/>
        </w:rPr>
      </w:pPr>
      <w:r>
        <w:rPr>
          <w:rFonts w:hint="eastAsia" w:ascii="宋体" w:hAnsi="宋体"/>
          <w:color w:val="auto"/>
          <w:szCs w:val="21"/>
          <w:highlight w:val="none"/>
        </w:rPr>
        <w:t>15.5承包方需完全协助配合发包人。</w:t>
      </w:r>
    </w:p>
    <w:p w14:paraId="48AF48BB">
      <w:pPr>
        <w:spacing w:line="400" w:lineRule="exact"/>
        <w:rPr>
          <w:rFonts w:ascii="宋体" w:hAnsi="宋体"/>
          <w:color w:val="auto"/>
          <w:szCs w:val="21"/>
          <w:highlight w:val="none"/>
        </w:rPr>
      </w:pPr>
      <w:r>
        <w:rPr>
          <w:rFonts w:hint="eastAsia" w:ascii="宋体" w:hAnsi="宋体"/>
          <w:color w:val="auto"/>
          <w:szCs w:val="21"/>
          <w:highlight w:val="none"/>
        </w:rPr>
        <w:t>15.6针对本维修项目，接到采购人通知后，承包方需及时做好工程施工日期安排、材料报验、施工方案等报送，在发包人规定的竣工日内必须无条件完成整个项目的竣工及验收，并及时做好验收整改。</w:t>
      </w:r>
    </w:p>
    <w:p w14:paraId="0785FD70">
      <w:pPr>
        <w:spacing w:line="400" w:lineRule="exact"/>
        <w:rPr>
          <w:rFonts w:ascii="宋体" w:hAnsi="宋体"/>
          <w:color w:val="auto"/>
          <w:szCs w:val="21"/>
          <w:highlight w:val="none"/>
        </w:rPr>
      </w:pPr>
      <w:r>
        <w:rPr>
          <w:rFonts w:hint="eastAsia" w:ascii="宋体" w:hAnsi="宋体"/>
          <w:color w:val="auto"/>
          <w:szCs w:val="21"/>
          <w:highlight w:val="none"/>
        </w:rPr>
        <w:t>15.7承包方必须按规定为全体作业员工购买社保及人身意外保险，必须重视安全生产工作，确保全年不出生产责任事故。如因承包方管理不当原因发生安全生产责任事故或交通事故，由承包方承担一切责任及损失。</w:t>
      </w:r>
    </w:p>
    <w:p w14:paraId="3A585A73">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15.8承包方必须按期如实支付工人的劳动工资，发包人有权监督承包方对工人工资的发放。如若发生因承包方拖欠民工工资导致民工到发包人处闹事，造成阻挠施工进度、扰乱发包人正常的工作秩序及校园环境，每发生一次，发包人有权扣罚承包方10%的工程质量保证金。并且由承包方承担由此造成的损失和责任，由此导致的工期拖延，发包人不顺延工期。同时，发包人有权在工程款中扣除相应费用代为支付民工工资。</w:t>
      </w:r>
    </w:p>
    <w:p w14:paraId="6A92C06C">
      <w:pPr>
        <w:spacing w:line="400" w:lineRule="exact"/>
        <w:rPr>
          <w:rFonts w:asciiTheme="minorEastAsia" w:hAnsiTheme="minorEastAsia" w:cstheme="minorEastAsia"/>
          <w:color w:val="auto"/>
          <w:kern w:val="0"/>
          <w:szCs w:val="21"/>
          <w:highlight w:val="none"/>
        </w:rPr>
      </w:pPr>
      <w:r>
        <w:rPr>
          <w:rFonts w:hint="eastAsia" w:ascii="宋体" w:hAnsi="宋体"/>
          <w:color w:val="auto"/>
          <w:szCs w:val="21"/>
          <w:highlight w:val="none"/>
        </w:rPr>
        <w:t xml:space="preserve">15.9主材的相关要求：乙方提供的施工材料必须全部符合绿色环保、消防环保等规定要求，不得使用任何三无产品。施工前需将进行采购的材料品牌及要求提交给业主方确定，未经甲方同意不得更换已确定的装修材料。 </w:t>
      </w:r>
    </w:p>
    <w:p w14:paraId="1AECD67D">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15.10结算审核费用由发包人、承包方按“浙价服（2009）84号”文件计取，其中核增额、超过5%以上的核减额产生的追加费用由承包方支付。审核机构对承包方提交的竣工结算报告进行审核时，承包方须根据发包人及审核机构的要求履行配合义务，因承包方不配合导致审核机构无法及时完成造价审核的，责任由承包方承担，承包方不得要求发包人承担逾期付款违约责任。</w:t>
      </w:r>
    </w:p>
    <w:p w14:paraId="0AED386E">
      <w:pPr>
        <w:spacing w:line="400" w:lineRule="exact"/>
        <w:rPr>
          <w:color w:val="auto"/>
          <w:highlight w:val="none"/>
        </w:rPr>
      </w:pPr>
      <w:r>
        <w:rPr>
          <w:rFonts w:hint="eastAsia" w:ascii="宋体" w:hAnsi="宋体"/>
          <w:color w:val="auto"/>
          <w:szCs w:val="21"/>
          <w:highlight w:val="none"/>
        </w:rPr>
        <w:t>15.11中标人未能履行投标文件中提供的售后服务承诺，采购人有权追偿。</w:t>
      </w:r>
    </w:p>
    <w:p w14:paraId="499A7E38">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15.12工程质量要求的其他约定</w:t>
      </w:r>
    </w:p>
    <w:p w14:paraId="46E91544">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方必须严格按合同条款、施工图纸及设计说明文件、施工验收规范、国家和省市的有关质量验收标准，精心组织施工，确保工程质量达到国家合格验收标准。承包方应详细编制施工方案，详细叙述关键部位的质量保证措施，并在响应文件中对质量目标进行承诺。</w:t>
      </w:r>
    </w:p>
    <w:p w14:paraId="76E1B342">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工程经各方验收，质量未达到合同约定“合格”标准的，由承包方负责整改直至通过验收，承包方承担由此产生的所有费用及给发包人造成的损失，且工期不予顺延；工程经过承包方的全面整改后，经各方验收仍然未达到合同约定“合格”标准的，承包方必须按工程总造价的5%向发包人支付违约金，该违约金从工程质量保证金及工程款中扣除。若承包方不按发包人要求整改的，发包人有权委托第三方进行整改，整改费用由承包方承担，在工程款中扣除。发包人委托第三方整改不能免除承包方根据合同约定应当承担的工程维修责任。</w:t>
      </w:r>
    </w:p>
    <w:p w14:paraId="4BA6D7D9">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15.13本合同签订后，发包人如发现存在以下情形之一的，有权解除本合同：</w:t>
      </w:r>
    </w:p>
    <w:p w14:paraId="5AB376D3">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（1）本合同签订前的磋商采购过程中未发现的错误，可能导致承包方潜在获利，而承包方在接到发包人对本合同的相应修正要求后，在发包人指定的期限内拒绝按要求予以修正的；</w:t>
      </w:r>
    </w:p>
    <w:p w14:paraId="31E25212">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（2）承包方实施出借或借用他人资质；在谈判中实施虚假承诺、隐瞒或虚构事实等弄虚作假行为；有串通谈判；向采购人或磋商小组成员行贿等不正当行为；</w:t>
      </w:r>
    </w:p>
    <w:p w14:paraId="52735913">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（3）承包方正处于或将面临重大诉讼、仲裁，且发包人认为该等情形对承包方是否能全面履行谈判承诺存在重大不确定性的； </w:t>
      </w:r>
    </w:p>
    <w:p w14:paraId="2E2D1441">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（4）承包方与本工程相关的应有资格、资质、认证或其他行政许可已被终止或中止或暂扣的；</w:t>
      </w:r>
    </w:p>
    <w:p w14:paraId="126EE01A">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当承包方未按合同约定履行义务，造成质量低下、进度迟缓、管理混乱或将成交项目转让（转包给他人），发包人有权解除合同，没收工程质量保证金，如给发包人造成的损失超过保证金数额的还应当对超过部分予以赔偿，并依法承担相应的法律责任；</w:t>
      </w:r>
    </w:p>
    <w:p w14:paraId="4297FACB">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发包人按前述约定而解除本合同的，承包方均予以接受并同意放弃和/或豁免采购人因此而可能对承包方造成的现实和/或有损害的任何赔偿、补偿责任；承包方因前述情形而导致本工程停工、窝工、发生质量事故等，造成发包人损害的，应承担违约责任。</w:t>
      </w:r>
    </w:p>
    <w:p w14:paraId="5B7D242C">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15.14施工场地清洁卫生的要求：</w:t>
      </w:r>
    </w:p>
    <w:p w14:paraId="6AE1916F">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每天清扫一次，现场公共部位的清洁工作，工程完工后2天内现场应清除所有不再需要的临时工程，承包方的设备和多余材料，全部建筑和生活垃圾。</w:t>
      </w:r>
    </w:p>
    <w:p w14:paraId="6A954D47">
      <w:pPr>
        <w:adjustRightInd w:val="0"/>
        <w:spacing w:line="400" w:lineRule="exact"/>
        <w:rPr>
          <w:rFonts w:asciiTheme="minorEastAsia" w:hAnsiTheme="minorEastAsia" w:cstheme="minorEastAsia"/>
          <w:color w:val="auto"/>
          <w:kern w:val="0"/>
          <w:szCs w:val="21"/>
          <w:highlight w:val="none"/>
        </w:rPr>
      </w:pPr>
    </w:p>
    <w:p w14:paraId="7CC283AB">
      <w:pPr>
        <w:tabs>
          <w:tab w:val="left" w:pos="180"/>
        </w:tabs>
        <w:jc w:val="left"/>
        <w:rPr>
          <w:rFonts w:asciiTheme="minorEastAsia" w:hAnsiTheme="minorEastAsia" w:cstheme="minorEastAsia"/>
          <w:color w:val="auto"/>
          <w:sz w:val="24"/>
          <w:highlight w:val="none"/>
        </w:rPr>
      </w:pPr>
    </w:p>
    <w:p w14:paraId="4D422005">
      <w:pPr>
        <w:tabs>
          <w:tab w:val="left" w:pos="180"/>
        </w:tabs>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（以下无正文）</w:t>
      </w:r>
    </w:p>
    <w:p w14:paraId="7CD3450B">
      <w:pPr>
        <w:spacing w:before="240" w:after="120" w:line="28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 xml:space="preserve">甲方：（盖章）                        乙方：（盖章） </w:t>
      </w:r>
    </w:p>
    <w:p w14:paraId="500CA00B">
      <w:pPr>
        <w:spacing w:before="120" w:after="120" w:line="28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法定代表人：（签字）                  法定代表人：（签字）</w:t>
      </w:r>
    </w:p>
    <w:p w14:paraId="0F64B950">
      <w:pPr>
        <w:spacing w:before="120" w:after="120" w:line="28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或委托代理人：（签字）                或委托代理人:（签字）</w:t>
      </w:r>
    </w:p>
    <w:p w14:paraId="2625FA72">
      <w:pPr>
        <w:spacing w:before="120" w:after="120" w:line="28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指定联系方式                         指定联系方式</w:t>
      </w:r>
    </w:p>
    <w:p w14:paraId="1A05ACBA">
      <w:pPr>
        <w:spacing w:before="120" w:after="120" w:line="280" w:lineRule="exact"/>
        <w:rPr>
          <w:rFonts w:asciiTheme="minorEastAsia" w:hAnsiTheme="minorEastAsia" w:cstheme="minorEastAsia"/>
          <w:color w:val="auto"/>
          <w:highlight w:val="none"/>
          <w:u w:val="single"/>
        </w:rPr>
      </w:pPr>
      <w:r>
        <w:rPr>
          <w:rFonts w:hint="eastAsia" w:asciiTheme="minorEastAsia" w:hAnsiTheme="minorEastAsia" w:cstheme="minorEastAsia"/>
          <w:color w:val="auto"/>
          <w:highlight w:val="none"/>
        </w:rPr>
        <w:t>邮箱/电话：</w:t>
      </w:r>
      <w:r>
        <w:rPr>
          <w:rFonts w:hint="eastAsia" w:asciiTheme="minorEastAsia" w:hAnsiTheme="minorEastAsia" w:cstheme="minorEastAsia"/>
          <w:color w:val="auto"/>
          <w:highlight w:val="none"/>
          <w:u w:val="single"/>
        </w:rPr>
        <w:t xml:space="preserve">  xygl@zjbti.net.cn   </w:t>
      </w:r>
      <w:r>
        <w:rPr>
          <w:rFonts w:hint="eastAsia" w:asciiTheme="minorEastAsia" w:hAnsiTheme="minorEastAsia" w:cstheme="minorEastAsia"/>
          <w:color w:val="auto"/>
          <w:highlight w:val="none"/>
        </w:rPr>
        <w:t xml:space="preserve">    邮箱/电话：</w:t>
      </w:r>
      <w:r>
        <w:rPr>
          <w:rFonts w:hint="eastAsia" w:asciiTheme="minorEastAsia" w:hAnsiTheme="minorEastAsia" w:cstheme="minorEastAsia"/>
          <w:color w:val="auto"/>
          <w:highlight w:val="none"/>
          <w:u w:val="single"/>
        </w:rPr>
        <w:t xml:space="preserve">                     </w:t>
      </w:r>
    </w:p>
    <w:p w14:paraId="66C00FB8">
      <w:pPr>
        <w:spacing w:before="120" w:after="120" w:line="28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地址： 宁波市机场路1988号           地址：</w:t>
      </w:r>
    </w:p>
    <w:p w14:paraId="7127EFDD">
      <w:pPr>
        <w:spacing w:before="120" w:after="120" w:line="28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签订日期：______________________     签订日期：______________________</w:t>
      </w:r>
    </w:p>
    <w:p w14:paraId="2429F250">
      <w:pPr>
        <w:spacing w:before="120" w:after="120" w:line="28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签订地点：_____</w:t>
      </w:r>
      <w:r>
        <w:rPr>
          <w:rFonts w:hint="eastAsia" w:asciiTheme="minorEastAsia" w:hAnsiTheme="minorEastAsia" w:cstheme="minorEastAsia"/>
          <w:color w:val="auto"/>
          <w:highlight w:val="none"/>
          <w:u w:val="single"/>
        </w:rPr>
        <w:t>_宁波__</w:t>
      </w:r>
      <w:r>
        <w:rPr>
          <w:rFonts w:hint="eastAsia" w:asciiTheme="minorEastAsia" w:hAnsiTheme="minorEastAsia" w:cstheme="minorEastAsia"/>
          <w:color w:val="auto"/>
          <w:highlight w:val="none"/>
        </w:rPr>
        <w:t>_______        签订地点：_______</w:t>
      </w:r>
      <w:r>
        <w:rPr>
          <w:rFonts w:hint="eastAsia" w:asciiTheme="minorEastAsia" w:hAnsiTheme="minorEastAsia" w:cstheme="minorEastAsia"/>
          <w:color w:val="auto"/>
          <w:highlight w:val="none"/>
          <w:u w:val="single"/>
        </w:rPr>
        <w:t>宁波</w:t>
      </w:r>
      <w:r>
        <w:rPr>
          <w:rFonts w:hint="eastAsia" w:asciiTheme="minorEastAsia" w:hAnsiTheme="minorEastAsia" w:cstheme="minorEastAsia"/>
          <w:color w:val="auto"/>
          <w:highlight w:val="none"/>
        </w:rPr>
        <w:t>__________</w:t>
      </w:r>
    </w:p>
    <w:p w14:paraId="7841B8CE">
      <w:pPr>
        <w:pStyle w:val="9"/>
        <w:spacing w:line="360" w:lineRule="exact"/>
        <w:rPr>
          <w:rFonts w:asciiTheme="minorEastAsia" w:hAnsiTheme="minorEastAsia" w:cstheme="minorEastAsia"/>
          <w:color w:val="auto"/>
          <w:highlight w:val="none"/>
        </w:rPr>
      </w:pPr>
      <w:bookmarkStart w:id="96" w:name="_Toc221445460"/>
      <w:bookmarkStart w:id="97" w:name="_Toc222020804"/>
      <w:bookmarkStart w:id="98" w:name="_Toc233733860"/>
      <w:bookmarkStart w:id="99" w:name="_Toc235951024"/>
      <w:bookmarkStart w:id="100" w:name="_Toc238368957"/>
    </w:p>
    <w:p w14:paraId="0C5BBD8F">
      <w:pPr>
        <w:pStyle w:val="9"/>
        <w:spacing w:line="360" w:lineRule="exact"/>
        <w:rPr>
          <w:rFonts w:asciiTheme="minorEastAsia" w:hAnsiTheme="minorEastAsia" w:cstheme="minorEastAsia"/>
          <w:color w:val="auto"/>
          <w:highlight w:val="none"/>
        </w:rPr>
      </w:pPr>
    </w:p>
    <w:p w14:paraId="3683E134">
      <w:pPr>
        <w:widowControl/>
        <w:jc w:val="left"/>
        <w:rPr>
          <w:rFonts w:asciiTheme="minorEastAsia" w:hAnsiTheme="minorEastAsia" w:cstheme="minorEastAsia"/>
          <w:color w:val="auto"/>
          <w:szCs w:val="21"/>
          <w:highlight w:val="none"/>
        </w:rPr>
      </w:pPr>
      <w:r>
        <w:rPr>
          <w:rFonts w:asciiTheme="minorEastAsia" w:hAnsiTheme="minorEastAsia" w:cstheme="minorEastAsia"/>
          <w:color w:val="auto"/>
          <w:szCs w:val="21"/>
          <w:highlight w:val="none"/>
        </w:rPr>
        <w:br w:type="page"/>
      </w:r>
    </w:p>
    <w:bookmarkEnd w:id="96"/>
    <w:bookmarkEnd w:id="97"/>
    <w:bookmarkEnd w:id="98"/>
    <w:bookmarkEnd w:id="99"/>
    <w:bookmarkEnd w:id="100"/>
    <w:p w14:paraId="7C6361F3">
      <w:pPr>
        <w:pStyle w:val="9"/>
        <w:ind w:firstLine="48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附件1：</w:t>
      </w:r>
    </w:p>
    <w:p w14:paraId="0BB1B439">
      <w:pPr>
        <w:jc w:val="center"/>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工程项目廉政合同</w:t>
      </w:r>
    </w:p>
    <w:p w14:paraId="3B5B9572">
      <w:pPr>
        <w:pStyle w:val="2"/>
        <w:rPr>
          <w:color w:val="auto"/>
          <w:highlight w:val="none"/>
        </w:rPr>
      </w:pPr>
    </w:p>
    <w:p w14:paraId="43810CBB">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工程项目名称：</w:t>
      </w:r>
      <w:r>
        <w:rPr>
          <w:rFonts w:hint="eastAsia" w:ascii="宋体" w:hAnsi="宋体" w:cs="宋体"/>
          <w:color w:val="auto"/>
          <w:szCs w:val="21"/>
          <w:highlight w:val="none"/>
          <w:u w:val="single"/>
        </w:rPr>
        <w:t>浙江工商职业技术学院学生文体活动中心改造项目</w:t>
      </w:r>
      <w:r>
        <w:rPr>
          <w:rFonts w:hint="eastAsia" w:asciiTheme="minorEastAsia" w:hAnsiTheme="minorEastAsia" w:cstheme="minorEastAsia"/>
          <w:color w:val="auto"/>
          <w:szCs w:val="21"/>
          <w:highlight w:val="none"/>
          <w:u w:val="single"/>
        </w:rPr>
        <w:t xml:space="preserve">                </w:t>
      </w:r>
    </w:p>
    <w:p w14:paraId="48D2455D">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工程项目地址：</w:t>
      </w:r>
      <w:r>
        <w:rPr>
          <w:rFonts w:hint="eastAsia" w:asciiTheme="minorEastAsia" w:hAnsiTheme="minorEastAsia" w:cstheme="minorEastAsia"/>
          <w:color w:val="auto"/>
          <w:szCs w:val="21"/>
          <w:highlight w:val="none"/>
          <w:u w:val="single"/>
        </w:rPr>
        <w:t xml:space="preserve"> </w:t>
      </w:r>
      <w:r>
        <w:rPr>
          <w:rFonts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u w:val="single"/>
        </w:rPr>
        <w:t xml:space="preserve">           </w:t>
      </w:r>
    </w:p>
    <w:p w14:paraId="45BBDC0C">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发包单位名称（以下称甲方）：</w:t>
      </w:r>
      <w:r>
        <w:rPr>
          <w:rFonts w:hint="eastAsia" w:asciiTheme="minorEastAsia" w:hAnsiTheme="minorEastAsia" w:cstheme="minorEastAsia"/>
          <w:color w:val="auto"/>
          <w:szCs w:val="21"/>
          <w:highlight w:val="none"/>
          <w:u w:val="single"/>
        </w:rPr>
        <w:t xml:space="preserve">    浙江工商职业技术学院        </w:t>
      </w:r>
    </w:p>
    <w:p w14:paraId="52F59B57">
      <w:pPr>
        <w:snapToGrid w:val="0"/>
        <w:spacing w:line="360" w:lineRule="auto"/>
        <w:ind w:left="2871" w:hanging="2870" w:hangingChars="1367"/>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rPr>
        <w:t>承包单位名称（以下称乙方）：</w:t>
      </w:r>
      <w:r>
        <w:rPr>
          <w:rFonts w:hint="eastAsia" w:asciiTheme="minorEastAsia" w:hAnsiTheme="minorEastAsia" w:cstheme="minorEastAsia"/>
          <w:color w:val="auto"/>
          <w:szCs w:val="21"/>
          <w:highlight w:val="none"/>
          <w:u w:val="single"/>
        </w:rPr>
        <w:t xml:space="preserve">                                         </w:t>
      </w:r>
    </w:p>
    <w:p w14:paraId="3355306C">
      <w:pPr>
        <w:snapToGrid w:val="0"/>
        <w:spacing w:line="360" w:lineRule="auto"/>
        <w:ind w:firstLine="57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为加强工程项目建设中的廉政建设，规范工程建设承包、发包双方的各项活动，防止发生各种谋取不正当利益的违法违纪行为，保护国家、集体和当事人的合法权益，根据国家有关工程建设的法律法规和廉政建设规定，特订立本廉政合同。</w:t>
      </w:r>
    </w:p>
    <w:p w14:paraId="662F7493">
      <w:pPr>
        <w:numPr>
          <w:ilvl w:val="0"/>
          <w:numId w:val="3"/>
        </w:num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甲乙双方的权利和义务</w:t>
      </w:r>
    </w:p>
    <w:p w14:paraId="45982755">
      <w:pPr>
        <w:snapToGrid w:val="0"/>
        <w:spacing w:line="360" w:lineRule="auto"/>
        <w:ind w:firstLine="57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（一）严格遵守国家关于市场准入、勘测设计、施工监理、招标投标、工程施工、设备安装和市场经营活动等有关法律法规和相关政策，以及廉政建设的各项规定。</w:t>
      </w:r>
    </w:p>
    <w:p w14:paraId="7929D259">
      <w:pPr>
        <w:snapToGrid w:val="0"/>
        <w:spacing w:line="360" w:lineRule="auto"/>
        <w:ind w:firstLine="57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（二）严格执行本项目发包承包双方签订的</w:t>
      </w:r>
      <w:r>
        <w:rPr>
          <w:rFonts w:hint="eastAsia" w:asciiTheme="minorEastAsia" w:hAnsiTheme="minorEastAsia" w:cstheme="minorEastAsia"/>
          <w:color w:val="auto"/>
          <w:szCs w:val="21"/>
          <w:highlight w:val="none"/>
          <w:u w:val="single"/>
        </w:rPr>
        <w:t xml:space="preserve"> 施工合同 </w:t>
      </w:r>
      <w:r>
        <w:rPr>
          <w:rFonts w:hint="eastAsia" w:asciiTheme="minorEastAsia" w:hAnsiTheme="minorEastAsia" w:cstheme="minorEastAsia"/>
          <w:color w:val="auto"/>
          <w:szCs w:val="21"/>
          <w:highlight w:val="none"/>
        </w:rPr>
        <w:t>，自觉按合同办事。</w:t>
      </w:r>
    </w:p>
    <w:p w14:paraId="5477A4CE">
      <w:pPr>
        <w:snapToGrid w:val="0"/>
        <w:spacing w:line="360" w:lineRule="auto"/>
        <w:ind w:firstLine="57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w:t>
      </w:r>
    </w:p>
    <w:p w14:paraId="0CFA5213">
      <w:pPr>
        <w:snapToGrid w:val="0"/>
        <w:spacing w:line="360" w:lineRule="auto"/>
        <w:ind w:firstLine="57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四）建立健全廉政制度，开展廉政教育，设立廉政告示牌，公布举报电话，监督并认真查处违法违纪行为。发现对方在业务活动中有违反本合同行为的，有及时提醒对方纠正的权利和义务。情节严重的，有向其上级有关部门举报、建议给予处理并要求告知处理结果的权利。 </w:t>
      </w:r>
    </w:p>
    <w:p w14:paraId="7A2B5134">
      <w:pPr>
        <w:numPr>
          <w:ilvl w:val="0"/>
          <w:numId w:val="3"/>
        </w:num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甲方的责任</w:t>
      </w:r>
    </w:p>
    <w:p w14:paraId="6AD741D5">
      <w:pPr>
        <w:snapToGrid w:val="0"/>
        <w:spacing w:line="360" w:lineRule="auto"/>
        <w:ind w:firstLine="57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甲方的领导和从事该工程项目的工作人员，在工程项目的事前、事中、事后应遵守以下规定：</w:t>
      </w:r>
    </w:p>
    <w:p w14:paraId="5F0571A7">
      <w:pPr>
        <w:snapToGrid w:val="0"/>
        <w:spacing w:line="360" w:lineRule="auto"/>
        <w:ind w:firstLine="57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（一）不准向乙方索要或接受回扣、礼金、有价证券、贵重物品和好处费、感谢费等；不准在乙方报销任何由甲方或个人支付的费用。</w:t>
      </w:r>
    </w:p>
    <w:p w14:paraId="6EE5F572">
      <w:pPr>
        <w:snapToGrid w:val="0"/>
        <w:spacing w:line="360" w:lineRule="auto"/>
        <w:ind w:firstLine="57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（二）不准参加乙方安排违反有关规定的宴请及健身、娱乐等活动；不得接受乙方提供合同约定以外的通讯工具、交通工具、办公用房用品等。</w:t>
      </w:r>
    </w:p>
    <w:p w14:paraId="07061832">
      <w:pPr>
        <w:snapToGrid w:val="0"/>
        <w:spacing w:line="360" w:lineRule="auto"/>
        <w:ind w:firstLine="57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（三）不准要求、暗示和接受乙方为个人装修住房、婚丧嫁娶、配偶子女的工作安排以及出国（境）、旅游等提供方便。</w:t>
      </w:r>
    </w:p>
    <w:p w14:paraId="0FDADA5C">
      <w:pPr>
        <w:snapToGrid w:val="0"/>
        <w:spacing w:line="360" w:lineRule="auto"/>
        <w:ind w:firstLine="57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（四）配偶、子女不得从事与乙方承包本工程有关的设备材料供应、工程分包、劳务等经济活动。</w:t>
      </w:r>
    </w:p>
    <w:p w14:paraId="59F7A4A2">
      <w:pPr>
        <w:snapToGrid w:val="0"/>
        <w:spacing w:line="360" w:lineRule="auto"/>
        <w:ind w:firstLine="57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（五）不得以任何理由向乙方推荐合同约定以外分包单位或要求乙方购买项目合同规定以外的材料、设备和服务等。</w:t>
      </w:r>
    </w:p>
    <w:p w14:paraId="0C73B0F3">
      <w:pPr>
        <w:numPr>
          <w:ilvl w:val="0"/>
          <w:numId w:val="3"/>
        </w:num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乙方的责任</w:t>
      </w:r>
    </w:p>
    <w:p w14:paraId="4D580270">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乙方应与甲方保持正常的业务交往，按照有关法律法规和程序开展业务工作，严格执行工程建设的有关方针、政策，尤其是有关强制性标准和规范，并遵守以下规定：</w:t>
      </w:r>
    </w:p>
    <w:p w14:paraId="44626A50">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（一）不准以任何理由向甲方及其工作人员行贿或赠送礼金、有价证券、贵重物品。</w:t>
      </w:r>
    </w:p>
    <w:p w14:paraId="0E9560EC">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（二）不准以任何名义为甲方及其工作人员报销应由对方或个人支付的费用。</w:t>
      </w:r>
    </w:p>
    <w:p w14:paraId="13B3F9C1">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（三）不准以任何理由安排甲方工作人员参加违反有关规定的宴请及健身、娱乐和旅游等活动。</w:t>
      </w:r>
    </w:p>
    <w:p w14:paraId="7A81278B">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（四）不准为甲方单位和工作人员购置或提供合同约定以外的通讯工具、交通工具、办公用房用品和装修住房等。</w:t>
      </w:r>
    </w:p>
    <w:p w14:paraId="47D6F5CF">
      <w:pPr>
        <w:numPr>
          <w:ilvl w:val="0"/>
          <w:numId w:val="3"/>
        </w:num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违约责任</w:t>
      </w:r>
    </w:p>
    <w:p w14:paraId="1CA0D8D9">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一）甲方工作人员有违反本合同第一、二条责任行为的，按照管理权限，依据有关法律法规和规定给予党纪、政纪处分或组织处理；涉嫌犯罪的，移交司法机关追究刑事责任；给乙方单位造成经济损失的，应予以赔偿。</w:t>
      </w:r>
    </w:p>
    <w:p w14:paraId="61ABBDB8">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二）乙方工作人员有违反本合同第一、第三条责任行为的，按照管理权限，依据有关法律法规和规定给予党纪、政纪处分或组织处理；涉嫌犯罪的，移交司法机关追究刑事责任；给甲方单位造成经济损失的，应予以赔偿。情节严重的，甲方视工程项目级别可以决定或建议项目主管部门（或者市招投标管理办公室）给予乙方一至三年内不得承包相关工程的处罚。</w:t>
      </w:r>
    </w:p>
    <w:p w14:paraId="149A213A">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（三）乙方如将部分辅助项目分包的，乙方有责任向分包单位交待本合同的具体内容，</w:t>
      </w:r>
      <w:r>
        <w:rPr>
          <w:rFonts w:hint="eastAsia" w:asciiTheme="minorEastAsia" w:hAnsiTheme="minorEastAsia" w:cstheme="minorEastAsia"/>
          <w:color w:val="auto"/>
          <w:szCs w:val="21"/>
          <w:highlight w:val="none"/>
        </w:rPr>
        <w:t>并严格执行本合同之规定</w:t>
      </w:r>
      <w:r>
        <w:rPr>
          <w:rFonts w:hint="eastAsia" w:asciiTheme="minorEastAsia" w:hAnsiTheme="minorEastAsia" w:eastAsiaTheme="minorEastAsia" w:cstheme="minorEastAsia"/>
          <w:color w:val="auto"/>
          <w:szCs w:val="21"/>
          <w:highlight w:val="none"/>
        </w:rPr>
        <w:t>，分包单位如有违反上述责任行为的，乙方将承担连带责任。</w:t>
      </w:r>
    </w:p>
    <w:p w14:paraId="77F95854">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第五条  双方约定：本合同由市招投标管理办公室和市监察局负责监督。日常监管由甲、乙双方的监察部门或主管单位负责实施，并对本合同履行情况进行检查。</w:t>
      </w:r>
    </w:p>
    <w:p w14:paraId="33BE7970">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第六条  本合同作为</w:t>
      </w:r>
      <w:r>
        <w:rPr>
          <w:rFonts w:hint="eastAsia" w:asciiTheme="minorEastAsia" w:hAnsiTheme="minorEastAsia" w:cstheme="minorEastAsia"/>
          <w:color w:val="auto"/>
          <w:szCs w:val="21"/>
          <w:highlight w:val="none"/>
          <w:u w:val="single"/>
        </w:rPr>
        <w:t xml:space="preserve"> 施工合同  </w:t>
      </w:r>
      <w:r>
        <w:rPr>
          <w:rFonts w:hint="eastAsia" w:asciiTheme="minorEastAsia" w:hAnsiTheme="minorEastAsia" w:cstheme="minorEastAsia"/>
          <w:color w:val="auto"/>
          <w:szCs w:val="21"/>
          <w:highlight w:val="none"/>
        </w:rPr>
        <w:t>的附件，与主合同具有同等法律效力。甲乙双方签署后立即生效。</w:t>
      </w:r>
    </w:p>
    <w:p w14:paraId="2D459F52">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第七条  本合同的有效期为双方签署之日起至该工程项目竣工验收合格时止。</w:t>
      </w:r>
    </w:p>
    <w:p w14:paraId="62FDDA43">
      <w:pPr>
        <w:pStyle w:val="31"/>
        <w:ind w:firstLine="420" w:firstLineChars="200"/>
        <w:rPr>
          <w:rFonts w:asciiTheme="minorEastAsia" w:hAnsiTheme="minorEastAsia" w:cstheme="minorEastAsia"/>
          <w:color w:val="auto"/>
          <w:szCs w:val="24"/>
          <w:highlight w:val="none"/>
        </w:rPr>
      </w:pPr>
      <w:r>
        <w:rPr>
          <w:rFonts w:hint="eastAsia" w:asciiTheme="minorEastAsia" w:hAnsiTheme="minorEastAsia" w:cstheme="minorEastAsia"/>
          <w:color w:val="auto"/>
          <w:sz w:val="21"/>
          <w:szCs w:val="21"/>
          <w:highlight w:val="none"/>
        </w:rPr>
        <w:t xml:space="preserve">第八条  本合同一式 </w:t>
      </w:r>
      <w:r>
        <w:rPr>
          <w:rFonts w:hint="eastAsia" w:asciiTheme="minorEastAsia" w:hAnsiTheme="minorEastAsia" w:cstheme="minorEastAsia"/>
          <w:color w:val="auto"/>
          <w:sz w:val="21"/>
          <w:szCs w:val="21"/>
          <w:highlight w:val="none"/>
          <w:u w:val="single"/>
        </w:rPr>
        <w:t xml:space="preserve"> 六</w:t>
      </w:r>
      <w:r>
        <w:rPr>
          <w:rFonts w:hint="eastAsia" w:asciiTheme="minorEastAsia" w:hAnsiTheme="minorEastAsia" w:cstheme="minorEastAsia"/>
          <w:color w:val="auto"/>
          <w:sz w:val="21"/>
          <w:szCs w:val="21"/>
          <w:highlight w:val="none"/>
        </w:rPr>
        <w:t>份，由甲乙双方各执两份，送交甲、乙双方的监督单位各一份。</w:t>
      </w:r>
    </w:p>
    <w:p w14:paraId="3FAB3580">
      <w:pPr>
        <w:pStyle w:val="31"/>
        <w:ind w:firstLine="420" w:firstLineChars="200"/>
        <w:rPr>
          <w:rFonts w:asciiTheme="minorEastAsia" w:hAnsiTheme="minorEastAsia" w:cstheme="minorEastAsia"/>
          <w:color w:val="auto"/>
          <w:sz w:val="21"/>
          <w:szCs w:val="24"/>
          <w:highlight w:val="none"/>
        </w:rPr>
      </w:pPr>
    </w:p>
    <w:p w14:paraId="26303E54">
      <w:pPr>
        <w:pStyle w:val="31"/>
        <w:ind w:firstLine="420" w:firstLineChars="200"/>
        <w:rPr>
          <w:rFonts w:asciiTheme="minorEastAsia" w:hAnsiTheme="minorEastAsia" w:cstheme="minorEastAsia"/>
          <w:color w:val="auto"/>
          <w:sz w:val="21"/>
          <w:szCs w:val="24"/>
          <w:highlight w:val="none"/>
        </w:rPr>
      </w:pPr>
      <w:r>
        <w:rPr>
          <w:rFonts w:hint="eastAsia" w:asciiTheme="minorEastAsia" w:hAnsiTheme="minorEastAsia" w:cstheme="minorEastAsia"/>
          <w:color w:val="auto"/>
          <w:sz w:val="21"/>
          <w:szCs w:val="24"/>
          <w:highlight w:val="none"/>
        </w:rPr>
        <w:t>甲方单位：（盖章）                      乙方单位：（盖章）</w:t>
      </w:r>
    </w:p>
    <w:p w14:paraId="23D3D34A">
      <w:pPr>
        <w:pStyle w:val="31"/>
        <w:ind w:firstLine="420" w:firstLineChars="200"/>
        <w:rPr>
          <w:rFonts w:asciiTheme="minorEastAsia" w:hAnsiTheme="minorEastAsia" w:cstheme="minorEastAsia"/>
          <w:color w:val="auto"/>
          <w:sz w:val="21"/>
          <w:szCs w:val="24"/>
          <w:highlight w:val="none"/>
        </w:rPr>
      </w:pPr>
      <w:r>
        <w:rPr>
          <w:rFonts w:hint="eastAsia" w:asciiTheme="minorEastAsia" w:hAnsiTheme="minorEastAsia" w:cstheme="minorEastAsia"/>
          <w:color w:val="auto"/>
          <w:sz w:val="21"/>
          <w:szCs w:val="24"/>
          <w:highlight w:val="none"/>
        </w:rPr>
        <w:t>法人代表人：                            法人代表人：</w:t>
      </w:r>
    </w:p>
    <w:p w14:paraId="105D8F42">
      <w:pPr>
        <w:pStyle w:val="31"/>
        <w:ind w:firstLine="420" w:firstLineChars="200"/>
        <w:rPr>
          <w:rFonts w:asciiTheme="minorEastAsia" w:hAnsiTheme="minorEastAsia" w:cstheme="minorEastAsia"/>
          <w:color w:val="auto"/>
          <w:sz w:val="21"/>
          <w:szCs w:val="24"/>
          <w:highlight w:val="none"/>
        </w:rPr>
      </w:pPr>
      <w:r>
        <w:rPr>
          <w:rFonts w:hint="eastAsia" w:asciiTheme="minorEastAsia" w:hAnsiTheme="minorEastAsia" w:cstheme="minorEastAsia"/>
          <w:color w:val="auto"/>
          <w:sz w:val="21"/>
          <w:szCs w:val="24"/>
          <w:highlight w:val="none"/>
        </w:rPr>
        <w:t>年   月   日                            年   月   日</w:t>
      </w:r>
    </w:p>
    <w:p w14:paraId="704D947D">
      <w:pPr>
        <w:pStyle w:val="31"/>
        <w:ind w:firstLine="420" w:firstLineChars="200"/>
        <w:rPr>
          <w:rFonts w:asciiTheme="minorEastAsia" w:hAnsiTheme="minorEastAsia" w:cstheme="minorEastAsia"/>
          <w:color w:val="auto"/>
          <w:sz w:val="21"/>
          <w:szCs w:val="24"/>
          <w:highlight w:val="none"/>
        </w:rPr>
      </w:pPr>
      <w:r>
        <w:rPr>
          <w:rFonts w:hint="eastAsia" w:asciiTheme="minorEastAsia" w:hAnsiTheme="minorEastAsia" w:cstheme="minorEastAsia"/>
          <w:color w:val="auto"/>
          <w:sz w:val="21"/>
          <w:szCs w:val="24"/>
          <w:highlight w:val="none"/>
        </w:rPr>
        <w:t xml:space="preserve">甲方监督单位（盖章）                   </w:t>
      </w:r>
      <w:r>
        <w:rPr>
          <w:rFonts w:asciiTheme="minorEastAsia" w:hAnsiTheme="minorEastAsia" w:cstheme="minorEastAsia"/>
          <w:color w:val="auto"/>
          <w:sz w:val="21"/>
          <w:szCs w:val="24"/>
          <w:highlight w:val="none"/>
        </w:rPr>
        <w:t xml:space="preserve"> </w:t>
      </w:r>
      <w:r>
        <w:rPr>
          <w:rFonts w:hint="eastAsia" w:asciiTheme="minorEastAsia" w:hAnsiTheme="minorEastAsia" w:cstheme="minorEastAsia"/>
          <w:color w:val="auto"/>
          <w:sz w:val="21"/>
          <w:szCs w:val="24"/>
          <w:highlight w:val="none"/>
        </w:rPr>
        <w:t>乙方监督单位（盖章）</w:t>
      </w:r>
    </w:p>
    <w:p w14:paraId="6B46847B">
      <w:pPr>
        <w:pStyle w:val="31"/>
        <w:ind w:firstLine="420" w:firstLineChars="200"/>
        <w:rPr>
          <w:rFonts w:asciiTheme="minorEastAsia" w:hAnsiTheme="minorEastAsia" w:cstheme="minorEastAsia"/>
          <w:color w:val="auto"/>
          <w:sz w:val="21"/>
          <w:szCs w:val="24"/>
          <w:highlight w:val="none"/>
        </w:rPr>
      </w:pPr>
      <w:r>
        <w:rPr>
          <w:rFonts w:hint="eastAsia" w:asciiTheme="minorEastAsia" w:hAnsiTheme="minorEastAsia" w:cstheme="minorEastAsia"/>
          <w:color w:val="auto"/>
          <w:sz w:val="21"/>
          <w:szCs w:val="24"/>
          <w:highlight w:val="none"/>
        </w:rPr>
        <w:t xml:space="preserve">     年   月   日                          年     月     日</w:t>
      </w:r>
    </w:p>
    <w:p w14:paraId="0B55534E">
      <w:pPr>
        <w:pStyle w:val="9"/>
        <w:rPr>
          <w:rFonts w:asciiTheme="minorEastAsia" w:hAnsiTheme="minorEastAsia" w:cstheme="minorEastAsia"/>
          <w:color w:val="auto"/>
          <w:sz w:val="24"/>
          <w:szCs w:val="24"/>
          <w:highlight w:val="none"/>
        </w:rPr>
      </w:pPr>
      <w:r>
        <w:rPr>
          <w:rFonts w:hint="eastAsia" w:asciiTheme="minorEastAsia" w:hAnsiTheme="minorEastAsia" w:cstheme="minorEastAsia"/>
          <w:color w:val="auto"/>
          <w:highlight w:val="none"/>
        </w:rPr>
        <w:br w:type="page"/>
      </w:r>
      <w:r>
        <w:rPr>
          <w:rFonts w:hint="eastAsia" w:asciiTheme="minorEastAsia" w:hAnsiTheme="minorEastAsia" w:cstheme="minorEastAsia"/>
          <w:color w:val="auto"/>
          <w:sz w:val="24"/>
          <w:szCs w:val="24"/>
          <w:highlight w:val="none"/>
        </w:rPr>
        <w:t>附件2：</w:t>
      </w:r>
    </w:p>
    <w:p w14:paraId="63698B1C">
      <w:pPr>
        <w:jc w:val="center"/>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安全生产责任书</w:t>
      </w:r>
    </w:p>
    <w:p w14:paraId="630A9EB7">
      <w:pPr>
        <w:pStyle w:val="2"/>
        <w:rPr>
          <w:color w:val="auto"/>
          <w:highlight w:val="none"/>
        </w:rPr>
      </w:pPr>
    </w:p>
    <w:p w14:paraId="2977C1C0">
      <w:pPr>
        <w:snapToGrid w:val="0"/>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为在</w:t>
      </w:r>
      <w:r>
        <w:rPr>
          <w:rFonts w:hint="eastAsia" w:ascii="宋体" w:hAnsi="宋体" w:cs="宋体"/>
          <w:color w:val="auto"/>
          <w:szCs w:val="21"/>
          <w:highlight w:val="none"/>
          <w:u w:val="single"/>
        </w:rPr>
        <w:t>浙江工商职业技术学院学生文体活动中心改造项目</w:t>
      </w:r>
      <w:r>
        <w:rPr>
          <w:rFonts w:hint="eastAsia" w:asciiTheme="minorEastAsia" w:hAnsiTheme="minorEastAsia" w:cstheme="minorEastAsia"/>
          <w:color w:val="auto"/>
          <w:szCs w:val="21"/>
          <w:highlight w:val="none"/>
        </w:rPr>
        <w:t>施工合同的实施过程中创造安全、高效的施工环境，切实搞好本项目的安全管理工作，本项目业主</w:t>
      </w:r>
      <w:r>
        <w:rPr>
          <w:rFonts w:hint="eastAsia" w:asciiTheme="minorEastAsia" w:hAnsiTheme="minorEastAsia" w:cstheme="minorEastAsia"/>
          <w:bCs/>
          <w:color w:val="auto"/>
          <w:szCs w:val="21"/>
          <w:highlight w:val="none"/>
          <w:u w:val="single"/>
        </w:rPr>
        <w:t xml:space="preserve"> 浙江工商职业技术学院</w:t>
      </w:r>
      <w:r>
        <w:rPr>
          <w:rFonts w:hint="eastAsia" w:asciiTheme="minorEastAsia" w:hAnsiTheme="minorEastAsia" w:cstheme="minorEastAsia"/>
          <w:color w:val="auto"/>
          <w:szCs w:val="21"/>
          <w:highlight w:val="none"/>
          <w:u w:val="single"/>
        </w:rPr>
        <w:t>（</w:t>
      </w:r>
      <w:r>
        <w:rPr>
          <w:rFonts w:hint="eastAsia" w:asciiTheme="minorEastAsia" w:hAnsiTheme="minorEastAsia" w:cstheme="minorEastAsia"/>
          <w:color w:val="auto"/>
          <w:szCs w:val="21"/>
          <w:highlight w:val="none"/>
        </w:rPr>
        <w:t>以下简称“甲方”）与承包方</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rPr>
        <w:t>以下简称“乙方”）特此签订安全生产责任书：</w:t>
      </w:r>
    </w:p>
    <w:p w14:paraId="7250B279">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一、甲方职责</w:t>
      </w:r>
    </w:p>
    <w:p w14:paraId="1CDBAFFD">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1、严格遵守国家有关安全生产的法律法规，认真执行工程承包合同中的有关安全要求。</w:t>
      </w:r>
    </w:p>
    <w:p w14:paraId="32FB4345">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2、按照“安全第一、预防为主”和坚持“管生产必须管安全”的原则进行安全生产管理，做到生产与安全工作同时计划、布置、检查和评比。</w:t>
      </w:r>
    </w:p>
    <w:p w14:paraId="6C50770B">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3、召开安全生产调度会，及时传达中央及地方有关安全生产的精神。</w:t>
      </w:r>
    </w:p>
    <w:p w14:paraId="65F3DE0D">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4、组织对乙方施工现场安全生产检查，监督乙方及时处理发现的各项安全隐患。</w:t>
      </w:r>
    </w:p>
    <w:p w14:paraId="579A78B4">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二、乙方职责</w:t>
      </w:r>
    </w:p>
    <w:p w14:paraId="5C158561">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1、严格遵守国家和省政府有关安全生产的法律法规，认真执行工程承包合同中的有关安全要求。</w:t>
      </w:r>
    </w:p>
    <w:p w14:paraId="40AABAF9">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坚持“安全第一、预防为主”和坚持“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70D3A909">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2%～3%配备安全员，专职负责所有员工的安全和治安保卫工作及预防事故的发生。安全机构人员，有权按有关规定发布指令，并采取保护性措施防止事故发生。</w:t>
      </w:r>
    </w:p>
    <w:p w14:paraId="0308C286">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4、乙方在任何时候都应采取各种合理的预防措施，防止其员工发生任何违法、违禁、暴力或防碍治安的行为。</w:t>
      </w:r>
    </w:p>
    <w:p w14:paraId="021B32B9">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施工企业必须具有劳动安全管理部门颁发的安全生产证书，参加施工的人员，必须接受安全技术教育，熟知和遵守本工种的各项安全技术操作规程，定期进行安全技术考核，合格者方准上岗操作。对于从事电器、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875A4D8">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0441E7CE">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7、操作人员上岗，必须按规定穿戴防护用品。施工负责人和安全检查员应随时检查劳动防护用品的穿戴情况，不按规定穿戴防护用品的人员不得上岗。</w:t>
      </w:r>
    </w:p>
    <w:p w14:paraId="6F6686E6">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8、所有施工机具设备和高空作业的设备均应定期检查，并有安全员的签字记录，保证其经常处于完好状态；不合格的机具设备和劳动保护用品严禁使用。</w:t>
      </w:r>
    </w:p>
    <w:p w14:paraId="4B52272E">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9、施工中采用新技术、新工艺、新设备、新材料时，必须制定相应的安全技术措施，施工现场必须具有相关的安全标志牌。</w:t>
      </w:r>
    </w:p>
    <w:p w14:paraId="29B5F2D8">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443207DC">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三、违约责任</w:t>
      </w:r>
    </w:p>
    <w:p w14:paraId="4E645006">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如因甲方或乙方违约造成安全事故，将依法追究责任。</w:t>
      </w:r>
    </w:p>
    <w:p w14:paraId="795ECC7E">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四、由双方法定代表人签署与加盖公章后生效，全部工程竣工验收后失效。</w:t>
      </w:r>
    </w:p>
    <w:p w14:paraId="44D80791">
      <w:pPr>
        <w:spacing w:line="360" w:lineRule="auto"/>
        <w:ind w:firstLine="420" w:firstLineChars="200"/>
        <w:rPr>
          <w:rFonts w:asciiTheme="minorEastAsia" w:hAnsiTheme="minorEastAsia" w:cstheme="minorEastAsia"/>
          <w:color w:val="auto"/>
          <w:szCs w:val="21"/>
          <w:highlight w:val="none"/>
        </w:rPr>
      </w:pPr>
    </w:p>
    <w:tbl>
      <w:tblPr>
        <w:tblStyle w:val="17"/>
        <w:tblW w:w="8832" w:type="dxa"/>
        <w:tblInd w:w="-100" w:type="dxa"/>
        <w:tblLayout w:type="fixed"/>
        <w:tblCellMar>
          <w:top w:w="0" w:type="dxa"/>
          <w:left w:w="0" w:type="dxa"/>
          <w:bottom w:w="0" w:type="dxa"/>
          <w:right w:w="0" w:type="dxa"/>
        </w:tblCellMar>
      </w:tblPr>
      <w:tblGrid>
        <w:gridCol w:w="4420"/>
        <w:gridCol w:w="4412"/>
      </w:tblGrid>
      <w:tr w14:paraId="0E4D0555">
        <w:tblPrEx>
          <w:tblCellMar>
            <w:top w:w="0" w:type="dxa"/>
            <w:left w:w="0" w:type="dxa"/>
            <w:bottom w:w="0" w:type="dxa"/>
            <w:right w:w="0" w:type="dxa"/>
          </w:tblCellMar>
        </w:tblPrEx>
        <w:tc>
          <w:tcPr>
            <w:tcW w:w="4420" w:type="dxa"/>
          </w:tcPr>
          <w:p w14:paraId="2EA72104">
            <w:pPr>
              <w:spacing w:line="360" w:lineRule="auto"/>
              <w:ind w:firstLine="42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 xml:space="preserve">甲  方：  （盖 章） </w:t>
            </w:r>
          </w:p>
        </w:tc>
        <w:tc>
          <w:tcPr>
            <w:tcW w:w="4412" w:type="dxa"/>
          </w:tcPr>
          <w:p w14:paraId="5CAA5A09">
            <w:pPr>
              <w:spacing w:line="360" w:lineRule="auto"/>
              <w:ind w:firstLine="210" w:firstLineChars="100"/>
              <w:rPr>
                <w:rFonts w:asciiTheme="minorEastAsia" w:hAnsiTheme="minorEastAsia" w:cstheme="minorEastAsia"/>
                <w:color w:val="auto"/>
                <w:highlight w:val="none"/>
              </w:rPr>
            </w:pPr>
            <w:r>
              <w:rPr>
                <w:rFonts w:hint="eastAsia" w:asciiTheme="minorEastAsia" w:hAnsiTheme="minorEastAsia" w:cstheme="minorEastAsia"/>
                <w:color w:val="auto"/>
                <w:highlight w:val="none"/>
              </w:rPr>
              <w:t xml:space="preserve">乙  方： （盖 章） </w:t>
            </w:r>
          </w:p>
        </w:tc>
      </w:tr>
      <w:tr w14:paraId="60EE4C56">
        <w:tblPrEx>
          <w:tblCellMar>
            <w:top w:w="0" w:type="dxa"/>
            <w:left w:w="0" w:type="dxa"/>
            <w:bottom w:w="0" w:type="dxa"/>
            <w:right w:w="0" w:type="dxa"/>
          </w:tblCellMar>
        </w:tblPrEx>
        <w:tc>
          <w:tcPr>
            <w:tcW w:w="4420" w:type="dxa"/>
          </w:tcPr>
          <w:p w14:paraId="3BD23D3C">
            <w:pPr>
              <w:spacing w:line="360" w:lineRule="auto"/>
              <w:ind w:firstLine="42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法定代表人 ：</w:t>
            </w:r>
          </w:p>
        </w:tc>
        <w:tc>
          <w:tcPr>
            <w:tcW w:w="4412" w:type="dxa"/>
          </w:tcPr>
          <w:p w14:paraId="0B83F8D9">
            <w:pPr>
              <w:pStyle w:val="32"/>
              <w:overflowPunct/>
              <w:autoSpaceDE/>
              <w:autoSpaceDN/>
              <w:adjustRightInd/>
              <w:spacing w:before="0" w:line="360" w:lineRule="auto"/>
              <w:ind w:firstLine="210" w:firstLineChars="100"/>
              <w:textAlignment w:val="auto"/>
              <w:rPr>
                <w:rFonts w:asciiTheme="minorEastAsia" w:hAnsiTheme="minorEastAsia" w:cstheme="minorEastAsia"/>
                <w:color w:val="auto"/>
                <w:kern w:val="2"/>
                <w:sz w:val="21"/>
                <w:szCs w:val="24"/>
                <w:highlight w:val="none"/>
              </w:rPr>
            </w:pPr>
            <w:r>
              <w:rPr>
                <w:rFonts w:hint="eastAsia" w:asciiTheme="minorEastAsia" w:hAnsiTheme="minorEastAsia" w:cstheme="minorEastAsia"/>
                <w:color w:val="auto"/>
                <w:kern w:val="2"/>
                <w:sz w:val="21"/>
                <w:szCs w:val="24"/>
                <w:highlight w:val="none"/>
              </w:rPr>
              <w:t>法定代表人（签字、盖章）：</w:t>
            </w:r>
          </w:p>
        </w:tc>
      </w:tr>
      <w:tr w14:paraId="761847C5">
        <w:tblPrEx>
          <w:tblCellMar>
            <w:top w:w="0" w:type="dxa"/>
            <w:left w:w="0" w:type="dxa"/>
            <w:bottom w:w="0" w:type="dxa"/>
            <w:right w:w="0" w:type="dxa"/>
          </w:tblCellMar>
        </w:tblPrEx>
        <w:tc>
          <w:tcPr>
            <w:tcW w:w="4420" w:type="dxa"/>
          </w:tcPr>
          <w:p w14:paraId="30F35F3A">
            <w:pPr>
              <w:spacing w:line="360" w:lineRule="auto"/>
              <w:rPr>
                <w:rFonts w:asciiTheme="minorEastAsia" w:hAnsiTheme="minorEastAsia" w:cstheme="minorEastAsia"/>
                <w:color w:val="auto"/>
                <w:highlight w:val="none"/>
              </w:rPr>
            </w:pPr>
          </w:p>
          <w:p w14:paraId="039901B3">
            <w:pPr>
              <w:spacing w:line="360" w:lineRule="auto"/>
              <w:ind w:firstLine="42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日期：  年  月 日</w:t>
            </w:r>
          </w:p>
        </w:tc>
        <w:tc>
          <w:tcPr>
            <w:tcW w:w="4412" w:type="dxa"/>
          </w:tcPr>
          <w:p w14:paraId="1FE2EA66">
            <w:pPr>
              <w:spacing w:line="360" w:lineRule="auto"/>
              <w:rPr>
                <w:rFonts w:asciiTheme="minorEastAsia" w:hAnsiTheme="minorEastAsia" w:cstheme="minorEastAsia"/>
                <w:color w:val="auto"/>
                <w:highlight w:val="none"/>
              </w:rPr>
            </w:pPr>
          </w:p>
          <w:p w14:paraId="5F4711A3">
            <w:pPr>
              <w:spacing w:line="360" w:lineRule="auto"/>
              <w:ind w:firstLine="210" w:firstLineChars="100"/>
              <w:rPr>
                <w:rFonts w:asciiTheme="minorEastAsia" w:hAnsiTheme="minorEastAsia" w:cstheme="minorEastAsia"/>
                <w:color w:val="auto"/>
                <w:highlight w:val="none"/>
              </w:rPr>
            </w:pPr>
            <w:r>
              <w:rPr>
                <w:rFonts w:hint="eastAsia" w:asciiTheme="minorEastAsia" w:hAnsiTheme="minorEastAsia" w:cstheme="minorEastAsia"/>
                <w:color w:val="auto"/>
                <w:highlight w:val="none"/>
              </w:rPr>
              <w:t>日期：   年  月  日</w:t>
            </w:r>
          </w:p>
          <w:p w14:paraId="447C781A">
            <w:pPr>
              <w:spacing w:line="360" w:lineRule="auto"/>
              <w:ind w:firstLine="630" w:firstLineChars="300"/>
              <w:rPr>
                <w:rFonts w:asciiTheme="minorEastAsia" w:hAnsiTheme="minorEastAsia" w:cstheme="minorEastAsia"/>
                <w:color w:val="auto"/>
                <w:highlight w:val="none"/>
              </w:rPr>
            </w:pPr>
          </w:p>
        </w:tc>
      </w:tr>
    </w:tbl>
    <w:p w14:paraId="1C8657F7">
      <w:pPr>
        <w:rPr>
          <w:rFonts w:asciiTheme="minorEastAsia" w:hAnsiTheme="minorEastAsia" w:cstheme="minorEastAsia"/>
          <w:b/>
          <w:color w:val="auto"/>
          <w:highlight w:val="none"/>
        </w:rPr>
      </w:pPr>
    </w:p>
    <w:p w14:paraId="68E95AE5">
      <w:pPr>
        <w:spacing w:line="480" w:lineRule="auto"/>
        <w:jc w:val="center"/>
        <w:rPr>
          <w:rFonts w:asciiTheme="minorEastAsia" w:hAnsiTheme="minorEastAsia" w:cstheme="minorEastAsia"/>
          <w:b/>
          <w:color w:val="auto"/>
          <w:sz w:val="32"/>
          <w:szCs w:val="32"/>
          <w:highlight w:val="none"/>
        </w:rPr>
      </w:pPr>
    </w:p>
    <w:p w14:paraId="5B50FDEC">
      <w:pPr>
        <w:pStyle w:val="29"/>
        <w:rPr>
          <w:color w:val="auto"/>
          <w:highlight w:val="none"/>
        </w:rPr>
      </w:pPr>
    </w:p>
    <w:p w14:paraId="4D2A34CE">
      <w:pPr>
        <w:pStyle w:val="29"/>
        <w:rPr>
          <w:color w:val="auto"/>
          <w:highlight w:val="none"/>
        </w:rPr>
      </w:pPr>
    </w:p>
    <w:p w14:paraId="67389627">
      <w:pPr>
        <w:pStyle w:val="29"/>
        <w:rPr>
          <w:color w:val="auto"/>
          <w:highlight w:val="none"/>
        </w:rPr>
      </w:pPr>
    </w:p>
    <w:p w14:paraId="00E555C6">
      <w:pPr>
        <w:pStyle w:val="4"/>
        <w:rPr>
          <w:rFonts w:ascii="宋体" w:hAnsi="宋体"/>
          <w:color w:val="auto"/>
          <w:highlight w:val="none"/>
        </w:rPr>
      </w:pPr>
      <w:r>
        <w:rPr>
          <w:rFonts w:hint="eastAsia" w:ascii="宋体" w:hAnsi="宋体" w:cs="宋体"/>
          <w:color w:val="auto"/>
          <w:sz w:val="32"/>
          <w:szCs w:val="32"/>
          <w:highlight w:val="none"/>
        </w:rPr>
        <w:br w:type="page"/>
      </w:r>
      <w:bookmarkStart w:id="101" w:name="_Toc34844746"/>
      <w:bookmarkStart w:id="102" w:name="_Toc86053876"/>
      <w:r>
        <w:rPr>
          <w:rFonts w:hint="eastAsia" w:ascii="宋体" w:hAnsi="宋体"/>
          <w:color w:val="auto"/>
          <w:highlight w:val="none"/>
        </w:rPr>
        <w:t>第六章  响应文件格式</w:t>
      </w:r>
      <w:bookmarkEnd w:id="101"/>
      <w:bookmarkEnd w:id="102"/>
    </w:p>
    <w:p w14:paraId="79184D37">
      <w:pPr>
        <w:snapToGrid w:val="0"/>
        <w:spacing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1.资格要求响应文件的有关格式</w:t>
      </w:r>
    </w:p>
    <w:p w14:paraId="34573157">
      <w:pPr>
        <w:pStyle w:val="8"/>
        <w:spacing w:after="0" w:line="360" w:lineRule="auto"/>
        <w:ind w:left="0" w:leftChars="0" w:firstLine="422"/>
        <w:jc w:val="center"/>
        <w:rPr>
          <w:rFonts w:ascii="宋体" w:hAnsi="宋体" w:cs="宋体"/>
          <w:b/>
          <w:color w:val="auto"/>
          <w:kern w:val="1"/>
          <w:szCs w:val="21"/>
          <w:highlight w:val="none"/>
        </w:rPr>
      </w:pPr>
      <w:r>
        <w:rPr>
          <w:rFonts w:hint="eastAsia" w:ascii="宋体" w:hAnsi="宋体" w:cs="宋体"/>
          <w:b/>
          <w:color w:val="auto"/>
          <w:sz w:val="21"/>
          <w:szCs w:val="21"/>
          <w:highlight w:val="none"/>
        </w:rPr>
        <w:t>（1）</w:t>
      </w:r>
      <w:r>
        <w:rPr>
          <w:rFonts w:ascii="宋体" w:hAnsi="宋体" w:cs="宋体"/>
          <w:b/>
          <w:color w:val="auto"/>
          <w:sz w:val="21"/>
          <w:szCs w:val="21"/>
          <w:highlight w:val="none"/>
        </w:rPr>
        <w:t>供应商资格声明函</w:t>
      </w:r>
    </w:p>
    <w:p w14:paraId="100CAD73">
      <w:pPr>
        <w:spacing w:line="360" w:lineRule="auto"/>
        <w:rPr>
          <w:rFonts w:ascii="宋体" w:hAnsi="宋体" w:cs="宋体"/>
          <w:b/>
          <w:color w:val="auto"/>
          <w:kern w:val="1"/>
          <w:szCs w:val="21"/>
          <w:highlight w:val="none"/>
        </w:rPr>
      </w:pPr>
      <w:r>
        <w:rPr>
          <w:rFonts w:hint="eastAsia" w:ascii="宋体" w:hAnsi="宋体"/>
          <w:bCs/>
          <w:color w:val="auto"/>
          <w:szCs w:val="21"/>
          <w:highlight w:val="none"/>
        </w:rPr>
        <w:t>致：</w:t>
      </w:r>
      <w:r>
        <w:rPr>
          <w:rFonts w:ascii="宋体" w:hAnsi="宋体"/>
          <w:color w:val="auto"/>
          <w:szCs w:val="21"/>
          <w:highlight w:val="none"/>
          <w:u w:val="single"/>
        </w:rPr>
        <w:t>浙江工商职业技术学院</w:t>
      </w:r>
      <w:r>
        <w:rPr>
          <w:rFonts w:hint="eastAsia" w:ascii="宋体" w:hAnsi="宋体"/>
          <w:color w:val="auto"/>
          <w:szCs w:val="21"/>
          <w:highlight w:val="none"/>
          <w:u w:val="single"/>
        </w:rPr>
        <w:t>、宁波名诚招标代理有限公司</w:t>
      </w:r>
    </w:p>
    <w:p w14:paraId="5166DC42">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我方自愿参与本项目政府采购活动，郑重承诺：</w:t>
      </w:r>
    </w:p>
    <w:p w14:paraId="721CB4C1">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一、具备《中华人民共和国政府采购法》第二十二条第一款规定的条件：</w:t>
      </w:r>
    </w:p>
    <w:p w14:paraId="524F35B7">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1.具有独立承担民事责任的能力；</w:t>
      </w:r>
    </w:p>
    <w:p w14:paraId="43CC9302">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2.具有良好的商业信誉和健全的财务会计制度；</w:t>
      </w:r>
    </w:p>
    <w:p w14:paraId="1A30924A">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3.具有履行本项目合同所必需的设备和专业技术能力；</w:t>
      </w:r>
    </w:p>
    <w:p w14:paraId="5468DD33">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4.有依法缴纳税收和社会保障资金的良好记录；</w:t>
      </w:r>
    </w:p>
    <w:p w14:paraId="55FACFD5">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14:paraId="12040436">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6.具有</w:t>
      </w:r>
      <w:r>
        <w:rPr>
          <w:rFonts w:ascii="宋体" w:hAnsi="宋体" w:cs="Arial"/>
          <w:color w:val="auto"/>
          <w:szCs w:val="21"/>
          <w:highlight w:val="none"/>
        </w:rPr>
        <w:t>法律、行政法规规定的其他条件</w:t>
      </w:r>
      <w:r>
        <w:rPr>
          <w:rFonts w:hint="eastAsia" w:ascii="宋体" w:hAnsi="宋体" w:cs="Arial"/>
          <w:color w:val="auto"/>
          <w:szCs w:val="21"/>
          <w:highlight w:val="none"/>
        </w:rPr>
        <w:t>。</w:t>
      </w:r>
    </w:p>
    <w:p w14:paraId="3F223953">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二、未被“信用中国”（www.creditchina.gov.cn)、中国政府采购网（www.ccgp.gov.cn）列入失信被执行人、重大税收违法失信主体、政府采购严重违法失信行为记录名单。</w:t>
      </w:r>
    </w:p>
    <w:p w14:paraId="1EFDF75A">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三、不存在以下情况：</w:t>
      </w:r>
    </w:p>
    <w:p w14:paraId="1006F524">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1.</w:t>
      </w:r>
      <w:r>
        <w:rPr>
          <w:rFonts w:ascii="宋体" w:hAnsi="宋体" w:cs="Arial"/>
          <w:color w:val="auto"/>
          <w:szCs w:val="21"/>
          <w:highlight w:val="none"/>
        </w:rPr>
        <w:t>单位负责人为同一人或者存在直接控股、管理关系的不同供应商参加同一合同项下的</w:t>
      </w:r>
      <w:r>
        <w:rPr>
          <w:rFonts w:hint="eastAsia" w:ascii="宋体" w:hAnsi="宋体" w:cs="Arial"/>
          <w:color w:val="auto"/>
          <w:szCs w:val="21"/>
          <w:highlight w:val="none"/>
        </w:rPr>
        <w:t>政府</w:t>
      </w:r>
      <w:r>
        <w:rPr>
          <w:rFonts w:ascii="宋体" w:hAnsi="宋体" w:cs="Arial"/>
          <w:color w:val="auto"/>
          <w:szCs w:val="21"/>
          <w:highlight w:val="none"/>
        </w:rPr>
        <w:t>采购活动的；</w:t>
      </w:r>
    </w:p>
    <w:p w14:paraId="75F71774">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2.</w:t>
      </w:r>
      <w:r>
        <w:rPr>
          <w:rFonts w:ascii="宋体" w:hAnsi="宋体" w:cs="Arial"/>
          <w:color w:val="auto"/>
          <w:szCs w:val="21"/>
          <w:highlight w:val="none"/>
        </w:rPr>
        <w:t>为采购项目提供整体设计、规范编制或者项目管理、监理、检测等服务后再参加该采购项目的其他采购活动的。</w:t>
      </w:r>
    </w:p>
    <w:p w14:paraId="234BB1E2">
      <w:pPr>
        <w:spacing w:line="360" w:lineRule="auto"/>
        <w:ind w:firstLine="420"/>
        <w:rPr>
          <w:rFonts w:ascii="宋体" w:hAnsi="宋体" w:cs="宋体"/>
          <w:color w:val="auto"/>
          <w:szCs w:val="21"/>
          <w:highlight w:val="none"/>
        </w:rPr>
      </w:pPr>
    </w:p>
    <w:p w14:paraId="29F3DE94">
      <w:pPr>
        <w:snapToGrid w:val="0"/>
        <w:spacing w:line="360" w:lineRule="auto"/>
        <w:ind w:firstLine="3685" w:firstLineChars="1755"/>
        <w:rPr>
          <w:rFonts w:ascii="宋体" w:hAnsi="宋体"/>
          <w:color w:val="auto"/>
          <w:szCs w:val="21"/>
          <w:highlight w:val="none"/>
        </w:rPr>
      </w:pPr>
    </w:p>
    <w:p w14:paraId="0BAEA571">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（填写全称并加盖公章)      </w:t>
      </w:r>
    </w:p>
    <w:p w14:paraId="460D9314">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14:paraId="11D0347E">
      <w:pPr>
        <w:snapToGrid w:val="0"/>
        <w:spacing w:line="360" w:lineRule="auto"/>
        <w:ind w:firstLine="3685" w:firstLineChars="1755"/>
        <w:rPr>
          <w:rFonts w:ascii="宋体" w:hAnsi="宋体"/>
          <w:color w:val="auto"/>
          <w:szCs w:val="21"/>
          <w:highlight w:val="none"/>
        </w:rPr>
      </w:pPr>
    </w:p>
    <w:p w14:paraId="7B7A9186">
      <w:pPr>
        <w:pStyle w:val="29"/>
        <w:rPr>
          <w:color w:val="auto"/>
          <w:highlight w:val="none"/>
        </w:rPr>
      </w:pPr>
    </w:p>
    <w:p w14:paraId="282DB406">
      <w:pPr>
        <w:pStyle w:val="29"/>
        <w:rPr>
          <w:color w:val="auto"/>
          <w:highlight w:val="none"/>
        </w:rPr>
      </w:pPr>
    </w:p>
    <w:p w14:paraId="7C6004D8">
      <w:pPr>
        <w:pStyle w:val="29"/>
        <w:rPr>
          <w:color w:val="auto"/>
          <w:highlight w:val="none"/>
        </w:rPr>
      </w:pPr>
    </w:p>
    <w:p w14:paraId="0AA6DB4B">
      <w:pPr>
        <w:pStyle w:val="29"/>
        <w:rPr>
          <w:color w:val="auto"/>
          <w:highlight w:val="none"/>
        </w:rPr>
      </w:pPr>
      <w:r>
        <w:rPr>
          <w:color w:val="auto"/>
          <w:highlight w:val="none"/>
        </w:rPr>
        <w:br w:type="page"/>
      </w:r>
    </w:p>
    <w:p w14:paraId="3E37736F">
      <w:pPr>
        <w:pStyle w:val="8"/>
        <w:spacing w:after="0" w:line="360" w:lineRule="auto"/>
        <w:ind w:left="0" w:leftChars="0"/>
        <w:jc w:val="center"/>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ascii="宋体" w:hAnsi="宋体" w:cs="宋体"/>
          <w:b/>
          <w:color w:val="auto"/>
          <w:sz w:val="21"/>
          <w:szCs w:val="21"/>
          <w:highlight w:val="none"/>
        </w:rPr>
        <w:t>2</w:t>
      </w:r>
      <w:r>
        <w:rPr>
          <w:rFonts w:hint="eastAsia" w:ascii="宋体" w:hAnsi="宋体" w:cs="宋体"/>
          <w:b/>
          <w:color w:val="auto"/>
          <w:sz w:val="21"/>
          <w:szCs w:val="21"/>
          <w:highlight w:val="none"/>
        </w:rPr>
        <w:t>）</w:t>
      </w:r>
      <w:r>
        <w:rPr>
          <w:rFonts w:ascii="宋体" w:hAnsi="宋体" w:cs="宋体"/>
          <w:b/>
          <w:color w:val="auto"/>
          <w:sz w:val="21"/>
          <w:szCs w:val="21"/>
          <w:highlight w:val="none"/>
        </w:rPr>
        <w:t>中小企业声明函</w:t>
      </w:r>
    </w:p>
    <w:p w14:paraId="70544316">
      <w:pPr>
        <w:spacing w:line="360" w:lineRule="auto"/>
        <w:ind w:firstLine="420" w:firstLineChars="200"/>
        <w:rPr>
          <w:rFonts w:ascii="宋体" w:hAnsi="宋体" w:cs="仿宋"/>
          <w:color w:val="auto"/>
          <w:szCs w:val="21"/>
          <w:highlight w:val="none"/>
        </w:rPr>
      </w:pPr>
      <w:r>
        <w:rPr>
          <w:rFonts w:ascii="宋体" w:hAnsi="宋体" w:cs="仿宋"/>
          <w:color w:val="auto"/>
          <w:szCs w:val="21"/>
          <w:highlight w:val="none"/>
        </w:rPr>
        <w:t>本公司（联合体）郑重声明，根据《政府采购促进中小企业发展管理办法》（财库﹝2020﹞46号）的规定，本公司（联合体）参加</w:t>
      </w:r>
      <w:r>
        <w:rPr>
          <w:rFonts w:hint="eastAsia" w:ascii="宋体" w:hAnsi="宋体" w:cs="仿宋"/>
          <w:b/>
          <w:color w:val="auto"/>
          <w:szCs w:val="21"/>
          <w:highlight w:val="none"/>
          <w:u w:val="single"/>
        </w:rPr>
        <w:t xml:space="preserve">   浙江工商职业技术学院</w:t>
      </w:r>
      <w:r>
        <w:rPr>
          <w:rFonts w:ascii="宋体" w:hAnsi="宋体" w:cs="仿宋"/>
          <w:b/>
          <w:color w:val="auto"/>
          <w:szCs w:val="21"/>
          <w:highlight w:val="none"/>
          <w:u w:val="single"/>
        </w:rPr>
        <w:t xml:space="preserve">  </w:t>
      </w:r>
      <w:r>
        <w:rPr>
          <w:rFonts w:ascii="宋体" w:hAnsi="宋体" w:cs="仿宋"/>
          <w:color w:val="auto"/>
          <w:szCs w:val="21"/>
          <w:highlight w:val="none"/>
        </w:rPr>
        <w:t>的</w:t>
      </w:r>
      <w:r>
        <w:rPr>
          <w:rFonts w:hint="eastAsia" w:ascii="宋体" w:hAnsi="宋体" w:cs="仿宋"/>
          <w:b/>
          <w:color w:val="auto"/>
          <w:szCs w:val="21"/>
          <w:highlight w:val="none"/>
          <w:u w:val="single"/>
        </w:rPr>
        <w:t xml:space="preserve">  浙江工商职业技术学院学生文体活动中心改造项目</w:t>
      </w:r>
      <w:r>
        <w:rPr>
          <w:rFonts w:ascii="宋体" w:hAnsi="宋体" w:cs="仿宋"/>
          <w:b/>
          <w:color w:val="auto"/>
          <w:szCs w:val="21"/>
          <w:highlight w:val="none"/>
          <w:u w:val="single"/>
        </w:rPr>
        <w:t xml:space="preserve">  </w:t>
      </w:r>
      <w:r>
        <w:rPr>
          <w:rFonts w:ascii="宋体" w:hAnsi="宋体" w:cs="仿宋"/>
          <w:color w:val="auto"/>
          <w:szCs w:val="21"/>
          <w:highlight w:val="none"/>
        </w:rPr>
        <w:t>采购活动，工程的施工单位全部为符合政策要求的中小企业。相关企业（含联合体中的中小企业、签订分包意向协议的中小企业）的具体情况如下：</w:t>
      </w:r>
    </w:p>
    <w:p w14:paraId="6B9E940F">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1.</w:t>
      </w:r>
      <w:r>
        <w:rPr>
          <w:rFonts w:hint="eastAsia" w:ascii="宋体" w:hAnsi="宋体" w:cs="仿宋"/>
          <w:b/>
          <w:color w:val="auto"/>
          <w:szCs w:val="21"/>
          <w:highlight w:val="none"/>
          <w:u w:val="single"/>
        </w:rPr>
        <w:t xml:space="preserve">  浙江工商职业技术学院学生文体活动中心改造项目</w:t>
      </w:r>
      <w:r>
        <w:rPr>
          <w:rFonts w:ascii="宋体" w:hAnsi="宋体" w:cs="仿宋"/>
          <w:b/>
          <w:color w:val="auto"/>
          <w:szCs w:val="21"/>
          <w:highlight w:val="none"/>
          <w:u w:val="single"/>
        </w:rPr>
        <w:t xml:space="preserve">  </w:t>
      </w:r>
      <w:r>
        <w:rPr>
          <w:rFonts w:hint="eastAsia" w:ascii="宋体" w:hAnsi="宋体" w:cs="仿宋"/>
          <w:color w:val="auto"/>
          <w:szCs w:val="21"/>
          <w:highlight w:val="none"/>
        </w:rPr>
        <w:t>，属于</w:t>
      </w:r>
      <w:r>
        <w:rPr>
          <w:rFonts w:hint="eastAsia" w:ascii="宋体" w:hAnsi="宋体" w:cs="仿宋"/>
          <w:b/>
          <w:color w:val="auto"/>
          <w:szCs w:val="21"/>
          <w:highlight w:val="none"/>
          <w:u w:val="single"/>
        </w:rPr>
        <w:t xml:space="preserve"> </w:t>
      </w:r>
      <w:r>
        <w:rPr>
          <w:rFonts w:ascii="宋体" w:hAnsi="宋体" w:cs="仿宋"/>
          <w:b/>
          <w:color w:val="auto"/>
          <w:szCs w:val="21"/>
          <w:highlight w:val="none"/>
          <w:u w:val="single"/>
        </w:rPr>
        <w:t xml:space="preserve"> </w:t>
      </w:r>
      <w:r>
        <w:rPr>
          <w:rFonts w:hint="eastAsia" w:ascii="宋体" w:hAnsi="宋体" w:cs="仿宋"/>
          <w:b/>
          <w:color w:val="auto"/>
          <w:szCs w:val="21"/>
          <w:highlight w:val="none"/>
          <w:u w:val="single"/>
        </w:rPr>
        <w:t>建筑业</w:t>
      </w:r>
      <w:r>
        <w:rPr>
          <w:rFonts w:ascii="宋体" w:hAnsi="宋体" w:cs="仿宋"/>
          <w:b/>
          <w:color w:val="auto"/>
          <w:szCs w:val="21"/>
          <w:highlight w:val="none"/>
          <w:u w:val="single"/>
        </w:rPr>
        <w:t xml:space="preserve">  </w:t>
      </w:r>
      <w:r>
        <w:rPr>
          <w:rFonts w:hint="eastAsia" w:ascii="宋体" w:hAnsi="宋体" w:cs="仿宋"/>
          <w:color w:val="auto"/>
          <w:szCs w:val="21"/>
          <w:highlight w:val="none"/>
        </w:rPr>
        <w:t xml:space="preserve">；承建（承接）企业为 </w:t>
      </w:r>
      <w:r>
        <w:rPr>
          <w:rFonts w:hint="eastAsia" w:ascii="宋体" w:hAnsi="宋体" w:cs="仿宋"/>
          <w:color w:val="auto"/>
          <w:szCs w:val="21"/>
          <w:highlight w:val="none"/>
          <w:u w:val="single"/>
        </w:rPr>
        <w:t xml:space="preserve">  （企业名称）  </w:t>
      </w:r>
      <w:r>
        <w:rPr>
          <w:rFonts w:hint="eastAsia" w:ascii="宋体" w:hAnsi="宋体" w:cs="仿宋"/>
          <w:color w:val="auto"/>
          <w:szCs w:val="21"/>
          <w:highlight w:val="none"/>
        </w:rPr>
        <w:t xml:space="preserve"> ，从业人员</w:t>
      </w: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人，营业收入为</w:t>
      </w: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万元，资产总额为</w:t>
      </w: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万元，属于</w:t>
      </w:r>
      <w:r>
        <w:rPr>
          <w:rFonts w:hint="eastAsia" w:ascii="宋体" w:hAnsi="宋体" w:cs="仿宋"/>
          <w:color w:val="auto"/>
          <w:szCs w:val="21"/>
          <w:highlight w:val="none"/>
          <w:u w:val="single"/>
        </w:rPr>
        <w:t xml:space="preserve">   </w:t>
      </w:r>
      <w:r>
        <w:rPr>
          <w:rFonts w:ascii="宋体" w:hAnsi="宋体" w:cs="仿宋"/>
          <w:color w:val="auto"/>
          <w:szCs w:val="21"/>
          <w:highlight w:val="none"/>
          <w:u w:val="single"/>
        </w:rPr>
        <w:t xml:space="preserve">          </w:t>
      </w:r>
      <w:r>
        <w:rPr>
          <w:rFonts w:hint="eastAsia" w:ascii="宋体" w:hAnsi="宋体" w:cs="仿宋"/>
          <w:color w:val="auto"/>
          <w:szCs w:val="21"/>
          <w:highlight w:val="none"/>
          <w:u w:val="single"/>
        </w:rPr>
        <w:t xml:space="preserve"> （中型企业、小型企业、微型企业）   </w:t>
      </w:r>
      <w:r>
        <w:rPr>
          <w:rFonts w:hint="eastAsia" w:ascii="宋体" w:hAnsi="宋体" w:cs="仿宋"/>
          <w:color w:val="auto"/>
          <w:szCs w:val="21"/>
          <w:highlight w:val="none"/>
        </w:rPr>
        <w:t>；</w:t>
      </w:r>
    </w:p>
    <w:p w14:paraId="3DA2E109">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2.</w:t>
      </w:r>
      <w:r>
        <w:rPr>
          <w:rFonts w:hint="eastAsia" w:ascii="宋体" w:hAnsi="宋体" w:cs="仿宋"/>
          <w:b/>
          <w:color w:val="auto"/>
          <w:szCs w:val="21"/>
          <w:highlight w:val="none"/>
          <w:u w:val="single"/>
        </w:rPr>
        <w:t xml:space="preserve">  </w:t>
      </w:r>
      <w:r>
        <w:rPr>
          <w:rFonts w:ascii="宋体" w:hAnsi="宋体" w:cs="仿宋"/>
          <w:b/>
          <w:color w:val="auto"/>
          <w:szCs w:val="21"/>
          <w:highlight w:val="none"/>
          <w:u w:val="single"/>
        </w:rPr>
        <w:t xml:space="preserve">                  </w:t>
      </w:r>
      <w:r>
        <w:rPr>
          <w:rFonts w:hint="eastAsia" w:ascii="宋体" w:hAnsi="宋体" w:cs="仿宋"/>
          <w:b/>
          <w:color w:val="auto"/>
          <w:szCs w:val="21"/>
          <w:highlight w:val="none"/>
          <w:u w:val="single"/>
        </w:rPr>
        <w:t xml:space="preserve"> </w:t>
      </w: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，属于</w:t>
      </w:r>
      <w:r>
        <w:rPr>
          <w:rFonts w:hint="eastAsia" w:ascii="宋体" w:hAnsi="宋体" w:cs="仿宋"/>
          <w:b/>
          <w:color w:val="auto"/>
          <w:szCs w:val="21"/>
          <w:highlight w:val="none"/>
          <w:u w:val="single"/>
        </w:rPr>
        <w:t xml:space="preserve"> </w:t>
      </w:r>
      <w:r>
        <w:rPr>
          <w:rFonts w:ascii="宋体" w:hAnsi="宋体" w:cs="仿宋"/>
          <w:b/>
          <w:color w:val="auto"/>
          <w:szCs w:val="21"/>
          <w:highlight w:val="none"/>
          <w:u w:val="single"/>
        </w:rPr>
        <w:t xml:space="preserve"> </w:t>
      </w:r>
      <w:r>
        <w:rPr>
          <w:rFonts w:hint="eastAsia" w:ascii="宋体" w:hAnsi="宋体" w:cs="仿宋"/>
          <w:b/>
          <w:color w:val="auto"/>
          <w:szCs w:val="21"/>
          <w:highlight w:val="none"/>
          <w:u w:val="single"/>
        </w:rPr>
        <w:t xml:space="preserve"> </w:t>
      </w:r>
      <w:r>
        <w:rPr>
          <w:rFonts w:ascii="宋体" w:hAnsi="宋体" w:cs="仿宋"/>
          <w:b/>
          <w:color w:val="auto"/>
          <w:szCs w:val="21"/>
          <w:highlight w:val="none"/>
          <w:u w:val="single"/>
        </w:rPr>
        <w:t xml:space="preserve">     </w:t>
      </w:r>
      <w:r>
        <w:rPr>
          <w:rFonts w:hint="eastAsia" w:ascii="宋体" w:hAnsi="宋体" w:cs="仿宋"/>
          <w:color w:val="auto"/>
          <w:szCs w:val="21"/>
          <w:highlight w:val="none"/>
        </w:rPr>
        <w:t xml:space="preserve">；承建（承接）企业为 </w:t>
      </w:r>
      <w:r>
        <w:rPr>
          <w:rFonts w:hint="eastAsia" w:ascii="宋体" w:hAnsi="宋体" w:cs="仿宋"/>
          <w:color w:val="auto"/>
          <w:szCs w:val="21"/>
          <w:highlight w:val="none"/>
          <w:u w:val="single"/>
        </w:rPr>
        <w:t>（企业名称）</w:t>
      </w:r>
      <w:r>
        <w:rPr>
          <w:rFonts w:hint="eastAsia" w:ascii="宋体" w:hAnsi="宋体" w:cs="仿宋"/>
          <w:color w:val="auto"/>
          <w:szCs w:val="21"/>
          <w:highlight w:val="none"/>
        </w:rPr>
        <w:t xml:space="preserve"> ，从业人员</w:t>
      </w: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人，营业收入为</w:t>
      </w: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万元，资产总额为</w:t>
      </w: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万元，属于</w:t>
      </w:r>
      <w:r>
        <w:rPr>
          <w:rFonts w:hint="eastAsia" w:ascii="宋体" w:hAnsi="宋体" w:cs="仿宋"/>
          <w:color w:val="auto"/>
          <w:szCs w:val="21"/>
          <w:highlight w:val="none"/>
          <w:u w:val="single"/>
        </w:rPr>
        <w:t xml:space="preserve">    </w:t>
      </w:r>
      <w:r>
        <w:rPr>
          <w:rFonts w:ascii="宋体" w:hAnsi="宋体" w:cs="仿宋"/>
          <w:color w:val="auto"/>
          <w:szCs w:val="21"/>
          <w:highlight w:val="none"/>
          <w:u w:val="single"/>
        </w:rPr>
        <w:t xml:space="preserve">             </w:t>
      </w:r>
      <w:r>
        <w:rPr>
          <w:rFonts w:hint="eastAsia" w:ascii="宋体" w:hAnsi="宋体" w:cs="仿宋"/>
          <w:color w:val="auto"/>
          <w:szCs w:val="21"/>
          <w:highlight w:val="none"/>
          <w:u w:val="single"/>
        </w:rPr>
        <w:t xml:space="preserve">（中型企业、小型企业、微型企业）    </w:t>
      </w:r>
      <w:r>
        <w:rPr>
          <w:rFonts w:hint="eastAsia" w:ascii="宋体" w:hAnsi="宋体" w:cs="仿宋"/>
          <w:color w:val="auto"/>
          <w:szCs w:val="21"/>
          <w:highlight w:val="none"/>
        </w:rPr>
        <w:t>；</w:t>
      </w:r>
    </w:p>
    <w:p w14:paraId="2C9FEB2A">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w:t>
      </w:r>
    </w:p>
    <w:p w14:paraId="0E0D7C62">
      <w:pPr>
        <w:spacing w:line="360" w:lineRule="auto"/>
        <w:ind w:firstLine="422" w:firstLineChars="200"/>
        <w:rPr>
          <w:rFonts w:ascii="宋体" w:hAnsi="宋体" w:cs="仿宋"/>
          <w:b/>
          <w:color w:val="auto"/>
          <w:szCs w:val="21"/>
          <w:highlight w:val="none"/>
        </w:rPr>
      </w:pPr>
      <w:r>
        <w:rPr>
          <w:rFonts w:hint="eastAsia" w:ascii="宋体" w:hAnsi="宋体" w:cs="仿宋"/>
          <w:b/>
          <w:color w:val="auto"/>
          <w:szCs w:val="21"/>
          <w:highlight w:val="none"/>
        </w:rPr>
        <w:t>以上企业，不属于大企业的分支机构，不存在控股股东为大企业的情形，也不存在与大企业的负责人为同一人的情形。</w:t>
      </w:r>
    </w:p>
    <w:p w14:paraId="36697213">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本企业对上述声明内容的真实性负责。如有虚假，将依法承担相应责任。</w:t>
      </w:r>
    </w:p>
    <w:p w14:paraId="064A1EC5">
      <w:pPr>
        <w:spacing w:line="360" w:lineRule="auto"/>
        <w:ind w:right="1760"/>
        <w:jc w:val="right"/>
        <w:rPr>
          <w:rFonts w:ascii="宋体" w:hAnsi="宋体" w:cs="仿宋"/>
          <w:color w:val="auto"/>
          <w:szCs w:val="21"/>
          <w:highlight w:val="none"/>
        </w:rPr>
      </w:pPr>
    </w:p>
    <w:p w14:paraId="648B1334">
      <w:pPr>
        <w:spacing w:line="360" w:lineRule="auto"/>
        <w:ind w:right="1760"/>
        <w:jc w:val="right"/>
        <w:rPr>
          <w:rFonts w:ascii="宋体" w:hAnsi="宋体" w:cs="仿宋"/>
          <w:color w:val="auto"/>
          <w:szCs w:val="21"/>
          <w:highlight w:val="none"/>
        </w:rPr>
      </w:pPr>
      <w:r>
        <w:rPr>
          <w:rFonts w:hint="eastAsia" w:ascii="宋体" w:hAnsi="宋体" w:cs="仿宋"/>
          <w:color w:val="auto"/>
          <w:szCs w:val="21"/>
          <w:highlight w:val="none"/>
        </w:rPr>
        <w:t>企业名称（加盖公章）：</w:t>
      </w:r>
    </w:p>
    <w:p w14:paraId="466C8F1A">
      <w:pPr>
        <w:spacing w:line="360" w:lineRule="auto"/>
        <w:ind w:right="3147"/>
        <w:jc w:val="right"/>
        <w:rPr>
          <w:rFonts w:ascii="宋体" w:hAnsi="宋体" w:cs="仿宋"/>
          <w:color w:val="auto"/>
          <w:szCs w:val="21"/>
          <w:highlight w:val="none"/>
        </w:rPr>
      </w:pPr>
      <w:r>
        <w:rPr>
          <w:rFonts w:hint="eastAsia" w:ascii="宋体" w:hAnsi="宋体" w:cs="仿宋"/>
          <w:color w:val="auto"/>
          <w:szCs w:val="21"/>
          <w:highlight w:val="none"/>
        </w:rPr>
        <w:t>日 期：</w:t>
      </w:r>
    </w:p>
    <w:p w14:paraId="4DBAB0C9">
      <w:pPr>
        <w:spacing w:line="360" w:lineRule="auto"/>
        <w:ind w:firstLine="310" w:firstLineChars="147"/>
        <w:rPr>
          <w:rFonts w:ascii="宋体" w:hAnsi="宋体" w:cs="仿宋"/>
          <w:b/>
          <w:color w:val="auto"/>
          <w:szCs w:val="21"/>
          <w:highlight w:val="none"/>
        </w:rPr>
      </w:pPr>
    </w:p>
    <w:p w14:paraId="0E1CEEC8">
      <w:pPr>
        <w:spacing w:line="360" w:lineRule="auto"/>
        <w:ind w:firstLine="310" w:firstLineChars="147"/>
        <w:rPr>
          <w:rFonts w:ascii="宋体" w:hAnsi="宋体" w:cs="仿宋"/>
          <w:b/>
          <w:color w:val="auto"/>
          <w:szCs w:val="21"/>
          <w:highlight w:val="none"/>
        </w:rPr>
      </w:pPr>
    </w:p>
    <w:p w14:paraId="07012761">
      <w:pPr>
        <w:snapToGrid w:val="0"/>
        <w:spacing w:before="50" w:after="50"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填写说明：</w:t>
      </w:r>
    </w:p>
    <w:p w14:paraId="52507AF8">
      <w:pPr>
        <w:snapToGrid w:val="0"/>
        <w:spacing w:before="50" w:after="50" w:line="360" w:lineRule="auto"/>
        <w:ind w:right="-214" w:rightChars="-102"/>
        <w:jc w:val="left"/>
        <w:rPr>
          <w:rFonts w:ascii="宋体" w:hAnsi="宋体"/>
          <w:b/>
          <w:color w:val="auto"/>
          <w:highlight w:val="none"/>
        </w:rPr>
      </w:pPr>
      <w:r>
        <w:rPr>
          <w:rFonts w:hint="eastAsia" w:ascii="宋体" w:hAnsi="宋体"/>
          <w:b/>
          <w:color w:val="auto"/>
          <w:highlight w:val="none"/>
        </w:rPr>
        <w:t>1.从业人员、营业收入、资产总额填报上一年度数据，无上一年度数据的新成立企业可不填报。</w:t>
      </w:r>
    </w:p>
    <w:p w14:paraId="748A67EA">
      <w:pPr>
        <w:snapToGrid w:val="0"/>
        <w:spacing w:before="50" w:after="50"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2.供应商应当对其出具的《中小企业声明函》真实性负责，出具的《中小企业声明函》内容不实的，属于提供虚假材料。</w:t>
      </w:r>
    </w:p>
    <w:p w14:paraId="7CC16474">
      <w:pPr>
        <w:snapToGrid w:val="0"/>
        <w:spacing w:before="50" w:after="50" w:line="360" w:lineRule="auto"/>
        <w:ind w:left="-23" w:leftChars="-11" w:right="-214" w:rightChars="-102" w:firstLine="21" w:firstLineChars="10"/>
        <w:jc w:val="left"/>
        <w:rPr>
          <w:rFonts w:ascii="宋体" w:hAnsi="宋体" w:cs="仿宋"/>
          <w:b/>
          <w:color w:val="auto"/>
          <w:szCs w:val="21"/>
          <w:highlight w:val="none"/>
        </w:rPr>
      </w:pPr>
      <w:r>
        <w:rPr>
          <w:rFonts w:hint="eastAsia" w:ascii="宋体" w:hAnsi="宋体"/>
          <w:b/>
          <w:color w:val="auto"/>
          <w:highlight w:val="none"/>
        </w:rPr>
        <w:t>3.</w:t>
      </w:r>
      <w:r>
        <w:rPr>
          <w:rFonts w:hint="eastAsia" w:ascii="宋体" w:hAnsi="宋体" w:cs="宋体"/>
          <w:b/>
          <w:color w:val="auto"/>
          <w:kern w:val="0"/>
          <w:szCs w:val="21"/>
          <w:highlight w:val="none"/>
          <w:u w:val="thick" w:color="FF0000"/>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237BE70">
      <w:pPr>
        <w:pStyle w:val="29"/>
        <w:rPr>
          <w:color w:val="auto"/>
          <w:highlight w:val="none"/>
        </w:rPr>
      </w:pPr>
    </w:p>
    <w:p w14:paraId="4F9191BF">
      <w:pPr>
        <w:widowControl/>
        <w:ind w:firstLine="422"/>
        <w:jc w:val="left"/>
        <w:rPr>
          <w:rFonts w:ascii="宋体" w:hAnsi="宋体"/>
          <w:b/>
          <w:color w:val="auto"/>
          <w:highlight w:val="none"/>
        </w:rPr>
      </w:pPr>
      <w:r>
        <w:rPr>
          <w:rFonts w:ascii="宋体" w:hAnsi="宋体"/>
          <w:b/>
          <w:color w:val="auto"/>
          <w:highlight w:val="none"/>
        </w:rPr>
        <w:br w:type="page"/>
      </w:r>
    </w:p>
    <w:p w14:paraId="1E913C08">
      <w:pPr>
        <w:pStyle w:val="8"/>
        <w:spacing w:after="0" w:line="360" w:lineRule="auto"/>
        <w:ind w:left="0" w:leftChars="0" w:firstLine="422"/>
        <w:jc w:val="center"/>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ascii="宋体" w:hAnsi="宋体" w:cs="宋体"/>
          <w:b/>
          <w:color w:val="auto"/>
          <w:sz w:val="21"/>
          <w:szCs w:val="21"/>
          <w:highlight w:val="none"/>
        </w:rPr>
        <w:t>3</w:t>
      </w:r>
      <w:r>
        <w:rPr>
          <w:rFonts w:hint="eastAsia" w:ascii="宋体" w:hAnsi="宋体" w:cs="宋体"/>
          <w:b/>
          <w:color w:val="auto"/>
          <w:sz w:val="21"/>
          <w:szCs w:val="21"/>
          <w:highlight w:val="none"/>
        </w:rPr>
        <w:t>）残疾人福利性单位声明函</w:t>
      </w:r>
    </w:p>
    <w:p w14:paraId="44B8CB1C">
      <w:pPr>
        <w:spacing w:line="360" w:lineRule="auto"/>
        <w:ind w:firstLine="444" w:firstLineChars="200"/>
        <w:rPr>
          <w:rFonts w:ascii="宋体" w:hAnsi="宋体"/>
          <w:color w:val="auto"/>
          <w:spacing w:val="6"/>
          <w:highlight w:val="none"/>
        </w:rPr>
      </w:pPr>
      <w:r>
        <w:rPr>
          <w:rFonts w:hint="eastAsia" w:ascii="宋体" w:hAnsi="宋体"/>
          <w:color w:val="auto"/>
          <w:spacing w:val="6"/>
          <w:highlight w:val="none"/>
        </w:rPr>
        <w:t>本单位郑重声明，根据《财政部 民政部 中国残疾人联合会关于促进残疾人就业政府采购政策的通知》（财库</w:t>
      </w:r>
      <w:r>
        <w:rPr>
          <w:rFonts w:hint="eastAsia" w:ascii="宋体" w:hAnsi="宋体"/>
          <w:color w:val="auto"/>
          <w:highlight w:val="none"/>
        </w:rPr>
        <w:t>〔2017〕 141</w:t>
      </w:r>
      <w:r>
        <w:rPr>
          <w:rFonts w:hint="eastAsia" w:ascii="宋体" w:hAnsi="宋体"/>
          <w:color w:val="auto"/>
          <w:spacing w:val="6"/>
          <w:highlight w:val="none"/>
        </w:rPr>
        <w:t>号）的规定，本单位为符合条件的残疾人福利性单位，且本单位参加</w:t>
      </w:r>
      <w:r>
        <w:rPr>
          <w:rFonts w:hint="eastAsia" w:ascii="宋体" w:hAnsi="宋体"/>
          <w:color w:val="auto"/>
          <w:spacing w:val="6"/>
          <w:highlight w:val="none"/>
          <w:u w:val="single"/>
        </w:rPr>
        <w:t xml:space="preserve"> </w:t>
      </w:r>
      <w:r>
        <w:rPr>
          <w:rFonts w:ascii="宋体" w:hAnsi="宋体"/>
          <w:color w:val="auto"/>
          <w:spacing w:val="6"/>
          <w:highlight w:val="none"/>
          <w:u w:val="single"/>
        </w:rPr>
        <w:t xml:space="preserve">     </w:t>
      </w:r>
      <w:r>
        <w:rPr>
          <w:rFonts w:hint="eastAsia" w:ascii="宋体" w:hAnsi="宋体"/>
          <w:color w:val="auto"/>
          <w:spacing w:val="6"/>
          <w:highlight w:val="none"/>
          <w:u w:val="single"/>
        </w:rPr>
        <w:t xml:space="preserve">（填采购人名称）    </w:t>
      </w:r>
      <w:r>
        <w:rPr>
          <w:rFonts w:hint="eastAsia" w:ascii="宋体" w:hAnsi="宋体"/>
          <w:color w:val="auto"/>
          <w:spacing w:val="6"/>
          <w:highlight w:val="none"/>
        </w:rPr>
        <w:t>单位的</w:t>
      </w:r>
      <w:r>
        <w:rPr>
          <w:rFonts w:hint="eastAsia" w:ascii="宋体" w:hAnsi="宋体"/>
          <w:color w:val="auto"/>
          <w:spacing w:val="6"/>
          <w:highlight w:val="none"/>
          <w:u w:val="single"/>
        </w:rPr>
        <w:t xml:space="preserve"> </w:t>
      </w:r>
      <w:r>
        <w:rPr>
          <w:rFonts w:ascii="宋体" w:hAnsi="宋体"/>
          <w:color w:val="auto"/>
          <w:spacing w:val="6"/>
          <w:highlight w:val="none"/>
          <w:u w:val="single"/>
        </w:rPr>
        <w:t xml:space="preserve"> </w:t>
      </w:r>
      <w:r>
        <w:rPr>
          <w:rFonts w:hint="eastAsia" w:ascii="宋体" w:hAnsi="宋体"/>
          <w:color w:val="auto"/>
          <w:spacing w:val="6"/>
          <w:highlight w:val="none"/>
          <w:u w:val="single"/>
        </w:rPr>
        <w:t xml:space="preserve">（填项目名称）  </w:t>
      </w:r>
      <w:r>
        <w:rPr>
          <w:rFonts w:hint="eastAsia" w:ascii="宋体" w:hAnsi="宋体"/>
          <w:color w:val="auto"/>
          <w:spacing w:val="6"/>
          <w:highlight w:val="none"/>
        </w:rPr>
        <w:t>项目采购活动提供本单位制造的货物（由本单位承担工程/提供服务），或者提供其他残疾人福利性单位制造的货物（不包括使用非残疾人福利性单位注册商标的货物）。</w:t>
      </w:r>
    </w:p>
    <w:p w14:paraId="0054C09A">
      <w:pPr>
        <w:spacing w:line="360" w:lineRule="auto"/>
        <w:ind w:firstLine="444" w:firstLineChars="200"/>
        <w:rPr>
          <w:rFonts w:ascii="宋体" w:hAnsi="宋体"/>
          <w:color w:val="auto"/>
          <w:spacing w:val="6"/>
          <w:highlight w:val="none"/>
        </w:rPr>
      </w:pPr>
      <w:r>
        <w:rPr>
          <w:rFonts w:hint="eastAsia" w:ascii="宋体" w:hAnsi="宋体"/>
          <w:color w:val="auto"/>
          <w:spacing w:val="6"/>
          <w:highlight w:val="none"/>
        </w:rPr>
        <w:t>本单位对上述声明的真实性负责。如有虚假，将依法承担相应责任。</w:t>
      </w:r>
    </w:p>
    <w:p w14:paraId="4E6D75BD">
      <w:pPr>
        <w:spacing w:line="360" w:lineRule="auto"/>
        <w:ind w:firstLine="444" w:firstLineChars="200"/>
        <w:rPr>
          <w:rFonts w:ascii="宋体" w:hAnsi="宋体"/>
          <w:color w:val="auto"/>
          <w:spacing w:val="6"/>
          <w:highlight w:val="none"/>
        </w:rPr>
      </w:pPr>
    </w:p>
    <w:p w14:paraId="584AAA6D">
      <w:pPr>
        <w:spacing w:line="360" w:lineRule="auto"/>
        <w:ind w:firstLine="444" w:firstLineChars="200"/>
        <w:rPr>
          <w:rFonts w:ascii="宋体" w:hAnsi="宋体"/>
          <w:color w:val="auto"/>
          <w:spacing w:val="6"/>
          <w:highlight w:val="none"/>
        </w:rPr>
      </w:pPr>
    </w:p>
    <w:p w14:paraId="43790CDC">
      <w:pPr>
        <w:tabs>
          <w:tab w:val="left" w:pos="4860"/>
        </w:tabs>
        <w:spacing w:line="360" w:lineRule="auto"/>
        <w:ind w:right="-50" w:firstLine="444" w:firstLineChars="200"/>
        <w:jc w:val="center"/>
        <w:rPr>
          <w:rFonts w:ascii="宋体" w:hAnsi="宋体"/>
          <w:color w:val="auto"/>
          <w:spacing w:val="6"/>
          <w:highlight w:val="none"/>
        </w:rPr>
      </w:pPr>
      <w:r>
        <w:rPr>
          <w:rFonts w:hint="eastAsia" w:ascii="宋体" w:hAnsi="宋体"/>
          <w:color w:val="auto"/>
          <w:spacing w:val="6"/>
          <w:highlight w:val="none"/>
        </w:rPr>
        <w:t>单位名称（盖章）：</w:t>
      </w:r>
    </w:p>
    <w:p w14:paraId="15EF3807">
      <w:pPr>
        <w:tabs>
          <w:tab w:val="left" w:pos="4860"/>
        </w:tabs>
        <w:spacing w:line="360" w:lineRule="auto"/>
        <w:ind w:right="-50" w:firstLine="444" w:firstLineChars="200"/>
        <w:jc w:val="center"/>
        <w:rPr>
          <w:rFonts w:ascii="宋体" w:hAnsi="宋体"/>
          <w:color w:val="auto"/>
          <w:spacing w:val="6"/>
          <w:highlight w:val="none"/>
        </w:rPr>
      </w:pPr>
      <w:r>
        <w:rPr>
          <w:rFonts w:hint="eastAsia" w:ascii="宋体" w:hAnsi="宋体"/>
          <w:color w:val="auto"/>
          <w:spacing w:val="6"/>
          <w:highlight w:val="none"/>
        </w:rPr>
        <w:t>日  期：</w:t>
      </w:r>
    </w:p>
    <w:p w14:paraId="154531CC">
      <w:pPr>
        <w:pStyle w:val="8"/>
        <w:snapToGrid w:val="0"/>
        <w:spacing w:line="360" w:lineRule="auto"/>
        <w:ind w:firstLine="437" w:firstLineChars="196"/>
        <w:rPr>
          <w:rFonts w:ascii="宋体" w:hAnsi="宋体" w:cs="宋体"/>
          <w:b/>
          <w:color w:val="auto"/>
          <w:spacing w:val="6"/>
          <w:sz w:val="21"/>
          <w:szCs w:val="21"/>
          <w:highlight w:val="none"/>
        </w:rPr>
      </w:pPr>
    </w:p>
    <w:p w14:paraId="1A941D01">
      <w:pPr>
        <w:pStyle w:val="8"/>
        <w:snapToGrid w:val="0"/>
        <w:spacing w:line="360" w:lineRule="auto"/>
        <w:ind w:firstLine="437" w:firstLineChars="196"/>
        <w:rPr>
          <w:rFonts w:ascii="宋体" w:hAnsi="宋体" w:cs="宋体"/>
          <w:b/>
          <w:color w:val="auto"/>
          <w:spacing w:val="6"/>
          <w:sz w:val="21"/>
          <w:szCs w:val="21"/>
          <w:highlight w:val="none"/>
        </w:rPr>
      </w:pPr>
    </w:p>
    <w:p w14:paraId="3F296430">
      <w:pPr>
        <w:pStyle w:val="8"/>
        <w:snapToGrid w:val="0"/>
        <w:spacing w:line="360" w:lineRule="auto"/>
        <w:ind w:firstLine="437" w:firstLineChars="196"/>
        <w:rPr>
          <w:rFonts w:ascii="宋体" w:hAnsi="宋体" w:cs="宋体"/>
          <w:b/>
          <w:color w:val="auto"/>
          <w:spacing w:val="6"/>
          <w:sz w:val="21"/>
          <w:szCs w:val="21"/>
          <w:highlight w:val="none"/>
        </w:rPr>
      </w:pPr>
    </w:p>
    <w:p w14:paraId="31F56173">
      <w:pPr>
        <w:pStyle w:val="8"/>
        <w:snapToGrid w:val="0"/>
        <w:spacing w:line="360" w:lineRule="auto"/>
        <w:ind w:firstLine="437" w:firstLineChars="196"/>
        <w:rPr>
          <w:rFonts w:ascii="宋体" w:hAnsi="宋体" w:cs="宋体"/>
          <w:b/>
          <w:color w:val="auto"/>
          <w:spacing w:val="6"/>
          <w:sz w:val="21"/>
          <w:szCs w:val="21"/>
          <w:highlight w:val="none"/>
        </w:rPr>
      </w:pPr>
    </w:p>
    <w:p w14:paraId="2DA854B7">
      <w:pPr>
        <w:spacing w:line="360" w:lineRule="auto"/>
        <w:ind w:firstLine="422"/>
        <w:rPr>
          <w:rFonts w:ascii="宋体" w:hAnsi="宋体"/>
          <w:b/>
          <w:color w:val="auto"/>
          <w:szCs w:val="21"/>
          <w:highlight w:val="none"/>
        </w:rPr>
      </w:pPr>
    </w:p>
    <w:p w14:paraId="2DC6C573">
      <w:pPr>
        <w:snapToGrid w:val="0"/>
        <w:spacing w:before="50" w:after="50"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填写说明：</w:t>
      </w:r>
      <w:r>
        <w:rPr>
          <w:rFonts w:hint="eastAsia" w:ascii="宋体" w:hAnsi="宋体"/>
          <w:b/>
          <w:color w:val="auto"/>
          <w:szCs w:val="21"/>
          <w:highlight w:val="none"/>
        </w:rPr>
        <w:t>供应商不属于残疾人福利性单位无需且不应当提供本声明函，否则自行承担相应的责任。</w:t>
      </w:r>
    </w:p>
    <w:p w14:paraId="3D91A5DE">
      <w:pPr>
        <w:widowControl/>
        <w:spacing w:line="360" w:lineRule="auto"/>
        <w:ind w:firstLine="420"/>
        <w:jc w:val="left"/>
        <w:rPr>
          <w:rFonts w:ascii="宋体" w:hAnsi="宋体"/>
          <w:color w:val="auto"/>
          <w:highlight w:val="none"/>
        </w:rPr>
      </w:pPr>
    </w:p>
    <w:p w14:paraId="17950E5E">
      <w:pPr>
        <w:snapToGrid w:val="0"/>
        <w:spacing w:line="360" w:lineRule="auto"/>
        <w:ind w:left="-23" w:leftChars="-11" w:right="-214" w:rightChars="-102" w:firstLine="21" w:firstLineChars="10"/>
        <w:jc w:val="left"/>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b/>
          <w:color w:val="auto"/>
          <w:highlight w:val="none"/>
        </w:rPr>
        <w:t>2.商务技术文件的有关格式</w:t>
      </w:r>
    </w:p>
    <w:p w14:paraId="4C54E205">
      <w:pPr>
        <w:pStyle w:val="8"/>
        <w:spacing w:after="0" w:line="360" w:lineRule="auto"/>
        <w:ind w:left="0" w:leftChars="0" w:firstLine="422"/>
        <w:jc w:val="center"/>
        <w:rPr>
          <w:rFonts w:ascii="宋体" w:hAnsi="宋体" w:cs="宋体"/>
          <w:b/>
          <w:color w:val="auto"/>
          <w:sz w:val="21"/>
          <w:szCs w:val="21"/>
          <w:highlight w:val="none"/>
        </w:rPr>
      </w:pPr>
      <w:r>
        <w:rPr>
          <w:rFonts w:hint="eastAsia" w:ascii="宋体" w:hAnsi="宋体" w:cs="宋体"/>
          <w:b/>
          <w:color w:val="auto"/>
          <w:sz w:val="21"/>
          <w:szCs w:val="21"/>
          <w:highlight w:val="none"/>
        </w:rPr>
        <w:t>（1）响应函</w:t>
      </w:r>
    </w:p>
    <w:p w14:paraId="6F6FCAA8">
      <w:pPr>
        <w:snapToGrid w:val="0"/>
        <w:spacing w:line="360" w:lineRule="auto"/>
        <w:rPr>
          <w:rFonts w:ascii="宋体" w:hAns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浙江工商职业技术学院</w:t>
      </w:r>
      <w:r>
        <w:rPr>
          <w:rFonts w:hint="eastAsia" w:ascii="宋体" w:hAnsi="宋体"/>
          <w:color w:val="auto"/>
          <w:szCs w:val="21"/>
          <w:highlight w:val="none"/>
          <w:u w:val="single"/>
        </w:rPr>
        <w:t>、宁波名诚招标代理有限公司</w:t>
      </w:r>
    </w:p>
    <w:p w14:paraId="2EBE7E00">
      <w:pPr>
        <w:snapToGrid w:val="0"/>
        <w:spacing w:line="360" w:lineRule="auto"/>
        <w:ind w:left="-23" w:leftChars="-11" w:right="-214" w:rightChars="-102" w:firstLine="447" w:firstLineChars="213"/>
        <w:jc w:val="left"/>
        <w:rPr>
          <w:rFonts w:ascii="宋体" w:hAnsi="宋体"/>
          <w:color w:val="auto"/>
          <w:szCs w:val="21"/>
          <w:highlight w:val="none"/>
        </w:rPr>
      </w:pPr>
      <w:r>
        <w:rPr>
          <w:rFonts w:hint="eastAsia" w:ascii="宋体" w:hAnsi="宋体"/>
          <w:color w:val="auto"/>
          <w:szCs w:val="21"/>
          <w:highlight w:val="none"/>
        </w:rPr>
        <w:t>根据贵方的采购公告和邀请，我方兹宣布同意如下：</w:t>
      </w:r>
    </w:p>
    <w:p w14:paraId="5CF4A04A">
      <w:pPr>
        <w:snapToGrid w:val="0"/>
        <w:spacing w:line="360" w:lineRule="auto"/>
        <w:ind w:left="-23" w:leftChars="-11" w:right="-214" w:rightChars="-102" w:firstLine="447" w:firstLineChars="213"/>
        <w:jc w:val="left"/>
        <w:rPr>
          <w:rFonts w:ascii="宋体" w:hAnsi="宋体"/>
          <w:color w:val="auto"/>
          <w:highlight w:val="none"/>
        </w:rPr>
      </w:pPr>
      <w:r>
        <w:rPr>
          <w:rFonts w:hint="eastAsia" w:ascii="宋体" w:hAnsi="宋体"/>
          <w:color w:val="auto"/>
          <w:highlight w:val="none"/>
        </w:rPr>
        <w:t>1.</w:t>
      </w:r>
      <w:r>
        <w:rPr>
          <w:rFonts w:hint="eastAsia" w:ascii="宋体" w:hAnsi="宋体"/>
          <w:color w:val="auto"/>
          <w:szCs w:val="21"/>
          <w:highlight w:val="none"/>
        </w:rPr>
        <w:t>按磋商文件规定提供的工程的初次报价见</w:t>
      </w:r>
      <w:r>
        <w:rPr>
          <w:rFonts w:hint="eastAsia" w:ascii="宋体" w:hAnsi="宋体"/>
          <w:color w:val="auto"/>
          <w:highlight w:val="none"/>
        </w:rPr>
        <w:t>《初次报价表》。</w:t>
      </w:r>
    </w:p>
    <w:p w14:paraId="2FB60C01">
      <w:pPr>
        <w:snapToGrid w:val="0"/>
        <w:spacing w:line="360" w:lineRule="auto"/>
        <w:ind w:left="-23" w:leftChars="-11" w:right="-214" w:rightChars="-102" w:firstLine="447" w:firstLineChars="213"/>
        <w:jc w:val="left"/>
        <w:rPr>
          <w:rFonts w:ascii="宋体" w:hAnsi="宋体"/>
          <w:color w:val="auto"/>
          <w:highlight w:val="none"/>
        </w:rPr>
      </w:pPr>
      <w:r>
        <w:rPr>
          <w:rFonts w:hint="eastAsia" w:ascii="宋体" w:hAnsi="宋体"/>
          <w:color w:val="auto"/>
          <w:highlight w:val="none"/>
        </w:rPr>
        <w:t>2.</w:t>
      </w:r>
      <w:r>
        <w:rPr>
          <w:rFonts w:hint="eastAsia" w:ascii="宋体" w:hAnsi="宋体"/>
          <w:color w:val="auto"/>
          <w:szCs w:val="21"/>
          <w:highlight w:val="none"/>
        </w:rPr>
        <w:t>我方将根据磋商文件的规定</w:t>
      </w:r>
      <w:r>
        <w:rPr>
          <w:rFonts w:hint="eastAsia" w:ascii="宋体" w:hAnsi="宋体"/>
          <w:color w:val="auto"/>
          <w:highlight w:val="none"/>
        </w:rPr>
        <w:t>，严格履行合同的责任和义务。</w:t>
      </w:r>
    </w:p>
    <w:p w14:paraId="75F74306">
      <w:pPr>
        <w:snapToGrid w:val="0"/>
        <w:spacing w:line="360" w:lineRule="auto"/>
        <w:ind w:left="-23" w:leftChars="-11" w:right="-214" w:rightChars="-102" w:firstLine="447" w:firstLineChars="213"/>
        <w:jc w:val="left"/>
        <w:rPr>
          <w:rFonts w:ascii="宋体" w:hAnsi="宋体"/>
          <w:color w:val="auto"/>
          <w:highlight w:val="none"/>
        </w:rPr>
      </w:pPr>
      <w:r>
        <w:rPr>
          <w:rFonts w:hint="eastAsia" w:ascii="宋体" w:hAnsi="宋体"/>
          <w:color w:val="auto"/>
          <w:highlight w:val="none"/>
        </w:rPr>
        <w:t>3.</w:t>
      </w:r>
      <w:r>
        <w:rPr>
          <w:rFonts w:hint="eastAsia" w:ascii="宋体" w:hAnsi="宋体"/>
          <w:color w:val="auto"/>
          <w:szCs w:val="21"/>
          <w:highlight w:val="none"/>
        </w:rPr>
        <w:t>我方已详细审核全部磋商文件</w:t>
      </w:r>
      <w:r>
        <w:rPr>
          <w:rFonts w:hint="eastAsia" w:ascii="宋体" w:hAnsi="宋体"/>
          <w:color w:val="auto"/>
          <w:highlight w:val="none"/>
        </w:rPr>
        <w:t>，包括磋商文件的澄清或修改（如有），参考资料及有关附件，</w:t>
      </w:r>
      <w:r>
        <w:rPr>
          <w:rFonts w:hint="eastAsia" w:ascii="宋体" w:hAnsi="宋体"/>
          <w:color w:val="auto"/>
          <w:szCs w:val="21"/>
          <w:highlight w:val="none"/>
        </w:rPr>
        <w:t>我方正式认可并遵守本项目磋商文件</w:t>
      </w:r>
      <w:r>
        <w:rPr>
          <w:rFonts w:hint="eastAsia" w:ascii="宋体" w:hAnsi="宋体"/>
          <w:color w:val="auto"/>
          <w:highlight w:val="none"/>
        </w:rPr>
        <w:t>，并对磋商文件各项条款、规定及要求均无异议。</w:t>
      </w:r>
      <w:r>
        <w:rPr>
          <w:rFonts w:hint="eastAsia" w:ascii="宋体" w:hAnsi="宋体"/>
          <w:color w:val="auto"/>
          <w:szCs w:val="21"/>
          <w:highlight w:val="none"/>
        </w:rPr>
        <w:t>我方知道必须放弃提出含糊不清或误解问题的权利</w:t>
      </w:r>
      <w:r>
        <w:rPr>
          <w:rFonts w:hint="eastAsia" w:ascii="宋体" w:hAnsi="宋体"/>
          <w:color w:val="auto"/>
          <w:highlight w:val="none"/>
        </w:rPr>
        <w:t>。</w:t>
      </w:r>
    </w:p>
    <w:p w14:paraId="29D33405">
      <w:pPr>
        <w:snapToGrid w:val="0"/>
        <w:spacing w:line="360" w:lineRule="auto"/>
        <w:ind w:left="-23" w:leftChars="-11" w:right="-214" w:rightChars="-102" w:firstLine="447" w:firstLineChars="213"/>
        <w:jc w:val="left"/>
        <w:rPr>
          <w:rFonts w:ascii="宋体" w:hAnsi="宋体"/>
          <w:color w:val="auto"/>
          <w:highlight w:val="none"/>
        </w:rPr>
      </w:pPr>
      <w:r>
        <w:rPr>
          <w:rFonts w:hint="eastAsia" w:ascii="宋体" w:hAnsi="宋体"/>
          <w:color w:val="auto"/>
          <w:highlight w:val="none"/>
        </w:rPr>
        <w:t>4.</w:t>
      </w:r>
      <w:r>
        <w:rPr>
          <w:rFonts w:hint="eastAsia" w:ascii="宋体" w:hAnsi="宋体"/>
          <w:color w:val="auto"/>
          <w:szCs w:val="21"/>
          <w:highlight w:val="none"/>
        </w:rPr>
        <w:t>我方的响应文件在磋商文件规定的响应有效期之前均对我方具有约束力</w:t>
      </w:r>
      <w:r>
        <w:rPr>
          <w:rFonts w:hint="eastAsia" w:ascii="宋体" w:hAnsi="宋体"/>
          <w:color w:val="auto"/>
          <w:highlight w:val="none"/>
        </w:rPr>
        <w:t>。</w:t>
      </w:r>
    </w:p>
    <w:p w14:paraId="267F5A97">
      <w:pPr>
        <w:snapToGrid w:val="0"/>
        <w:spacing w:line="360" w:lineRule="auto"/>
        <w:ind w:left="-23" w:leftChars="-11" w:right="-214" w:rightChars="-102" w:firstLine="447" w:firstLineChars="213"/>
        <w:jc w:val="left"/>
        <w:rPr>
          <w:rFonts w:ascii="宋体" w:hAnsi="宋体"/>
          <w:color w:val="auto"/>
          <w:highlight w:val="none"/>
        </w:rPr>
      </w:pPr>
      <w:r>
        <w:rPr>
          <w:rFonts w:hint="eastAsia" w:ascii="宋体" w:hAnsi="宋体"/>
          <w:color w:val="auto"/>
          <w:highlight w:val="none"/>
        </w:rPr>
        <w:t>5.</w:t>
      </w:r>
      <w:r>
        <w:rPr>
          <w:rFonts w:hint="eastAsia" w:ascii="宋体" w:hAnsi="宋体"/>
          <w:color w:val="auto"/>
          <w:szCs w:val="21"/>
          <w:highlight w:val="none"/>
        </w:rPr>
        <w:t>我方声明响应文件所提供的一切资料均真实无误</w:t>
      </w:r>
      <w:r>
        <w:rPr>
          <w:rFonts w:hint="eastAsia" w:ascii="宋体" w:hAnsi="宋体"/>
          <w:color w:val="auto"/>
          <w:highlight w:val="none"/>
        </w:rPr>
        <w:t>、及时、有效，企业（单位）运营正常。</w:t>
      </w:r>
      <w:r>
        <w:rPr>
          <w:rFonts w:hint="eastAsia" w:ascii="宋体" w:hAnsi="宋体"/>
          <w:color w:val="auto"/>
          <w:szCs w:val="21"/>
          <w:highlight w:val="none"/>
        </w:rPr>
        <w:t>由于我方提供资料不实而造成的责任和后果由我方独自承担</w:t>
      </w:r>
      <w:r>
        <w:rPr>
          <w:rFonts w:hint="eastAsia" w:ascii="宋体" w:hAnsi="宋体"/>
          <w:color w:val="auto"/>
          <w:highlight w:val="none"/>
        </w:rPr>
        <w:t>。我方同意按照贵方提出的要求，提供与本项目磋商有关的任何证据、数据或资料。</w:t>
      </w:r>
    </w:p>
    <w:p w14:paraId="7EC32439">
      <w:pPr>
        <w:snapToGrid w:val="0"/>
        <w:spacing w:line="360" w:lineRule="auto"/>
        <w:ind w:left="-23" w:leftChars="-11" w:right="-214" w:rightChars="-102" w:firstLine="447" w:firstLineChars="213"/>
        <w:jc w:val="left"/>
        <w:rPr>
          <w:rFonts w:ascii="宋体" w:hAnsi="宋体"/>
          <w:color w:val="auto"/>
          <w:highlight w:val="none"/>
        </w:rPr>
      </w:pPr>
      <w:r>
        <w:rPr>
          <w:rFonts w:hint="eastAsia" w:ascii="宋体" w:hAnsi="宋体"/>
          <w:color w:val="auto"/>
          <w:highlight w:val="none"/>
        </w:rPr>
        <w:t>6.</w:t>
      </w:r>
      <w:r>
        <w:rPr>
          <w:rFonts w:hint="eastAsia" w:ascii="宋体" w:hAnsi="宋体"/>
          <w:color w:val="auto"/>
          <w:szCs w:val="21"/>
          <w:highlight w:val="none"/>
        </w:rPr>
        <w:t>我方完全理解最低报价并不是获得成交的唯一标准</w:t>
      </w:r>
      <w:r>
        <w:rPr>
          <w:rFonts w:hint="eastAsia" w:ascii="宋体" w:hAnsi="宋体"/>
          <w:color w:val="auto"/>
          <w:highlight w:val="none"/>
        </w:rPr>
        <w:t>。</w:t>
      </w:r>
    </w:p>
    <w:p w14:paraId="1F51A8F4">
      <w:pPr>
        <w:snapToGrid w:val="0"/>
        <w:spacing w:line="360" w:lineRule="auto"/>
        <w:ind w:left="-23" w:leftChars="-11" w:right="-214" w:rightChars="-102" w:firstLine="447" w:firstLineChars="213"/>
        <w:jc w:val="left"/>
        <w:rPr>
          <w:rFonts w:ascii="宋体" w:hAnsi="宋体"/>
          <w:color w:val="auto"/>
          <w:szCs w:val="21"/>
          <w:highlight w:val="none"/>
        </w:rPr>
      </w:pPr>
      <w:r>
        <w:rPr>
          <w:rFonts w:hint="eastAsia" w:ascii="宋体" w:hAnsi="宋体"/>
          <w:color w:val="auto"/>
          <w:highlight w:val="none"/>
        </w:rPr>
        <w:t>7</w:t>
      </w:r>
      <w:r>
        <w:rPr>
          <w:rFonts w:ascii="宋体" w:hAnsi="宋体"/>
          <w:color w:val="auto"/>
          <w:highlight w:val="none"/>
        </w:rPr>
        <w:t>.如我方获得</w:t>
      </w:r>
      <w:r>
        <w:rPr>
          <w:rFonts w:hint="eastAsia" w:ascii="宋体" w:hAnsi="宋体"/>
          <w:color w:val="auto"/>
          <w:highlight w:val="none"/>
        </w:rPr>
        <w:t>成交</w:t>
      </w:r>
      <w:r>
        <w:rPr>
          <w:rFonts w:ascii="宋体" w:hAnsi="宋体"/>
          <w:color w:val="auto"/>
          <w:szCs w:val="21"/>
          <w:highlight w:val="none"/>
        </w:rPr>
        <w:t>，承诺按照磋商文件规定的金额、时间和方式支付</w:t>
      </w:r>
      <w:r>
        <w:rPr>
          <w:rFonts w:hint="eastAsia" w:ascii="宋体" w:hAnsi="宋体"/>
          <w:color w:val="auto"/>
          <w:szCs w:val="21"/>
          <w:highlight w:val="none"/>
        </w:rPr>
        <w:t>采购</w:t>
      </w:r>
      <w:r>
        <w:rPr>
          <w:rFonts w:ascii="宋体" w:hAnsi="宋体"/>
          <w:color w:val="auto"/>
          <w:szCs w:val="21"/>
          <w:highlight w:val="none"/>
        </w:rPr>
        <w:t>代理服务费。因我方违约致使</w:t>
      </w:r>
      <w:r>
        <w:rPr>
          <w:rFonts w:hint="eastAsia" w:ascii="宋体" w:hAnsi="宋体"/>
          <w:color w:val="auto"/>
          <w:szCs w:val="21"/>
          <w:highlight w:val="none"/>
        </w:rPr>
        <w:t>采购</w:t>
      </w:r>
      <w:r>
        <w:rPr>
          <w:rFonts w:ascii="宋体" w:hAnsi="宋体"/>
          <w:color w:val="auto"/>
          <w:szCs w:val="21"/>
          <w:highlight w:val="none"/>
        </w:rPr>
        <w:t>代理机构采取诉讼或仲裁等方式实现债权，为此支付的</w:t>
      </w:r>
      <w:r>
        <w:rPr>
          <w:rFonts w:hint="eastAsia" w:ascii="宋体" w:hAnsi="宋体"/>
          <w:color w:val="auto"/>
          <w:szCs w:val="21"/>
          <w:highlight w:val="none"/>
        </w:rPr>
        <w:t>律师费、诉讼费、</w:t>
      </w:r>
      <w:r>
        <w:rPr>
          <w:rFonts w:ascii="宋体" w:hAnsi="宋体"/>
          <w:color w:val="auto"/>
          <w:szCs w:val="21"/>
          <w:highlight w:val="none"/>
        </w:rPr>
        <w:t>执行费</w:t>
      </w:r>
      <w:r>
        <w:rPr>
          <w:rFonts w:hint="eastAsia" w:ascii="宋体" w:hAnsi="宋体"/>
          <w:color w:val="auto"/>
          <w:szCs w:val="21"/>
          <w:highlight w:val="none"/>
        </w:rPr>
        <w:t>、公证费、认证费、鉴定费、保全费、担保费、差旅费等为</w:t>
      </w:r>
      <w:r>
        <w:rPr>
          <w:rFonts w:ascii="宋体" w:hAnsi="宋体"/>
          <w:color w:val="auto"/>
          <w:szCs w:val="21"/>
          <w:highlight w:val="none"/>
        </w:rPr>
        <w:t>实现债权的一切费用由我方承担。</w:t>
      </w:r>
    </w:p>
    <w:p w14:paraId="1ACB5110">
      <w:pPr>
        <w:snapToGrid w:val="0"/>
        <w:spacing w:line="360" w:lineRule="auto"/>
        <w:ind w:left="-23" w:leftChars="-11" w:right="-214" w:rightChars="-102" w:firstLine="447" w:firstLineChars="213"/>
        <w:jc w:val="left"/>
        <w:rPr>
          <w:rFonts w:ascii="宋体" w:hAnsi="宋体"/>
          <w:color w:val="auto"/>
          <w:szCs w:val="21"/>
          <w:highlight w:val="none"/>
        </w:rPr>
      </w:pPr>
      <w:r>
        <w:rPr>
          <w:rFonts w:hint="eastAsia" w:ascii="宋体" w:hAnsi="宋体"/>
          <w:color w:val="auto"/>
          <w:szCs w:val="21"/>
          <w:highlight w:val="none"/>
        </w:rPr>
        <w:t>8.所有有关本次磋商的函电请寄：</w:t>
      </w:r>
    </w:p>
    <w:p w14:paraId="04F1A40A">
      <w:pPr>
        <w:snapToGrid w:val="0"/>
        <w:spacing w:line="360" w:lineRule="auto"/>
        <w:ind w:firstLine="42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highlight w:val="none"/>
          <w:u w:val="single"/>
        </w:rPr>
        <w:t xml:space="preserve">           </w:t>
      </w:r>
    </w:p>
    <w:p w14:paraId="452EC336">
      <w:pPr>
        <w:snapToGrid w:val="0"/>
        <w:spacing w:line="360" w:lineRule="auto"/>
        <w:ind w:firstLine="420"/>
        <w:rPr>
          <w:rFonts w:ascii="宋体" w:hAnsi="宋体"/>
          <w:color w:val="auto"/>
          <w:highlight w:val="none"/>
          <w:u w:val="single"/>
        </w:rPr>
      </w:pPr>
      <w:r>
        <w:rPr>
          <w:rFonts w:hint="eastAsia" w:ascii="宋体" w:hAnsi="宋体"/>
          <w:color w:val="auto"/>
          <w:szCs w:val="21"/>
          <w:highlight w:val="none"/>
        </w:rPr>
        <w:t>邮编：</w:t>
      </w:r>
      <w:r>
        <w:rPr>
          <w:rFonts w:hint="eastAsia" w:ascii="宋体" w:hAnsi="宋体"/>
          <w:color w:val="auto"/>
          <w:highlight w:val="none"/>
          <w:u w:val="single"/>
        </w:rPr>
        <w:t xml:space="preserve">          </w:t>
      </w:r>
    </w:p>
    <w:p w14:paraId="2E03D592">
      <w:pPr>
        <w:snapToGrid w:val="0"/>
        <w:spacing w:line="360" w:lineRule="auto"/>
        <w:ind w:right="-214" w:rightChars="-102" w:firstLine="420"/>
        <w:jc w:val="left"/>
        <w:rPr>
          <w:rFonts w:ascii="宋体" w:hAnsi="宋体"/>
          <w:color w:val="auto"/>
          <w:szCs w:val="21"/>
          <w:highlight w:val="none"/>
        </w:rPr>
      </w:pPr>
    </w:p>
    <w:p w14:paraId="64250B8B">
      <w:pPr>
        <w:snapToGrid w:val="0"/>
        <w:spacing w:line="360" w:lineRule="auto"/>
        <w:ind w:firstLine="420"/>
        <w:rPr>
          <w:rFonts w:ascii="宋体" w:hAnsi="宋体"/>
          <w:color w:val="auto"/>
          <w:szCs w:val="21"/>
          <w:highlight w:val="none"/>
        </w:rPr>
      </w:pPr>
    </w:p>
    <w:p w14:paraId="7C38B49A">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（填写全称并加盖公章)       </w:t>
      </w:r>
    </w:p>
    <w:p w14:paraId="2675615F">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14:paraId="002542DF">
      <w:pPr>
        <w:pStyle w:val="2"/>
        <w:rPr>
          <w:rFonts w:ascii="宋体" w:hAnsi="宋体"/>
          <w:color w:val="auto"/>
          <w:highlight w:val="none"/>
        </w:rPr>
      </w:pPr>
    </w:p>
    <w:p w14:paraId="308311D2">
      <w:pPr>
        <w:pStyle w:val="2"/>
        <w:rPr>
          <w:rFonts w:ascii="宋体" w:hAnsi="宋体"/>
          <w:color w:val="auto"/>
          <w:highlight w:val="none"/>
        </w:rPr>
      </w:pPr>
    </w:p>
    <w:p w14:paraId="2F4F7098">
      <w:pPr>
        <w:pStyle w:val="2"/>
        <w:rPr>
          <w:rFonts w:ascii="宋体" w:hAnsi="宋体"/>
          <w:color w:val="auto"/>
          <w:highlight w:val="none"/>
        </w:rPr>
      </w:pPr>
    </w:p>
    <w:p w14:paraId="159F4E23">
      <w:pPr>
        <w:widowControl/>
        <w:ind w:firstLine="420"/>
        <w:jc w:val="left"/>
        <w:rPr>
          <w:rFonts w:ascii="宋体" w:hAnsi="宋体"/>
          <w:b/>
          <w:bCs/>
          <w:color w:val="auto"/>
          <w:kern w:val="0"/>
          <w:sz w:val="32"/>
          <w:szCs w:val="32"/>
          <w:highlight w:val="none"/>
        </w:rPr>
      </w:pPr>
      <w:r>
        <w:rPr>
          <w:rFonts w:ascii="宋体" w:hAnsi="宋体"/>
          <w:color w:val="auto"/>
          <w:highlight w:val="none"/>
        </w:rPr>
        <w:br w:type="page"/>
      </w:r>
    </w:p>
    <w:p w14:paraId="1B85632B">
      <w:pPr>
        <w:pStyle w:val="8"/>
        <w:spacing w:after="0" w:line="360" w:lineRule="auto"/>
        <w:ind w:left="0" w:leftChars="0" w:firstLine="422"/>
        <w:jc w:val="center"/>
        <w:rPr>
          <w:rFonts w:ascii="宋体" w:hAnsi="宋体" w:cs="宋体"/>
          <w:b/>
          <w:color w:val="auto"/>
          <w:sz w:val="21"/>
          <w:szCs w:val="21"/>
          <w:highlight w:val="none"/>
        </w:rPr>
      </w:pPr>
      <w:r>
        <w:rPr>
          <w:rFonts w:hint="eastAsia" w:ascii="宋体" w:hAnsi="宋体" w:cs="宋体"/>
          <w:b/>
          <w:color w:val="auto"/>
          <w:sz w:val="21"/>
          <w:szCs w:val="21"/>
          <w:highlight w:val="none"/>
        </w:rPr>
        <w:t>（2）</w:t>
      </w:r>
      <w:r>
        <w:rPr>
          <w:rFonts w:ascii="宋体" w:hAnsi="宋体" w:cs="宋体"/>
          <w:b/>
          <w:color w:val="auto"/>
          <w:sz w:val="21"/>
          <w:szCs w:val="21"/>
          <w:highlight w:val="none"/>
        </w:rPr>
        <w:t>授权委托书</w:t>
      </w:r>
    </w:p>
    <w:p w14:paraId="673A22EA">
      <w:pPr>
        <w:snapToGrid w:val="0"/>
        <w:spacing w:line="360" w:lineRule="auto"/>
        <w:rPr>
          <w:rFonts w:ascii="宋体" w:hAnsi="宋体"/>
          <w:color w:val="auto"/>
          <w:highlight w:val="none"/>
        </w:rPr>
      </w:pPr>
      <w:r>
        <w:rPr>
          <w:rFonts w:hint="eastAsia" w:ascii="宋体" w:hAnsi="宋体"/>
          <w:color w:val="auto"/>
          <w:highlight w:val="none"/>
        </w:rPr>
        <w:t>致：</w:t>
      </w:r>
      <w:r>
        <w:rPr>
          <w:rFonts w:ascii="宋体" w:hAnsi="宋体"/>
          <w:color w:val="auto"/>
          <w:szCs w:val="21"/>
          <w:highlight w:val="none"/>
          <w:u w:val="single"/>
        </w:rPr>
        <w:t>浙江工商职业技术学院</w:t>
      </w:r>
      <w:r>
        <w:rPr>
          <w:rFonts w:hint="eastAsia" w:ascii="宋体" w:hAnsi="宋体"/>
          <w:color w:val="auto"/>
          <w:highlight w:val="none"/>
          <w:u w:val="single"/>
        </w:rPr>
        <w:t>、宁波名诚招标代理有限公司</w:t>
      </w:r>
    </w:p>
    <w:p w14:paraId="3C5A50FC">
      <w:pPr>
        <w:snapToGrid w:val="0"/>
        <w:spacing w:line="360" w:lineRule="auto"/>
        <w:ind w:firstLine="424" w:firstLineChars="202"/>
        <w:rPr>
          <w:rFonts w:ascii="宋体" w:hAnsi="宋体"/>
          <w:color w:val="auto"/>
          <w:highlight w:val="none"/>
        </w:rPr>
      </w:pPr>
      <w:r>
        <w:rPr>
          <w:rFonts w:hint="eastAsia" w:ascii="宋体" w:hAnsi="宋体"/>
          <w:color w:val="auto"/>
          <w:highlight w:val="none"/>
        </w:rPr>
        <w:t>我</w:t>
      </w:r>
      <w:r>
        <w:rPr>
          <w:rFonts w:hint="eastAsia" w:ascii="宋体" w:hAnsi="宋体"/>
          <w:color w:val="auto"/>
          <w:highlight w:val="none"/>
          <w:u w:val="single"/>
        </w:rPr>
        <w:t xml:space="preserve">    （姓名）     </w:t>
      </w:r>
      <w:r>
        <w:rPr>
          <w:rFonts w:hint="eastAsia" w:ascii="宋体" w:hAnsi="宋体"/>
          <w:color w:val="auto"/>
          <w:highlight w:val="none"/>
        </w:rPr>
        <w:t>系</w:t>
      </w:r>
      <w:r>
        <w:rPr>
          <w:rFonts w:hint="eastAsia" w:ascii="宋体" w:hAnsi="宋体"/>
          <w:color w:val="auto"/>
          <w:highlight w:val="none"/>
          <w:u w:val="single"/>
        </w:rPr>
        <w:t xml:space="preserve">    （供应商名称）   </w:t>
      </w:r>
      <w:r>
        <w:rPr>
          <w:rFonts w:hint="eastAsia" w:ascii="宋体" w:hAnsi="宋体"/>
          <w:color w:val="auto"/>
          <w:highlight w:val="none"/>
        </w:rPr>
        <w:t>的法定代表人，现授权委托</w:t>
      </w:r>
      <w:r>
        <w:rPr>
          <w:rFonts w:hint="eastAsia" w:ascii="宋体" w:hAnsi="宋体"/>
          <w:color w:val="auto"/>
          <w:highlight w:val="none"/>
          <w:u w:val="single"/>
        </w:rPr>
        <w:t xml:space="preserve">  （姓名）   </w:t>
      </w:r>
      <w:r>
        <w:rPr>
          <w:rFonts w:hint="eastAsia" w:ascii="宋体" w:hAnsi="宋体"/>
          <w:color w:val="auto"/>
          <w:highlight w:val="none"/>
        </w:rPr>
        <w:t>、身份证号：</w:t>
      </w:r>
      <w:r>
        <w:rPr>
          <w:rFonts w:hint="eastAsia" w:ascii="宋体" w:hAnsi="宋体"/>
          <w:color w:val="auto"/>
          <w:highlight w:val="none"/>
          <w:u w:val="single"/>
        </w:rPr>
        <w:t xml:space="preserve">                  </w:t>
      </w:r>
      <w:r>
        <w:rPr>
          <w:rFonts w:hint="eastAsia" w:ascii="宋体" w:hAnsi="宋体"/>
          <w:color w:val="auto"/>
          <w:highlight w:val="none"/>
        </w:rPr>
        <w:t>以我方的名义参加</w:t>
      </w:r>
      <w:r>
        <w:rPr>
          <w:rFonts w:hint="eastAsia" w:ascii="宋体" w:hAnsi="宋体"/>
          <w:color w:val="auto"/>
          <w:highlight w:val="none"/>
          <w:u w:val="single"/>
        </w:rPr>
        <w:t xml:space="preserve">         （项目名称）       </w:t>
      </w:r>
      <w:r>
        <w:rPr>
          <w:rFonts w:hint="eastAsia" w:ascii="宋体" w:hAnsi="宋体" w:cs="仿宋_GB2312"/>
          <w:color w:val="auto"/>
          <w:kern w:val="0"/>
          <w:highlight w:val="none"/>
          <w:lang w:val="zh-CN"/>
        </w:rPr>
        <w:t>政府采购磋商响应的一切事项，其法律后果由我方承担。</w:t>
      </w:r>
    </w:p>
    <w:p w14:paraId="6FE1B58D">
      <w:pPr>
        <w:snapToGrid w:val="0"/>
        <w:spacing w:line="360" w:lineRule="auto"/>
        <w:ind w:firstLine="424" w:firstLineChars="202"/>
        <w:rPr>
          <w:rFonts w:ascii="宋体" w:hAnsi="宋体"/>
          <w:color w:val="auto"/>
          <w:highlight w:val="none"/>
        </w:rPr>
      </w:pPr>
      <w:r>
        <w:rPr>
          <w:rFonts w:hint="eastAsia" w:ascii="宋体" w:hAnsi="宋体"/>
          <w:color w:val="auto"/>
          <w:highlight w:val="none"/>
        </w:rPr>
        <w:t>本授权书自出具之日起生效，在撤销授权的书面通知以前，本授权委托书一直有效。授权代表在授权委托书有效期内签署的所有文件不因授权的撤销而失效。</w:t>
      </w:r>
    </w:p>
    <w:p w14:paraId="40FED28A">
      <w:pPr>
        <w:snapToGrid w:val="0"/>
        <w:spacing w:line="360" w:lineRule="auto"/>
        <w:ind w:firstLine="424" w:firstLineChars="202"/>
        <w:rPr>
          <w:rFonts w:ascii="宋体" w:hAnsi="宋体"/>
          <w:color w:val="auto"/>
          <w:highlight w:val="none"/>
        </w:rPr>
      </w:pPr>
      <w:r>
        <w:rPr>
          <w:rFonts w:hint="eastAsia" w:ascii="宋体" w:hAnsi="宋体"/>
          <w:color w:val="auto"/>
          <w:highlight w:val="none"/>
        </w:rPr>
        <w:t>授权代表无转委托权，特此授权。</w:t>
      </w:r>
    </w:p>
    <w:p w14:paraId="0ADFDCC4">
      <w:pPr>
        <w:snapToGrid w:val="0"/>
        <w:spacing w:line="360" w:lineRule="auto"/>
        <w:rPr>
          <w:rFonts w:ascii="宋体" w:hAnsi="宋体"/>
          <w:color w:val="auto"/>
          <w:highlight w:val="none"/>
        </w:rPr>
      </w:pPr>
    </w:p>
    <w:p w14:paraId="4924FC81">
      <w:pPr>
        <w:snapToGrid w:val="0"/>
        <w:spacing w:line="360" w:lineRule="auto"/>
        <w:ind w:firstLine="3685" w:firstLineChars="1755"/>
        <w:rPr>
          <w:rFonts w:ascii="宋体" w:hAnsi="宋体"/>
          <w:color w:val="auto"/>
          <w:highlight w:val="none"/>
        </w:rPr>
      </w:pPr>
      <w:r>
        <w:rPr>
          <w:rFonts w:hint="eastAsia" w:ascii="宋体" w:hAnsi="宋体"/>
          <w:color w:val="auto"/>
          <w:highlight w:val="none"/>
        </w:rPr>
        <w:t>供应商：</w:t>
      </w:r>
      <w:r>
        <w:rPr>
          <w:rFonts w:hint="eastAsia" w:ascii="宋体" w:hAnsi="宋体"/>
          <w:color w:val="auto"/>
          <w:highlight w:val="none"/>
          <w:u w:val="single"/>
        </w:rPr>
        <w:t xml:space="preserve">          （填写全称并加盖公章）     </w:t>
      </w:r>
    </w:p>
    <w:p w14:paraId="2AF7CEA3">
      <w:pPr>
        <w:snapToGrid w:val="0"/>
        <w:spacing w:line="360" w:lineRule="auto"/>
        <w:ind w:firstLine="3685" w:firstLineChars="1755"/>
        <w:rPr>
          <w:rFonts w:ascii="宋体" w:hAnsi="宋体"/>
          <w:color w:val="auto"/>
          <w:highlight w:val="none"/>
        </w:rPr>
      </w:pPr>
      <w:r>
        <w:rPr>
          <w:rFonts w:hint="eastAsia" w:ascii="宋体" w:hAnsi="宋体"/>
          <w:color w:val="auto"/>
          <w:highlight w:val="none"/>
        </w:rPr>
        <w:t>授权委托日期：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7FBEFAA9">
      <w:pPr>
        <w:pStyle w:val="8"/>
        <w:spacing w:line="360" w:lineRule="auto"/>
        <w:ind w:left="460" w:leftChars="0" w:firstLine="422"/>
        <w:jc w:val="center"/>
        <w:rPr>
          <w:rFonts w:ascii="宋体" w:hAnsi="宋体"/>
          <w:b/>
          <w:color w:val="auto"/>
          <w:sz w:val="21"/>
          <w:highlight w:val="none"/>
        </w:rPr>
      </w:pPr>
    </w:p>
    <w:p w14:paraId="5CA30F1E">
      <w:pPr>
        <w:snapToGrid w:val="0"/>
        <w:spacing w:before="120" w:beforeLines="50" w:after="120" w:afterLines="50" w:line="360" w:lineRule="auto"/>
        <w:ind w:firstLine="4109" w:firstLineChars="1957"/>
        <w:rPr>
          <w:rFonts w:ascii="宋体" w:hAnsi="宋体" w:cs="仿宋_GB2312"/>
          <w:color w:val="auto"/>
          <w:kern w:val="0"/>
          <w:highlight w:val="none"/>
          <w:lang w:val="zh-CN"/>
        </w:rPr>
      </w:pPr>
    </w:p>
    <w:p w14:paraId="7687D720">
      <w:pPr>
        <w:spacing w:line="360" w:lineRule="auto"/>
        <w:ind w:right="112"/>
        <w:rPr>
          <w:rFonts w:ascii="宋体" w:hAnsi="宋体"/>
          <w:b/>
          <w:color w:val="auto"/>
          <w:highlight w:val="none"/>
        </w:rPr>
      </w:pPr>
    </w:p>
    <w:p w14:paraId="5454CFAC">
      <w:pPr>
        <w:spacing w:line="360" w:lineRule="auto"/>
        <w:ind w:right="112"/>
        <w:rPr>
          <w:rFonts w:ascii="宋体" w:hAnsi="宋体"/>
          <w:b/>
          <w:color w:val="auto"/>
          <w:highlight w:val="none"/>
        </w:rPr>
      </w:pPr>
    </w:p>
    <w:p w14:paraId="54AFECCC">
      <w:pPr>
        <w:spacing w:line="360" w:lineRule="auto"/>
        <w:ind w:right="112"/>
        <w:rPr>
          <w:rFonts w:ascii="宋体" w:hAnsi="宋体"/>
          <w:b/>
          <w:color w:val="auto"/>
          <w:highlight w:val="none"/>
        </w:rPr>
      </w:pPr>
    </w:p>
    <w:p w14:paraId="7C1C3CDA">
      <w:pPr>
        <w:spacing w:line="360" w:lineRule="auto"/>
        <w:ind w:right="112"/>
        <w:rPr>
          <w:rFonts w:ascii="宋体" w:hAnsi="宋体"/>
          <w:b/>
          <w:color w:val="auto"/>
          <w:highlight w:val="none"/>
        </w:rPr>
      </w:pPr>
    </w:p>
    <w:p w14:paraId="625762DE">
      <w:pPr>
        <w:spacing w:line="360" w:lineRule="auto"/>
        <w:ind w:right="112"/>
        <w:rPr>
          <w:rFonts w:ascii="宋体" w:hAnsi="宋体"/>
          <w:b/>
          <w:color w:val="auto"/>
          <w:highlight w:val="none"/>
        </w:rPr>
      </w:pPr>
    </w:p>
    <w:p w14:paraId="4D78B93C">
      <w:pPr>
        <w:spacing w:line="360" w:lineRule="auto"/>
        <w:ind w:right="112"/>
        <w:rPr>
          <w:rFonts w:ascii="宋体" w:hAnsi="宋体"/>
          <w:b/>
          <w:color w:val="auto"/>
          <w:highlight w:val="none"/>
        </w:rPr>
      </w:pPr>
      <w:r>
        <w:rPr>
          <w:rFonts w:hint="eastAsia" w:ascii="宋体" w:hAnsi="宋体"/>
          <w:b/>
          <w:color w:val="auto"/>
          <w:highlight w:val="none"/>
        </w:rPr>
        <w:t>注：本项目只允许有唯一的供应商授权代表，后附供应商的法定代表人和授权代表身份证正反面复印件，本表及其附件只要求供应商的法定代表人或其授权代表在响应文件中签署资料的情况下提交。</w:t>
      </w:r>
    </w:p>
    <w:p w14:paraId="2B6723CA">
      <w:pPr>
        <w:pStyle w:val="8"/>
        <w:spacing w:after="0" w:line="360" w:lineRule="auto"/>
        <w:ind w:left="0" w:leftChars="0" w:firstLine="400"/>
        <w:jc w:val="center"/>
        <w:rPr>
          <w:rFonts w:ascii="宋体" w:hAnsi="宋体"/>
          <w:color w:val="auto"/>
          <w:szCs w:val="21"/>
          <w:highlight w:val="none"/>
        </w:rPr>
      </w:pPr>
      <w:r>
        <w:rPr>
          <w:rFonts w:ascii="宋体" w:hAnsi="宋体"/>
          <w:color w:val="auto"/>
          <w:szCs w:val="21"/>
          <w:highlight w:val="none"/>
        </w:rPr>
        <w:br w:type="page"/>
      </w:r>
      <w:r>
        <w:rPr>
          <w:rFonts w:hint="eastAsia" w:ascii="宋体" w:hAnsi="宋体" w:cs="宋体"/>
          <w:b/>
          <w:color w:val="auto"/>
          <w:sz w:val="21"/>
          <w:szCs w:val="21"/>
          <w:highlight w:val="none"/>
        </w:rPr>
        <w:t>（3）评委打分索引表</w:t>
      </w:r>
    </w:p>
    <w:tbl>
      <w:tblPr>
        <w:tblStyle w:val="1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033"/>
        <w:gridCol w:w="1701"/>
        <w:gridCol w:w="2835"/>
      </w:tblGrid>
      <w:tr w14:paraId="1643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2ED4D2ED">
            <w:pPr>
              <w:contextualSpacing/>
              <w:jc w:val="center"/>
              <w:rPr>
                <w:rFonts w:ascii="宋体" w:hAnsi="宋体"/>
                <w:color w:val="auto"/>
                <w:szCs w:val="21"/>
                <w:highlight w:val="none"/>
              </w:rPr>
            </w:pPr>
            <w:r>
              <w:rPr>
                <w:rFonts w:hint="eastAsia" w:ascii="宋体" w:hAnsi="宋体"/>
                <w:color w:val="auto"/>
                <w:szCs w:val="21"/>
                <w:highlight w:val="none"/>
              </w:rPr>
              <w:t>序号</w:t>
            </w:r>
          </w:p>
        </w:tc>
        <w:tc>
          <w:tcPr>
            <w:tcW w:w="3033" w:type="dxa"/>
            <w:vAlign w:val="center"/>
          </w:tcPr>
          <w:p w14:paraId="35ACA012">
            <w:pPr>
              <w:contextualSpacing/>
              <w:jc w:val="center"/>
              <w:rPr>
                <w:rFonts w:ascii="宋体" w:hAnsi="宋体"/>
                <w:color w:val="auto"/>
                <w:szCs w:val="21"/>
                <w:highlight w:val="none"/>
              </w:rPr>
            </w:pPr>
            <w:r>
              <w:rPr>
                <w:rFonts w:hint="eastAsia" w:ascii="宋体" w:hAnsi="宋体"/>
                <w:color w:val="auto"/>
                <w:szCs w:val="21"/>
                <w:highlight w:val="none"/>
              </w:rPr>
              <w:t>评审因素</w:t>
            </w:r>
          </w:p>
        </w:tc>
        <w:tc>
          <w:tcPr>
            <w:tcW w:w="1701" w:type="dxa"/>
            <w:vAlign w:val="center"/>
          </w:tcPr>
          <w:p w14:paraId="3A85A170">
            <w:pPr>
              <w:contextualSpacing/>
              <w:jc w:val="center"/>
              <w:rPr>
                <w:rFonts w:ascii="宋体" w:hAnsi="宋体"/>
                <w:color w:val="auto"/>
                <w:szCs w:val="21"/>
                <w:highlight w:val="none"/>
              </w:rPr>
            </w:pPr>
            <w:r>
              <w:rPr>
                <w:rFonts w:hint="eastAsia" w:ascii="宋体" w:hAnsi="宋体"/>
                <w:color w:val="auto"/>
                <w:szCs w:val="21"/>
                <w:highlight w:val="none"/>
              </w:rPr>
              <w:t>文件或证明材料所在页码区间</w:t>
            </w:r>
          </w:p>
        </w:tc>
        <w:tc>
          <w:tcPr>
            <w:tcW w:w="2835" w:type="dxa"/>
            <w:vAlign w:val="center"/>
          </w:tcPr>
          <w:p w14:paraId="338F29CB">
            <w:pPr>
              <w:contextualSpacing/>
              <w:jc w:val="center"/>
              <w:rPr>
                <w:rFonts w:ascii="宋体" w:hAnsi="宋体"/>
                <w:color w:val="auto"/>
                <w:szCs w:val="21"/>
                <w:highlight w:val="none"/>
              </w:rPr>
            </w:pPr>
            <w:r>
              <w:rPr>
                <w:rFonts w:hint="eastAsia" w:ascii="宋体" w:hAnsi="宋体"/>
                <w:color w:val="auto"/>
                <w:szCs w:val="21"/>
                <w:highlight w:val="none"/>
              </w:rPr>
              <w:t>自评得分（由评委进行主观评审的无需填写自评得分）</w:t>
            </w:r>
          </w:p>
        </w:tc>
      </w:tr>
      <w:tr w14:paraId="51A8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27E2A3E4">
            <w:pPr>
              <w:contextualSpacing/>
              <w:jc w:val="center"/>
              <w:rPr>
                <w:rFonts w:ascii="宋体" w:hAnsi="宋体"/>
                <w:color w:val="auto"/>
                <w:szCs w:val="21"/>
                <w:highlight w:val="none"/>
              </w:rPr>
            </w:pPr>
            <w:r>
              <w:rPr>
                <w:rFonts w:hint="eastAsia" w:ascii="宋体" w:hAnsi="宋体"/>
                <w:color w:val="auto"/>
                <w:szCs w:val="21"/>
                <w:highlight w:val="none"/>
              </w:rPr>
              <w:t>1</w:t>
            </w:r>
          </w:p>
        </w:tc>
        <w:tc>
          <w:tcPr>
            <w:tcW w:w="3033" w:type="dxa"/>
            <w:vAlign w:val="center"/>
          </w:tcPr>
          <w:p w14:paraId="3CB63D04">
            <w:pPr>
              <w:contextualSpacing/>
              <w:jc w:val="center"/>
              <w:rPr>
                <w:rFonts w:ascii="宋体" w:hAnsi="宋体"/>
                <w:color w:val="auto"/>
                <w:szCs w:val="21"/>
                <w:highlight w:val="none"/>
              </w:rPr>
            </w:pPr>
          </w:p>
        </w:tc>
        <w:tc>
          <w:tcPr>
            <w:tcW w:w="1701" w:type="dxa"/>
            <w:vAlign w:val="center"/>
          </w:tcPr>
          <w:p w14:paraId="364F9E77">
            <w:pPr>
              <w:contextualSpacing/>
              <w:rPr>
                <w:rFonts w:ascii="宋体" w:hAnsi="宋体"/>
                <w:color w:val="auto"/>
                <w:szCs w:val="21"/>
                <w:highlight w:val="none"/>
              </w:rPr>
            </w:pPr>
          </w:p>
        </w:tc>
        <w:tc>
          <w:tcPr>
            <w:tcW w:w="2835" w:type="dxa"/>
            <w:vAlign w:val="center"/>
          </w:tcPr>
          <w:p w14:paraId="277F172B">
            <w:pPr>
              <w:contextualSpacing/>
              <w:rPr>
                <w:rFonts w:ascii="宋体" w:hAnsi="宋体"/>
                <w:color w:val="auto"/>
                <w:szCs w:val="21"/>
                <w:highlight w:val="none"/>
              </w:rPr>
            </w:pPr>
          </w:p>
        </w:tc>
      </w:tr>
      <w:tr w14:paraId="08FC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4D4BF6F2">
            <w:pPr>
              <w:contextualSpacing/>
              <w:jc w:val="center"/>
              <w:rPr>
                <w:rFonts w:ascii="宋体" w:hAnsi="宋体"/>
                <w:color w:val="auto"/>
                <w:szCs w:val="21"/>
                <w:highlight w:val="none"/>
              </w:rPr>
            </w:pPr>
            <w:r>
              <w:rPr>
                <w:rFonts w:hint="eastAsia" w:ascii="宋体" w:hAnsi="宋体"/>
                <w:color w:val="auto"/>
                <w:szCs w:val="21"/>
                <w:highlight w:val="none"/>
              </w:rPr>
              <w:t>2</w:t>
            </w:r>
          </w:p>
        </w:tc>
        <w:tc>
          <w:tcPr>
            <w:tcW w:w="3033" w:type="dxa"/>
            <w:vAlign w:val="center"/>
          </w:tcPr>
          <w:p w14:paraId="764D7AA0">
            <w:pPr>
              <w:contextualSpacing/>
              <w:rPr>
                <w:rFonts w:ascii="宋体" w:hAnsi="宋体"/>
                <w:color w:val="auto"/>
                <w:szCs w:val="21"/>
                <w:highlight w:val="none"/>
              </w:rPr>
            </w:pPr>
          </w:p>
        </w:tc>
        <w:tc>
          <w:tcPr>
            <w:tcW w:w="1701" w:type="dxa"/>
            <w:vAlign w:val="center"/>
          </w:tcPr>
          <w:p w14:paraId="15664EBA">
            <w:pPr>
              <w:contextualSpacing/>
              <w:rPr>
                <w:rFonts w:ascii="宋体" w:hAnsi="宋体"/>
                <w:color w:val="auto"/>
                <w:szCs w:val="21"/>
                <w:highlight w:val="none"/>
              </w:rPr>
            </w:pPr>
          </w:p>
        </w:tc>
        <w:tc>
          <w:tcPr>
            <w:tcW w:w="2835" w:type="dxa"/>
            <w:vAlign w:val="center"/>
          </w:tcPr>
          <w:p w14:paraId="10E70021">
            <w:pPr>
              <w:contextualSpacing/>
              <w:rPr>
                <w:rFonts w:ascii="宋体" w:hAnsi="宋体"/>
                <w:color w:val="auto"/>
                <w:szCs w:val="21"/>
                <w:highlight w:val="none"/>
              </w:rPr>
            </w:pPr>
          </w:p>
        </w:tc>
      </w:tr>
      <w:tr w14:paraId="27EC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DDAC99E">
            <w:pPr>
              <w:contextualSpacing/>
              <w:jc w:val="center"/>
              <w:rPr>
                <w:rFonts w:ascii="宋体" w:hAnsi="宋体"/>
                <w:color w:val="auto"/>
                <w:szCs w:val="21"/>
                <w:highlight w:val="none"/>
              </w:rPr>
            </w:pPr>
            <w:r>
              <w:rPr>
                <w:rFonts w:hint="eastAsia" w:ascii="宋体" w:hAnsi="宋体"/>
                <w:color w:val="auto"/>
                <w:szCs w:val="21"/>
                <w:highlight w:val="none"/>
              </w:rPr>
              <w:t>3</w:t>
            </w:r>
          </w:p>
        </w:tc>
        <w:tc>
          <w:tcPr>
            <w:tcW w:w="3033" w:type="dxa"/>
            <w:vAlign w:val="center"/>
          </w:tcPr>
          <w:p w14:paraId="2D75A74A">
            <w:pPr>
              <w:contextualSpacing/>
              <w:jc w:val="center"/>
              <w:rPr>
                <w:rFonts w:ascii="宋体" w:hAnsi="宋体"/>
                <w:color w:val="auto"/>
                <w:szCs w:val="21"/>
                <w:highlight w:val="none"/>
              </w:rPr>
            </w:pPr>
          </w:p>
        </w:tc>
        <w:tc>
          <w:tcPr>
            <w:tcW w:w="1701" w:type="dxa"/>
            <w:vAlign w:val="center"/>
          </w:tcPr>
          <w:p w14:paraId="159F8326">
            <w:pPr>
              <w:contextualSpacing/>
              <w:rPr>
                <w:rFonts w:ascii="宋体" w:hAnsi="宋体"/>
                <w:color w:val="auto"/>
                <w:szCs w:val="21"/>
                <w:highlight w:val="none"/>
              </w:rPr>
            </w:pPr>
          </w:p>
        </w:tc>
        <w:tc>
          <w:tcPr>
            <w:tcW w:w="2835" w:type="dxa"/>
            <w:vAlign w:val="center"/>
          </w:tcPr>
          <w:p w14:paraId="2377044D">
            <w:pPr>
              <w:contextualSpacing/>
              <w:rPr>
                <w:rFonts w:ascii="宋体" w:hAnsi="宋体"/>
                <w:color w:val="auto"/>
                <w:szCs w:val="21"/>
                <w:highlight w:val="none"/>
              </w:rPr>
            </w:pPr>
          </w:p>
        </w:tc>
      </w:tr>
      <w:tr w14:paraId="3280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3FA80BB5">
            <w:pPr>
              <w:contextualSpacing/>
              <w:jc w:val="center"/>
              <w:rPr>
                <w:rFonts w:ascii="宋体" w:hAnsi="宋体"/>
                <w:color w:val="auto"/>
                <w:szCs w:val="21"/>
                <w:highlight w:val="none"/>
              </w:rPr>
            </w:pPr>
            <w:r>
              <w:rPr>
                <w:rFonts w:hint="eastAsia" w:ascii="宋体" w:hAnsi="宋体"/>
                <w:color w:val="auto"/>
                <w:szCs w:val="21"/>
                <w:highlight w:val="none"/>
              </w:rPr>
              <w:t>4</w:t>
            </w:r>
          </w:p>
        </w:tc>
        <w:tc>
          <w:tcPr>
            <w:tcW w:w="3033" w:type="dxa"/>
            <w:vAlign w:val="center"/>
          </w:tcPr>
          <w:p w14:paraId="2CD5EEB4">
            <w:pPr>
              <w:contextualSpacing/>
              <w:rPr>
                <w:rFonts w:ascii="宋体" w:hAnsi="宋体"/>
                <w:color w:val="auto"/>
                <w:szCs w:val="21"/>
                <w:highlight w:val="none"/>
              </w:rPr>
            </w:pPr>
          </w:p>
        </w:tc>
        <w:tc>
          <w:tcPr>
            <w:tcW w:w="1701" w:type="dxa"/>
            <w:vAlign w:val="center"/>
          </w:tcPr>
          <w:p w14:paraId="263341F7">
            <w:pPr>
              <w:contextualSpacing/>
              <w:rPr>
                <w:rFonts w:ascii="宋体" w:hAnsi="宋体"/>
                <w:color w:val="auto"/>
                <w:szCs w:val="21"/>
                <w:highlight w:val="none"/>
              </w:rPr>
            </w:pPr>
          </w:p>
        </w:tc>
        <w:tc>
          <w:tcPr>
            <w:tcW w:w="2835" w:type="dxa"/>
            <w:vAlign w:val="center"/>
          </w:tcPr>
          <w:p w14:paraId="17765AA7">
            <w:pPr>
              <w:contextualSpacing/>
              <w:rPr>
                <w:rFonts w:ascii="宋体" w:hAnsi="宋体"/>
                <w:color w:val="auto"/>
                <w:szCs w:val="21"/>
                <w:highlight w:val="none"/>
              </w:rPr>
            </w:pPr>
          </w:p>
        </w:tc>
      </w:tr>
      <w:tr w14:paraId="6F4D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061A5E17">
            <w:pPr>
              <w:contextualSpacing/>
              <w:jc w:val="center"/>
              <w:rPr>
                <w:rFonts w:ascii="宋体" w:hAnsi="宋体"/>
                <w:color w:val="auto"/>
                <w:szCs w:val="21"/>
                <w:highlight w:val="none"/>
              </w:rPr>
            </w:pPr>
            <w:r>
              <w:rPr>
                <w:rFonts w:hint="eastAsia" w:ascii="宋体" w:hAnsi="宋体"/>
                <w:color w:val="auto"/>
                <w:szCs w:val="21"/>
                <w:highlight w:val="none"/>
              </w:rPr>
              <w:t>5</w:t>
            </w:r>
          </w:p>
        </w:tc>
        <w:tc>
          <w:tcPr>
            <w:tcW w:w="3033" w:type="dxa"/>
            <w:vAlign w:val="center"/>
          </w:tcPr>
          <w:p w14:paraId="3C983A13">
            <w:pPr>
              <w:contextualSpacing/>
              <w:rPr>
                <w:rFonts w:ascii="宋体" w:hAnsi="宋体"/>
                <w:color w:val="auto"/>
                <w:szCs w:val="21"/>
                <w:highlight w:val="none"/>
              </w:rPr>
            </w:pPr>
          </w:p>
        </w:tc>
        <w:tc>
          <w:tcPr>
            <w:tcW w:w="1701" w:type="dxa"/>
            <w:vAlign w:val="center"/>
          </w:tcPr>
          <w:p w14:paraId="36F8BAB4">
            <w:pPr>
              <w:contextualSpacing/>
              <w:rPr>
                <w:rFonts w:ascii="宋体" w:hAnsi="宋体"/>
                <w:color w:val="auto"/>
                <w:szCs w:val="21"/>
                <w:highlight w:val="none"/>
              </w:rPr>
            </w:pPr>
          </w:p>
        </w:tc>
        <w:tc>
          <w:tcPr>
            <w:tcW w:w="2835" w:type="dxa"/>
            <w:vAlign w:val="center"/>
          </w:tcPr>
          <w:p w14:paraId="7F1F5005">
            <w:pPr>
              <w:contextualSpacing/>
              <w:rPr>
                <w:rFonts w:ascii="宋体" w:hAnsi="宋体"/>
                <w:color w:val="auto"/>
                <w:szCs w:val="21"/>
                <w:highlight w:val="none"/>
              </w:rPr>
            </w:pPr>
          </w:p>
        </w:tc>
      </w:tr>
      <w:tr w14:paraId="2DC7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19658838">
            <w:pPr>
              <w:contextualSpacing/>
              <w:jc w:val="center"/>
              <w:rPr>
                <w:rFonts w:ascii="宋体" w:hAnsi="宋体"/>
                <w:color w:val="auto"/>
                <w:szCs w:val="21"/>
                <w:highlight w:val="none"/>
              </w:rPr>
            </w:pPr>
            <w:r>
              <w:rPr>
                <w:rFonts w:hint="eastAsia" w:ascii="宋体" w:hAnsi="宋体"/>
                <w:color w:val="auto"/>
                <w:szCs w:val="21"/>
                <w:highlight w:val="none"/>
              </w:rPr>
              <w:t>...</w:t>
            </w:r>
          </w:p>
        </w:tc>
        <w:tc>
          <w:tcPr>
            <w:tcW w:w="3033" w:type="dxa"/>
            <w:vAlign w:val="center"/>
          </w:tcPr>
          <w:p w14:paraId="67278450">
            <w:pPr>
              <w:contextualSpacing/>
              <w:rPr>
                <w:rFonts w:ascii="宋体" w:hAnsi="宋体"/>
                <w:color w:val="auto"/>
                <w:szCs w:val="21"/>
                <w:highlight w:val="none"/>
              </w:rPr>
            </w:pPr>
          </w:p>
        </w:tc>
        <w:tc>
          <w:tcPr>
            <w:tcW w:w="1701" w:type="dxa"/>
            <w:vAlign w:val="center"/>
          </w:tcPr>
          <w:p w14:paraId="720BE533">
            <w:pPr>
              <w:contextualSpacing/>
              <w:rPr>
                <w:rFonts w:ascii="宋体" w:hAnsi="宋体"/>
                <w:color w:val="auto"/>
                <w:szCs w:val="21"/>
                <w:highlight w:val="none"/>
              </w:rPr>
            </w:pPr>
          </w:p>
        </w:tc>
        <w:tc>
          <w:tcPr>
            <w:tcW w:w="2835" w:type="dxa"/>
            <w:vAlign w:val="center"/>
          </w:tcPr>
          <w:p w14:paraId="4D64C432">
            <w:pPr>
              <w:contextualSpacing/>
              <w:rPr>
                <w:rFonts w:ascii="宋体" w:hAnsi="宋体"/>
                <w:color w:val="auto"/>
                <w:szCs w:val="21"/>
                <w:highlight w:val="none"/>
              </w:rPr>
            </w:pPr>
          </w:p>
        </w:tc>
      </w:tr>
    </w:tbl>
    <w:p w14:paraId="5CF68127">
      <w:pPr>
        <w:pStyle w:val="8"/>
        <w:spacing w:before="120" w:beforeLines="50" w:line="360" w:lineRule="auto"/>
        <w:ind w:left="141" w:leftChars="67" w:firstLine="420"/>
        <w:rPr>
          <w:rFonts w:ascii="宋体" w:hAnsi="宋体"/>
          <w:color w:val="auto"/>
          <w:sz w:val="21"/>
          <w:szCs w:val="21"/>
          <w:highlight w:val="none"/>
        </w:rPr>
      </w:pPr>
      <w:r>
        <w:rPr>
          <w:rFonts w:hint="eastAsia" w:ascii="宋体" w:hAnsi="宋体"/>
          <w:color w:val="auto"/>
          <w:sz w:val="21"/>
          <w:szCs w:val="21"/>
          <w:highlight w:val="none"/>
        </w:rPr>
        <w:t>注：按照评委打分表内容逐项填写，报价部分无需列入。</w:t>
      </w:r>
    </w:p>
    <w:p w14:paraId="77C59AB1">
      <w:pPr>
        <w:pStyle w:val="8"/>
        <w:spacing w:line="360" w:lineRule="auto"/>
        <w:ind w:firstLine="422"/>
        <w:rPr>
          <w:rFonts w:ascii="宋体" w:hAnsi="宋体"/>
          <w:b/>
          <w:color w:val="auto"/>
          <w:sz w:val="21"/>
          <w:szCs w:val="21"/>
          <w:highlight w:val="none"/>
        </w:rPr>
      </w:pPr>
    </w:p>
    <w:p w14:paraId="72CC7D39">
      <w:pPr>
        <w:snapToGrid w:val="0"/>
        <w:spacing w:before="50" w:after="50" w:line="360" w:lineRule="auto"/>
        <w:ind w:left="-21" w:leftChars="-72" w:right="-817" w:rightChars="-389" w:hanging="130" w:hangingChars="62"/>
        <w:rPr>
          <w:rFonts w:ascii="宋体" w:hAnsi="宋体"/>
          <w:color w:val="auto"/>
          <w:szCs w:val="21"/>
          <w:highlight w:val="none"/>
        </w:rPr>
      </w:pPr>
    </w:p>
    <w:p w14:paraId="29ECD68A">
      <w:pPr>
        <w:pStyle w:val="8"/>
        <w:spacing w:line="360" w:lineRule="auto"/>
        <w:ind w:left="0" w:leftChars="0" w:firstLine="420"/>
        <w:jc w:val="center"/>
        <w:rPr>
          <w:rFonts w:ascii="宋体" w:hAnsi="宋体"/>
          <w:color w:val="auto"/>
          <w:szCs w:val="21"/>
          <w:highlight w:val="none"/>
        </w:rPr>
      </w:pPr>
      <w:r>
        <w:rPr>
          <w:rFonts w:ascii="宋体" w:hAnsi="宋体"/>
          <w:color w:val="auto"/>
          <w:kern w:val="1"/>
          <w:sz w:val="21"/>
          <w:szCs w:val="21"/>
          <w:highlight w:val="none"/>
        </w:rPr>
        <w:br w:type="page"/>
      </w:r>
    </w:p>
    <w:p w14:paraId="7DEF3615">
      <w:pPr>
        <w:pStyle w:val="8"/>
        <w:spacing w:after="0" w:line="360" w:lineRule="auto"/>
        <w:ind w:left="0" w:leftChars="0" w:firstLine="422"/>
        <w:jc w:val="center"/>
        <w:rPr>
          <w:rFonts w:ascii="宋体" w:hAnsi="宋体" w:cs="宋体"/>
          <w:b/>
          <w:color w:val="auto"/>
          <w:sz w:val="21"/>
          <w:szCs w:val="21"/>
          <w:highlight w:val="none"/>
        </w:rPr>
      </w:pPr>
      <w:r>
        <w:rPr>
          <w:rFonts w:hint="eastAsia" w:ascii="宋体" w:hAnsi="宋体" w:cs="宋体"/>
          <w:b/>
          <w:color w:val="auto"/>
          <w:sz w:val="21"/>
          <w:szCs w:val="21"/>
          <w:highlight w:val="none"/>
        </w:rPr>
        <w:t>（4）采购需求偏离和建议调整表</w:t>
      </w:r>
    </w:p>
    <w:tbl>
      <w:tblPr>
        <w:tblStyle w:val="1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826"/>
        <w:gridCol w:w="3551"/>
        <w:gridCol w:w="1276"/>
      </w:tblGrid>
      <w:tr w14:paraId="28CE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472" w:type="dxa"/>
            <w:gridSpan w:val="4"/>
            <w:vAlign w:val="center"/>
          </w:tcPr>
          <w:p w14:paraId="5CFACE8B">
            <w:pPr>
              <w:adjustRightInd w:val="0"/>
              <w:snapToGrid w:val="0"/>
              <w:spacing w:after="120" w:afterLines="50"/>
              <w:jc w:val="left"/>
              <w:rPr>
                <w:rFonts w:ascii="宋体" w:hAnsi="宋体"/>
                <w:b/>
                <w:color w:val="auto"/>
                <w:highlight w:val="none"/>
              </w:rPr>
            </w:pPr>
            <w:r>
              <w:rPr>
                <w:rFonts w:ascii="宋体" w:hAnsi="宋体"/>
                <w:b/>
                <w:color w:val="auto"/>
                <w:highlight w:val="none"/>
              </w:rPr>
              <w:t>对本</w:t>
            </w:r>
            <w:r>
              <w:rPr>
                <w:rFonts w:hint="eastAsia" w:ascii="宋体" w:hAnsi="宋体"/>
                <w:b/>
                <w:color w:val="auto"/>
                <w:highlight w:val="none"/>
              </w:rPr>
              <w:t>项目采购需求</w:t>
            </w:r>
            <w:r>
              <w:rPr>
                <w:rFonts w:ascii="宋体" w:hAnsi="宋体"/>
                <w:b/>
                <w:color w:val="auto"/>
                <w:highlight w:val="none"/>
              </w:rPr>
              <w:t>的偏离情况</w:t>
            </w:r>
            <w:r>
              <w:rPr>
                <w:rFonts w:hint="eastAsia" w:ascii="宋体" w:hAnsi="宋体"/>
                <w:b/>
                <w:color w:val="auto"/>
                <w:highlight w:val="none"/>
              </w:rPr>
              <w:t>和调整建议</w:t>
            </w:r>
            <w:r>
              <w:rPr>
                <w:rFonts w:ascii="宋体" w:hAnsi="宋体"/>
                <w:b/>
                <w:color w:val="auto"/>
                <w:highlight w:val="none"/>
              </w:rPr>
              <w:t>（请进行勾选）：</w:t>
            </w:r>
          </w:p>
          <w:p w14:paraId="1CD2A1B6">
            <w:pPr>
              <w:adjustRightInd w:val="0"/>
              <w:snapToGrid w:val="0"/>
              <w:spacing w:after="120" w:afterLines="50"/>
              <w:jc w:val="left"/>
              <w:rPr>
                <w:rFonts w:ascii="宋体" w:hAnsi="宋体"/>
                <w:b/>
                <w:color w:val="auto"/>
                <w:highlight w:val="none"/>
              </w:rPr>
            </w:pPr>
            <w:r>
              <w:rPr>
                <w:rFonts w:ascii="宋体" w:hAnsi="宋体"/>
                <w:b/>
                <w:color w:val="auto"/>
                <w:highlight w:val="none"/>
              </w:rPr>
              <w:t>□无偏离</w:t>
            </w:r>
            <w:r>
              <w:rPr>
                <w:rFonts w:hint="eastAsia" w:ascii="宋体" w:hAnsi="宋体"/>
                <w:b/>
                <w:color w:val="auto"/>
                <w:highlight w:val="none"/>
              </w:rPr>
              <w:t>和调整建议</w:t>
            </w:r>
            <w:r>
              <w:rPr>
                <w:rFonts w:ascii="宋体" w:hAnsi="宋体"/>
                <w:color w:val="auto"/>
                <w:highlight w:val="none"/>
              </w:rPr>
              <w:t>（如无偏离</w:t>
            </w:r>
            <w:r>
              <w:rPr>
                <w:rFonts w:hint="eastAsia" w:ascii="宋体" w:hAnsi="宋体"/>
                <w:color w:val="auto"/>
                <w:highlight w:val="none"/>
              </w:rPr>
              <w:t>和调整建议</w:t>
            </w:r>
            <w:r>
              <w:rPr>
                <w:rFonts w:ascii="宋体" w:hAnsi="宋体"/>
                <w:color w:val="auto"/>
                <w:highlight w:val="none"/>
              </w:rPr>
              <w:t>，勾选</w:t>
            </w:r>
            <w:r>
              <w:rPr>
                <w:rFonts w:hint="eastAsia" w:ascii="宋体" w:hAnsi="宋体"/>
                <w:color w:val="auto"/>
                <w:highlight w:val="none"/>
              </w:rPr>
              <w:t>本条</w:t>
            </w:r>
            <w:r>
              <w:rPr>
                <w:rFonts w:ascii="宋体" w:hAnsi="宋体"/>
                <w:color w:val="auto"/>
                <w:highlight w:val="none"/>
              </w:rPr>
              <w:t>即可）</w:t>
            </w:r>
          </w:p>
          <w:p w14:paraId="57927638">
            <w:pPr>
              <w:adjustRightInd w:val="0"/>
              <w:snapToGrid w:val="0"/>
              <w:spacing w:after="120" w:afterLines="50"/>
              <w:jc w:val="left"/>
              <w:rPr>
                <w:rFonts w:ascii="宋体" w:hAnsi="宋体"/>
                <w:color w:val="auto"/>
                <w:highlight w:val="none"/>
              </w:rPr>
            </w:pPr>
            <w:r>
              <w:rPr>
                <w:rFonts w:ascii="宋体" w:hAnsi="宋体"/>
                <w:b/>
                <w:color w:val="auto"/>
                <w:highlight w:val="none"/>
              </w:rPr>
              <w:t>□有偏离</w:t>
            </w:r>
            <w:r>
              <w:rPr>
                <w:rFonts w:hint="eastAsia" w:ascii="宋体" w:hAnsi="宋体"/>
                <w:b/>
                <w:color w:val="auto"/>
                <w:highlight w:val="none"/>
              </w:rPr>
              <w:t>和调整建议</w:t>
            </w:r>
            <w:r>
              <w:rPr>
                <w:rFonts w:ascii="宋体" w:hAnsi="宋体"/>
                <w:color w:val="auto"/>
                <w:highlight w:val="none"/>
              </w:rPr>
              <w:t>（如有偏离</w:t>
            </w:r>
            <w:r>
              <w:rPr>
                <w:rFonts w:hint="eastAsia" w:ascii="宋体" w:hAnsi="宋体"/>
                <w:color w:val="auto"/>
                <w:highlight w:val="none"/>
              </w:rPr>
              <w:t>或建议调整的条款</w:t>
            </w:r>
            <w:r>
              <w:rPr>
                <w:rFonts w:ascii="宋体" w:hAnsi="宋体"/>
                <w:color w:val="auto"/>
                <w:highlight w:val="none"/>
              </w:rPr>
              <w:t>，勾选</w:t>
            </w:r>
            <w:r>
              <w:rPr>
                <w:rFonts w:hint="eastAsia" w:ascii="宋体" w:hAnsi="宋体"/>
                <w:color w:val="auto"/>
                <w:highlight w:val="none"/>
              </w:rPr>
              <w:t>本条并</w:t>
            </w:r>
            <w:r>
              <w:rPr>
                <w:rFonts w:ascii="宋体" w:hAnsi="宋体"/>
                <w:color w:val="auto"/>
                <w:highlight w:val="none"/>
              </w:rPr>
              <w:t>在本表中逐一列明）</w:t>
            </w:r>
          </w:p>
        </w:tc>
      </w:tr>
      <w:tr w14:paraId="0F0C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0569D0C5">
            <w:pPr>
              <w:contextualSpacing/>
              <w:jc w:val="center"/>
              <w:rPr>
                <w:rFonts w:ascii="宋体" w:hAnsi="宋体"/>
                <w:color w:val="auto"/>
                <w:szCs w:val="21"/>
                <w:highlight w:val="none"/>
              </w:rPr>
            </w:pPr>
            <w:r>
              <w:rPr>
                <w:rFonts w:ascii="宋体" w:hAnsi="宋体"/>
                <w:color w:val="auto"/>
                <w:szCs w:val="21"/>
                <w:highlight w:val="none"/>
              </w:rPr>
              <w:t>序号</w:t>
            </w:r>
          </w:p>
        </w:tc>
        <w:tc>
          <w:tcPr>
            <w:tcW w:w="2826" w:type="dxa"/>
            <w:vAlign w:val="center"/>
          </w:tcPr>
          <w:p w14:paraId="477ABB8E">
            <w:pPr>
              <w:contextualSpacing/>
              <w:jc w:val="center"/>
              <w:rPr>
                <w:rFonts w:ascii="宋体" w:hAnsi="宋体"/>
                <w:color w:val="auto"/>
                <w:szCs w:val="21"/>
                <w:highlight w:val="none"/>
              </w:rPr>
            </w:pPr>
            <w:r>
              <w:rPr>
                <w:rFonts w:hint="eastAsia" w:ascii="宋体" w:hAnsi="宋体"/>
                <w:color w:val="auto"/>
                <w:szCs w:val="21"/>
                <w:highlight w:val="none"/>
              </w:rPr>
              <w:t>原采购需求条款内容</w:t>
            </w:r>
          </w:p>
        </w:tc>
        <w:tc>
          <w:tcPr>
            <w:tcW w:w="3551" w:type="dxa"/>
            <w:vAlign w:val="center"/>
          </w:tcPr>
          <w:p w14:paraId="4A7A13F2">
            <w:pPr>
              <w:contextualSpacing/>
              <w:jc w:val="center"/>
              <w:rPr>
                <w:rFonts w:ascii="宋体" w:hAnsi="宋体"/>
                <w:color w:val="auto"/>
                <w:szCs w:val="21"/>
                <w:highlight w:val="none"/>
              </w:rPr>
            </w:pPr>
            <w:r>
              <w:rPr>
                <w:rFonts w:ascii="宋体" w:hAnsi="宋体"/>
                <w:color w:val="auto"/>
                <w:szCs w:val="21"/>
                <w:highlight w:val="none"/>
              </w:rPr>
              <w:t>偏离情况</w:t>
            </w:r>
            <w:r>
              <w:rPr>
                <w:rFonts w:hint="eastAsia" w:ascii="宋体" w:hAnsi="宋体"/>
                <w:color w:val="auto"/>
                <w:szCs w:val="21"/>
                <w:highlight w:val="none"/>
              </w:rPr>
              <w:t>或调整建议</w:t>
            </w:r>
            <w:r>
              <w:rPr>
                <w:rFonts w:ascii="宋体" w:hAnsi="宋体"/>
                <w:color w:val="auto"/>
                <w:szCs w:val="21"/>
                <w:highlight w:val="none"/>
              </w:rPr>
              <w:t>（据实填写）</w:t>
            </w:r>
          </w:p>
        </w:tc>
        <w:tc>
          <w:tcPr>
            <w:tcW w:w="1276" w:type="dxa"/>
            <w:vAlign w:val="center"/>
          </w:tcPr>
          <w:p w14:paraId="485C1131">
            <w:pPr>
              <w:contextualSpacing/>
              <w:jc w:val="center"/>
              <w:rPr>
                <w:rFonts w:ascii="宋体" w:hAnsi="宋体"/>
                <w:color w:val="auto"/>
                <w:szCs w:val="21"/>
                <w:highlight w:val="none"/>
              </w:rPr>
            </w:pPr>
            <w:r>
              <w:rPr>
                <w:rFonts w:ascii="宋体" w:hAnsi="宋体"/>
                <w:color w:val="auto"/>
                <w:szCs w:val="21"/>
                <w:highlight w:val="none"/>
              </w:rPr>
              <w:t>说明</w:t>
            </w:r>
          </w:p>
        </w:tc>
      </w:tr>
      <w:tr w14:paraId="1465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683E6F42">
            <w:pPr>
              <w:adjustRightInd w:val="0"/>
              <w:snapToGrid w:val="0"/>
              <w:jc w:val="center"/>
              <w:rPr>
                <w:rFonts w:ascii="宋体" w:hAnsi="宋体"/>
                <w:color w:val="auto"/>
                <w:highlight w:val="none"/>
              </w:rPr>
            </w:pPr>
            <w:r>
              <w:rPr>
                <w:rFonts w:ascii="宋体" w:hAnsi="宋体"/>
                <w:color w:val="auto"/>
                <w:highlight w:val="none"/>
              </w:rPr>
              <w:t>1</w:t>
            </w:r>
          </w:p>
        </w:tc>
        <w:tc>
          <w:tcPr>
            <w:tcW w:w="2826" w:type="dxa"/>
            <w:vAlign w:val="center"/>
          </w:tcPr>
          <w:p w14:paraId="3E3F1D08">
            <w:pPr>
              <w:contextualSpacing/>
              <w:jc w:val="center"/>
              <w:rPr>
                <w:rFonts w:ascii="宋体" w:hAnsi="宋体"/>
                <w:color w:val="auto"/>
                <w:szCs w:val="21"/>
                <w:highlight w:val="none"/>
              </w:rPr>
            </w:pPr>
          </w:p>
        </w:tc>
        <w:tc>
          <w:tcPr>
            <w:tcW w:w="3551" w:type="dxa"/>
            <w:vAlign w:val="center"/>
          </w:tcPr>
          <w:p w14:paraId="16497E85">
            <w:pPr>
              <w:contextualSpacing/>
              <w:jc w:val="center"/>
              <w:rPr>
                <w:rFonts w:ascii="宋体" w:hAnsi="宋体"/>
                <w:color w:val="auto"/>
                <w:szCs w:val="21"/>
                <w:highlight w:val="none"/>
              </w:rPr>
            </w:pPr>
          </w:p>
        </w:tc>
        <w:tc>
          <w:tcPr>
            <w:tcW w:w="1276" w:type="dxa"/>
            <w:vAlign w:val="center"/>
          </w:tcPr>
          <w:p w14:paraId="1C877A27">
            <w:pPr>
              <w:contextualSpacing/>
              <w:jc w:val="center"/>
              <w:rPr>
                <w:rFonts w:ascii="宋体" w:hAnsi="宋体"/>
                <w:color w:val="auto"/>
                <w:szCs w:val="21"/>
                <w:highlight w:val="none"/>
              </w:rPr>
            </w:pPr>
          </w:p>
        </w:tc>
      </w:tr>
      <w:tr w14:paraId="74B4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249E417A">
            <w:pPr>
              <w:adjustRightInd w:val="0"/>
              <w:snapToGrid w:val="0"/>
              <w:jc w:val="center"/>
              <w:rPr>
                <w:rFonts w:ascii="宋体" w:hAnsi="宋体"/>
                <w:color w:val="auto"/>
                <w:highlight w:val="none"/>
              </w:rPr>
            </w:pPr>
            <w:r>
              <w:rPr>
                <w:rFonts w:ascii="宋体" w:hAnsi="宋体"/>
                <w:color w:val="auto"/>
                <w:highlight w:val="none"/>
              </w:rPr>
              <w:t>2</w:t>
            </w:r>
          </w:p>
        </w:tc>
        <w:tc>
          <w:tcPr>
            <w:tcW w:w="2826" w:type="dxa"/>
            <w:vAlign w:val="center"/>
          </w:tcPr>
          <w:p w14:paraId="66429C3E">
            <w:pPr>
              <w:contextualSpacing/>
              <w:jc w:val="center"/>
              <w:rPr>
                <w:rFonts w:ascii="宋体" w:hAnsi="宋体"/>
                <w:color w:val="auto"/>
                <w:szCs w:val="21"/>
                <w:highlight w:val="none"/>
              </w:rPr>
            </w:pPr>
          </w:p>
        </w:tc>
        <w:tc>
          <w:tcPr>
            <w:tcW w:w="3551" w:type="dxa"/>
            <w:vAlign w:val="center"/>
          </w:tcPr>
          <w:p w14:paraId="2470D5D6">
            <w:pPr>
              <w:contextualSpacing/>
              <w:jc w:val="center"/>
              <w:rPr>
                <w:rFonts w:ascii="宋体" w:hAnsi="宋体"/>
                <w:color w:val="auto"/>
                <w:szCs w:val="21"/>
                <w:highlight w:val="none"/>
              </w:rPr>
            </w:pPr>
          </w:p>
        </w:tc>
        <w:tc>
          <w:tcPr>
            <w:tcW w:w="1276" w:type="dxa"/>
            <w:vAlign w:val="center"/>
          </w:tcPr>
          <w:p w14:paraId="17C82805">
            <w:pPr>
              <w:contextualSpacing/>
              <w:jc w:val="center"/>
              <w:rPr>
                <w:rFonts w:ascii="宋体" w:hAnsi="宋体"/>
                <w:color w:val="auto"/>
                <w:szCs w:val="21"/>
                <w:highlight w:val="none"/>
              </w:rPr>
            </w:pPr>
          </w:p>
        </w:tc>
      </w:tr>
      <w:tr w14:paraId="25C2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3893D438">
            <w:pPr>
              <w:adjustRightInd w:val="0"/>
              <w:snapToGrid w:val="0"/>
              <w:jc w:val="center"/>
              <w:rPr>
                <w:rFonts w:ascii="宋体" w:hAnsi="宋体"/>
                <w:color w:val="auto"/>
                <w:highlight w:val="none"/>
              </w:rPr>
            </w:pPr>
            <w:r>
              <w:rPr>
                <w:rFonts w:ascii="宋体" w:hAnsi="宋体"/>
                <w:color w:val="auto"/>
                <w:highlight w:val="none"/>
              </w:rPr>
              <w:t>3</w:t>
            </w:r>
          </w:p>
        </w:tc>
        <w:tc>
          <w:tcPr>
            <w:tcW w:w="2826" w:type="dxa"/>
            <w:vAlign w:val="center"/>
          </w:tcPr>
          <w:p w14:paraId="1A413FA3">
            <w:pPr>
              <w:contextualSpacing/>
              <w:jc w:val="center"/>
              <w:rPr>
                <w:rFonts w:ascii="宋体" w:hAnsi="宋体"/>
                <w:color w:val="auto"/>
                <w:szCs w:val="21"/>
                <w:highlight w:val="none"/>
              </w:rPr>
            </w:pPr>
          </w:p>
        </w:tc>
        <w:tc>
          <w:tcPr>
            <w:tcW w:w="3551" w:type="dxa"/>
            <w:vAlign w:val="center"/>
          </w:tcPr>
          <w:p w14:paraId="54331B24">
            <w:pPr>
              <w:contextualSpacing/>
              <w:jc w:val="center"/>
              <w:rPr>
                <w:rFonts w:ascii="宋体" w:hAnsi="宋体"/>
                <w:color w:val="auto"/>
                <w:szCs w:val="21"/>
                <w:highlight w:val="none"/>
              </w:rPr>
            </w:pPr>
          </w:p>
        </w:tc>
        <w:tc>
          <w:tcPr>
            <w:tcW w:w="1276" w:type="dxa"/>
            <w:vAlign w:val="center"/>
          </w:tcPr>
          <w:p w14:paraId="47A5267E">
            <w:pPr>
              <w:contextualSpacing/>
              <w:jc w:val="center"/>
              <w:rPr>
                <w:rFonts w:ascii="宋体" w:hAnsi="宋体"/>
                <w:color w:val="auto"/>
                <w:szCs w:val="21"/>
                <w:highlight w:val="none"/>
              </w:rPr>
            </w:pPr>
          </w:p>
        </w:tc>
      </w:tr>
      <w:tr w14:paraId="77ED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353FA586">
            <w:pPr>
              <w:adjustRightInd w:val="0"/>
              <w:snapToGrid w:val="0"/>
              <w:jc w:val="center"/>
              <w:rPr>
                <w:rFonts w:ascii="宋体" w:hAnsi="宋体"/>
                <w:color w:val="auto"/>
                <w:highlight w:val="none"/>
              </w:rPr>
            </w:pPr>
            <w:r>
              <w:rPr>
                <w:rFonts w:ascii="宋体" w:hAnsi="宋体"/>
                <w:color w:val="auto"/>
                <w:highlight w:val="none"/>
              </w:rPr>
              <w:t>…</w:t>
            </w:r>
          </w:p>
        </w:tc>
        <w:tc>
          <w:tcPr>
            <w:tcW w:w="2826" w:type="dxa"/>
            <w:vAlign w:val="center"/>
          </w:tcPr>
          <w:p w14:paraId="65BDDBB2">
            <w:pPr>
              <w:contextualSpacing/>
              <w:jc w:val="center"/>
              <w:rPr>
                <w:rFonts w:ascii="宋体" w:hAnsi="宋体"/>
                <w:color w:val="auto"/>
                <w:szCs w:val="21"/>
                <w:highlight w:val="none"/>
              </w:rPr>
            </w:pPr>
          </w:p>
        </w:tc>
        <w:tc>
          <w:tcPr>
            <w:tcW w:w="3551" w:type="dxa"/>
            <w:vAlign w:val="center"/>
          </w:tcPr>
          <w:p w14:paraId="3FA22996">
            <w:pPr>
              <w:contextualSpacing/>
              <w:jc w:val="center"/>
              <w:rPr>
                <w:rFonts w:ascii="宋体" w:hAnsi="宋体"/>
                <w:color w:val="auto"/>
                <w:szCs w:val="21"/>
                <w:highlight w:val="none"/>
              </w:rPr>
            </w:pPr>
          </w:p>
        </w:tc>
        <w:tc>
          <w:tcPr>
            <w:tcW w:w="1276" w:type="dxa"/>
            <w:vAlign w:val="center"/>
          </w:tcPr>
          <w:p w14:paraId="4B2224E0">
            <w:pPr>
              <w:contextualSpacing/>
              <w:jc w:val="center"/>
              <w:rPr>
                <w:rFonts w:ascii="宋体" w:hAnsi="宋体"/>
                <w:color w:val="auto"/>
                <w:szCs w:val="21"/>
                <w:highlight w:val="none"/>
              </w:rPr>
            </w:pPr>
          </w:p>
        </w:tc>
      </w:tr>
    </w:tbl>
    <w:p w14:paraId="6E5B6575">
      <w:pPr>
        <w:snapToGrid w:val="0"/>
        <w:spacing w:line="360" w:lineRule="auto"/>
        <w:ind w:left="-23" w:leftChars="-11" w:right="-57" w:rightChars="-27" w:firstLine="21" w:firstLineChars="10"/>
        <w:rPr>
          <w:rFonts w:ascii="宋体" w:hAnsi="宋体"/>
          <w:color w:val="auto"/>
          <w:highlight w:val="none"/>
        </w:rPr>
      </w:pPr>
      <w:r>
        <w:rPr>
          <w:rFonts w:hint="eastAsia" w:ascii="宋体" w:hAnsi="宋体"/>
          <w:color w:val="auto"/>
          <w:highlight w:val="none"/>
        </w:rPr>
        <w:t>注：</w:t>
      </w:r>
    </w:p>
    <w:p w14:paraId="43503AE8">
      <w:pPr>
        <w:snapToGrid w:val="0"/>
        <w:spacing w:line="360" w:lineRule="auto"/>
        <w:ind w:left="-23" w:leftChars="-11" w:right="-57" w:rightChars="-27" w:firstLine="21" w:firstLineChars="10"/>
        <w:rPr>
          <w:rFonts w:ascii="宋体" w:hAnsi="宋体"/>
          <w:color w:val="auto"/>
          <w:highlight w:val="none"/>
        </w:rPr>
      </w:pPr>
      <w:r>
        <w:rPr>
          <w:rFonts w:ascii="宋体" w:hAnsi="宋体"/>
          <w:color w:val="auto"/>
          <w:highlight w:val="none"/>
        </w:rPr>
        <w:t>1.</w:t>
      </w:r>
      <w:r>
        <w:rPr>
          <w:rFonts w:hint="eastAsia" w:ascii="宋体" w:hAnsi="宋体"/>
          <w:color w:val="auto"/>
          <w:highlight w:val="none"/>
        </w:rPr>
        <w:t>供应商保证：除本表列出的偏离外，响应磋商文件《第二章</w:t>
      </w:r>
      <w:r>
        <w:rPr>
          <w:rFonts w:ascii="宋体" w:hAnsi="宋体"/>
          <w:color w:val="auto"/>
          <w:highlight w:val="none"/>
        </w:rPr>
        <w:t xml:space="preserve">  </w:t>
      </w:r>
      <w:r>
        <w:rPr>
          <w:rFonts w:hint="eastAsia" w:ascii="宋体" w:hAnsi="宋体"/>
          <w:color w:val="auto"/>
          <w:highlight w:val="none"/>
        </w:rPr>
        <w:t>采购需求》列明的所有要求。供应商应当与磋商文件《第二章</w:t>
      </w:r>
      <w:r>
        <w:rPr>
          <w:rFonts w:ascii="宋体" w:hAnsi="宋体"/>
          <w:color w:val="auto"/>
          <w:highlight w:val="none"/>
        </w:rPr>
        <w:t xml:space="preserve">  </w:t>
      </w:r>
      <w:r>
        <w:rPr>
          <w:rFonts w:hint="eastAsia" w:ascii="宋体" w:hAnsi="宋体"/>
          <w:color w:val="auto"/>
          <w:highlight w:val="none"/>
        </w:rPr>
        <w:t>采购需求》的所有条款逐项比较，如有偏离（不满足或优于）的，须在本表中列明，并填写偏离情况。如供应商未在本表中列出偏离项并填写偏离情况，即使其在响应文件的其他部分说明与磋商文件要求有所不同或回避不答，亦视为响应磋商文件《第二章</w:t>
      </w:r>
      <w:r>
        <w:rPr>
          <w:rFonts w:ascii="宋体" w:hAnsi="宋体"/>
          <w:color w:val="auto"/>
          <w:highlight w:val="none"/>
        </w:rPr>
        <w:t xml:space="preserve">  </w:t>
      </w:r>
      <w:r>
        <w:rPr>
          <w:rFonts w:hint="eastAsia" w:ascii="宋体" w:hAnsi="宋体"/>
          <w:color w:val="auto"/>
          <w:highlight w:val="none"/>
        </w:rPr>
        <w:t>采购需求》所提出的要求并签署合同。若成交供应商以上述事项为借口而不履行合同签订手续及履行合同，则按照政府采购法律法规的规定处理，响应情况由磋商小组认定。</w:t>
      </w:r>
    </w:p>
    <w:p w14:paraId="77F0A46E">
      <w:pPr>
        <w:snapToGrid w:val="0"/>
        <w:spacing w:line="360" w:lineRule="auto"/>
        <w:ind w:left="-23" w:leftChars="-11" w:right="-57" w:rightChars="-27" w:firstLine="21" w:firstLineChars="10"/>
        <w:rPr>
          <w:rFonts w:ascii="宋体" w:hAnsi="宋体"/>
          <w:color w:val="auto"/>
          <w:highlight w:val="none"/>
        </w:rPr>
      </w:pPr>
      <w:r>
        <w:rPr>
          <w:rFonts w:ascii="宋体" w:hAnsi="宋体"/>
          <w:color w:val="auto"/>
          <w:highlight w:val="none"/>
        </w:rPr>
        <w:t>2.</w:t>
      </w:r>
      <w:r>
        <w:rPr>
          <w:rFonts w:hint="eastAsia" w:ascii="宋体" w:hAnsi="宋体"/>
          <w:color w:val="auto"/>
          <w:highlight w:val="none"/>
        </w:rPr>
        <w:t>供应商针对《第二章</w:t>
      </w:r>
      <w:r>
        <w:rPr>
          <w:rFonts w:ascii="宋体" w:hAnsi="宋体"/>
          <w:color w:val="auto"/>
          <w:highlight w:val="none"/>
        </w:rPr>
        <w:t xml:space="preserve">  </w:t>
      </w:r>
      <w:r>
        <w:rPr>
          <w:rFonts w:hint="eastAsia" w:ascii="宋体" w:hAnsi="宋体"/>
          <w:color w:val="auto"/>
          <w:highlight w:val="none"/>
        </w:rPr>
        <w:t>采购需求》的要求，建议采购人修改或增加的有利于本项目采购目标达成的内容，请列入本表。</w:t>
      </w:r>
      <w:r>
        <w:rPr>
          <w:rFonts w:hint="eastAsia" w:ascii="宋体" w:hAnsi="宋体" w:cs="宋体"/>
          <w:bCs/>
          <w:color w:val="auto"/>
          <w:highlight w:val="none"/>
        </w:rPr>
        <w:t>增加的条款可以不在“原采购需求条款内容”栏填写内容。</w:t>
      </w:r>
    </w:p>
    <w:p w14:paraId="65E0FB1B">
      <w:pPr>
        <w:snapToGrid w:val="0"/>
        <w:spacing w:line="360" w:lineRule="auto"/>
        <w:ind w:left="-23" w:leftChars="-11" w:right="-57" w:rightChars="-27" w:firstLine="21" w:firstLineChars="10"/>
        <w:rPr>
          <w:rFonts w:ascii="宋体" w:hAnsi="宋体"/>
          <w:color w:val="auto"/>
          <w:highlight w:val="none"/>
        </w:rPr>
      </w:pPr>
      <w:r>
        <w:rPr>
          <w:rFonts w:ascii="宋体" w:hAnsi="宋体"/>
          <w:color w:val="auto"/>
          <w:highlight w:val="none"/>
        </w:rPr>
        <w:t>3.</w:t>
      </w:r>
      <w:r>
        <w:rPr>
          <w:rFonts w:hint="eastAsia" w:ascii="宋体" w:hAnsi="宋体"/>
          <w:color w:val="auto"/>
          <w:highlight w:val="none"/>
        </w:rPr>
        <w:t>供应商无论对《第二章</w:t>
      </w:r>
      <w:r>
        <w:rPr>
          <w:rFonts w:ascii="宋体" w:hAnsi="宋体"/>
          <w:color w:val="auto"/>
          <w:highlight w:val="none"/>
        </w:rPr>
        <w:t xml:space="preserve">  </w:t>
      </w:r>
      <w:r>
        <w:rPr>
          <w:rFonts w:hint="eastAsia" w:ascii="宋体" w:hAnsi="宋体"/>
          <w:color w:val="auto"/>
          <w:highlight w:val="none"/>
        </w:rPr>
        <w:t>采购需求》有无偏离（不满足或优于）和调整建议都应当将本表盖章后作为响应文件的一部分提交，未提供本表的按照无效响应处理。</w:t>
      </w:r>
    </w:p>
    <w:p w14:paraId="030E316D">
      <w:pPr>
        <w:snapToGrid w:val="0"/>
        <w:spacing w:line="360" w:lineRule="auto"/>
        <w:ind w:left="-23" w:leftChars="-11" w:right="-57" w:rightChars="-27" w:firstLine="21" w:firstLineChars="10"/>
        <w:rPr>
          <w:rFonts w:ascii="宋体" w:hAnsi="宋体"/>
          <w:color w:val="auto"/>
          <w:highlight w:val="none"/>
        </w:rPr>
      </w:pPr>
    </w:p>
    <w:p w14:paraId="528AC451">
      <w:pPr>
        <w:ind w:firstLine="420"/>
        <w:rPr>
          <w:rFonts w:ascii="宋体" w:hAnsi="宋体"/>
          <w:color w:val="auto"/>
          <w:highlight w:val="none"/>
        </w:rPr>
      </w:pPr>
    </w:p>
    <w:p w14:paraId="309A273A">
      <w:pPr>
        <w:snapToGrid w:val="0"/>
        <w:spacing w:line="360" w:lineRule="auto"/>
        <w:ind w:firstLine="4536" w:firstLineChars="2160"/>
        <w:rPr>
          <w:rFonts w:ascii="宋体" w:hAnsi="宋体"/>
          <w:color w:val="auto"/>
          <w:highlight w:val="none"/>
        </w:rPr>
      </w:pPr>
      <w:r>
        <w:rPr>
          <w:rFonts w:hint="eastAsia" w:ascii="宋体" w:hAnsi="宋体"/>
          <w:color w:val="auto"/>
          <w:highlight w:val="none"/>
        </w:rPr>
        <w:t>供应商：</w:t>
      </w:r>
      <w:r>
        <w:rPr>
          <w:rFonts w:ascii="宋体" w:hAnsi="宋体"/>
          <w:color w:val="auto"/>
          <w:highlight w:val="none"/>
          <w:u w:val="single"/>
        </w:rPr>
        <w:t xml:space="preserve">    填写全称并加盖公章    </w:t>
      </w:r>
    </w:p>
    <w:p w14:paraId="24DFB7B6">
      <w:pPr>
        <w:snapToGrid w:val="0"/>
        <w:spacing w:line="360" w:lineRule="auto"/>
        <w:ind w:firstLine="4536" w:firstLineChars="2160"/>
        <w:rPr>
          <w:rFonts w:ascii="宋体" w:hAnsi="宋体"/>
          <w:color w:val="auto"/>
          <w:highlight w:val="none"/>
        </w:rPr>
      </w:pPr>
      <w:r>
        <w:rPr>
          <w:rFonts w:hint="eastAsia" w:ascii="宋体" w:hAnsi="宋体"/>
          <w:color w:val="auto"/>
          <w:highlight w:val="none"/>
        </w:rPr>
        <w:t>日</w:t>
      </w:r>
      <w:r>
        <w:rPr>
          <w:rFonts w:ascii="宋体" w:hAnsi="宋体"/>
          <w:color w:val="auto"/>
          <w:highlight w:val="none"/>
        </w:rPr>
        <w:t xml:space="preserve">  </w:t>
      </w:r>
      <w:r>
        <w:rPr>
          <w:rFonts w:hint="eastAsia" w:ascii="宋体" w:hAnsi="宋体"/>
          <w:color w:val="auto"/>
          <w:highlight w:val="none"/>
        </w:rPr>
        <w:t>期：</w:t>
      </w:r>
    </w:p>
    <w:p w14:paraId="35977A37">
      <w:pPr>
        <w:widowControl/>
        <w:ind w:firstLine="420"/>
        <w:jc w:val="left"/>
        <w:rPr>
          <w:rFonts w:ascii="宋体" w:hAnsi="宋体"/>
          <w:color w:val="auto"/>
          <w:highlight w:val="none"/>
        </w:rPr>
      </w:pPr>
    </w:p>
    <w:p w14:paraId="0F385332">
      <w:pPr>
        <w:widowControl/>
        <w:ind w:firstLine="420"/>
        <w:jc w:val="left"/>
        <w:rPr>
          <w:rFonts w:ascii="宋体" w:hAnsi="宋体"/>
          <w:color w:val="auto"/>
          <w:highlight w:val="none"/>
        </w:rPr>
      </w:pPr>
    </w:p>
    <w:p w14:paraId="7EDC5604">
      <w:pPr>
        <w:widowControl/>
        <w:ind w:firstLine="420"/>
        <w:jc w:val="left"/>
        <w:rPr>
          <w:rFonts w:ascii="宋体" w:hAnsi="宋体"/>
          <w:color w:val="auto"/>
          <w:highlight w:val="none"/>
        </w:rPr>
      </w:pPr>
    </w:p>
    <w:p w14:paraId="65DCC1C6">
      <w:pPr>
        <w:widowControl/>
        <w:ind w:firstLine="420"/>
        <w:jc w:val="left"/>
        <w:rPr>
          <w:rFonts w:ascii="宋体" w:hAnsi="宋体"/>
          <w:color w:val="auto"/>
          <w:highlight w:val="none"/>
        </w:rPr>
      </w:pPr>
    </w:p>
    <w:p w14:paraId="6102BF8A">
      <w:pPr>
        <w:widowControl/>
        <w:ind w:firstLine="420"/>
        <w:jc w:val="left"/>
        <w:rPr>
          <w:rFonts w:ascii="宋体" w:hAnsi="宋体"/>
          <w:color w:val="auto"/>
          <w:highlight w:val="none"/>
        </w:rPr>
      </w:pPr>
    </w:p>
    <w:p w14:paraId="417AFF94">
      <w:pPr>
        <w:widowControl/>
        <w:ind w:firstLine="420"/>
        <w:jc w:val="left"/>
        <w:rPr>
          <w:rFonts w:ascii="宋体" w:hAnsi="宋体"/>
          <w:color w:val="auto"/>
          <w:szCs w:val="20"/>
          <w:highlight w:val="none"/>
        </w:rPr>
      </w:pPr>
      <w:r>
        <w:rPr>
          <w:rFonts w:ascii="宋体" w:hAnsi="宋体"/>
          <w:color w:val="auto"/>
          <w:highlight w:val="none"/>
        </w:rPr>
        <w:br w:type="page"/>
      </w:r>
    </w:p>
    <w:p w14:paraId="26ABA091">
      <w:pPr>
        <w:pStyle w:val="8"/>
        <w:spacing w:after="0" w:line="360" w:lineRule="auto"/>
        <w:ind w:left="0" w:leftChars="0" w:firstLine="422"/>
        <w:jc w:val="center"/>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ascii="宋体" w:hAnsi="宋体" w:cs="宋体"/>
          <w:b/>
          <w:color w:val="auto"/>
          <w:sz w:val="21"/>
          <w:szCs w:val="21"/>
          <w:highlight w:val="none"/>
        </w:rPr>
        <w:t>5</w:t>
      </w:r>
      <w:r>
        <w:rPr>
          <w:rFonts w:hint="eastAsia" w:ascii="宋体" w:hAnsi="宋体" w:cs="宋体"/>
          <w:b/>
          <w:color w:val="auto"/>
          <w:sz w:val="21"/>
          <w:szCs w:val="21"/>
          <w:highlight w:val="none"/>
        </w:rPr>
        <w:t>）</w:t>
      </w:r>
      <w:r>
        <w:rPr>
          <w:rFonts w:ascii="宋体" w:hAnsi="宋体" w:cs="宋体"/>
          <w:b/>
          <w:color w:val="auto"/>
          <w:sz w:val="21"/>
          <w:szCs w:val="21"/>
          <w:highlight w:val="none"/>
        </w:rPr>
        <w:t>合同条款偏离</w:t>
      </w:r>
      <w:r>
        <w:rPr>
          <w:rFonts w:hint="eastAsia" w:ascii="宋体" w:hAnsi="宋体" w:cs="宋体"/>
          <w:b/>
          <w:color w:val="auto"/>
          <w:sz w:val="21"/>
          <w:szCs w:val="21"/>
          <w:highlight w:val="none"/>
        </w:rPr>
        <w:t>和建议调整</w:t>
      </w:r>
      <w:r>
        <w:rPr>
          <w:rFonts w:ascii="宋体" w:hAnsi="宋体" w:cs="宋体"/>
          <w:b/>
          <w:color w:val="auto"/>
          <w:sz w:val="21"/>
          <w:szCs w:val="21"/>
          <w:highlight w:val="none"/>
        </w:rPr>
        <w:t>表</w:t>
      </w:r>
    </w:p>
    <w:tbl>
      <w:tblPr>
        <w:tblStyle w:val="1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826"/>
        <w:gridCol w:w="3693"/>
        <w:gridCol w:w="1134"/>
      </w:tblGrid>
      <w:tr w14:paraId="74CE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472" w:type="dxa"/>
            <w:gridSpan w:val="4"/>
            <w:vAlign w:val="center"/>
          </w:tcPr>
          <w:p w14:paraId="213B9F50">
            <w:pPr>
              <w:adjustRightInd w:val="0"/>
              <w:snapToGrid w:val="0"/>
              <w:spacing w:after="120" w:afterLines="50"/>
              <w:jc w:val="left"/>
              <w:rPr>
                <w:rFonts w:ascii="宋体" w:hAnsi="宋体"/>
                <w:b/>
                <w:color w:val="auto"/>
                <w:highlight w:val="none"/>
              </w:rPr>
            </w:pPr>
            <w:r>
              <w:rPr>
                <w:rFonts w:ascii="宋体" w:hAnsi="宋体"/>
                <w:b/>
                <w:color w:val="auto"/>
                <w:highlight w:val="none"/>
              </w:rPr>
              <w:t>对本</w:t>
            </w:r>
            <w:r>
              <w:rPr>
                <w:rFonts w:hint="eastAsia" w:ascii="宋体" w:hAnsi="宋体"/>
                <w:b/>
                <w:color w:val="auto"/>
                <w:highlight w:val="none"/>
              </w:rPr>
              <w:t>项目</w:t>
            </w:r>
            <w:r>
              <w:rPr>
                <w:rFonts w:ascii="宋体" w:hAnsi="宋体"/>
                <w:b/>
                <w:color w:val="auto"/>
                <w:highlight w:val="none"/>
              </w:rPr>
              <w:t>合同条款的偏离情况</w:t>
            </w:r>
            <w:r>
              <w:rPr>
                <w:rFonts w:hint="eastAsia" w:ascii="宋体" w:hAnsi="宋体"/>
                <w:b/>
                <w:color w:val="auto"/>
                <w:highlight w:val="none"/>
              </w:rPr>
              <w:t>和调整建议</w:t>
            </w:r>
            <w:r>
              <w:rPr>
                <w:rFonts w:ascii="宋体" w:hAnsi="宋体"/>
                <w:b/>
                <w:color w:val="auto"/>
                <w:highlight w:val="none"/>
              </w:rPr>
              <w:t>（请进行勾选）：</w:t>
            </w:r>
          </w:p>
          <w:p w14:paraId="075B823A">
            <w:pPr>
              <w:adjustRightInd w:val="0"/>
              <w:snapToGrid w:val="0"/>
              <w:spacing w:after="120" w:afterLines="50"/>
              <w:jc w:val="left"/>
              <w:rPr>
                <w:rFonts w:ascii="宋体" w:hAnsi="宋体"/>
                <w:b/>
                <w:color w:val="auto"/>
                <w:highlight w:val="none"/>
              </w:rPr>
            </w:pPr>
            <w:r>
              <w:rPr>
                <w:rFonts w:ascii="宋体" w:hAnsi="宋体"/>
                <w:b/>
                <w:color w:val="auto"/>
                <w:highlight w:val="none"/>
              </w:rPr>
              <w:t>□无偏离</w:t>
            </w:r>
            <w:r>
              <w:rPr>
                <w:rFonts w:hint="eastAsia" w:ascii="宋体" w:hAnsi="宋体"/>
                <w:b/>
                <w:color w:val="auto"/>
                <w:highlight w:val="none"/>
              </w:rPr>
              <w:t>和调整建议</w:t>
            </w:r>
            <w:r>
              <w:rPr>
                <w:rFonts w:ascii="宋体" w:hAnsi="宋体"/>
                <w:color w:val="auto"/>
                <w:highlight w:val="none"/>
              </w:rPr>
              <w:t>（如无偏离</w:t>
            </w:r>
            <w:r>
              <w:rPr>
                <w:rFonts w:hint="eastAsia" w:ascii="宋体" w:hAnsi="宋体"/>
                <w:color w:val="auto"/>
                <w:highlight w:val="none"/>
              </w:rPr>
              <w:t>和调整建议</w:t>
            </w:r>
            <w:r>
              <w:rPr>
                <w:rFonts w:ascii="宋体" w:hAnsi="宋体"/>
                <w:color w:val="auto"/>
                <w:highlight w:val="none"/>
              </w:rPr>
              <w:t>，勾选</w:t>
            </w:r>
            <w:r>
              <w:rPr>
                <w:rFonts w:hint="eastAsia" w:ascii="宋体" w:hAnsi="宋体"/>
                <w:color w:val="auto"/>
                <w:highlight w:val="none"/>
              </w:rPr>
              <w:t>本条</w:t>
            </w:r>
            <w:r>
              <w:rPr>
                <w:rFonts w:ascii="宋体" w:hAnsi="宋体"/>
                <w:color w:val="auto"/>
                <w:highlight w:val="none"/>
              </w:rPr>
              <w:t>即可）</w:t>
            </w:r>
          </w:p>
          <w:p w14:paraId="5C9FAD75">
            <w:pPr>
              <w:adjustRightInd w:val="0"/>
              <w:snapToGrid w:val="0"/>
              <w:spacing w:after="120" w:afterLines="50"/>
              <w:jc w:val="left"/>
              <w:rPr>
                <w:rFonts w:ascii="宋体" w:hAnsi="宋体"/>
                <w:color w:val="auto"/>
                <w:highlight w:val="none"/>
              </w:rPr>
            </w:pPr>
            <w:r>
              <w:rPr>
                <w:rFonts w:ascii="宋体" w:hAnsi="宋体"/>
                <w:b/>
                <w:color w:val="auto"/>
                <w:highlight w:val="none"/>
              </w:rPr>
              <w:t>□有偏离</w:t>
            </w:r>
            <w:r>
              <w:rPr>
                <w:rFonts w:hint="eastAsia" w:ascii="宋体" w:hAnsi="宋体"/>
                <w:b/>
                <w:color w:val="auto"/>
                <w:highlight w:val="none"/>
              </w:rPr>
              <w:t>和调整建议</w:t>
            </w:r>
            <w:r>
              <w:rPr>
                <w:rFonts w:ascii="宋体" w:hAnsi="宋体"/>
                <w:color w:val="auto"/>
                <w:highlight w:val="none"/>
              </w:rPr>
              <w:t>（如有偏离</w:t>
            </w:r>
            <w:r>
              <w:rPr>
                <w:rFonts w:hint="eastAsia" w:ascii="宋体" w:hAnsi="宋体"/>
                <w:color w:val="auto"/>
                <w:highlight w:val="none"/>
              </w:rPr>
              <w:t>或建议调整的条款</w:t>
            </w:r>
            <w:r>
              <w:rPr>
                <w:rFonts w:ascii="宋体" w:hAnsi="宋体"/>
                <w:color w:val="auto"/>
                <w:highlight w:val="none"/>
              </w:rPr>
              <w:t>，勾选</w:t>
            </w:r>
            <w:r>
              <w:rPr>
                <w:rFonts w:hint="eastAsia" w:ascii="宋体" w:hAnsi="宋体"/>
                <w:color w:val="auto"/>
                <w:highlight w:val="none"/>
              </w:rPr>
              <w:t>本条并</w:t>
            </w:r>
            <w:r>
              <w:rPr>
                <w:rFonts w:ascii="宋体" w:hAnsi="宋体"/>
                <w:color w:val="auto"/>
                <w:highlight w:val="none"/>
              </w:rPr>
              <w:t>在本表中逐一列明）</w:t>
            </w:r>
          </w:p>
        </w:tc>
      </w:tr>
      <w:tr w14:paraId="0418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2665B50A">
            <w:pPr>
              <w:adjustRightInd w:val="0"/>
              <w:snapToGrid w:val="0"/>
              <w:jc w:val="center"/>
              <w:rPr>
                <w:rFonts w:ascii="宋体" w:hAnsi="宋体"/>
                <w:color w:val="auto"/>
                <w:highlight w:val="none"/>
              </w:rPr>
            </w:pPr>
            <w:r>
              <w:rPr>
                <w:rFonts w:ascii="宋体" w:hAnsi="宋体"/>
                <w:color w:val="auto"/>
                <w:highlight w:val="none"/>
              </w:rPr>
              <w:t>序号</w:t>
            </w:r>
          </w:p>
        </w:tc>
        <w:tc>
          <w:tcPr>
            <w:tcW w:w="2826" w:type="dxa"/>
            <w:vAlign w:val="center"/>
          </w:tcPr>
          <w:p w14:paraId="26DF0CB0">
            <w:pPr>
              <w:adjustRightInd w:val="0"/>
              <w:snapToGrid w:val="0"/>
              <w:jc w:val="center"/>
              <w:rPr>
                <w:rFonts w:ascii="宋体" w:hAnsi="宋体"/>
                <w:color w:val="auto"/>
                <w:highlight w:val="none"/>
              </w:rPr>
            </w:pPr>
            <w:r>
              <w:rPr>
                <w:rFonts w:hint="eastAsia" w:ascii="宋体" w:hAnsi="宋体"/>
                <w:color w:val="auto"/>
                <w:highlight w:val="none"/>
              </w:rPr>
              <w:t>原合同条款内容</w:t>
            </w:r>
          </w:p>
        </w:tc>
        <w:tc>
          <w:tcPr>
            <w:tcW w:w="3693" w:type="dxa"/>
            <w:vAlign w:val="center"/>
          </w:tcPr>
          <w:p w14:paraId="55F67D6C">
            <w:pPr>
              <w:adjustRightInd w:val="0"/>
              <w:snapToGrid w:val="0"/>
              <w:jc w:val="center"/>
              <w:rPr>
                <w:rFonts w:ascii="宋体" w:hAnsi="宋体"/>
                <w:color w:val="auto"/>
                <w:highlight w:val="none"/>
              </w:rPr>
            </w:pPr>
            <w:r>
              <w:rPr>
                <w:rFonts w:ascii="宋体" w:hAnsi="宋体"/>
                <w:color w:val="auto"/>
                <w:highlight w:val="none"/>
              </w:rPr>
              <w:t>偏离情况</w:t>
            </w:r>
            <w:r>
              <w:rPr>
                <w:rFonts w:hint="eastAsia" w:ascii="宋体" w:hAnsi="宋体"/>
                <w:color w:val="auto"/>
                <w:highlight w:val="none"/>
              </w:rPr>
              <w:t>或调整建议</w:t>
            </w:r>
            <w:r>
              <w:rPr>
                <w:rFonts w:ascii="宋体" w:hAnsi="宋体"/>
                <w:color w:val="auto"/>
                <w:highlight w:val="none"/>
              </w:rPr>
              <w:t>（据实填写）</w:t>
            </w:r>
          </w:p>
        </w:tc>
        <w:tc>
          <w:tcPr>
            <w:tcW w:w="1134" w:type="dxa"/>
            <w:vAlign w:val="center"/>
          </w:tcPr>
          <w:p w14:paraId="6C368EFE">
            <w:pPr>
              <w:adjustRightInd w:val="0"/>
              <w:snapToGrid w:val="0"/>
              <w:jc w:val="center"/>
              <w:rPr>
                <w:rFonts w:ascii="宋体" w:hAnsi="宋体"/>
                <w:color w:val="auto"/>
                <w:highlight w:val="none"/>
              </w:rPr>
            </w:pPr>
            <w:r>
              <w:rPr>
                <w:rFonts w:ascii="宋体" w:hAnsi="宋体"/>
                <w:color w:val="auto"/>
                <w:highlight w:val="none"/>
              </w:rPr>
              <w:t>说明</w:t>
            </w:r>
          </w:p>
        </w:tc>
      </w:tr>
      <w:tr w14:paraId="76FC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4024CE97">
            <w:pPr>
              <w:adjustRightInd w:val="0"/>
              <w:snapToGrid w:val="0"/>
              <w:jc w:val="center"/>
              <w:rPr>
                <w:rFonts w:ascii="宋体" w:hAnsi="宋体"/>
                <w:color w:val="auto"/>
                <w:highlight w:val="none"/>
              </w:rPr>
            </w:pPr>
            <w:r>
              <w:rPr>
                <w:rFonts w:hint="eastAsia" w:ascii="宋体" w:hAnsi="宋体"/>
                <w:color w:val="auto"/>
                <w:highlight w:val="none"/>
              </w:rPr>
              <w:t>1</w:t>
            </w:r>
          </w:p>
        </w:tc>
        <w:tc>
          <w:tcPr>
            <w:tcW w:w="2826" w:type="dxa"/>
            <w:vAlign w:val="center"/>
          </w:tcPr>
          <w:p w14:paraId="5F163C3D">
            <w:pPr>
              <w:adjustRightInd w:val="0"/>
              <w:snapToGrid w:val="0"/>
              <w:jc w:val="center"/>
              <w:rPr>
                <w:rFonts w:ascii="宋体" w:hAnsi="宋体"/>
                <w:color w:val="auto"/>
                <w:highlight w:val="none"/>
              </w:rPr>
            </w:pPr>
          </w:p>
        </w:tc>
        <w:tc>
          <w:tcPr>
            <w:tcW w:w="3693" w:type="dxa"/>
            <w:vAlign w:val="center"/>
          </w:tcPr>
          <w:p w14:paraId="7311D1A4">
            <w:pPr>
              <w:adjustRightInd w:val="0"/>
              <w:snapToGrid w:val="0"/>
              <w:jc w:val="center"/>
              <w:rPr>
                <w:rFonts w:ascii="宋体" w:hAnsi="宋体"/>
                <w:color w:val="auto"/>
                <w:highlight w:val="none"/>
              </w:rPr>
            </w:pPr>
          </w:p>
        </w:tc>
        <w:tc>
          <w:tcPr>
            <w:tcW w:w="1134" w:type="dxa"/>
            <w:vAlign w:val="center"/>
          </w:tcPr>
          <w:p w14:paraId="0DA4667C">
            <w:pPr>
              <w:adjustRightInd w:val="0"/>
              <w:snapToGrid w:val="0"/>
              <w:jc w:val="center"/>
              <w:rPr>
                <w:rFonts w:ascii="宋体" w:hAnsi="宋体"/>
                <w:color w:val="auto"/>
                <w:highlight w:val="none"/>
              </w:rPr>
            </w:pPr>
          </w:p>
        </w:tc>
      </w:tr>
      <w:tr w14:paraId="3693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49BE2248">
            <w:pPr>
              <w:adjustRightInd w:val="0"/>
              <w:snapToGrid w:val="0"/>
              <w:jc w:val="center"/>
              <w:rPr>
                <w:rFonts w:ascii="宋体" w:hAnsi="宋体"/>
                <w:color w:val="auto"/>
                <w:highlight w:val="none"/>
              </w:rPr>
            </w:pPr>
            <w:r>
              <w:rPr>
                <w:rFonts w:hint="eastAsia" w:ascii="宋体" w:hAnsi="宋体"/>
                <w:color w:val="auto"/>
                <w:highlight w:val="none"/>
              </w:rPr>
              <w:t>2</w:t>
            </w:r>
          </w:p>
        </w:tc>
        <w:tc>
          <w:tcPr>
            <w:tcW w:w="2826" w:type="dxa"/>
            <w:vAlign w:val="center"/>
          </w:tcPr>
          <w:p w14:paraId="1E36087D">
            <w:pPr>
              <w:adjustRightInd w:val="0"/>
              <w:snapToGrid w:val="0"/>
              <w:jc w:val="center"/>
              <w:rPr>
                <w:rFonts w:ascii="宋体" w:hAnsi="宋体"/>
                <w:color w:val="auto"/>
                <w:highlight w:val="none"/>
              </w:rPr>
            </w:pPr>
          </w:p>
        </w:tc>
        <w:tc>
          <w:tcPr>
            <w:tcW w:w="3693" w:type="dxa"/>
            <w:vAlign w:val="center"/>
          </w:tcPr>
          <w:p w14:paraId="19F05F35">
            <w:pPr>
              <w:adjustRightInd w:val="0"/>
              <w:snapToGrid w:val="0"/>
              <w:jc w:val="center"/>
              <w:rPr>
                <w:rFonts w:ascii="宋体" w:hAnsi="宋体"/>
                <w:color w:val="auto"/>
                <w:highlight w:val="none"/>
              </w:rPr>
            </w:pPr>
          </w:p>
        </w:tc>
        <w:tc>
          <w:tcPr>
            <w:tcW w:w="1134" w:type="dxa"/>
            <w:vAlign w:val="center"/>
          </w:tcPr>
          <w:p w14:paraId="358125C8">
            <w:pPr>
              <w:adjustRightInd w:val="0"/>
              <w:snapToGrid w:val="0"/>
              <w:jc w:val="center"/>
              <w:rPr>
                <w:rFonts w:ascii="宋体" w:hAnsi="宋体"/>
                <w:color w:val="auto"/>
                <w:highlight w:val="none"/>
              </w:rPr>
            </w:pPr>
          </w:p>
        </w:tc>
      </w:tr>
      <w:tr w14:paraId="7DC6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4AF00C8A">
            <w:pPr>
              <w:adjustRightInd w:val="0"/>
              <w:snapToGrid w:val="0"/>
              <w:jc w:val="center"/>
              <w:rPr>
                <w:rFonts w:ascii="宋体" w:hAnsi="宋体"/>
                <w:color w:val="auto"/>
                <w:highlight w:val="none"/>
              </w:rPr>
            </w:pPr>
            <w:r>
              <w:rPr>
                <w:rFonts w:hint="eastAsia" w:ascii="宋体" w:hAnsi="宋体"/>
                <w:color w:val="auto"/>
                <w:highlight w:val="none"/>
              </w:rPr>
              <w:t>3</w:t>
            </w:r>
          </w:p>
        </w:tc>
        <w:tc>
          <w:tcPr>
            <w:tcW w:w="2826" w:type="dxa"/>
            <w:vAlign w:val="center"/>
          </w:tcPr>
          <w:p w14:paraId="761DF4FA">
            <w:pPr>
              <w:adjustRightInd w:val="0"/>
              <w:snapToGrid w:val="0"/>
              <w:jc w:val="center"/>
              <w:rPr>
                <w:rFonts w:ascii="宋体" w:hAnsi="宋体"/>
                <w:color w:val="auto"/>
                <w:highlight w:val="none"/>
              </w:rPr>
            </w:pPr>
          </w:p>
        </w:tc>
        <w:tc>
          <w:tcPr>
            <w:tcW w:w="3693" w:type="dxa"/>
            <w:vAlign w:val="center"/>
          </w:tcPr>
          <w:p w14:paraId="764C1BC5">
            <w:pPr>
              <w:adjustRightInd w:val="0"/>
              <w:snapToGrid w:val="0"/>
              <w:jc w:val="center"/>
              <w:rPr>
                <w:rFonts w:ascii="宋体" w:hAnsi="宋体"/>
                <w:color w:val="auto"/>
                <w:highlight w:val="none"/>
              </w:rPr>
            </w:pPr>
          </w:p>
        </w:tc>
        <w:tc>
          <w:tcPr>
            <w:tcW w:w="1134" w:type="dxa"/>
            <w:vAlign w:val="center"/>
          </w:tcPr>
          <w:p w14:paraId="60D245A2">
            <w:pPr>
              <w:adjustRightInd w:val="0"/>
              <w:snapToGrid w:val="0"/>
              <w:jc w:val="center"/>
              <w:rPr>
                <w:rFonts w:ascii="宋体" w:hAnsi="宋体"/>
                <w:color w:val="auto"/>
                <w:highlight w:val="none"/>
              </w:rPr>
            </w:pPr>
          </w:p>
        </w:tc>
      </w:tr>
      <w:tr w14:paraId="35A2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37FCDE82">
            <w:pPr>
              <w:adjustRightInd w:val="0"/>
              <w:snapToGrid w:val="0"/>
              <w:jc w:val="center"/>
              <w:rPr>
                <w:rFonts w:ascii="宋体" w:hAnsi="宋体"/>
                <w:color w:val="auto"/>
                <w:highlight w:val="none"/>
              </w:rPr>
            </w:pPr>
            <w:r>
              <w:rPr>
                <w:rFonts w:ascii="宋体" w:hAnsi="宋体"/>
                <w:color w:val="auto"/>
                <w:highlight w:val="none"/>
              </w:rPr>
              <w:t>…</w:t>
            </w:r>
          </w:p>
        </w:tc>
        <w:tc>
          <w:tcPr>
            <w:tcW w:w="2826" w:type="dxa"/>
            <w:vAlign w:val="center"/>
          </w:tcPr>
          <w:p w14:paraId="7AF0EC60">
            <w:pPr>
              <w:adjustRightInd w:val="0"/>
              <w:snapToGrid w:val="0"/>
              <w:jc w:val="center"/>
              <w:rPr>
                <w:rFonts w:ascii="宋体" w:hAnsi="宋体"/>
                <w:color w:val="auto"/>
                <w:highlight w:val="none"/>
              </w:rPr>
            </w:pPr>
          </w:p>
        </w:tc>
        <w:tc>
          <w:tcPr>
            <w:tcW w:w="3693" w:type="dxa"/>
            <w:vAlign w:val="center"/>
          </w:tcPr>
          <w:p w14:paraId="07A92633">
            <w:pPr>
              <w:adjustRightInd w:val="0"/>
              <w:snapToGrid w:val="0"/>
              <w:jc w:val="center"/>
              <w:rPr>
                <w:rFonts w:ascii="宋体" w:hAnsi="宋体"/>
                <w:color w:val="auto"/>
                <w:highlight w:val="none"/>
              </w:rPr>
            </w:pPr>
          </w:p>
        </w:tc>
        <w:tc>
          <w:tcPr>
            <w:tcW w:w="1134" w:type="dxa"/>
            <w:vAlign w:val="center"/>
          </w:tcPr>
          <w:p w14:paraId="7F2B27CC">
            <w:pPr>
              <w:adjustRightInd w:val="0"/>
              <w:snapToGrid w:val="0"/>
              <w:jc w:val="center"/>
              <w:rPr>
                <w:rFonts w:ascii="宋体" w:hAnsi="宋体"/>
                <w:color w:val="auto"/>
                <w:highlight w:val="none"/>
              </w:rPr>
            </w:pPr>
          </w:p>
        </w:tc>
      </w:tr>
    </w:tbl>
    <w:p w14:paraId="401D0E2F">
      <w:pPr>
        <w:snapToGrid w:val="0"/>
        <w:spacing w:line="360" w:lineRule="auto"/>
        <w:ind w:left="-23" w:leftChars="-11" w:right="-57" w:rightChars="-27" w:firstLine="21" w:firstLineChars="10"/>
        <w:rPr>
          <w:rFonts w:ascii="宋体" w:hAnsi="宋体"/>
          <w:color w:val="auto"/>
          <w:szCs w:val="22"/>
          <w:highlight w:val="none"/>
        </w:rPr>
      </w:pPr>
      <w:r>
        <w:rPr>
          <w:rFonts w:hint="eastAsia" w:ascii="宋体" w:hAnsi="宋体"/>
          <w:color w:val="auto"/>
          <w:szCs w:val="22"/>
          <w:highlight w:val="none"/>
        </w:rPr>
        <w:t>注：</w:t>
      </w:r>
    </w:p>
    <w:p w14:paraId="35B6063A">
      <w:pPr>
        <w:snapToGrid w:val="0"/>
        <w:spacing w:line="360" w:lineRule="auto"/>
        <w:ind w:left="-23" w:leftChars="-11" w:right="-57" w:rightChars="-27" w:firstLine="21" w:firstLineChars="10"/>
        <w:rPr>
          <w:rFonts w:ascii="宋体" w:hAnsi="宋体"/>
          <w:color w:val="auto"/>
          <w:szCs w:val="22"/>
          <w:highlight w:val="none"/>
        </w:rPr>
      </w:pPr>
      <w:r>
        <w:rPr>
          <w:rFonts w:hint="eastAsia" w:ascii="宋体" w:hAnsi="宋体"/>
          <w:color w:val="auto"/>
          <w:szCs w:val="22"/>
          <w:highlight w:val="none"/>
        </w:rPr>
        <w:t>1.供应商保证：除本表列出的偏离外，响应磋商文件《第五章  合同草案条款》列明的所有条款。供应商应当与采购文件《第五章  合同草案条款》的所有条款逐项比较，如有偏离</w:t>
      </w:r>
      <w:r>
        <w:rPr>
          <w:rFonts w:hint="eastAsia" w:ascii="宋体" w:hAnsi="宋体"/>
          <w:color w:val="auto"/>
          <w:highlight w:val="none"/>
        </w:rPr>
        <w:t>（不满足或优于）</w:t>
      </w:r>
      <w:r>
        <w:rPr>
          <w:rFonts w:hint="eastAsia" w:ascii="宋体" w:hAnsi="宋体"/>
          <w:color w:val="auto"/>
          <w:szCs w:val="22"/>
          <w:highlight w:val="none"/>
        </w:rPr>
        <w:t>的，须在本表中列明，并填写偏离情况。如供应商未在本表中列出偏离项并填写偏离情况，即使其在响应文件的其他部分说明与磋商文件要求有所不同或回避不答，亦视为响应磋商文件《第五章  合同草案条款》所提出的条款要求并签署合同。若成交供应商以上述事项为借口而不履行合同签订手续及履行合同，则按照政府采购法律法规的规定处理。响应情况由磋商小组认定。</w:t>
      </w:r>
    </w:p>
    <w:p w14:paraId="2319C127">
      <w:pPr>
        <w:snapToGrid w:val="0"/>
        <w:spacing w:line="360" w:lineRule="auto"/>
        <w:ind w:left="-23" w:leftChars="-11" w:right="-57" w:rightChars="-27" w:firstLine="21" w:firstLineChars="10"/>
        <w:rPr>
          <w:rFonts w:ascii="宋体" w:hAnsi="宋体"/>
          <w:color w:val="auto"/>
          <w:szCs w:val="22"/>
          <w:highlight w:val="none"/>
        </w:rPr>
      </w:pPr>
      <w:r>
        <w:rPr>
          <w:rFonts w:hint="eastAsia" w:ascii="宋体" w:hAnsi="宋体"/>
          <w:color w:val="auto"/>
          <w:szCs w:val="22"/>
          <w:highlight w:val="none"/>
        </w:rPr>
        <w:t>2</w:t>
      </w:r>
      <w:r>
        <w:rPr>
          <w:rFonts w:ascii="宋体" w:hAnsi="宋体"/>
          <w:color w:val="auto"/>
          <w:szCs w:val="22"/>
          <w:highlight w:val="none"/>
        </w:rPr>
        <w:t>.</w:t>
      </w:r>
      <w:r>
        <w:rPr>
          <w:rFonts w:hint="eastAsia" w:ascii="宋体" w:hAnsi="宋体"/>
          <w:color w:val="auto"/>
          <w:szCs w:val="22"/>
          <w:highlight w:val="none"/>
        </w:rPr>
        <w:t>供应商针对《第五章  合同草案条款》，建议采购人修改或增加的有利于本项目采购目标达成的内容，请列入本表。</w:t>
      </w:r>
      <w:r>
        <w:rPr>
          <w:rFonts w:hint="eastAsia" w:ascii="宋体" w:hAnsi="宋体" w:cs="宋体"/>
          <w:bCs/>
          <w:color w:val="auto"/>
          <w:highlight w:val="none"/>
        </w:rPr>
        <w:t>增加的条款可以不在“</w:t>
      </w:r>
      <w:r>
        <w:rPr>
          <w:rFonts w:hint="eastAsia" w:ascii="宋体" w:hAnsi="宋体"/>
          <w:color w:val="auto"/>
          <w:highlight w:val="none"/>
        </w:rPr>
        <w:t>原合同条款内容</w:t>
      </w:r>
      <w:r>
        <w:rPr>
          <w:rFonts w:hint="eastAsia" w:ascii="宋体" w:hAnsi="宋体" w:cs="宋体"/>
          <w:bCs/>
          <w:color w:val="auto"/>
          <w:highlight w:val="none"/>
        </w:rPr>
        <w:t>”栏填写内容。</w:t>
      </w:r>
    </w:p>
    <w:p w14:paraId="2E13C618">
      <w:pPr>
        <w:snapToGrid w:val="0"/>
        <w:spacing w:line="360" w:lineRule="auto"/>
        <w:ind w:left="-23" w:leftChars="-11" w:right="-57" w:rightChars="-27" w:firstLine="21" w:firstLineChars="10"/>
        <w:rPr>
          <w:rFonts w:ascii="宋体" w:hAnsi="宋体"/>
          <w:color w:val="auto"/>
          <w:szCs w:val="22"/>
          <w:highlight w:val="none"/>
        </w:rPr>
      </w:pPr>
      <w:r>
        <w:rPr>
          <w:rFonts w:hint="eastAsia" w:ascii="宋体" w:hAnsi="宋体"/>
          <w:color w:val="auto"/>
          <w:szCs w:val="22"/>
          <w:highlight w:val="none"/>
        </w:rPr>
        <w:t>3.供应商无论对《第五章  合同草案条款》有无偏离（</w:t>
      </w:r>
      <w:r>
        <w:rPr>
          <w:rFonts w:hint="eastAsia" w:ascii="宋体" w:hAnsi="宋体"/>
          <w:color w:val="auto"/>
          <w:highlight w:val="none"/>
        </w:rPr>
        <w:t>不满足或优于</w:t>
      </w:r>
      <w:r>
        <w:rPr>
          <w:rFonts w:hint="eastAsia" w:ascii="宋体" w:hAnsi="宋体"/>
          <w:color w:val="auto"/>
          <w:szCs w:val="22"/>
          <w:highlight w:val="none"/>
        </w:rPr>
        <w:t>）和调整建议都应当将本表盖章后作为响应文件的一部分提交，未提供本表的按照无效响应处理。</w:t>
      </w:r>
    </w:p>
    <w:p w14:paraId="47A340CA">
      <w:pPr>
        <w:tabs>
          <w:tab w:val="left" w:pos="1800"/>
          <w:tab w:val="left" w:pos="5580"/>
        </w:tabs>
        <w:ind w:firstLine="480"/>
        <w:jc w:val="left"/>
        <w:rPr>
          <w:rFonts w:ascii="宋体" w:hAnsi="宋体"/>
          <w:color w:val="auto"/>
          <w:sz w:val="24"/>
          <w:highlight w:val="none"/>
        </w:rPr>
      </w:pPr>
    </w:p>
    <w:p w14:paraId="5CF95674">
      <w:pPr>
        <w:tabs>
          <w:tab w:val="left" w:pos="1800"/>
          <w:tab w:val="left" w:pos="5580"/>
        </w:tabs>
        <w:ind w:firstLine="420"/>
        <w:jc w:val="left"/>
        <w:rPr>
          <w:rFonts w:ascii="宋体" w:hAnsi="宋体"/>
          <w:color w:val="auto"/>
          <w:highlight w:val="none"/>
        </w:rPr>
      </w:pPr>
    </w:p>
    <w:p w14:paraId="64768E82">
      <w:pPr>
        <w:snapToGrid w:val="0"/>
        <w:spacing w:line="360" w:lineRule="auto"/>
        <w:ind w:firstLine="4536" w:firstLineChars="2160"/>
        <w:rPr>
          <w:rFonts w:ascii="宋体" w:hAnsi="宋体"/>
          <w:color w:val="auto"/>
          <w:highlight w:val="none"/>
        </w:rPr>
      </w:pPr>
      <w:r>
        <w:rPr>
          <w:rFonts w:hint="eastAsia" w:ascii="宋体" w:hAnsi="宋体"/>
          <w:color w:val="auto"/>
          <w:highlight w:val="none"/>
        </w:rPr>
        <w:t>供应商：</w:t>
      </w:r>
      <w:r>
        <w:rPr>
          <w:rFonts w:hint="eastAsia" w:ascii="宋体" w:hAnsi="宋体"/>
          <w:color w:val="auto"/>
          <w:highlight w:val="none"/>
          <w:u w:val="single"/>
        </w:rPr>
        <w:t xml:space="preserve">    填写全称并加盖公章    </w:t>
      </w:r>
    </w:p>
    <w:p w14:paraId="3346006C">
      <w:pPr>
        <w:snapToGrid w:val="0"/>
        <w:spacing w:line="360" w:lineRule="auto"/>
        <w:ind w:firstLine="4536" w:firstLineChars="2160"/>
        <w:rPr>
          <w:rFonts w:ascii="宋体" w:hAnsi="宋体"/>
          <w:color w:val="auto"/>
          <w:highlight w:val="none"/>
        </w:rPr>
      </w:pPr>
      <w:r>
        <w:rPr>
          <w:rFonts w:hint="eastAsia" w:ascii="宋体" w:hAnsi="宋体"/>
          <w:color w:val="auto"/>
          <w:highlight w:val="none"/>
        </w:rPr>
        <w:t>日  期：</w:t>
      </w:r>
    </w:p>
    <w:p w14:paraId="1F8AF7FE">
      <w:pPr>
        <w:pStyle w:val="29"/>
        <w:rPr>
          <w:color w:val="auto"/>
          <w:highlight w:val="none"/>
        </w:rPr>
      </w:pPr>
    </w:p>
    <w:p w14:paraId="31588D10">
      <w:pPr>
        <w:widowControl/>
        <w:ind w:firstLine="420"/>
        <w:jc w:val="left"/>
        <w:rPr>
          <w:rFonts w:ascii="宋体" w:hAnsi="宋体"/>
          <w:color w:val="auto"/>
          <w:highlight w:val="none"/>
        </w:rPr>
      </w:pPr>
    </w:p>
    <w:p w14:paraId="2D2864B9">
      <w:pPr>
        <w:widowControl/>
        <w:ind w:firstLine="420"/>
        <w:jc w:val="left"/>
        <w:rPr>
          <w:rFonts w:ascii="宋体" w:hAnsi="宋体"/>
          <w:color w:val="auto"/>
          <w:highlight w:val="none"/>
        </w:rPr>
      </w:pPr>
    </w:p>
    <w:p w14:paraId="01ACD2BF">
      <w:pPr>
        <w:widowControl/>
        <w:jc w:val="left"/>
        <w:rPr>
          <w:rFonts w:ascii="宋体" w:hAnsi="宋体"/>
          <w:color w:val="auto"/>
          <w:highlight w:val="none"/>
        </w:rPr>
      </w:pPr>
      <w:r>
        <w:rPr>
          <w:rFonts w:ascii="宋体" w:hAnsi="宋体"/>
          <w:color w:val="auto"/>
          <w:highlight w:val="none"/>
        </w:rPr>
        <w:br w:type="page"/>
      </w:r>
    </w:p>
    <w:p w14:paraId="5E1D8C14">
      <w:pPr>
        <w:pStyle w:val="8"/>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（6）项目实施人员情况表</w:t>
      </w:r>
    </w:p>
    <w:tbl>
      <w:tblPr>
        <w:tblStyle w:val="17"/>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68"/>
        <w:gridCol w:w="1843"/>
        <w:gridCol w:w="1148"/>
        <w:gridCol w:w="1005"/>
        <w:gridCol w:w="2441"/>
      </w:tblGrid>
      <w:tr w14:paraId="317D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83" w:type="dxa"/>
            <w:vAlign w:val="center"/>
          </w:tcPr>
          <w:p w14:paraId="2E93B8EE">
            <w:pPr>
              <w:jc w:val="center"/>
              <w:rPr>
                <w:rFonts w:ascii="宋体" w:hAnsi="宋体"/>
                <w:bCs/>
                <w:color w:val="auto"/>
                <w:highlight w:val="none"/>
              </w:rPr>
            </w:pPr>
            <w:r>
              <w:rPr>
                <w:rFonts w:hint="eastAsia" w:ascii="宋体" w:hAnsi="宋体"/>
                <w:bCs/>
                <w:color w:val="auto"/>
                <w:highlight w:val="none"/>
              </w:rPr>
              <w:t>序号</w:t>
            </w:r>
          </w:p>
        </w:tc>
        <w:tc>
          <w:tcPr>
            <w:tcW w:w="1268" w:type="dxa"/>
            <w:vAlign w:val="center"/>
          </w:tcPr>
          <w:p w14:paraId="742A4EE3">
            <w:pPr>
              <w:jc w:val="center"/>
              <w:rPr>
                <w:rFonts w:ascii="宋体" w:hAnsi="宋体"/>
                <w:bCs/>
                <w:color w:val="auto"/>
                <w:highlight w:val="none"/>
              </w:rPr>
            </w:pPr>
            <w:r>
              <w:rPr>
                <w:rFonts w:hint="eastAsia" w:ascii="宋体" w:hAnsi="宋体"/>
                <w:bCs/>
                <w:color w:val="auto"/>
                <w:highlight w:val="none"/>
              </w:rPr>
              <w:t>姓名</w:t>
            </w:r>
          </w:p>
        </w:tc>
        <w:tc>
          <w:tcPr>
            <w:tcW w:w="1843" w:type="dxa"/>
            <w:vAlign w:val="center"/>
          </w:tcPr>
          <w:p w14:paraId="16213ECC">
            <w:pPr>
              <w:jc w:val="center"/>
              <w:rPr>
                <w:rFonts w:ascii="宋体" w:hAnsi="宋体"/>
                <w:bCs/>
                <w:color w:val="auto"/>
                <w:highlight w:val="none"/>
              </w:rPr>
            </w:pPr>
            <w:r>
              <w:rPr>
                <w:rFonts w:hint="eastAsia" w:ascii="宋体" w:hAnsi="宋体"/>
                <w:bCs/>
                <w:color w:val="auto"/>
                <w:highlight w:val="none"/>
              </w:rPr>
              <w:t>本项目中的岗位</w:t>
            </w:r>
          </w:p>
        </w:tc>
        <w:tc>
          <w:tcPr>
            <w:tcW w:w="1148" w:type="dxa"/>
            <w:vAlign w:val="center"/>
          </w:tcPr>
          <w:p w14:paraId="1472D3FB">
            <w:pPr>
              <w:jc w:val="center"/>
              <w:rPr>
                <w:rFonts w:ascii="宋体" w:hAnsi="宋体"/>
                <w:bCs/>
                <w:color w:val="auto"/>
                <w:highlight w:val="none"/>
              </w:rPr>
            </w:pPr>
            <w:r>
              <w:rPr>
                <w:rFonts w:hint="eastAsia" w:ascii="宋体" w:hAnsi="宋体"/>
                <w:bCs/>
                <w:color w:val="auto"/>
                <w:highlight w:val="none"/>
              </w:rPr>
              <w:t>年龄</w:t>
            </w:r>
          </w:p>
        </w:tc>
        <w:tc>
          <w:tcPr>
            <w:tcW w:w="1005" w:type="dxa"/>
            <w:vAlign w:val="center"/>
          </w:tcPr>
          <w:p w14:paraId="143AFCAF">
            <w:pPr>
              <w:jc w:val="center"/>
              <w:rPr>
                <w:rFonts w:ascii="宋体" w:hAnsi="宋体"/>
                <w:bCs/>
                <w:color w:val="auto"/>
                <w:highlight w:val="none"/>
              </w:rPr>
            </w:pPr>
            <w:r>
              <w:rPr>
                <w:rFonts w:hint="eastAsia" w:ascii="宋体" w:hAnsi="宋体"/>
                <w:bCs/>
                <w:color w:val="auto"/>
                <w:highlight w:val="none"/>
              </w:rPr>
              <w:t>性别</w:t>
            </w:r>
          </w:p>
        </w:tc>
        <w:tc>
          <w:tcPr>
            <w:tcW w:w="2441" w:type="dxa"/>
            <w:vAlign w:val="center"/>
          </w:tcPr>
          <w:p w14:paraId="35FC7767">
            <w:pPr>
              <w:jc w:val="center"/>
              <w:rPr>
                <w:rFonts w:ascii="宋体" w:hAnsi="宋体"/>
                <w:bCs/>
                <w:color w:val="auto"/>
                <w:highlight w:val="none"/>
              </w:rPr>
            </w:pPr>
            <w:r>
              <w:rPr>
                <w:rFonts w:hint="eastAsia" w:ascii="宋体" w:hAnsi="宋体"/>
                <w:bCs/>
                <w:color w:val="auto"/>
                <w:highlight w:val="none"/>
              </w:rPr>
              <w:t>学历、职称、执业资格等个人能力情况说明</w:t>
            </w:r>
          </w:p>
        </w:tc>
      </w:tr>
      <w:tr w14:paraId="787F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83" w:type="dxa"/>
            <w:vAlign w:val="center"/>
          </w:tcPr>
          <w:p w14:paraId="3614177D">
            <w:pPr>
              <w:jc w:val="center"/>
              <w:rPr>
                <w:rFonts w:ascii="宋体" w:hAnsi="宋体"/>
                <w:color w:val="auto"/>
                <w:highlight w:val="none"/>
              </w:rPr>
            </w:pPr>
            <w:r>
              <w:rPr>
                <w:rFonts w:hint="eastAsia" w:ascii="宋体" w:hAnsi="宋体"/>
                <w:color w:val="auto"/>
                <w:highlight w:val="none"/>
              </w:rPr>
              <w:t>1</w:t>
            </w:r>
          </w:p>
        </w:tc>
        <w:tc>
          <w:tcPr>
            <w:tcW w:w="1268" w:type="dxa"/>
            <w:vAlign w:val="center"/>
          </w:tcPr>
          <w:p w14:paraId="3BD5DC65">
            <w:pPr>
              <w:jc w:val="center"/>
              <w:rPr>
                <w:rFonts w:ascii="宋体" w:hAnsi="宋体"/>
                <w:color w:val="auto"/>
                <w:highlight w:val="none"/>
              </w:rPr>
            </w:pPr>
          </w:p>
        </w:tc>
        <w:tc>
          <w:tcPr>
            <w:tcW w:w="1843" w:type="dxa"/>
            <w:vAlign w:val="center"/>
          </w:tcPr>
          <w:p w14:paraId="1674DB32">
            <w:pPr>
              <w:jc w:val="center"/>
              <w:rPr>
                <w:rFonts w:ascii="宋体" w:hAnsi="宋体"/>
                <w:color w:val="auto"/>
                <w:highlight w:val="none"/>
              </w:rPr>
            </w:pPr>
            <w:r>
              <w:rPr>
                <w:rFonts w:hint="eastAsia" w:ascii="宋体" w:hAnsi="宋体"/>
                <w:color w:val="auto"/>
                <w:highlight w:val="none"/>
              </w:rPr>
              <w:t>项目负责人</w:t>
            </w:r>
          </w:p>
        </w:tc>
        <w:tc>
          <w:tcPr>
            <w:tcW w:w="1148" w:type="dxa"/>
            <w:vAlign w:val="center"/>
          </w:tcPr>
          <w:p w14:paraId="1C09D21A">
            <w:pPr>
              <w:jc w:val="center"/>
              <w:rPr>
                <w:rFonts w:ascii="宋体" w:hAnsi="宋体"/>
                <w:color w:val="auto"/>
                <w:highlight w:val="none"/>
              </w:rPr>
            </w:pPr>
          </w:p>
        </w:tc>
        <w:tc>
          <w:tcPr>
            <w:tcW w:w="1005" w:type="dxa"/>
            <w:vAlign w:val="center"/>
          </w:tcPr>
          <w:p w14:paraId="3FCDE71E">
            <w:pPr>
              <w:jc w:val="center"/>
              <w:rPr>
                <w:rFonts w:ascii="宋体" w:hAnsi="宋体"/>
                <w:color w:val="auto"/>
                <w:highlight w:val="none"/>
              </w:rPr>
            </w:pPr>
          </w:p>
        </w:tc>
        <w:tc>
          <w:tcPr>
            <w:tcW w:w="2441" w:type="dxa"/>
            <w:vAlign w:val="center"/>
          </w:tcPr>
          <w:p w14:paraId="5928422A">
            <w:pPr>
              <w:jc w:val="center"/>
              <w:rPr>
                <w:rFonts w:ascii="宋体" w:hAnsi="宋体"/>
                <w:color w:val="auto"/>
                <w:highlight w:val="none"/>
              </w:rPr>
            </w:pPr>
          </w:p>
        </w:tc>
      </w:tr>
      <w:tr w14:paraId="7033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83" w:type="dxa"/>
            <w:vAlign w:val="center"/>
          </w:tcPr>
          <w:p w14:paraId="3FB09591">
            <w:pPr>
              <w:jc w:val="center"/>
              <w:rPr>
                <w:rFonts w:ascii="宋体" w:hAnsi="宋体"/>
                <w:color w:val="auto"/>
                <w:highlight w:val="none"/>
              </w:rPr>
            </w:pPr>
            <w:r>
              <w:rPr>
                <w:rFonts w:hint="eastAsia" w:ascii="宋体" w:hAnsi="宋体"/>
                <w:color w:val="auto"/>
                <w:highlight w:val="none"/>
              </w:rPr>
              <w:t>2</w:t>
            </w:r>
          </w:p>
        </w:tc>
        <w:tc>
          <w:tcPr>
            <w:tcW w:w="1268" w:type="dxa"/>
            <w:vAlign w:val="center"/>
          </w:tcPr>
          <w:p w14:paraId="7466A208">
            <w:pPr>
              <w:jc w:val="center"/>
              <w:rPr>
                <w:rFonts w:ascii="宋体" w:hAnsi="宋体"/>
                <w:color w:val="auto"/>
                <w:highlight w:val="none"/>
              </w:rPr>
            </w:pPr>
          </w:p>
        </w:tc>
        <w:tc>
          <w:tcPr>
            <w:tcW w:w="1843" w:type="dxa"/>
            <w:vAlign w:val="center"/>
          </w:tcPr>
          <w:p w14:paraId="2062FC41">
            <w:pPr>
              <w:jc w:val="center"/>
              <w:rPr>
                <w:rFonts w:ascii="宋体" w:hAnsi="宋体"/>
                <w:color w:val="auto"/>
                <w:highlight w:val="none"/>
              </w:rPr>
            </w:pPr>
          </w:p>
        </w:tc>
        <w:tc>
          <w:tcPr>
            <w:tcW w:w="1148" w:type="dxa"/>
            <w:vAlign w:val="center"/>
          </w:tcPr>
          <w:p w14:paraId="1073FA18">
            <w:pPr>
              <w:jc w:val="center"/>
              <w:rPr>
                <w:rFonts w:ascii="宋体" w:hAnsi="宋体"/>
                <w:color w:val="auto"/>
                <w:highlight w:val="none"/>
              </w:rPr>
            </w:pPr>
          </w:p>
        </w:tc>
        <w:tc>
          <w:tcPr>
            <w:tcW w:w="1005" w:type="dxa"/>
            <w:vAlign w:val="center"/>
          </w:tcPr>
          <w:p w14:paraId="4C4E3233">
            <w:pPr>
              <w:jc w:val="center"/>
              <w:rPr>
                <w:rFonts w:ascii="宋体" w:hAnsi="宋体"/>
                <w:color w:val="auto"/>
                <w:highlight w:val="none"/>
              </w:rPr>
            </w:pPr>
          </w:p>
        </w:tc>
        <w:tc>
          <w:tcPr>
            <w:tcW w:w="2441" w:type="dxa"/>
            <w:vAlign w:val="center"/>
          </w:tcPr>
          <w:p w14:paraId="6EE8B34E">
            <w:pPr>
              <w:jc w:val="center"/>
              <w:rPr>
                <w:rFonts w:ascii="宋体" w:hAnsi="宋体"/>
                <w:color w:val="auto"/>
                <w:highlight w:val="none"/>
              </w:rPr>
            </w:pPr>
          </w:p>
        </w:tc>
      </w:tr>
      <w:tr w14:paraId="147B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83" w:type="dxa"/>
            <w:vAlign w:val="center"/>
          </w:tcPr>
          <w:p w14:paraId="071888B8">
            <w:pPr>
              <w:jc w:val="center"/>
              <w:rPr>
                <w:rFonts w:ascii="宋体" w:hAnsi="宋体"/>
                <w:color w:val="auto"/>
                <w:highlight w:val="none"/>
              </w:rPr>
            </w:pPr>
            <w:r>
              <w:rPr>
                <w:rFonts w:hint="eastAsia" w:ascii="宋体" w:hAnsi="宋体"/>
                <w:color w:val="auto"/>
                <w:highlight w:val="none"/>
              </w:rPr>
              <w:t>3</w:t>
            </w:r>
          </w:p>
        </w:tc>
        <w:tc>
          <w:tcPr>
            <w:tcW w:w="1268" w:type="dxa"/>
            <w:vAlign w:val="center"/>
          </w:tcPr>
          <w:p w14:paraId="5341B31D">
            <w:pPr>
              <w:jc w:val="center"/>
              <w:rPr>
                <w:rFonts w:ascii="宋体" w:hAnsi="宋体"/>
                <w:color w:val="auto"/>
                <w:highlight w:val="none"/>
              </w:rPr>
            </w:pPr>
          </w:p>
        </w:tc>
        <w:tc>
          <w:tcPr>
            <w:tcW w:w="1843" w:type="dxa"/>
            <w:vAlign w:val="center"/>
          </w:tcPr>
          <w:p w14:paraId="1A814930">
            <w:pPr>
              <w:jc w:val="center"/>
              <w:rPr>
                <w:rFonts w:ascii="宋体" w:hAnsi="宋体"/>
                <w:color w:val="auto"/>
                <w:highlight w:val="none"/>
              </w:rPr>
            </w:pPr>
          </w:p>
        </w:tc>
        <w:tc>
          <w:tcPr>
            <w:tcW w:w="1148" w:type="dxa"/>
            <w:vAlign w:val="center"/>
          </w:tcPr>
          <w:p w14:paraId="6CE16E42">
            <w:pPr>
              <w:jc w:val="center"/>
              <w:rPr>
                <w:rFonts w:ascii="宋体" w:hAnsi="宋体"/>
                <w:color w:val="auto"/>
                <w:highlight w:val="none"/>
              </w:rPr>
            </w:pPr>
          </w:p>
        </w:tc>
        <w:tc>
          <w:tcPr>
            <w:tcW w:w="1005" w:type="dxa"/>
            <w:vAlign w:val="center"/>
          </w:tcPr>
          <w:p w14:paraId="1F4FC02E">
            <w:pPr>
              <w:jc w:val="center"/>
              <w:rPr>
                <w:rFonts w:ascii="宋体" w:hAnsi="宋体"/>
                <w:color w:val="auto"/>
                <w:highlight w:val="none"/>
              </w:rPr>
            </w:pPr>
          </w:p>
        </w:tc>
        <w:tc>
          <w:tcPr>
            <w:tcW w:w="2441" w:type="dxa"/>
            <w:vAlign w:val="center"/>
          </w:tcPr>
          <w:p w14:paraId="518C7542">
            <w:pPr>
              <w:jc w:val="center"/>
              <w:rPr>
                <w:rFonts w:ascii="宋体" w:hAnsi="宋体"/>
                <w:color w:val="auto"/>
                <w:highlight w:val="none"/>
              </w:rPr>
            </w:pPr>
          </w:p>
        </w:tc>
      </w:tr>
      <w:tr w14:paraId="45A4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83" w:type="dxa"/>
            <w:vAlign w:val="center"/>
          </w:tcPr>
          <w:p w14:paraId="58A9B823">
            <w:pPr>
              <w:jc w:val="center"/>
              <w:rPr>
                <w:rFonts w:ascii="宋体" w:hAnsi="宋体"/>
                <w:color w:val="auto"/>
                <w:highlight w:val="none"/>
              </w:rPr>
            </w:pPr>
            <w:r>
              <w:rPr>
                <w:rFonts w:hint="eastAsia" w:ascii="宋体" w:hAnsi="宋体"/>
                <w:color w:val="auto"/>
                <w:highlight w:val="none"/>
              </w:rPr>
              <w:t>4</w:t>
            </w:r>
          </w:p>
        </w:tc>
        <w:tc>
          <w:tcPr>
            <w:tcW w:w="1268" w:type="dxa"/>
            <w:vAlign w:val="center"/>
          </w:tcPr>
          <w:p w14:paraId="020A0337">
            <w:pPr>
              <w:jc w:val="center"/>
              <w:rPr>
                <w:rFonts w:ascii="宋体" w:hAnsi="宋体"/>
                <w:color w:val="auto"/>
                <w:highlight w:val="none"/>
              </w:rPr>
            </w:pPr>
          </w:p>
        </w:tc>
        <w:tc>
          <w:tcPr>
            <w:tcW w:w="1843" w:type="dxa"/>
            <w:vAlign w:val="center"/>
          </w:tcPr>
          <w:p w14:paraId="552A090E">
            <w:pPr>
              <w:jc w:val="center"/>
              <w:rPr>
                <w:rFonts w:ascii="宋体" w:hAnsi="宋体"/>
                <w:color w:val="auto"/>
                <w:highlight w:val="none"/>
              </w:rPr>
            </w:pPr>
          </w:p>
        </w:tc>
        <w:tc>
          <w:tcPr>
            <w:tcW w:w="1148" w:type="dxa"/>
            <w:vAlign w:val="center"/>
          </w:tcPr>
          <w:p w14:paraId="48AA4125">
            <w:pPr>
              <w:jc w:val="center"/>
              <w:rPr>
                <w:rFonts w:ascii="宋体" w:hAnsi="宋体"/>
                <w:color w:val="auto"/>
                <w:highlight w:val="none"/>
              </w:rPr>
            </w:pPr>
          </w:p>
        </w:tc>
        <w:tc>
          <w:tcPr>
            <w:tcW w:w="1005" w:type="dxa"/>
            <w:vAlign w:val="center"/>
          </w:tcPr>
          <w:p w14:paraId="4691F7DE">
            <w:pPr>
              <w:jc w:val="center"/>
              <w:rPr>
                <w:rFonts w:ascii="宋体" w:hAnsi="宋体"/>
                <w:color w:val="auto"/>
                <w:highlight w:val="none"/>
              </w:rPr>
            </w:pPr>
          </w:p>
        </w:tc>
        <w:tc>
          <w:tcPr>
            <w:tcW w:w="2441" w:type="dxa"/>
            <w:vAlign w:val="center"/>
          </w:tcPr>
          <w:p w14:paraId="68DEC7CD">
            <w:pPr>
              <w:jc w:val="center"/>
              <w:rPr>
                <w:rFonts w:ascii="宋体" w:hAnsi="宋体"/>
                <w:color w:val="auto"/>
                <w:highlight w:val="none"/>
              </w:rPr>
            </w:pPr>
          </w:p>
        </w:tc>
      </w:tr>
      <w:tr w14:paraId="1013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83" w:type="dxa"/>
            <w:vAlign w:val="center"/>
          </w:tcPr>
          <w:p w14:paraId="3FB7FAD2">
            <w:pPr>
              <w:jc w:val="center"/>
              <w:rPr>
                <w:rFonts w:ascii="宋体" w:hAnsi="宋体"/>
                <w:color w:val="auto"/>
                <w:highlight w:val="none"/>
              </w:rPr>
            </w:pPr>
            <w:r>
              <w:rPr>
                <w:rFonts w:hint="eastAsia" w:ascii="宋体" w:hAnsi="宋体"/>
                <w:color w:val="auto"/>
                <w:highlight w:val="none"/>
              </w:rPr>
              <w:t>5</w:t>
            </w:r>
          </w:p>
        </w:tc>
        <w:tc>
          <w:tcPr>
            <w:tcW w:w="1268" w:type="dxa"/>
            <w:vAlign w:val="center"/>
          </w:tcPr>
          <w:p w14:paraId="101E3331">
            <w:pPr>
              <w:jc w:val="center"/>
              <w:rPr>
                <w:rFonts w:ascii="宋体" w:hAnsi="宋体"/>
                <w:color w:val="auto"/>
                <w:highlight w:val="none"/>
              </w:rPr>
            </w:pPr>
          </w:p>
        </w:tc>
        <w:tc>
          <w:tcPr>
            <w:tcW w:w="1843" w:type="dxa"/>
            <w:vAlign w:val="center"/>
          </w:tcPr>
          <w:p w14:paraId="719E9DAA">
            <w:pPr>
              <w:jc w:val="center"/>
              <w:rPr>
                <w:rFonts w:ascii="宋体" w:hAnsi="宋体"/>
                <w:color w:val="auto"/>
                <w:highlight w:val="none"/>
              </w:rPr>
            </w:pPr>
          </w:p>
        </w:tc>
        <w:tc>
          <w:tcPr>
            <w:tcW w:w="1148" w:type="dxa"/>
            <w:vAlign w:val="center"/>
          </w:tcPr>
          <w:p w14:paraId="6D136BCE">
            <w:pPr>
              <w:jc w:val="center"/>
              <w:rPr>
                <w:rFonts w:ascii="宋体" w:hAnsi="宋体"/>
                <w:color w:val="auto"/>
                <w:highlight w:val="none"/>
              </w:rPr>
            </w:pPr>
          </w:p>
        </w:tc>
        <w:tc>
          <w:tcPr>
            <w:tcW w:w="1005" w:type="dxa"/>
            <w:vAlign w:val="center"/>
          </w:tcPr>
          <w:p w14:paraId="1D1BB127">
            <w:pPr>
              <w:jc w:val="center"/>
              <w:rPr>
                <w:rFonts w:ascii="宋体" w:hAnsi="宋体"/>
                <w:color w:val="auto"/>
                <w:highlight w:val="none"/>
              </w:rPr>
            </w:pPr>
          </w:p>
        </w:tc>
        <w:tc>
          <w:tcPr>
            <w:tcW w:w="2441" w:type="dxa"/>
            <w:vAlign w:val="center"/>
          </w:tcPr>
          <w:p w14:paraId="4A67EDA0">
            <w:pPr>
              <w:jc w:val="center"/>
              <w:rPr>
                <w:rFonts w:ascii="宋体" w:hAnsi="宋体"/>
                <w:color w:val="auto"/>
                <w:highlight w:val="none"/>
              </w:rPr>
            </w:pPr>
          </w:p>
        </w:tc>
      </w:tr>
      <w:tr w14:paraId="4A1D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83" w:type="dxa"/>
            <w:vAlign w:val="center"/>
          </w:tcPr>
          <w:p w14:paraId="656E48CF">
            <w:pPr>
              <w:jc w:val="center"/>
              <w:rPr>
                <w:rFonts w:ascii="宋体" w:hAnsi="宋体"/>
                <w:color w:val="auto"/>
                <w:highlight w:val="none"/>
              </w:rPr>
            </w:pPr>
            <w:r>
              <w:rPr>
                <w:rFonts w:hint="eastAsia" w:ascii="宋体" w:hAnsi="宋体"/>
                <w:color w:val="auto"/>
                <w:highlight w:val="none"/>
              </w:rPr>
              <w:t>...</w:t>
            </w:r>
          </w:p>
        </w:tc>
        <w:tc>
          <w:tcPr>
            <w:tcW w:w="1268" w:type="dxa"/>
            <w:vAlign w:val="center"/>
          </w:tcPr>
          <w:p w14:paraId="52EC1799">
            <w:pPr>
              <w:jc w:val="center"/>
              <w:rPr>
                <w:rFonts w:ascii="宋体" w:hAnsi="宋体"/>
                <w:color w:val="auto"/>
                <w:highlight w:val="none"/>
              </w:rPr>
            </w:pPr>
          </w:p>
        </w:tc>
        <w:tc>
          <w:tcPr>
            <w:tcW w:w="1843" w:type="dxa"/>
            <w:vAlign w:val="center"/>
          </w:tcPr>
          <w:p w14:paraId="46521FB9">
            <w:pPr>
              <w:jc w:val="center"/>
              <w:rPr>
                <w:rFonts w:ascii="宋体" w:hAnsi="宋体"/>
                <w:color w:val="auto"/>
                <w:highlight w:val="none"/>
              </w:rPr>
            </w:pPr>
          </w:p>
        </w:tc>
        <w:tc>
          <w:tcPr>
            <w:tcW w:w="1148" w:type="dxa"/>
            <w:vAlign w:val="center"/>
          </w:tcPr>
          <w:p w14:paraId="5797DF90">
            <w:pPr>
              <w:jc w:val="center"/>
              <w:rPr>
                <w:rFonts w:ascii="宋体" w:hAnsi="宋体"/>
                <w:color w:val="auto"/>
                <w:highlight w:val="none"/>
              </w:rPr>
            </w:pPr>
          </w:p>
        </w:tc>
        <w:tc>
          <w:tcPr>
            <w:tcW w:w="1005" w:type="dxa"/>
            <w:vAlign w:val="center"/>
          </w:tcPr>
          <w:p w14:paraId="78686B9B">
            <w:pPr>
              <w:jc w:val="center"/>
              <w:rPr>
                <w:rFonts w:ascii="宋体" w:hAnsi="宋体"/>
                <w:color w:val="auto"/>
                <w:highlight w:val="none"/>
              </w:rPr>
            </w:pPr>
          </w:p>
        </w:tc>
        <w:tc>
          <w:tcPr>
            <w:tcW w:w="2441" w:type="dxa"/>
            <w:vAlign w:val="center"/>
          </w:tcPr>
          <w:p w14:paraId="58F50069">
            <w:pPr>
              <w:jc w:val="center"/>
              <w:rPr>
                <w:rFonts w:ascii="宋体" w:hAnsi="宋体"/>
                <w:color w:val="auto"/>
                <w:highlight w:val="none"/>
              </w:rPr>
            </w:pPr>
          </w:p>
        </w:tc>
      </w:tr>
    </w:tbl>
    <w:p w14:paraId="6BB3BA5B">
      <w:pPr>
        <w:spacing w:line="360" w:lineRule="auto"/>
        <w:rPr>
          <w:rFonts w:ascii="宋体" w:hAnsi="宋体" w:cs="宋体"/>
          <w:color w:val="auto"/>
          <w:highlight w:val="none"/>
        </w:rPr>
      </w:pPr>
      <w:r>
        <w:rPr>
          <w:rFonts w:hint="eastAsia" w:ascii="宋体" w:hAnsi="宋体" w:cs="宋体"/>
          <w:color w:val="auto"/>
          <w:highlight w:val="none"/>
        </w:rPr>
        <w:t>注：</w:t>
      </w:r>
    </w:p>
    <w:p w14:paraId="69011F3B">
      <w:pPr>
        <w:spacing w:line="360" w:lineRule="auto"/>
        <w:rPr>
          <w:rFonts w:ascii="宋体" w:hAnsi="宋体" w:cs="宋体"/>
          <w:color w:val="auto"/>
          <w:highlight w:val="none"/>
        </w:rPr>
      </w:pPr>
      <w:r>
        <w:rPr>
          <w:rFonts w:hint="eastAsia" w:ascii="宋体" w:hAnsi="宋体" w:cs="宋体"/>
          <w:color w:val="auto"/>
          <w:highlight w:val="none"/>
        </w:rPr>
        <w:t>1.项目负责人等与评审因素相关的人员列入本表并明确，列入本表人员如要更换，需经采购人同意，擅自更换或不到位属违约行为。</w:t>
      </w:r>
    </w:p>
    <w:p w14:paraId="6B18031B">
      <w:pPr>
        <w:spacing w:line="360" w:lineRule="auto"/>
        <w:rPr>
          <w:rFonts w:ascii="宋体" w:hAnsi="宋体" w:cs="宋体"/>
          <w:color w:val="auto"/>
          <w:highlight w:val="none"/>
        </w:rPr>
      </w:pPr>
      <w:r>
        <w:rPr>
          <w:rFonts w:hint="eastAsia" w:ascii="宋体" w:hAnsi="宋体" w:cs="宋体"/>
          <w:color w:val="auto"/>
          <w:highlight w:val="none"/>
        </w:rPr>
        <w:t>2.附职称、注册证书等能力证明复印件以及其他相关证明材料复印件用于评审（如有）。</w:t>
      </w:r>
    </w:p>
    <w:p w14:paraId="133C1980">
      <w:pPr>
        <w:spacing w:line="360" w:lineRule="auto"/>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项目实施人员要求在响应文件中提供供应商为其在响应截止日当月或前三个月内任意1个月的社保</w:t>
      </w:r>
      <w:r>
        <w:rPr>
          <w:rFonts w:ascii="宋体" w:hAnsi="宋体" w:cs="宋体"/>
          <w:color w:val="auto"/>
          <w:highlight w:val="none"/>
        </w:rPr>
        <w:t>缴纳证明</w:t>
      </w:r>
      <w:r>
        <w:rPr>
          <w:rFonts w:hint="eastAsia" w:ascii="宋体" w:hAnsi="宋体" w:cs="宋体"/>
          <w:color w:val="auto"/>
          <w:highlight w:val="none"/>
        </w:rPr>
        <w:t>（如果有人员因入职时间少于一月未开始缴纳社保的，可提供与其签订的劳动合同复印件或扫描件），社保证明必须是社保机构出具，可以是政务系统下载的复制件。</w:t>
      </w:r>
    </w:p>
    <w:p w14:paraId="03AAEC31">
      <w:pPr>
        <w:snapToGrid w:val="0"/>
        <w:spacing w:line="360" w:lineRule="auto"/>
        <w:ind w:left="-23" w:leftChars="-11" w:right="-57" w:rightChars="-27" w:firstLine="21" w:firstLineChars="10"/>
        <w:rPr>
          <w:rFonts w:ascii="宋体" w:hAnsi="宋体"/>
          <w:color w:val="auto"/>
          <w:szCs w:val="22"/>
          <w:highlight w:val="none"/>
        </w:rPr>
      </w:pPr>
      <w:r>
        <w:rPr>
          <w:rFonts w:ascii="宋体" w:hAnsi="宋体"/>
          <w:color w:val="auto"/>
          <w:szCs w:val="22"/>
          <w:highlight w:val="none"/>
        </w:rPr>
        <w:t>4</w:t>
      </w:r>
      <w:r>
        <w:rPr>
          <w:rFonts w:hint="eastAsia" w:ascii="宋体" w:hAnsi="宋体"/>
          <w:color w:val="auto"/>
          <w:szCs w:val="22"/>
          <w:highlight w:val="none"/>
        </w:rPr>
        <w:t>.响应文件内提供评分标准要求的证明材料，未提供佐证能力等证书证件复印件的将不被认定。</w:t>
      </w:r>
    </w:p>
    <w:p w14:paraId="4F33B91D">
      <w:pPr>
        <w:pStyle w:val="8"/>
        <w:rPr>
          <w:rFonts w:ascii="宋体" w:hAnsi="宋体"/>
          <w:color w:val="auto"/>
          <w:highlight w:val="none"/>
        </w:rPr>
      </w:pPr>
    </w:p>
    <w:p w14:paraId="0E5178E9">
      <w:pPr>
        <w:pStyle w:val="8"/>
        <w:spacing w:line="360" w:lineRule="auto"/>
        <w:ind w:firstLine="422"/>
        <w:jc w:val="center"/>
        <w:rPr>
          <w:rFonts w:ascii="宋体" w:hAnsi="宋体" w:cs="宋体"/>
          <w:b/>
          <w:color w:val="auto"/>
          <w:sz w:val="21"/>
          <w:szCs w:val="21"/>
          <w:highlight w:val="none"/>
        </w:rPr>
      </w:pPr>
    </w:p>
    <w:p w14:paraId="66984148">
      <w:pPr>
        <w:snapToGrid w:val="0"/>
        <w:spacing w:line="360" w:lineRule="auto"/>
        <w:ind w:firstLine="4536" w:firstLineChars="2160"/>
        <w:rPr>
          <w:rFonts w:ascii="宋体" w:hAnsi="宋体"/>
          <w:color w:val="auto"/>
          <w:highlight w:val="none"/>
        </w:rPr>
      </w:pPr>
      <w:r>
        <w:rPr>
          <w:rFonts w:hint="eastAsia" w:ascii="宋体" w:hAnsi="宋体"/>
          <w:color w:val="auto"/>
          <w:highlight w:val="none"/>
        </w:rPr>
        <w:t>供应商：</w:t>
      </w:r>
      <w:r>
        <w:rPr>
          <w:rFonts w:ascii="宋体" w:hAnsi="宋体"/>
          <w:color w:val="auto"/>
          <w:highlight w:val="none"/>
          <w:u w:val="single"/>
        </w:rPr>
        <w:t xml:space="preserve">    填写全称并加盖公章    </w:t>
      </w:r>
    </w:p>
    <w:p w14:paraId="7A0D61A9">
      <w:pPr>
        <w:snapToGrid w:val="0"/>
        <w:spacing w:line="360" w:lineRule="auto"/>
        <w:ind w:firstLine="4536" w:firstLineChars="2160"/>
        <w:rPr>
          <w:rFonts w:ascii="宋体" w:hAnsi="宋体"/>
          <w:color w:val="auto"/>
          <w:highlight w:val="none"/>
        </w:rPr>
      </w:pPr>
      <w:r>
        <w:rPr>
          <w:rFonts w:hint="eastAsia" w:ascii="宋体" w:hAnsi="宋体"/>
          <w:color w:val="auto"/>
          <w:highlight w:val="none"/>
        </w:rPr>
        <w:t>日</w:t>
      </w:r>
      <w:r>
        <w:rPr>
          <w:rFonts w:ascii="宋体" w:hAnsi="宋体"/>
          <w:color w:val="auto"/>
          <w:highlight w:val="none"/>
        </w:rPr>
        <w:t xml:space="preserve">  </w:t>
      </w:r>
      <w:r>
        <w:rPr>
          <w:rFonts w:hint="eastAsia" w:ascii="宋体" w:hAnsi="宋体"/>
          <w:color w:val="auto"/>
          <w:highlight w:val="none"/>
        </w:rPr>
        <w:t>期：</w:t>
      </w:r>
    </w:p>
    <w:p w14:paraId="6E688FEC">
      <w:pPr>
        <w:widowControl/>
        <w:ind w:firstLine="420"/>
        <w:jc w:val="left"/>
        <w:rPr>
          <w:rFonts w:ascii="宋体" w:hAnsi="宋体"/>
          <w:color w:val="auto"/>
          <w:highlight w:val="none"/>
        </w:rPr>
      </w:pPr>
    </w:p>
    <w:p w14:paraId="3C663091">
      <w:pPr>
        <w:widowControl/>
        <w:ind w:firstLine="420"/>
        <w:jc w:val="left"/>
        <w:rPr>
          <w:rFonts w:ascii="宋体" w:hAnsi="宋体"/>
          <w:color w:val="auto"/>
          <w:highlight w:val="none"/>
        </w:rPr>
      </w:pPr>
    </w:p>
    <w:p w14:paraId="376210CE">
      <w:pPr>
        <w:widowControl/>
        <w:ind w:firstLine="420"/>
        <w:jc w:val="left"/>
        <w:rPr>
          <w:rFonts w:ascii="宋体" w:hAnsi="宋体"/>
          <w:color w:val="auto"/>
          <w:highlight w:val="none"/>
        </w:rPr>
      </w:pPr>
    </w:p>
    <w:p w14:paraId="482B786A">
      <w:pPr>
        <w:widowControl/>
        <w:ind w:firstLine="420"/>
        <w:jc w:val="left"/>
        <w:rPr>
          <w:rFonts w:ascii="宋体" w:hAnsi="宋体"/>
          <w:color w:val="auto"/>
          <w:szCs w:val="20"/>
          <w:highlight w:val="none"/>
        </w:rPr>
      </w:pPr>
      <w:r>
        <w:rPr>
          <w:rFonts w:ascii="宋体" w:hAnsi="宋体"/>
          <w:color w:val="auto"/>
          <w:highlight w:val="none"/>
        </w:rPr>
        <w:br w:type="page"/>
      </w:r>
    </w:p>
    <w:p w14:paraId="46B76295">
      <w:pPr>
        <w:pStyle w:val="8"/>
        <w:spacing w:after="0" w:line="360" w:lineRule="auto"/>
        <w:ind w:left="0" w:leftChars="0"/>
        <w:jc w:val="center"/>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ascii="宋体" w:hAnsi="宋体" w:cs="宋体"/>
          <w:b/>
          <w:color w:val="auto"/>
          <w:sz w:val="21"/>
          <w:szCs w:val="21"/>
          <w:highlight w:val="none"/>
        </w:rPr>
        <w:t>7</w:t>
      </w:r>
      <w:r>
        <w:rPr>
          <w:rFonts w:hint="eastAsia" w:ascii="宋体" w:hAnsi="宋体" w:cs="宋体"/>
          <w:b/>
          <w:color w:val="auto"/>
          <w:sz w:val="21"/>
          <w:szCs w:val="21"/>
          <w:highlight w:val="none"/>
        </w:rPr>
        <w:t>）类似项目业绩一览表</w:t>
      </w:r>
    </w:p>
    <w:tbl>
      <w:tblPr>
        <w:tblStyle w:val="17"/>
        <w:tblW w:w="8544"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985"/>
        <w:gridCol w:w="2410"/>
        <w:gridCol w:w="1701"/>
        <w:gridCol w:w="1701"/>
      </w:tblGrid>
      <w:tr w14:paraId="1FE632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044DD370">
            <w:pPr>
              <w:autoSpaceDN w:val="0"/>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985" w:type="dxa"/>
            <w:vAlign w:val="center"/>
          </w:tcPr>
          <w:p w14:paraId="38B512FB">
            <w:pPr>
              <w:autoSpaceDN w:val="0"/>
              <w:snapToGrid w:val="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2410" w:type="dxa"/>
            <w:tcBorders>
              <w:right w:val="single" w:color="auto" w:sz="4" w:space="0"/>
            </w:tcBorders>
            <w:vAlign w:val="center"/>
          </w:tcPr>
          <w:p w14:paraId="15A5EFDE">
            <w:pPr>
              <w:autoSpaceDN w:val="0"/>
              <w:snapToGrid w:val="0"/>
              <w:jc w:val="center"/>
              <w:rPr>
                <w:rFonts w:ascii="宋体" w:hAnsi="宋体" w:cs="宋体"/>
                <w:color w:val="auto"/>
                <w:szCs w:val="21"/>
                <w:highlight w:val="none"/>
              </w:rPr>
            </w:pPr>
            <w:r>
              <w:rPr>
                <w:rFonts w:hint="eastAsia" w:ascii="宋体" w:hAnsi="宋体" w:cs="宋体"/>
                <w:color w:val="auto"/>
                <w:szCs w:val="21"/>
                <w:highlight w:val="none"/>
              </w:rPr>
              <w:t>合同内容（主要标的）</w:t>
            </w:r>
          </w:p>
        </w:tc>
        <w:tc>
          <w:tcPr>
            <w:tcW w:w="1701" w:type="dxa"/>
            <w:tcBorders>
              <w:left w:val="single" w:color="auto" w:sz="4" w:space="0"/>
            </w:tcBorders>
            <w:vAlign w:val="center"/>
          </w:tcPr>
          <w:p w14:paraId="19EFD278">
            <w:pPr>
              <w:autoSpaceDN w:val="0"/>
              <w:snapToGrid w:val="0"/>
              <w:jc w:val="center"/>
              <w:rPr>
                <w:rFonts w:ascii="宋体" w:hAnsi="宋体" w:cs="宋体"/>
                <w:color w:val="auto"/>
                <w:szCs w:val="21"/>
                <w:highlight w:val="none"/>
              </w:rPr>
            </w:pPr>
            <w:r>
              <w:rPr>
                <w:rFonts w:hint="eastAsia" w:ascii="宋体" w:hAnsi="宋体" w:cs="宋体"/>
                <w:color w:val="auto"/>
                <w:szCs w:val="21"/>
                <w:highlight w:val="none"/>
              </w:rPr>
              <w:t>合同金额（元）</w:t>
            </w:r>
          </w:p>
        </w:tc>
        <w:tc>
          <w:tcPr>
            <w:tcW w:w="1701" w:type="dxa"/>
            <w:tcBorders>
              <w:right w:val="single" w:color="auto" w:sz="4" w:space="0"/>
            </w:tcBorders>
            <w:vAlign w:val="center"/>
          </w:tcPr>
          <w:p w14:paraId="206A0FA0">
            <w:pPr>
              <w:autoSpaceDN w:val="0"/>
              <w:snapToGrid w:val="0"/>
              <w:jc w:val="center"/>
              <w:rPr>
                <w:rFonts w:ascii="宋体" w:hAnsi="宋体" w:cs="宋体"/>
                <w:color w:val="auto"/>
                <w:szCs w:val="21"/>
                <w:highlight w:val="none"/>
              </w:rPr>
            </w:pPr>
            <w:r>
              <w:rPr>
                <w:rFonts w:hint="eastAsia" w:ascii="宋体" w:hAnsi="宋体" w:cs="宋体"/>
                <w:color w:val="auto"/>
                <w:szCs w:val="21"/>
                <w:highlight w:val="none"/>
              </w:rPr>
              <w:t>用户联系人及其联系电话</w:t>
            </w:r>
          </w:p>
        </w:tc>
      </w:tr>
      <w:tr w14:paraId="62EC7B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5D23E718">
            <w:pPr>
              <w:autoSpaceDN w:val="0"/>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1985" w:type="dxa"/>
            <w:vAlign w:val="center"/>
          </w:tcPr>
          <w:p w14:paraId="456575FC">
            <w:pPr>
              <w:autoSpaceDN w:val="0"/>
              <w:snapToGrid w:val="0"/>
              <w:jc w:val="center"/>
              <w:rPr>
                <w:rFonts w:ascii="宋体" w:hAnsi="宋体" w:cs="宋体"/>
                <w:color w:val="auto"/>
                <w:szCs w:val="21"/>
                <w:highlight w:val="none"/>
              </w:rPr>
            </w:pPr>
          </w:p>
        </w:tc>
        <w:tc>
          <w:tcPr>
            <w:tcW w:w="2410" w:type="dxa"/>
            <w:tcBorders>
              <w:right w:val="single" w:color="auto" w:sz="4" w:space="0"/>
            </w:tcBorders>
            <w:vAlign w:val="center"/>
          </w:tcPr>
          <w:p w14:paraId="606C1E76">
            <w:pPr>
              <w:autoSpaceDN w:val="0"/>
              <w:snapToGrid w:val="0"/>
              <w:jc w:val="center"/>
              <w:rPr>
                <w:rFonts w:ascii="宋体" w:hAnsi="宋体" w:cs="宋体"/>
                <w:color w:val="auto"/>
                <w:szCs w:val="21"/>
                <w:highlight w:val="none"/>
              </w:rPr>
            </w:pPr>
          </w:p>
        </w:tc>
        <w:tc>
          <w:tcPr>
            <w:tcW w:w="1701" w:type="dxa"/>
            <w:tcBorders>
              <w:left w:val="single" w:color="auto" w:sz="4" w:space="0"/>
            </w:tcBorders>
            <w:vAlign w:val="center"/>
          </w:tcPr>
          <w:p w14:paraId="2ED96D82">
            <w:pPr>
              <w:autoSpaceDN w:val="0"/>
              <w:snapToGrid w:val="0"/>
              <w:jc w:val="center"/>
              <w:rPr>
                <w:rFonts w:ascii="宋体" w:hAnsi="宋体" w:cs="宋体"/>
                <w:color w:val="auto"/>
                <w:szCs w:val="21"/>
                <w:highlight w:val="none"/>
              </w:rPr>
            </w:pPr>
          </w:p>
        </w:tc>
        <w:tc>
          <w:tcPr>
            <w:tcW w:w="1701" w:type="dxa"/>
            <w:tcBorders>
              <w:right w:val="single" w:color="auto" w:sz="4" w:space="0"/>
            </w:tcBorders>
            <w:vAlign w:val="center"/>
          </w:tcPr>
          <w:p w14:paraId="664AE97E">
            <w:pPr>
              <w:autoSpaceDN w:val="0"/>
              <w:snapToGrid w:val="0"/>
              <w:jc w:val="center"/>
              <w:rPr>
                <w:rFonts w:ascii="宋体" w:hAnsi="宋体" w:cs="宋体"/>
                <w:color w:val="auto"/>
                <w:szCs w:val="21"/>
                <w:highlight w:val="none"/>
              </w:rPr>
            </w:pPr>
          </w:p>
        </w:tc>
      </w:tr>
      <w:tr w14:paraId="3C50BF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2553C9E5">
            <w:pPr>
              <w:autoSpaceDN w:val="0"/>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1985" w:type="dxa"/>
            <w:vAlign w:val="center"/>
          </w:tcPr>
          <w:p w14:paraId="1A750D91">
            <w:pPr>
              <w:autoSpaceDN w:val="0"/>
              <w:snapToGrid w:val="0"/>
              <w:jc w:val="center"/>
              <w:rPr>
                <w:rFonts w:ascii="宋体" w:hAnsi="宋体" w:cs="宋体"/>
                <w:color w:val="auto"/>
                <w:szCs w:val="21"/>
                <w:highlight w:val="none"/>
              </w:rPr>
            </w:pPr>
          </w:p>
        </w:tc>
        <w:tc>
          <w:tcPr>
            <w:tcW w:w="2410" w:type="dxa"/>
            <w:tcBorders>
              <w:right w:val="single" w:color="auto" w:sz="4" w:space="0"/>
            </w:tcBorders>
            <w:vAlign w:val="center"/>
          </w:tcPr>
          <w:p w14:paraId="17963012">
            <w:pPr>
              <w:autoSpaceDN w:val="0"/>
              <w:snapToGrid w:val="0"/>
              <w:jc w:val="center"/>
              <w:rPr>
                <w:rFonts w:ascii="宋体" w:hAnsi="宋体" w:cs="宋体"/>
                <w:color w:val="auto"/>
                <w:szCs w:val="21"/>
                <w:highlight w:val="none"/>
              </w:rPr>
            </w:pPr>
          </w:p>
        </w:tc>
        <w:tc>
          <w:tcPr>
            <w:tcW w:w="1701" w:type="dxa"/>
            <w:tcBorders>
              <w:left w:val="single" w:color="auto" w:sz="4" w:space="0"/>
            </w:tcBorders>
            <w:vAlign w:val="center"/>
          </w:tcPr>
          <w:p w14:paraId="77BEE572">
            <w:pPr>
              <w:autoSpaceDN w:val="0"/>
              <w:snapToGrid w:val="0"/>
              <w:jc w:val="center"/>
              <w:rPr>
                <w:rFonts w:ascii="宋体" w:hAnsi="宋体" w:cs="宋体"/>
                <w:color w:val="auto"/>
                <w:szCs w:val="21"/>
                <w:highlight w:val="none"/>
              </w:rPr>
            </w:pPr>
          </w:p>
        </w:tc>
        <w:tc>
          <w:tcPr>
            <w:tcW w:w="1701" w:type="dxa"/>
            <w:tcBorders>
              <w:right w:val="single" w:color="auto" w:sz="4" w:space="0"/>
            </w:tcBorders>
            <w:vAlign w:val="center"/>
          </w:tcPr>
          <w:p w14:paraId="71754E7B">
            <w:pPr>
              <w:autoSpaceDN w:val="0"/>
              <w:snapToGrid w:val="0"/>
              <w:jc w:val="center"/>
              <w:rPr>
                <w:rFonts w:ascii="宋体" w:hAnsi="宋体" w:cs="宋体"/>
                <w:color w:val="auto"/>
                <w:szCs w:val="21"/>
                <w:highlight w:val="none"/>
              </w:rPr>
            </w:pPr>
          </w:p>
        </w:tc>
      </w:tr>
      <w:tr w14:paraId="276668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00CF1387">
            <w:pPr>
              <w:autoSpaceDN w:val="0"/>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1985" w:type="dxa"/>
            <w:vAlign w:val="center"/>
          </w:tcPr>
          <w:p w14:paraId="232CD1D9">
            <w:pPr>
              <w:autoSpaceDN w:val="0"/>
              <w:snapToGrid w:val="0"/>
              <w:jc w:val="center"/>
              <w:rPr>
                <w:rFonts w:ascii="宋体" w:hAnsi="宋体" w:cs="宋体"/>
                <w:color w:val="auto"/>
                <w:szCs w:val="21"/>
                <w:highlight w:val="none"/>
              </w:rPr>
            </w:pPr>
          </w:p>
        </w:tc>
        <w:tc>
          <w:tcPr>
            <w:tcW w:w="2410" w:type="dxa"/>
            <w:tcBorders>
              <w:right w:val="single" w:color="auto" w:sz="4" w:space="0"/>
            </w:tcBorders>
            <w:vAlign w:val="center"/>
          </w:tcPr>
          <w:p w14:paraId="097B4754">
            <w:pPr>
              <w:autoSpaceDN w:val="0"/>
              <w:snapToGrid w:val="0"/>
              <w:jc w:val="center"/>
              <w:rPr>
                <w:rFonts w:ascii="宋体" w:hAnsi="宋体" w:cs="宋体"/>
                <w:color w:val="auto"/>
                <w:szCs w:val="21"/>
                <w:highlight w:val="none"/>
              </w:rPr>
            </w:pPr>
          </w:p>
        </w:tc>
        <w:tc>
          <w:tcPr>
            <w:tcW w:w="1701" w:type="dxa"/>
            <w:tcBorders>
              <w:left w:val="single" w:color="auto" w:sz="4" w:space="0"/>
            </w:tcBorders>
            <w:vAlign w:val="center"/>
          </w:tcPr>
          <w:p w14:paraId="596C2A28">
            <w:pPr>
              <w:autoSpaceDN w:val="0"/>
              <w:snapToGrid w:val="0"/>
              <w:jc w:val="center"/>
              <w:rPr>
                <w:rFonts w:ascii="宋体" w:hAnsi="宋体" w:cs="宋体"/>
                <w:color w:val="auto"/>
                <w:szCs w:val="21"/>
                <w:highlight w:val="none"/>
              </w:rPr>
            </w:pPr>
          </w:p>
        </w:tc>
        <w:tc>
          <w:tcPr>
            <w:tcW w:w="1701" w:type="dxa"/>
            <w:tcBorders>
              <w:right w:val="single" w:color="auto" w:sz="4" w:space="0"/>
            </w:tcBorders>
            <w:vAlign w:val="center"/>
          </w:tcPr>
          <w:p w14:paraId="259A316A">
            <w:pPr>
              <w:autoSpaceDN w:val="0"/>
              <w:snapToGrid w:val="0"/>
              <w:jc w:val="center"/>
              <w:rPr>
                <w:rFonts w:ascii="宋体" w:hAnsi="宋体" w:cs="宋体"/>
                <w:color w:val="auto"/>
                <w:szCs w:val="21"/>
                <w:highlight w:val="none"/>
              </w:rPr>
            </w:pPr>
          </w:p>
        </w:tc>
      </w:tr>
      <w:tr w14:paraId="0B163E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1EC205C8">
            <w:pPr>
              <w:autoSpaceDN w:val="0"/>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1985" w:type="dxa"/>
            <w:vAlign w:val="center"/>
          </w:tcPr>
          <w:p w14:paraId="146482C1">
            <w:pPr>
              <w:autoSpaceDN w:val="0"/>
              <w:snapToGrid w:val="0"/>
              <w:jc w:val="center"/>
              <w:rPr>
                <w:rFonts w:ascii="宋体" w:hAnsi="宋体" w:cs="宋体"/>
                <w:color w:val="auto"/>
                <w:szCs w:val="21"/>
                <w:highlight w:val="none"/>
              </w:rPr>
            </w:pPr>
          </w:p>
        </w:tc>
        <w:tc>
          <w:tcPr>
            <w:tcW w:w="2410" w:type="dxa"/>
            <w:tcBorders>
              <w:right w:val="single" w:color="auto" w:sz="4" w:space="0"/>
            </w:tcBorders>
            <w:vAlign w:val="center"/>
          </w:tcPr>
          <w:p w14:paraId="6EF8E952">
            <w:pPr>
              <w:autoSpaceDN w:val="0"/>
              <w:snapToGrid w:val="0"/>
              <w:jc w:val="center"/>
              <w:rPr>
                <w:rFonts w:ascii="宋体" w:hAnsi="宋体" w:cs="宋体"/>
                <w:color w:val="auto"/>
                <w:szCs w:val="21"/>
                <w:highlight w:val="none"/>
              </w:rPr>
            </w:pPr>
          </w:p>
        </w:tc>
        <w:tc>
          <w:tcPr>
            <w:tcW w:w="1701" w:type="dxa"/>
            <w:tcBorders>
              <w:left w:val="single" w:color="auto" w:sz="4" w:space="0"/>
            </w:tcBorders>
            <w:vAlign w:val="center"/>
          </w:tcPr>
          <w:p w14:paraId="5E1BEC5E">
            <w:pPr>
              <w:autoSpaceDN w:val="0"/>
              <w:snapToGrid w:val="0"/>
              <w:jc w:val="center"/>
              <w:rPr>
                <w:rFonts w:ascii="宋体" w:hAnsi="宋体" w:cs="宋体"/>
                <w:color w:val="auto"/>
                <w:szCs w:val="21"/>
                <w:highlight w:val="none"/>
              </w:rPr>
            </w:pPr>
          </w:p>
        </w:tc>
        <w:tc>
          <w:tcPr>
            <w:tcW w:w="1701" w:type="dxa"/>
            <w:tcBorders>
              <w:right w:val="single" w:color="auto" w:sz="4" w:space="0"/>
            </w:tcBorders>
            <w:vAlign w:val="center"/>
          </w:tcPr>
          <w:p w14:paraId="7047BC78">
            <w:pPr>
              <w:autoSpaceDN w:val="0"/>
              <w:snapToGrid w:val="0"/>
              <w:jc w:val="center"/>
              <w:rPr>
                <w:rFonts w:ascii="宋体" w:hAnsi="宋体" w:cs="宋体"/>
                <w:color w:val="auto"/>
                <w:szCs w:val="21"/>
                <w:highlight w:val="none"/>
              </w:rPr>
            </w:pPr>
          </w:p>
        </w:tc>
      </w:tr>
      <w:tr w14:paraId="388887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6F5A5F9D">
            <w:pPr>
              <w:autoSpaceDN w:val="0"/>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1985" w:type="dxa"/>
            <w:vAlign w:val="center"/>
          </w:tcPr>
          <w:p w14:paraId="7912EBE3">
            <w:pPr>
              <w:autoSpaceDN w:val="0"/>
              <w:snapToGrid w:val="0"/>
              <w:jc w:val="center"/>
              <w:rPr>
                <w:rFonts w:ascii="宋体" w:hAnsi="宋体" w:cs="宋体"/>
                <w:color w:val="auto"/>
                <w:szCs w:val="21"/>
                <w:highlight w:val="none"/>
              </w:rPr>
            </w:pPr>
          </w:p>
        </w:tc>
        <w:tc>
          <w:tcPr>
            <w:tcW w:w="2410" w:type="dxa"/>
            <w:tcBorders>
              <w:right w:val="single" w:color="auto" w:sz="4" w:space="0"/>
            </w:tcBorders>
            <w:vAlign w:val="center"/>
          </w:tcPr>
          <w:p w14:paraId="65F06C5B">
            <w:pPr>
              <w:autoSpaceDN w:val="0"/>
              <w:snapToGrid w:val="0"/>
              <w:jc w:val="center"/>
              <w:rPr>
                <w:rFonts w:ascii="宋体" w:hAnsi="宋体" w:cs="宋体"/>
                <w:color w:val="auto"/>
                <w:szCs w:val="21"/>
                <w:highlight w:val="none"/>
              </w:rPr>
            </w:pPr>
          </w:p>
        </w:tc>
        <w:tc>
          <w:tcPr>
            <w:tcW w:w="1701" w:type="dxa"/>
            <w:tcBorders>
              <w:left w:val="single" w:color="auto" w:sz="4" w:space="0"/>
            </w:tcBorders>
            <w:vAlign w:val="center"/>
          </w:tcPr>
          <w:p w14:paraId="5379D9DD">
            <w:pPr>
              <w:autoSpaceDN w:val="0"/>
              <w:snapToGrid w:val="0"/>
              <w:jc w:val="center"/>
              <w:rPr>
                <w:rFonts w:ascii="宋体" w:hAnsi="宋体" w:cs="宋体"/>
                <w:color w:val="auto"/>
                <w:szCs w:val="21"/>
                <w:highlight w:val="none"/>
              </w:rPr>
            </w:pPr>
          </w:p>
        </w:tc>
        <w:tc>
          <w:tcPr>
            <w:tcW w:w="1701" w:type="dxa"/>
            <w:tcBorders>
              <w:right w:val="single" w:color="auto" w:sz="4" w:space="0"/>
            </w:tcBorders>
            <w:vAlign w:val="center"/>
          </w:tcPr>
          <w:p w14:paraId="04A7E854">
            <w:pPr>
              <w:autoSpaceDN w:val="0"/>
              <w:snapToGrid w:val="0"/>
              <w:jc w:val="center"/>
              <w:rPr>
                <w:rFonts w:ascii="宋体" w:hAnsi="宋体" w:cs="宋体"/>
                <w:color w:val="auto"/>
                <w:szCs w:val="21"/>
                <w:highlight w:val="none"/>
              </w:rPr>
            </w:pPr>
          </w:p>
        </w:tc>
      </w:tr>
      <w:tr w14:paraId="233B14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68BD614F">
            <w:pPr>
              <w:autoSpaceDN w:val="0"/>
              <w:snapToGrid w:val="0"/>
              <w:jc w:val="center"/>
              <w:rPr>
                <w:rFonts w:ascii="宋体" w:hAnsi="宋体" w:cs="宋体"/>
                <w:color w:val="auto"/>
                <w:szCs w:val="21"/>
                <w:highlight w:val="none"/>
              </w:rPr>
            </w:pPr>
            <w:r>
              <w:rPr>
                <w:rFonts w:hint="eastAsia" w:ascii="宋体" w:hAnsi="宋体" w:cs="宋体"/>
                <w:color w:val="auto"/>
                <w:szCs w:val="21"/>
                <w:highlight w:val="none"/>
              </w:rPr>
              <w:t>...</w:t>
            </w:r>
          </w:p>
        </w:tc>
        <w:tc>
          <w:tcPr>
            <w:tcW w:w="1985" w:type="dxa"/>
            <w:vAlign w:val="center"/>
          </w:tcPr>
          <w:p w14:paraId="444AF6D4">
            <w:pPr>
              <w:autoSpaceDN w:val="0"/>
              <w:snapToGrid w:val="0"/>
              <w:jc w:val="center"/>
              <w:rPr>
                <w:rFonts w:ascii="宋体" w:hAnsi="宋体" w:cs="宋体"/>
                <w:color w:val="auto"/>
                <w:szCs w:val="21"/>
                <w:highlight w:val="none"/>
              </w:rPr>
            </w:pPr>
          </w:p>
        </w:tc>
        <w:tc>
          <w:tcPr>
            <w:tcW w:w="2410" w:type="dxa"/>
            <w:tcBorders>
              <w:right w:val="single" w:color="auto" w:sz="4" w:space="0"/>
            </w:tcBorders>
            <w:vAlign w:val="center"/>
          </w:tcPr>
          <w:p w14:paraId="0AEC08C6">
            <w:pPr>
              <w:autoSpaceDN w:val="0"/>
              <w:snapToGrid w:val="0"/>
              <w:jc w:val="center"/>
              <w:rPr>
                <w:rFonts w:ascii="宋体" w:hAnsi="宋体" w:cs="宋体"/>
                <w:color w:val="auto"/>
                <w:szCs w:val="21"/>
                <w:highlight w:val="none"/>
              </w:rPr>
            </w:pPr>
          </w:p>
        </w:tc>
        <w:tc>
          <w:tcPr>
            <w:tcW w:w="1701" w:type="dxa"/>
            <w:tcBorders>
              <w:left w:val="single" w:color="auto" w:sz="4" w:space="0"/>
            </w:tcBorders>
            <w:vAlign w:val="center"/>
          </w:tcPr>
          <w:p w14:paraId="1C193AAC">
            <w:pPr>
              <w:autoSpaceDN w:val="0"/>
              <w:snapToGrid w:val="0"/>
              <w:jc w:val="center"/>
              <w:rPr>
                <w:rFonts w:ascii="宋体" w:hAnsi="宋体" w:cs="宋体"/>
                <w:color w:val="auto"/>
                <w:szCs w:val="21"/>
                <w:highlight w:val="none"/>
              </w:rPr>
            </w:pPr>
          </w:p>
        </w:tc>
        <w:tc>
          <w:tcPr>
            <w:tcW w:w="1701" w:type="dxa"/>
            <w:tcBorders>
              <w:right w:val="single" w:color="auto" w:sz="4" w:space="0"/>
            </w:tcBorders>
            <w:vAlign w:val="center"/>
          </w:tcPr>
          <w:p w14:paraId="0EEC8871">
            <w:pPr>
              <w:autoSpaceDN w:val="0"/>
              <w:snapToGrid w:val="0"/>
              <w:jc w:val="center"/>
              <w:rPr>
                <w:rFonts w:ascii="宋体" w:hAnsi="宋体" w:cs="宋体"/>
                <w:color w:val="auto"/>
                <w:szCs w:val="21"/>
                <w:highlight w:val="none"/>
              </w:rPr>
            </w:pPr>
          </w:p>
        </w:tc>
      </w:tr>
    </w:tbl>
    <w:p w14:paraId="2C7F9E2A">
      <w:pPr>
        <w:spacing w:line="360" w:lineRule="auto"/>
        <w:ind w:left="924" w:hanging="924" w:hangingChars="440"/>
        <w:rPr>
          <w:rFonts w:ascii="宋体" w:hAnsi="宋体"/>
          <w:color w:val="auto"/>
          <w:szCs w:val="21"/>
          <w:highlight w:val="none"/>
        </w:rPr>
      </w:pPr>
      <w:r>
        <w:rPr>
          <w:rFonts w:hint="eastAsia" w:ascii="宋体" w:hAnsi="宋体" w:cs="宋体"/>
          <w:bCs/>
          <w:color w:val="auto"/>
          <w:szCs w:val="21"/>
          <w:highlight w:val="none"/>
        </w:rPr>
        <w:t>注：根据评委打分表的要求提供证明材料</w:t>
      </w:r>
      <w:r>
        <w:rPr>
          <w:rFonts w:hint="eastAsia" w:ascii="宋体" w:hAnsi="宋体"/>
          <w:color w:val="auto"/>
          <w:szCs w:val="21"/>
          <w:highlight w:val="none"/>
        </w:rPr>
        <w:t>。</w:t>
      </w:r>
    </w:p>
    <w:p w14:paraId="36E36DE0">
      <w:pPr>
        <w:pStyle w:val="29"/>
        <w:rPr>
          <w:color w:val="auto"/>
          <w:highlight w:val="none"/>
        </w:rPr>
      </w:pPr>
    </w:p>
    <w:p w14:paraId="4DFB0231">
      <w:pPr>
        <w:widowControl/>
        <w:jc w:val="left"/>
        <w:rPr>
          <w:rFonts w:ascii="宋体" w:hAnsi="宋体"/>
          <w:color w:val="auto"/>
          <w:kern w:val="0"/>
          <w:sz w:val="28"/>
          <w:highlight w:val="none"/>
        </w:rPr>
      </w:pPr>
      <w:r>
        <w:rPr>
          <w:rFonts w:ascii="宋体" w:hAnsi="宋体"/>
          <w:color w:val="auto"/>
          <w:kern w:val="0"/>
          <w:sz w:val="28"/>
          <w:highlight w:val="none"/>
        </w:rPr>
        <w:br w:type="page"/>
      </w:r>
    </w:p>
    <w:p w14:paraId="318FE725">
      <w:pPr>
        <w:pStyle w:val="8"/>
        <w:spacing w:after="0" w:line="360" w:lineRule="auto"/>
        <w:ind w:left="0" w:leftChars="0"/>
        <w:jc w:val="center"/>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ascii="宋体" w:hAnsi="宋体" w:cs="宋体"/>
          <w:b/>
          <w:color w:val="auto"/>
          <w:sz w:val="21"/>
          <w:szCs w:val="21"/>
          <w:highlight w:val="none"/>
        </w:rPr>
        <w:t>8</w:t>
      </w:r>
      <w:r>
        <w:rPr>
          <w:rFonts w:hint="eastAsia" w:ascii="宋体" w:hAnsi="宋体" w:cs="宋体"/>
          <w:b/>
          <w:color w:val="auto"/>
          <w:sz w:val="21"/>
          <w:szCs w:val="21"/>
          <w:highlight w:val="none"/>
        </w:rPr>
        <w:t>）材料品牌响应表</w:t>
      </w:r>
    </w:p>
    <w:tbl>
      <w:tblPr>
        <w:tblStyle w:val="1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5348"/>
        <w:gridCol w:w="2126"/>
      </w:tblGrid>
      <w:tr w14:paraId="1773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78A34C02">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348" w:type="dxa"/>
            <w:tcBorders>
              <w:top w:val="single" w:color="auto" w:sz="4" w:space="0"/>
              <w:left w:val="single" w:color="auto" w:sz="4" w:space="0"/>
              <w:bottom w:val="single" w:color="auto" w:sz="4" w:space="0"/>
              <w:right w:val="single" w:color="auto" w:sz="4" w:space="0"/>
            </w:tcBorders>
            <w:vAlign w:val="center"/>
          </w:tcPr>
          <w:p w14:paraId="2BA7D334">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材料、设备名称</w:t>
            </w:r>
          </w:p>
        </w:tc>
        <w:tc>
          <w:tcPr>
            <w:tcW w:w="2126" w:type="dxa"/>
            <w:tcBorders>
              <w:top w:val="single" w:color="auto" w:sz="4" w:space="0"/>
              <w:left w:val="single" w:color="auto" w:sz="4" w:space="0"/>
              <w:bottom w:val="single" w:color="auto" w:sz="4" w:space="0"/>
              <w:right w:val="single" w:color="auto" w:sz="4" w:space="0"/>
            </w:tcBorders>
            <w:vAlign w:val="center"/>
          </w:tcPr>
          <w:p w14:paraId="605E29B6">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响应品牌</w:t>
            </w:r>
          </w:p>
        </w:tc>
      </w:tr>
      <w:tr w14:paraId="6304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346C4757">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1</w:t>
            </w:r>
          </w:p>
        </w:tc>
        <w:tc>
          <w:tcPr>
            <w:tcW w:w="5348" w:type="dxa"/>
            <w:tcBorders>
              <w:top w:val="single" w:color="auto" w:sz="4" w:space="0"/>
              <w:left w:val="single" w:color="auto" w:sz="4" w:space="0"/>
              <w:bottom w:val="single" w:color="auto" w:sz="4" w:space="0"/>
              <w:right w:val="single" w:color="auto" w:sz="4" w:space="0"/>
            </w:tcBorders>
            <w:vAlign w:val="center"/>
          </w:tcPr>
          <w:p w14:paraId="38F99233">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乳胶漆</w:t>
            </w:r>
          </w:p>
        </w:tc>
        <w:tc>
          <w:tcPr>
            <w:tcW w:w="2126" w:type="dxa"/>
            <w:tcBorders>
              <w:top w:val="single" w:color="auto" w:sz="4" w:space="0"/>
              <w:left w:val="single" w:color="auto" w:sz="4" w:space="0"/>
              <w:bottom w:val="single" w:color="auto" w:sz="4" w:space="0"/>
              <w:right w:val="single" w:color="auto" w:sz="4" w:space="0"/>
            </w:tcBorders>
            <w:vAlign w:val="center"/>
          </w:tcPr>
          <w:p w14:paraId="596A6DD7">
            <w:pPr>
              <w:tabs>
                <w:tab w:val="left" w:pos="1080"/>
                <w:tab w:val="left" w:pos="9180"/>
                <w:tab w:val="left" w:pos="9360"/>
              </w:tabs>
              <w:ind w:right="25" w:rightChars="12"/>
              <w:jc w:val="center"/>
              <w:rPr>
                <w:rFonts w:ascii="宋体" w:hAnsi="宋体" w:cs="宋体"/>
                <w:color w:val="auto"/>
                <w:szCs w:val="21"/>
                <w:highlight w:val="none"/>
              </w:rPr>
            </w:pPr>
          </w:p>
        </w:tc>
      </w:tr>
      <w:tr w14:paraId="519C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47EA9762">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2</w:t>
            </w:r>
          </w:p>
        </w:tc>
        <w:tc>
          <w:tcPr>
            <w:tcW w:w="5348" w:type="dxa"/>
            <w:tcBorders>
              <w:top w:val="single" w:color="auto" w:sz="4" w:space="0"/>
              <w:left w:val="single" w:color="auto" w:sz="4" w:space="0"/>
              <w:bottom w:val="single" w:color="auto" w:sz="4" w:space="0"/>
              <w:right w:val="single" w:color="auto" w:sz="4" w:space="0"/>
            </w:tcBorders>
            <w:vAlign w:val="center"/>
          </w:tcPr>
          <w:p w14:paraId="0DBE6DA9">
            <w:pPr>
              <w:jc w:val="center"/>
              <w:rPr>
                <w:rFonts w:ascii="宋体" w:hAnsi="宋体" w:cs="宋体"/>
                <w:color w:val="auto"/>
                <w:szCs w:val="21"/>
                <w:highlight w:val="none"/>
              </w:rPr>
            </w:pPr>
            <w:r>
              <w:rPr>
                <w:rFonts w:hint="eastAsia" w:ascii="宋体" w:hAnsi="宋体" w:cs="宋体"/>
                <w:color w:val="auto"/>
                <w:szCs w:val="21"/>
                <w:highlight w:val="none"/>
              </w:rPr>
              <w:t>三夹板、九夹板、细木工板、木饰面、阻燃板等</w:t>
            </w:r>
          </w:p>
        </w:tc>
        <w:tc>
          <w:tcPr>
            <w:tcW w:w="2126" w:type="dxa"/>
            <w:tcBorders>
              <w:top w:val="single" w:color="auto" w:sz="4" w:space="0"/>
              <w:left w:val="single" w:color="auto" w:sz="4" w:space="0"/>
              <w:bottom w:val="single" w:color="auto" w:sz="4" w:space="0"/>
              <w:right w:val="single" w:color="auto" w:sz="4" w:space="0"/>
            </w:tcBorders>
            <w:vAlign w:val="center"/>
          </w:tcPr>
          <w:p w14:paraId="5D81A4D0">
            <w:pPr>
              <w:jc w:val="center"/>
              <w:rPr>
                <w:rFonts w:ascii="宋体" w:hAnsi="宋体" w:cs="宋体"/>
                <w:color w:val="auto"/>
                <w:szCs w:val="21"/>
                <w:highlight w:val="none"/>
              </w:rPr>
            </w:pPr>
          </w:p>
        </w:tc>
      </w:tr>
      <w:tr w14:paraId="12B3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042B02C0">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3</w:t>
            </w:r>
          </w:p>
        </w:tc>
        <w:tc>
          <w:tcPr>
            <w:tcW w:w="5348" w:type="dxa"/>
            <w:tcBorders>
              <w:top w:val="single" w:color="auto" w:sz="4" w:space="0"/>
              <w:left w:val="single" w:color="auto" w:sz="4" w:space="0"/>
              <w:bottom w:val="single" w:color="auto" w:sz="4" w:space="0"/>
              <w:right w:val="single" w:color="auto" w:sz="4" w:space="0"/>
            </w:tcBorders>
            <w:vAlign w:val="center"/>
          </w:tcPr>
          <w:p w14:paraId="01154058">
            <w:pPr>
              <w:jc w:val="center"/>
              <w:rPr>
                <w:rFonts w:ascii="宋体" w:hAnsi="宋体"/>
                <w:color w:val="auto"/>
                <w:szCs w:val="21"/>
                <w:highlight w:val="none"/>
              </w:rPr>
            </w:pPr>
            <w:r>
              <w:rPr>
                <w:rFonts w:hint="eastAsia" w:ascii="宋体" w:hAnsi="宋体"/>
                <w:color w:val="auto"/>
                <w:szCs w:val="21"/>
                <w:highlight w:val="none"/>
              </w:rPr>
              <w:t>电表</w:t>
            </w:r>
          </w:p>
        </w:tc>
        <w:tc>
          <w:tcPr>
            <w:tcW w:w="2126" w:type="dxa"/>
            <w:tcBorders>
              <w:top w:val="single" w:color="auto" w:sz="4" w:space="0"/>
              <w:left w:val="single" w:color="auto" w:sz="4" w:space="0"/>
              <w:bottom w:val="single" w:color="auto" w:sz="4" w:space="0"/>
              <w:right w:val="single" w:color="auto" w:sz="4" w:space="0"/>
            </w:tcBorders>
            <w:vAlign w:val="center"/>
          </w:tcPr>
          <w:p w14:paraId="2752131D">
            <w:pPr>
              <w:jc w:val="center"/>
              <w:rPr>
                <w:rFonts w:ascii="宋体" w:hAnsi="宋体"/>
                <w:color w:val="auto"/>
                <w:szCs w:val="21"/>
                <w:highlight w:val="none"/>
              </w:rPr>
            </w:pPr>
          </w:p>
        </w:tc>
      </w:tr>
      <w:tr w14:paraId="3317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1D956AB9">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4</w:t>
            </w:r>
          </w:p>
        </w:tc>
        <w:tc>
          <w:tcPr>
            <w:tcW w:w="5348" w:type="dxa"/>
            <w:tcBorders>
              <w:top w:val="single" w:color="auto" w:sz="4" w:space="0"/>
              <w:left w:val="single" w:color="auto" w:sz="4" w:space="0"/>
              <w:bottom w:val="single" w:color="auto" w:sz="4" w:space="0"/>
              <w:right w:val="single" w:color="auto" w:sz="4" w:space="0"/>
            </w:tcBorders>
            <w:vAlign w:val="center"/>
          </w:tcPr>
          <w:p w14:paraId="082BECC7">
            <w:pPr>
              <w:widowControl/>
              <w:jc w:val="center"/>
              <w:rPr>
                <w:rFonts w:ascii="宋体" w:hAnsi="宋体" w:cs="宋体"/>
                <w:color w:val="auto"/>
                <w:szCs w:val="21"/>
                <w:highlight w:val="none"/>
              </w:rPr>
            </w:pPr>
            <w:r>
              <w:rPr>
                <w:rFonts w:hint="eastAsia" w:ascii="宋体" w:hAnsi="宋体" w:cs="宋体"/>
                <w:color w:val="auto"/>
                <w:kern w:val="0"/>
                <w:szCs w:val="21"/>
                <w:highlight w:val="none"/>
              </w:rPr>
              <w:t>墙砖、地砖</w:t>
            </w:r>
          </w:p>
        </w:tc>
        <w:tc>
          <w:tcPr>
            <w:tcW w:w="2126" w:type="dxa"/>
            <w:tcBorders>
              <w:top w:val="single" w:color="auto" w:sz="4" w:space="0"/>
              <w:left w:val="single" w:color="auto" w:sz="4" w:space="0"/>
              <w:bottom w:val="single" w:color="auto" w:sz="4" w:space="0"/>
              <w:right w:val="single" w:color="auto" w:sz="4" w:space="0"/>
            </w:tcBorders>
            <w:vAlign w:val="center"/>
          </w:tcPr>
          <w:p w14:paraId="1827348C">
            <w:pPr>
              <w:widowControl/>
              <w:jc w:val="center"/>
              <w:rPr>
                <w:rFonts w:ascii="宋体" w:hAnsi="宋体" w:cs="宋体"/>
                <w:color w:val="auto"/>
                <w:szCs w:val="21"/>
                <w:highlight w:val="none"/>
              </w:rPr>
            </w:pPr>
          </w:p>
        </w:tc>
      </w:tr>
      <w:tr w14:paraId="5C65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2BA49FD9">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5</w:t>
            </w:r>
          </w:p>
        </w:tc>
        <w:tc>
          <w:tcPr>
            <w:tcW w:w="5348" w:type="dxa"/>
            <w:tcBorders>
              <w:top w:val="single" w:color="auto" w:sz="4" w:space="0"/>
              <w:left w:val="single" w:color="auto" w:sz="4" w:space="0"/>
              <w:bottom w:val="single" w:color="auto" w:sz="4" w:space="0"/>
              <w:right w:val="single" w:color="auto" w:sz="4" w:space="0"/>
            </w:tcBorders>
            <w:vAlign w:val="center"/>
          </w:tcPr>
          <w:p w14:paraId="659520A8">
            <w:pPr>
              <w:jc w:val="center"/>
              <w:rPr>
                <w:rFonts w:ascii="宋体" w:hAnsi="宋体" w:cs="宋体"/>
                <w:color w:val="auto"/>
                <w:szCs w:val="21"/>
                <w:highlight w:val="none"/>
              </w:rPr>
            </w:pPr>
            <w:r>
              <w:rPr>
                <w:rFonts w:hint="eastAsia" w:ascii="宋体" w:hAnsi="宋体" w:cs="宋体"/>
                <w:color w:val="auto"/>
                <w:szCs w:val="21"/>
                <w:highlight w:val="none"/>
              </w:rPr>
              <w:t>开关、插座</w:t>
            </w:r>
          </w:p>
        </w:tc>
        <w:tc>
          <w:tcPr>
            <w:tcW w:w="2126" w:type="dxa"/>
            <w:tcBorders>
              <w:top w:val="single" w:color="auto" w:sz="4" w:space="0"/>
              <w:left w:val="single" w:color="auto" w:sz="4" w:space="0"/>
              <w:bottom w:val="single" w:color="auto" w:sz="4" w:space="0"/>
              <w:right w:val="single" w:color="auto" w:sz="4" w:space="0"/>
            </w:tcBorders>
            <w:vAlign w:val="center"/>
          </w:tcPr>
          <w:p w14:paraId="2512C6E7">
            <w:pPr>
              <w:widowControl/>
              <w:jc w:val="center"/>
              <w:rPr>
                <w:rFonts w:ascii="宋体" w:hAnsi="宋体" w:cs="宋体"/>
                <w:color w:val="auto"/>
                <w:szCs w:val="21"/>
                <w:highlight w:val="none"/>
              </w:rPr>
            </w:pPr>
          </w:p>
        </w:tc>
      </w:tr>
      <w:tr w14:paraId="56D3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38A47929">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6</w:t>
            </w:r>
          </w:p>
        </w:tc>
        <w:tc>
          <w:tcPr>
            <w:tcW w:w="5348" w:type="dxa"/>
            <w:tcBorders>
              <w:top w:val="single" w:color="auto" w:sz="4" w:space="0"/>
              <w:left w:val="single" w:color="auto" w:sz="4" w:space="0"/>
              <w:bottom w:val="single" w:color="auto" w:sz="4" w:space="0"/>
              <w:right w:val="single" w:color="auto" w:sz="4" w:space="0"/>
            </w:tcBorders>
            <w:vAlign w:val="center"/>
          </w:tcPr>
          <w:p w14:paraId="18C8D996">
            <w:pPr>
              <w:jc w:val="center"/>
              <w:rPr>
                <w:rFonts w:ascii="宋体" w:hAnsi="宋体" w:cs="宋体"/>
                <w:color w:val="auto"/>
                <w:szCs w:val="21"/>
                <w:highlight w:val="none"/>
              </w:rPr>
            </w:pPr>
            <w:r>
              <w:rPr>
                <w:rFonts w:hint="eastAsia" w:ascii="宋体" w:hAnsi="宋体" w:cs="宋体"/>
                <w:color w:val="auto"/>
                <w:szCs w:val="21"/>
                <w:highlight w:val="none"/>
              </w:rPr>
              <w:t>空气开关</w:t>
            </w:r>
          </w:p>
        </w:tc>
        <w:tc>
          <w:tcPr>
            <w:tcW w:w="2126" w:type="dxa"/>
            <w:tcBorders>
              <w:top w:val="single" w:color="auto" w:sz="4" w:space="0"/>
              <w:left w:val="single" w:color="auto" w:sz="4" w:space="0"/>
              <w:bottom w:val="single" w:color="auto" w:sz="4" w:space="0"/>
              <w:right w:val="single" w:color="auto" w:sz="4" w:space="0"/>
            </w:tcBorders>
            <w:vAlign w:val="center"/>
          </w:tcPr>
          <w:p w14:paraId="6C50121A">
            <w:pPr>
              <w:widowControl/>
              <w:jc w:val="center"/>
              <w:rPr>
                <w:rFonts w:ascii="宋体" w:hAnsi="宋体" w:cs="宋体"/>
                <w:color w:val="auto"/>
                <w:kern w:val="0"/>
                <w:szCs w:val="21"/>
                <w:highlight w:val="none"/>
              </w:rPr>
            </w:pPr>
          </w:p>
        </w:tc>
      </w:tr>
      <w:tr w14:paraId="02DD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056F8783">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7</w:t>
            </w:r>
          </w:p>
        </w:tc>
        <w:tc>
          <w:tcPr>
            <w:tcW w:w="5348" w:type="dxa"/>
            <w:tcBorders>
              <w:top w:val="single" w:color="auto" w:sz="4" w:space="0"/>
              <w:left w:val="single" w:color="auto" w:sz="4" w:space="0"/>
              <w:bottom w:val="single" w:color="auto" w:sz="4" w:space="0"/>
              <w:right w:val="single" w:color="auto" w:sz="4" w:space="0"/>
            </w:tcBorders>
            <w:vAlign w:val="center"/>
          </w:tcPr>
          <w:p w14:paraId="22AE5368">
            <w:pPr>
              <w:jc w:val="center"/>
              <w:rPr>
                <w:rFonts w:ascii="宋体" w:hAnsi="宋体" w:cs="宋体"/>
                <w:color w:val="auto"/>
                <w:szCs w:val="21"/>
                <w:highlight w:val="none"/>
              </w:rPr>
            </w:pPr>
            <w:r>
              <w:rPr>
                <w:rFonts w:hint="eastAsia" w:ascii="宋体" w:hAnsi="宋体" w:cs="宋体"/>
                <w:color w:val="auto"/>
                <w:szCs w:val="21"/>
                <w:highlight w:val="none"/>
              </w:rPr>
              <w:t>灯具照明</w:t>
            </w:r>
          </w:p>
        </w:tc>
        <w:tc>
          <w:tcPr>
            <w:tcW w:w="2126" w:type="dxa"/>
            <w:tcBorders>
              <w:top w:val="single" w:color="auto" w:sz="4" w:space="0"/>
              <w:left w:val="single" w:color="auto" w:sz="4" w:space="0"/>
              <w:bottom w:val="single" w:color="auto" w:sz="4" w:space="0"/>
              <w:right w:val="single" w:color="auto" w:sz="4" w:space="0"/>
            </w:tcBorders>
            <w:vAlign w:val="center"/>
          </w:tcPr>
          <w:p w14:paraId="14C273B5">
            <w:pPr>
              <w:widowControl/>
              <w:jc w:val="center"/>
              <w:rPr>
                <w:rFonts w:ascii="宋体" w:hAnsi="宋体" w:cs="宋体"/>
                <w:color w:val="auto"/>
                <w:szCs w:val="21"/>
                <w:highlight w:val="none"/>
              </w:rPr>
            </w:pPr>
          </w:p>
        </w:tc>
      </w:tr>
      <w:tr w14:paraId="747C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0B4471AB">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8</w:t>
            </w:r>
          </w:p>
        </w:tc>
        <w:tc>
          <w:tcPr>
            <w:tcW w:w="5348" w:type="dxa"/>
            <w:tcBorders>
              <w:top w:val="single" w:color="auto" w:sz="4" w:space="0"/>
              <w:left w:val="single" w:color="auto" w:sz="4" w:space="0"/>
              <w:bottom w:val="single" w:color="auto" w:sz="4" w:space="0"/>
              <w:right w:val="single" w:color="auto" w:sz="4" w:space="0"/>
            </w:tcBorders>
            <w:vAlign w:val="center"/>
          </w:tcPr>
          <w:p w14:paraId="5BC96638">
            <w:pPr>
              <w:jc w:val="center"/>
              <w:rPr>
                <w:rFonts w:ascii="宋体" w:hAnsi="宋体" w:cs="宋体"/>
                <w:color w:val="auto"/>
                <w:szCs w:val="21"/>
                <w:highlight w:val="none"/>
              </w:rPr>
            </w:pPr>
            <w:r>
              <w:rPr>
                <w:rFonts w:hint="eastAsia" w:ascii="宋体" w:hAnsi="宋体" w:cs="宋体"/>
                <w:color w:val="auto"/>
                <w:szCs w:val="21"/>
                <w:highlight w:val="none"/>
              </w:rPr>
              <w:t>电线、电缆</w:t>
            </w:r>
          </w:p>
        </w:tc>
        <w:tc>
          <w:tcPr>
            <w:tcW w:w="2126" w:type="dxa"/>
            <w:tcBorders>
              <w:top w:val="single" w:color="auto" w:sz="4" w:space="0"/>
              <w:left w:val="single" w:color="auto" w:sz="4" w:space="0"/>
              <w:bottom w:val="single" w:color="auto" w:sz="4" w:space="0"/>
              <w:right w:val="single" w:color="auto" w:sz="4" w:space="0"/>
            </w:tcBorders>
            <w:vAlign w:val="center"/>
          </w:tcPr>
          <w:p w14:paraId="58634C8C">
            <w:pPr>
              <w:jc w:val="center"/>
              <w:rPr>
                <w:rFonts w:ascii="宋体" w:hAnsi="宋体" w:cs="宋体"/>
                <w:color w:val="auto"/>
                <w:szCs w:val="21"/>
                <w:highlight w:val="none"/>
              </w:rPr>
            </w:pPr>
          </w:p>
        </w:tc>
      </w:tr>
      <w:tr w14:paraId="4F31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66B1410A">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9</w:t>
            </w:r>
          </w:p>
        </w:tc>
        <w:tc>
          <w:tcPr>
            <w:tcW w:w="5348" w:type="dxa"/>
            <w:tcBorders>
              <w:top w:val="single" w:color="auto" w:sz="4" w:space="0"/>
              <w:left w:val="single" w:color="auto" w:sz="4" w:space="0"/>
              <w:bottom w:val="single" w:color="auto" w:sz="4" w:space="0"/>
              <w:right w:val="single" w:color="auto" w:sz="4" w:space="0"/>
            </w:tcBorders>
            <w:vAlign w:val="center"/>
          </w:tcPr>
          <w:p w14:paraId="39190FF3">
            <w:pPr>
              <w:jc w:val="center"/>
              <w:rPr>
                <w:rFonts w:ascii="宋体" w:hAnsi="宋体" w:cs="宋体"/>
                <w:color w:val="auto"/>
                <w:szCs w:val="21"/>
                <w:highlight w:val="none"/>
              </w:rPr>
            </w:pPr>
            <w:r>
              <w:rPr>
                <w:rFonts w:hint="eastAsia" w:ascii="宋体" w:hAnsi="宋体" w:cs="宋体"/>
                <w:color w:val="auto"/>
                <w:szCs w:val="21"/>
                <w:highlight w:val="none"/>
              </w:rPr>
              <w:t>卫生洁具（坐便器、蹲便器、洗脸盆、水龙头、花洒、冲水阀、地漏、配套五金件等）节水型</w:t>
            </w:r>
          </w:p>
        </w:tc>
        <w:tc>
          <w:tcPr>
            <w:tcW w:w="2126" w:type="dxa"/>
            <w:tcBorders>
              <w:top w:val="single" w:color="auto" w:sz="4" w:space="0"/>
              <w:left w:val="single" w:color="auto" w:sz="4" w:space="0"/>
              <w:bottom w:val="single" w:color="auto" w:sz="4" w:space="0"/>
              <w:right w:val="single" w:color="auto" w:sz="4" w:space="0"/>
            </w:tcBorders>
            <w:vAlign w:val="center"/>
          </w:tcPr>
          <w:p w14:paraId="1185A5A9">
            <w:pPr>
              <w:jc w:val="center"/>
              <w:rPr>
                <w:rFonts w:ascii="宋体" w:hAnsi="宋体" w:cs="宋体"/>
                <w:color w:val="auto"/>
                <w:szCs w:val="21"/>
                <w:highlight w:val="none"/>
              </w:rPr>
            </w:pPr>
          </w:p>
        </w:tc>
      </w:tr>
      <w:tr w14:paraId="77F1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274E18E8">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10</w:t>
            </w:r>
          </w:p>
        </w:tc>
        <w:tc>
          <w:tcPr>
            <w:tcW w:w="5348" w:type="dxa"/>
            <w:tcBorders>
              <w:top w:val="single" w:color="auto" w:sz="4" w:space="0"/>
              <w:left w:val="single" w:color="auto" w:sz="4" w:space="0"/>
              <w:bottom w:val="single" w:color="auto" w:sz="4" w:space="0"/>
              <w:right w:val="single" w:color="auto" w:sz="4" w:space="0"/>
            </w:tcBorders>
            <w:vAlign w:val="center"/>
          </w:tcPr>
          <w:p w14:paraId="7A1E3FF0">
            <w:pPr>
              <w:jc w:val="center"/>
              <w:rPr>
                <w:rFonts w:ascii="宋体" w:hAnsi="宋体" w:cs="宋体"/>
                <w:color w:val="auto"/>
                <w:szCs w:val="21"/>
                <w:highlight w:val="none"/>
              </w:rPr>
            </w:pPr>
            <w:r>
              <w:rPr>
                <w:rFonts w:hint="eastAsia" w:ascii="宋体" w:hAnsi="宋体" w:cs="宋体"/>
                <w:color w:val="auto"/>
                <w:szCs w:val="21"/>
                <w:highlight w:val="none"/>
              </w:rPr>
              <w:t>水表</w:t>
            </w:r>
          </w:p>
        </w:tc>
        <w:tc>
          <w:tcPr>
            <w:tcW w:w="2126" w:type="dxa"/>
            <w:tcBorders>
              <w:top w:val="single" w:color="auto" w:sz="4" w:space="0"/>
              <w:left w:val="single" w:color="auto" w:sz="4" w:space="0"/>
              <w:bottom w:val="single" w:color="auto" w:sz="4" w:space="0"/>
              <w:right w:val="single" w:color="auto" w:sz="4" w:space="0"/>
            </w:tcBorders>
            <w:vAlign w:val="center"/>
          </w:tcPr>
          <w:p w14:paraId="7587DB36">
            <w:pPr>
              <w:jc w:val="center"/>
              <w:rPr>
                <w:rFonts w:ascii="宋体" w:hAnsi="宋体" w:cs="宋体"/>
                <w:color w:val="auto"/>
                <w:szCs w:val="21"/>
                <w:highlight w:val="none"/>
              </w:rPr>
            </w:pPr>
          </w:p>
        </w:tc>
      </w:tr>
      <w:tr w14:paraId="5FB3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0B632602">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11</w:t>
            </w:r>
          </w:p>
        </w:tc>
        <w:tc>
          <w:tcPr>
            <w:tcW w:w="5348" w:type="dxa"/>
            <w:tcBorders>
              <w:top w:val="single" w:color="auto" w:sz="4" w:space="0"/>
              <w:left w:val="single" w:color="auto" w:sz="4" w:space="0"/>
              <w:bottom w:val="single" w:color="auto" w:sz="4" w:space="0"/>
              <w:right w:val="single" w:color="auto" w:sz="4" w:space="0"/>
            </w:tcBorders>
            <w:vAlign w:val="center"/>
          </w:tcPr>
          <w:p w14:paraId="75B5C582">
            <w:pPr>
              <w:jc w:val="center"/>
              <w:rPr>
                <w:rFonts w:ascii="宋体" w:hAnsi="宋体" w:cs="宋体"/>
                <w:color w:val="auto"/>
                <w:szCs w:val="21"/>
                <w:highlight w:val="none"/>
              </w:rPr>
            </w:pPr>
            <w:r>
              <w:rPr>
                <w:rFonts w:hint="eastAsia" w:ascii="宋体" w:hAnsi="宋体" w:cs="宋体"/>
                <w:color w:val="auto"/>
                <w:szCs w:val="21"/>
                <w:highlight w:val="none"/>
              </w:rPr>
              <w:t>PVC-U排水管、PP-R给水管</w:t>
            </w:r>
          </w:p>
        </w:tc>
        <w:tc>
          <w:tcPr>
            <w:tcW w:w="2126" w:type="dxa"/>
            <w:tcBorders>
              <w:top w:val="single" w:color="auto" w:sz="4" w:space="0"/>
              <w:left w:val="single" w:color="auto" w:sz="4" w:space="0"/>
              <w:bottom w:val="single" w:color="auto" w:sz="4" w:space="0"/>
              <w:right w:val="single" w:color="auto" w:sz="4" w:space="0"/>
            </w:tcBorders>
            <w:vAlign w:val="center"/>
          </w:tcPr>
          <w:p w14:paraId="59670190">
            <w:pPr>
              <w:jc w:val="center"/>
              <w:rPr>
                <w:rFonts w:ascii="宋体" w:hAnsi="宋体" w:cs="宋体"/>
                <w:color w:val="auto"/>
                <w:szCs w:val="21"/>
                <w:highlight w:val="none"/>
              </w:rPr>
            </w:pPr>
          </w:p>
        </w:tc>
      </w:tr>
      <w:tr w14:paraId="3AFD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12204AD7">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12</w:t>
            </w:r>
          </w:p>
        </w:tc>
        <w:tc>
          <w:tcPr>
            <w:tcW w:w="5348" w:type="dxa"/>
            <w:tcBorders>
              <w:top w:val="single" w:color="auto" w:sz="4" w:space="0"/>
              <w:left w:val="single" w:color="auto" w:sz="4" w:space="0"/>
              <w:bottom w:val="single" w:color="auto" w:sz="4" w:space="0"/>
              <w:right w:val="single" w:color="auto" w:sz="4" w:space="0"/>
            </w:tcBorders>
            <w:vAlign w:val="center"/>
          </w:tcPr>
          <w:p w14:paraId="7BE3D020">
            <w:pPr>
              <w:jc w:val="center"/>
              <w:rPr>
                <w:rFonts w:ascii="宋体" w:hAnsi="宋体" w:cs="宋体"/>
                <w:color w:val="auto"/>
                <w:szCs w:val="21"/>
                <w:highlight w:val="none"/>
              </w:rPr>
            </w:pPr>
            <w:r>
              <w:rPr>
                <w:rFonts w:hint="eastAsia" w:ascii="宋体" w:hAnsi="宋体" w:cs="宋体"/>
                <w:color w:val="auto"/>
                <w:szCs w:val="21"/>
                <w:highlight w:val="none"/>
              </w:rPr>
              <w:t>综合布线系统（网线超六类等）</w:t>
            </w:r>
          </w:p>
        </w:tc>
        <w:tc>
          <w:tcPr>
            <w:tcW w:w="2126" w:type="dxa"/>
            <w:tcBorders>
              <w:top w:val="single" w:color="auto" w:sz="4" w:space="0"/>
              <w:left w:val="single" w:color="auto" w:sz="4" w:space="0"/>
              <w:bottom w:val="single" w:color="auto" w:sz="4" w:space="0"/>
              <w:right w:val="single" w:color="auto" w:sz="4" w:space="0"/>
            </w:tcBorders>
            <w:vAlign w:val="center"/>
          </w:tcPr>
          <w:p w14:paraId="6DB45A67">
            <w:pPr>
              <w:jc w:val="center"/>
              <w:rPr>
                <w:rFonts w:ascii="宋体" w:hAnsi="宋体" w:cs="宋体"/>
                <w:color w:val="auto"/>
                <w:szCs w:val="21"/>
                <w:highlight w:val="none"/>
              </w:rPr>
            </w:pPr>
          </w:p>
        </w:tc>
      </w:tr>
      <w:tr w14:paraId="4292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182E4E7B">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13</w:t>
            </w:r>
          </w:p>
        </w:tc>
        <w:tc>
          <w:tcPr>
            <w:tcW w:w="5348" w:type="dxa"/>
            <w:tcBorders>
              <w:top w:val="single" w:color="auto" w:sz="4" w:space="0"/>
              <w:left w:val="single" w:color="auto" w:sz="4" w:space="0"/>
              <w:bottom w:val="single" w:color="auto" w:sz="4" w:space="0"/>
              <w:right w:val="single" w:color="auto" w:sz="4" w:space="0"/>
            </w:tcBorders>
            <w:vAlign w:val="center"/>
          </w:tcPr>
          <w:p w14:paraId="438592C2">
            <w:pPr>
              <w:jc w:val="center"/>
              <w:rPr>
                <w:rFonts w:ascii="宋体" w:hAnsi="宋体" w:cs="宋体"/>
                <w:color w:val="auto"/>
                <w:szCs w:val="21"/>
                <w:highlight w:val="none"/>
              </w:rPr>
            </w:pPr>
            <w:r>
              <w:rPr>
                <w:rFonts w:hint="eastAsia" w:ascii="宋体" w:hAnsi="宋体" w:cs="宋体"/>
                <w:color w:val="auto"/>
                <w:szCs w:val="21"/>
                <w:highlight w:val="none"/>
              </w:rPr>
              <w:t>阀门</w:t>
            </w:r>
          </w:p>
        </w:tc>
        <w:tc>
          <w:tcPr>
            <w:tcW w:w="2126" w:type="dxa"/>
            <w:tcBorders>
              <w:top w:val="single" w:color="auto" w:sz="4" w:space="0"/>
              <w:left w:val="single" w:color="auto" w:sz="4" w:space="0"/>
              <w:bottom w:val="single" w:color="auto" w:sz="4" w:space="0"/>
              <w:right w:val="single" w:color="auto" w:sz="4" w:space="0"/>
            </w:tcBorders>
            <w:vAlign w:val="center"/>
          </w:tcPr>
          <w:p w14:paraId="765C00A7">
            <w:pPr>
              <w:jc w:val="center"/>
              <w:rPr>
                <w:rFonts w:ascii="宋体" w:hAnsi="宋体" w:cs="宋体"/>
                <w:color w:val="auto"/>
                <w:szCs w:val="21"/>
                <w:highlight w:val="none"/>
              </w:rPr>
            </w:pPr>
          </w:p>
        </w:tc>
      </w:tr>
    </w:tbl>
    <w:p w14:paraId="7646D461">
      <w:pPr>
        <w:pStyle w:val="2"/>
        <w:ind w:firstLine="210"/>
        <w:jc w:val="left"/>
        <w:rPr>
          <w:rFonts w:ascii="宋体" w:hAnsi="宋体"/>
          <w:color w:val="auto"/>
          <w:sz w:val="21"/>
          <w:highlight w:val="none"/>
        </w:rPr>
      </w:pPr>
      <w:r>
        <w:rPr>
          <w:rFonts w:hint="eastAsia" w:ascii="宋体" w:hAnsi="宋体"/>
          <w:color w:val="auto"/>
          <w:sz w:val="21"/>
          <w:highlight w:val="none"/>
        </w:rPr>
        <w:t>注：本表中填写的响应品牌填一个。</w:t>
      </w:r>
    </w:p>
    <w:p w14:paraId="164E8F2B">
      <w:pPr>
        <w:widowControl/>
        <w:ind w:firstLine="422"/>
        <w:jc w:val="left"/>
        <w:rPr>
          <w:rFonts w:ascii="宋体" w:hAnsi="宋体"/>
          <w:b/>
          <w:color w:val="auto"/>
          <w:szCs w:val="21"/>
          <w:highlight w:val="none"/>
        </w:rPr>
      </w:pPr>
      <w:r>
        <w:rPr>
          <w:rFonts w:ascii="宋体" w:hAnsi="宋体"/>
          <w:b/>
          <w:color w:val="auto"/>
          <w:szCs w:val="21"/>
          <w:highlight w:val="none"/>
        </w:rPr>
        <w:br w:type="page"/>
      </w:r>
    </w:p>
    <w:p w14:paraId="5ED716E5">
      <w:pPr>
        <w:snapToGrid w:val="0"/>
        <w:spacing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3.报价要求响应文件的有关格式</w:t>
      </w:r>
    </w:p>
    <w:p w14:paraId="7C964AD2">
      <w:pPr>
        <w:pStyle w:val="8"/>
        <w:spacing w:after="0" w:line="360" w:lineRule="auto"/>
        <w:ind w:left="0" w:leftChars="0" w:firstLine="422"/>
        <w:jc w:val="center"/>
        <w:rPr>
          <w:rFonts w:ascii="宋体" w:hAnsi="宋体" w:cs="宋体"/>
          <w:b/>
          <w:color w:val="auto"/>
          <w:sz w:val="21"/>
          <w:szCs w:val="21"/>
          <w:highlight w:val="none"/>
        </w:rPr>
      </w:pPr>
      <w:r>
        <w:rPr>
          <w:rFonts w:hint="eastAsia" w:ascii="宋体" w:hAnsi="宋体" w:cs="宋体"/>
          <w:b/>
          <w:color w:val="auto"/>
          <w:sz w:val="21"/>
          <w:szCs w:val="21"/>
          <w:highlight w:val="none"/>
        </w:rPr>
        <w:t>（1）初次报价表</w:t>
      </w:r>
    </w:p>
    <w:tbl>
      <w:tblPr>
        <w:tblStyle w:val="1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2164"/>
        <w:gridCol w:w="3543"/>
        <w:gridCol w:w="851"/>
      </w:tblGrid>
      <w:tr w14:paraId="1636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72" w:type="dxa"/>
            <w:vAlign w:val="center"/>
          </w:tcPr>
          <w:p w14:paraId="2CC14F41">
            <w:pPr>
              <w:jc w:val="center"/>
              <w:rPr>
                <w:rFonts w:ascii="宋体" w:hAnsi="宋体" w:cs="宋体"/>
                <w:color w:val="auto"/>
                <w:szCs w:val="21"/>
                <w:highlight w:val="none"/>
              </w:rPr>
            </w:pPr>
            <w:r>
              <w:rPr>
                <w:rFonts w:hint="eastAsia" w:ascii="宋体" w:hAnsi="宋体"/>
                <w:color w:val="auto"/>
                <w:szCs w:val="21"/>
                <w:highlight w:val="none"/>
              </w:rPr>
              <w:t>项目编号</w:t>
            </w:r>
          </w:p>
        </w:tc>
        <w:tc>
          <w:tcPr>
            <w:tcW w:w="6558" w:type="dxa"/>
            <w:gridSpan w:val="3"/>
            <w:vAlign w:val="center"/>
          </w:tcPr>
          <w:p w14:paraId="0F0A38EC">
            <w:pPr>
              <w:wordWrap w:val="0"/>
              <w:jc w:val="center"/>
              <w:rPr>
                <w:rFonts w:ascii="宋体" w:hAnsi="宋体"/>
                <w:color w:val="auto"/>
                <w:szCs w:val="21"/>
                <w:highlight w:val="none"/>
              </w:rPr>
            </w:pPr>
            <w:r>
              <w:rPr>
                <w:rFonts w:ascii="宋体" w:hAnsi="宋体"/>
                <w:color w:val="auto"/>
                <w:szCs w:val="21"/>
                <w:highlight w:val="none"/>
              </w:rPr>
              <w:t>NBMC-20252170G磋</w:t>
            </w:r>
          </w:p>
        </w:tc>
      </w:tr>
      <w:tr w14:paraId="652A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72" w:type="dxa"/>
            <w:vAlign w:val="center"/>
          </w:tcPr>
          <w:p w14:paraId="420FDB89">
            <w:pPr>
              <w:wordWrap w:val="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558" w:type="dxa"/>
            <w:gridSpan w:val="3"/>
            <w:vAlign w:val="center"/>
          </w:tcPr>
          <w:p w14:paraId="7566006A">
            <w:pPr>
              <w:wordWrap w:val="0"/>
              <w:jc w:val="center"/>
              <w:rPr>
                <w:rFonts w:ascii="宋体" w:hAnsi="宋体" w:cs="宋体"/>
                <w:color w:val="auto"/>
                <w:szCs w:val="21"/>
                <w:highlight w:val="none"/>
              </w:rPr>
            </w:pPr>
            <w:r>
              <w:rPr>
                <w:rFonts w:hint="eastAsia" w:ascii="宋体" w:hAnsi="宋体"/>
                <w:color w:val="auto"/>
                <w:szCs w:val="21"/>
                <w:highlight w:val="none"/>
              </w:rPr>
              <w:t>浙江工商职业技术学院学生文体活动中心改造项目</w:t>
            </w:r>
          </w:p>
        </w:tc>
      </w:tr>
      <w:tr w14:paraId="400D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772" w:type="dxa"/>
            <w:vAlign w:val="center"/>
          </w:tcPr>
          <w:p w14:paraId="39EEEA5D">
            <w:pPr>
              <w:wordWrap w:val="0"/>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2164" w:type="dxa"/>
            <w:vAlign w:val="center"/>
          </w:tcPr>
          <w:p w14:paraId="1DA1C94E">
            <w:pPr>
              <w:wordWrap w:val="0"/>
              <w:jc w:val="center"/>
              <w:rPr>
                <w:rFonts w:ascii="宋体" w:hAnsi="宋体" w:cs="宋体"/>
                <w:color w:val="auto"/>
                <w:szCs w:val="21"/>
                <w:highlight w:val="none"/>
              </w:rPr>
            </w:pPr>
            <w:r>
              <w:rPr>
                <w:rFonts w:hint="eastAsia" w:ascii="宋体" w:hAnsi="宋体" w:cs="宋体"/>
                <w:color w:val="auto"/>
                <w:szCs w:val="21"/>
                <w:highlight w:val="none"/>
              </w:rPr>
              <w:t>最高限价（元）</w:t>
            </w:r>
          </w:p>
        </w:tc>
        <w:tc>
          <w:tcPr>
            <w:tcW w:w="3543" w:type="dxa"/>
            <w:vAlign w:val="center"/>
          </w:tcPr>
          <w:p w14:paraId="62B46ECE">
            <w:pPr>
              <w:wordWrap w:val="0"/>
              <w:jc w:val="center"/>
              <w:rPr>
                <w:rFonts w:ascii="宋体" w:hAnsi="宋体" w:cs="宋体"/>
                <w:color w:val="auto"/>
                <w:szCs w:val="21"/>
                <w:highlight w:val="none"/>
              </w:rPr>
            </w:pPr>
            <w:r>
              <w:rPr>
                <w:rFonts w:hint="eastAsia" w:ascii="宋体" w:hAnsi="宋体" w:cs="宋体"/>
                <w:color w:val="auto"/>
                <w:szCs w:val="21"/>
                <w:highlight w:val="none"/>
              </w:rPr>
              <w:t>响应报价（小写，元）</w:t>
            </w:r>
          </w:p>
        </w:tc>
        <w:tc>
          <w:tcPr>
            <w:tcW w:w="851" w:type="dxa"/>
            <w:vAlign w:val="center"/>
          </w:tcPr>
          <w:p w14:paraId="3F0BBAE3">
            <w:pPr>
              <w:wordWrap w:val="0"/>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4BFB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772" w:type="dxa"/>
            <w:vAlign w:val="center"/>
          </w:tcPr>
          <w:p w14:paraId="60DED7E2">
            <w:pPr>
              <w:wordWrap w:val="0"/>
              <w:jc w:val="center"/>
              <w:rPr>
                <w:rFonts w:ascii="宋体" w:hAnsi="宋体" w:cs="宋体"/>
                <w:color w:val="auto"/>
                <w:szCs w:val="21"/>
                <w:highlight w:val="none"/>
              </w:rPr>
            </w:pPr>
            <w:r>
              <w:rPr>
                <w:rFonts w:hint="eastAsia" w:ascii="宋体" w:hAnsi="宋体" w:cs="宋体"/>
                <w:color w:val="auto"/>
                <w:szCs w:val="21"/>
                <w:highlight w:val="none"/>
              </w:rPr>
              <w:t>浙江工商职业技术学院学生文体活动中心改造项目</w:t>
            </w:r>
          </w:p>
        </w:tc>
        <w:tc>
          <w:tcPr>
            <w:tcW w:w="2164" w:type="dxa"/>
            <w:vAlign w:val="center"/>
          </w:tcPr>
          <w:p w14:paraId="600CDE07">
            <w:pPr>
              <w:wordWrap w:val="0"/>
              <w:jc w:val="center"/>
              <w:rPr>
                <w:rFonts w:ascii="宋体" w:hAnsi="宋体" w:cs="宋体"/>
                <w:color w:val="auto"/>
                <w:szCs w:val="21"/>
                <w:highlight w:val="none"/>
              </w:rPr>
            </w:pPr>
            <w:r>
              <w:rPr>
                <w:rFonts w:ascii="宋体" w:hAnsi="宋体" w:cs="宋体"/>
                <w:color w:val="auto"/>
                <w:szCs w:val="21"/>
                <w:highlight w:val="none"/>
              </w:rPr>
              <w:t>1810050</w:t>
            </w:r>
          </w:p>
        </w:tc>
        <w:tc>
          <w:tcPr>
            <w:tcW w:w="3543" w:type="dxa"/>
            <w:vAlign w:val="center"/>
          </w:tcPr>
          <w:p w14:paraId="68AEA615">
            <w:pPr>
              <w:wordWrap w:val="0"/>
              <w:jc w:val="center"/>
              <w:rPr>
                <w:rFonts w:ascii="宋体" w:hAnsi="宋体" w:cs="宋体"/>
                <w:color w:val="auto"/>
                <w:szCs w:val="21"/>
                <w:highlight w:val="none"/>
              </w:rPr>
            </w:pPr>
          </w:p>
        </w:tc>
        <w:tc>
          <w:tcPr>
            <w:tcW w:w="851" w:type="dxa"/>
            <w:vAlign w:val="center"/>
          </w:tcPr>
          <w:p w14:paraId="0F2650EB">
            <w:pPr>
              <w:wordWrap w:val="0"/>
              <w:jc w:val="center"/>
              <w:rPr>
                <w:rFonts w:ascii="宋体" w:hAnsi="宋体" w:cs="宋体"/>
                <w:color w:val="auto"/>
                <w:szCs w:val="21"/>
                <w:highlight w:val="none"/>
              </w:rPr>
            </w:pPr>
          </w:p>
        </w:tc>
      </w:tr>
      <w:tr w14:paraId="26AB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72" w:type="dxa"/>
            <w:vAlign w:val="center"/>
          </w:tcPr>
          <w:p w14:paraId="7747FF0F">
            <w:pPr>
              <w:wordWrap w:val="0"/>
              <w:jc w:val="center"/>
              <w:rPr>
                <w:rFonts w:ascii="宋体" w:hAnsi="宋体" w:cs="宋体"/>
                <w:color w:val="auto"/>
                <w:szCs w:val="21"/>
                <w:highlight w:val="none"/>
              </w:rPr>
            </w:pPr>
            <w:r>
              <w:rPr>
                <w:rFonts w:hint="eastAsia" w:ascii="宋体" w:hAnsi="宋体" w:cs="宋体"/>
                <w:color w:val="auto"/>
                <w:szCs w:val="21"/>
                <w:highlight w:val="none"/>
              </w:rPr>
              <w:t>响应报价（大写）</w:t>
            </w:r>
          </w:p>
        </w:tc>
        <w:tc>
          <w:tcPr>
            <w:tcW w:w="5707" w:type="dxa"/>
            <w:gridSpan w:val="2"/>
            <w:vAlign w:val="center"/>
          </w:tcPr>
          <w:p w14:paraId="2010E846">
            <w:pPr>
              <w:wordWrap w:val="0"/>
              <w:jc w:val="center"/>
              <w:rPr>
                <w:rFonts w:ascii="宋体" w:hAnsi="宋体" w:cs="宋体"/>
                <w:color w:val="auto"/>
                <w:szCs w:val="21"/>
                <w:highlight w:val="none"/>
              </w:rPr>
            </w:pPr>
          </w:p>
        </w:tc>
        <w:tc>
          <w:tcPr>
            <w:tcW w:w="851" w:type="dxa"/>
            <w:vAlign w:val="center"/>
          </w:tcPr>
          <w:p w14:paraId="43AB88CA">
            <w:pPr>
              <w:wordWrap w:val="0"/>
              <w:jc w:val="center"/>
              <w:rPr>
                <w:rFonts w:ascii="宋体" w:hAnsi="宋体" w:cs="宋体"/>
                <w:color w:val="auto"/>
                <w:szCs w:val="21"/>
                <w:highlight w:val="none"/>
              </w:rPr>
            </w:pPr>
          </w:p>
        </w:tc>
      </w:tr>
    </w:tbl>
    <w:p w14:paraId="1F2173DA">
      <w:pPr>
        <w:snapToGrid w:val="0"/>
        <w:spacing w:before="50" w:after="50" w:line="360" w:lineRule="auto"/>
        <w:ind w:left="-23" w:leftChars="-11" w:right="27" w:rightChars="13" w:firstLine="21" w:firstLineChars="10"/>
        <w:rPr>
          <w:rFonts w:ascii="宋体" w:hAnsi="宋体" w:cs="宋体"/>
          <w:bCs/>
          <w:color w:val="auto"/>
          <w:szCs w:val="21"/>
          <w:highlight w:val="none"/>
        </w:rPr>
      </w:pPr>
      <w:r>
        <w:rPr>
          <w:rFonts w:hint="eastAsia" w:ascii="宋体" w:hAnsi="宋体" w:cs="宋体"/>
          <w:bCs/>
          <w:color w:val="auto"/>
          <w:szCs w:val="21"/>
          <w:highlight w:val="none"/>
        </w:rPr>
        <w:t>注</w:t>
      </w:r>
      <w:r>
        <w:rPr>
          <w:rFonts w:ascii="宋体" w:hAnsi="宋体" w:cs="宋体"/>
          <w:bCs/>
          <w:color w:val="auto"/>
          <w:szCs w:val="21"/>
          <w:highlight w:val="none"/>
        </w:rPr>
        <w:t>：</w:t>
      </w:r>
    </w:p>
    <w:p w14:paraId="6166431E">
      <w:pPr>
        <w:snapToGrid w:val="0"/>
        <w:spacing w:before="50" w:after="50" w:line="360" w:lineRule="auto"/>
        <w:ind w:left="-23" w:leftChars="-11" w:right="27" w:rightChars="13" w:firstLine="21" w:firstLineChars="10"/>
        <w:rPr>
          <w:rFonts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w:t>
      </w:r>
      <w:r>
        <w:rPr>
          <w:rFonts w:hint="eastAsia" w:ascii="宋体" w:hAnsi="宋体" w:cs="宋体"/>
          <w:bCs/>
          <w:color w:val="auto"/>
          <w:szCs w:val="21"/>
          <w:highlight w:val="none"/>
        </w:rPr>
        <w:t>报价一经涂改，应在涂改处加盖单位公章或由法定代表人或其授权代表签字，否则磋商小组将不接受该修改内容。</w:t>
      </w:r>
    </w:p>
    <w:p w14:paraId="2B29B655">
      <w:pPr>
        <w:snapToGrid w:val="0"/>
        <w:spacing w:before="50" w:after="50" w:line="360" w:lineRule="auto"/>
        <w:ind w:left="-23" w:leftChars="-11" w:right="27" w:rightChars="13" w:firstLine="21" w:firstLineChars="10"/>
        <w:rPr>
          <w:rFonts w:ascii="宋体" w:hAnsi="宋体"/>
          <w:b/>
          <w:color w:val="auto"/>
          <w:highlight w:val="none"/>
        </w:rPr>
      </w:pPr>
      <w:r>
        <w:rPr>
          <w:rFonts w:hint="eastAsia" w:ascii="宋体" w:hAnsi="宋体"/>
          <w:b/>
          <w:color w:val="auto"/>
          <w:highlight w:val="none"/>
        </w:rPr>
        <w:t>2</w:t>
      </w:r>
      <w:r>
        <w:rPr>
          <w:rFonts w:ascii="宋体" w:hAnsi="宋体"/>
          <w:b/>
          <w:color w:val="auto"/>
          <w:highlight w:val="none"/>
        </w:rPr>
        <w:t>.</w:t>
      </w:r>
      <w:r>
        <w:rPr>
          <w:rFonts w:hint="eastAsia" w:ascii="宋体" w:hAnsi="宋体"/>
          <w:b/>
          <w:color w:val="auto"/>
          <w:highlight w:val="none"/>
        </w:rPr>
        <w:t>磋商小组认为供应商的报价有可能影响项目质量或者不能诚信履约的，磋商小组有权要求其在评审现场提供书面说明及证明材料。供应商不能证明报价合理性的，磋商小组有权将其作为无效响应处理。为此，</w:t>
      </w:r>
      <w:r>
        <w:rPr>
          <w:rFonts w:hint="eastAsia" w:ascii="宋体" w:hAnsi="宋体" w:cs="宋体"/>
          <w:b/>
          <w:bCs/>
          <w:color w:val="auto"/>
          <w:szCs w:val="21"/>
          <w:highlight w:val="none"/>
        </w:rPr>
        <w:t>请供应商在磋商前提前充分测算完成本项目所需的费用成本情况</w:t>
      </w:r>
      <w:r>
        <w:rPr>
          <w:rFonts w:hint="eastAsia" w:ascii="宋体" w:hAnsi="宋体"/>
          <w:b/>
          <w:color w:val="auto"/>
          <w:highlight w:val="none"/>
        </w:rPr>
        <w:t>，评审现场给予提供说明及证明材料的时间不超过</w:t>
      </w:r>
      <w:r>
        <w:rPr>
          <w:rFonts w:ascii="宋体" w:hAnsi="宋体"/>
          <w:b/>
          <w:color w:val="auto"/>
          <w:highlight w:val="none"/>
        </w:rPr>
        <w:t>1</w:t>
      </w:r>
      <w:r>
        <w:rPr>
          <w:rFonts w:hint="eastAsia" w:ascii="宋体" w:hAnsi="宋体"/>
          <w:b/>
          <w:color w:val="auto"/>
          <w:highlight w:val="none"/>
        </w:rPr>
        <w:t>小时，如供应商在评审现场以时间不足等各种理由推脱或在规定的时间内提供的说明及材料不能充分证明其报价合理性或拒绝提交说明及材料或仅提交简单的承诺说明而被认定为无效响应的后果均由供应商自行承担。</w:t>
      </w:r>
    </w:p>
    <w:p w14:paraId="7A44ABF3">
      <w:pPr>
        <w:snapToGrid w:val="0"/>
        <w:spacing w:line="360" w:lineRule="auto"/>
        <w:ind w:firstLine="420"/>
        <w:rPr>
          <w:rFonts w:ascii="宋体" w:hAnsi="宋体"/>
          <w:color w:val="auto"/>
          <w:szCs w:val="21"/>
          <w:highlight w:val="none"/>
        </w:rPr>
      </w:pPr>
    </w:p>
    <w:p w14:paraId="378577A6">
      <w:pPr>
        <w:pStyle w:val="2"/>
        <w:rPr>
          <w:rFonts w:ascii="宋体" w:hAnsi="宋体"/>
          <w:color w:val="auto"/>
          <w:highlight w:val="none"/>
        </w:rPr>
      </w:pPr>
    </w:p>
    <w:p w14:paraId="164BE436">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（填写全称并加盖公章)       </w:t>
      </w:r>
    </w:p>
    <w:p w14:paraId="787EBB56">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14:paraId="30E5DCA3">
      <w:pPr>
        <w:pStyle w:val="29"/>
        <w:rPr>
          <w:color w:val="auto"/>
          <w:highlight w:val="none"/>
        </w:rPr>
      </w:pPr>
    </w:p>
    <w:p w14:paraId="7D4E1F92">
      <w:pPr>
        <w:pStyle w:val="29"/>
        <w:rPr>
          <w:color w:val="auto"/>
          <w:highlight w:val="none"/>
        </w:rPr>
      </w:pPr>
    </w:p>
    <w:p w14:paraId="391E1362">
      <w:pPr>
        <w:pStyle w:val="29"/>
        <w:rPr>
          <w:color w:val="auto"/>
          <w:highlight w:val="none"/>
        </w:rPr>
      </w:pPr>
    </w:p>
    <w:p w14:paraId="51DA6D71">
      <w:pPr>
        <w:widowControl/>
        <w:jc w:val="left"/>
        <w:rPr>
          <w:rFonts w:ascii="宋体" w:hAnsi="宋体" w:cs="宋体"/>
          <w:b/>
          <w:bCs/>
          <w:color w:val="auto"/>
          <w:kern w:val="0"/>
          <w:szCs w:val="28"/>
          <w:highlight w:val="none"/>
        </w:rPr>
      </w:pPr>
      <w:r>
        <w:rPr>
          <w:rFonts w:ascii="宋体" w:hAnsi="宋体"/>
          <w:color w:val="auto"/>
          <w:highlight w:val="none"/>
        </w:rPr>
        <w:br w:type="page"/>
      </w:r>
    </w:p>
    <w:p w14:paraId="43A575E5">
      <w:pPr>
        <w:pStyle w:val="8"/>
        <w:spacing w:after="0" w:line="360" w:lineRule="auto"/>
        <w:ind w:left="0" w:leftChars="0"/>
        <w:jc w:val="center"/>
        <w:rPr>
          <w:rFonts w:ascii="宋体" w:hAnsi="宋体" w:cs="宋体"/>
          <w:b/>
          <w:color w:val="auto"/>
          <w:sz w:val="21"/>
          <w:szCs w:val="21"/>
          <w:highlight w:val="none"/>
        </w:rPr>
      </w:pPr>
      <w:r>
        <w:rPr>
          <w:rFonts w:hint="eastAsia" w:ascii="宋体" w:hAnsi="宋体" w:cs="宋体"/>
          <w:b/>
          <w:color w:val="auto"/>
          <w:sz w:val="21"/>
          <w:szCs w:val="21"/>
          <w:highlight w:val="none"/>
        </w:rPr>
        <w:t>（2）磋商控制价预算书确认单</w:t>
      </w:r>
    </w:p>
    <w:p w14:paraId="3DA8B6F8">
      <w:pPr>
        <w:tabs>
          <w:tab w:val="left" w:pos="0"/>
        </w:tabs>
        <w:wordWrap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rPr>
        <w:t>经核算，本单位对采购人提供的</w:t>
      </w:r>
      <w:r>
        <w:rPr>
          <w:rFonts w:hint="eastAsia" w:ascii="宋体" w:hAnsi="宋体" w:cs="宋体"/>
          <w:color w:val="auto"/>
          <w:szCs w:val="21"/>
          <w:highlight w:val="none"/>
          <w:u w:val="single"/>
        </w:rPr>
        <w:t>浙江工商职业技术学院学生文体活动中心改造项目（项目编号：NBMC-20252170G磋）</w:t>
      </w:r>
      <w:r>
        <w:rPr>
          <w:rFonts w:hint="eastAsia" w:ascii="宋体" w:hAnsi="宋体" w:cs="宋体"/>
          <w:color w:val="auto"/>
          <w:szCs w:val="21"/>
          <w:highlight w:val="none"/>
        </w:rPr>
        <w:t>的《工程造价咨询报告书》（招标控制价）内容予以认可，承诺以最后响应报价作为合同总价，并按采购文件约定的合同条款与采购人签订施工承包合同。</w:t>
      </w:r>
    </w:p>
    <w:p w14:paraId="0C802DB3">
      <w:pPr>
        <w:pStyle w:val="33"/>
        <w:ind w:firstLine="420"/>
        <w:rPr>
          <w:rFonts w:ascii="宋体" w:hAnsi="宋体" w:cs="宋体"/>
          <w:color w:val="auto"/>
          <w:highlight w:val="none"/>
        </w:rPr>
      </w:pPr>
    </w:p>
    <w:p w14:paraId="2C65EB32">
      <w:pPr>
        <w:pStyle w:val="33"/>
        <w:ind w:firstLine="420"/>
        <w:rPr>
          <w:rFonts w:ascii="宋体" w:hAnsi="宋体" w:cs="宋体"/>
          <w:color w:val="auto"/>
          <w:highlight w:val="none"/>
        </w:rPr>
      </w:pPr>
    </w:p>
    <w:p w14:paraId="5CFC955C">
      <w:pPr>
        <w:tabs>
          <w:tab w:val="left" w:pos="0"/>
        </w:tabs>
        <w:wordWrap w:val="0"/>
        <w:spacing w:line="480" w:lineRule="auto"/>
        <w:ind w:firstLine="420"/>
        <w:rPr>
          <w:rFonts w:ascii="宋体" w:hAnsi="宋体" w:cs="宋体"/>
          <w:color w:val="auto"/>
          <w:szCs w:val="21"/>
          <w:highlight w:val="none"/>
        </w:rPr>
      </w:pPr>
    </w:p>
    <w:p w14:paraId="60FACD1A">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（填写全称并加盖公章)       </w:t>
      </w:r>
    </w:p>
    <w:p w14:paraId="109B40C1">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14:paraId="2F0FEB94">
      <w:pPr>
        <w:widowControl/>
        <w:jc w:val="left"/>
        <w:rPr>
          <w:rFonts w:ascii="宋体" w:hAnsi="宋体" w:cs="宋体"/>
          <w:b/>
          <w:color w:val="auto"/>
          <w:szCs w:val="21"/>
          <w:highlight w:val="none"/>
        </w:rPr>
      </w:pPr>
    </w:p>
    <w:p w14:paraId="10CD60D7">
      <w:pPr>
        <w:widowControl/>
        <w:jc w:val="left"/>
        <w:rPr>
          <w:rFonts w:ascii="宋体" w:hAnsi="宋体" w:cs="宋体"/>
          <w:b/>
          <w:color w:val="auto"/>
          <w:szCs w:val="21"/>
          <w:highlight w:val="none"/>
        </w:rPr>
      </w:pPr>
    </w:p>
    <w:p w14:paraId="3208C3F1">
      <w:pPr>
        <w:widowControl/>
        <w:jc w:val="left"/>
        <w:rPr>
          <w:rFonts w:ascii="宋体" w:hAnsi="宋体" w:cs="宋体"/>
          <w:b/>
          <w:color w:val="auto"/>
          <w:szCs w:val="21"/>
          <w:highlight w:val="none"/>
        </w:rPr>
      </w:pPr>
    </w:p>
    <w:p w14:paraId="1551B1FF">
      <w:pPr>
        <w:widowControl/>
        <w:jc w:val="left"/>
        <w:rPr>
          <w:rFonts w:ascii="宋体" w:hAnsi="宋体" w:cs="宋体"/>
          <w:b/>
          <w:color w:val="auto"/>
          <w:szCs w:val="21"/>
          <w:highlight w:val="none"/>
        </w:rPr>
      </w:pPr>
    </w:p>
    <w:p w14:paraId="7A263503">
      <w:pPr>
        <w:widowControl/>
        <w:jc w:val="left"/>
        <w:rPr>
          <w:rFonts w:ascii="宋体" w:hAnsi="宋体" w:cs="宋体"/>
          <w:b/>
          <w:color w:val="auto"/>
          <w:szCs w:val="21"/>
          <w:highlight w:val="none"/>
        </w:rPr>
      </w:pPr>
    </w:p>
    <w:p w14:paraId="26CCA8D4">
      <w:pPr>
        <w:widowControl/>
        <w:jc w:val="left"/>
        <w:rPr>
          <w:rFonts w:ascii="宋体" w:hAnsi="宋体" w:cs="宋体"/>
          <w:b/>
          <w:color w:val="auto"/>
          <w:szCs w:val="21"/>
          <w:highlight w:val="none"/>
        </w:rPr>
      </w:pPr>
    </w:p>
    <w:p w14:paraId="1475A6DC">
      <w:pPr>
        <w:widowControl/>
        <w:jc w:val="left"/>
        <w:rPr>
          <w:rFonts w:ascii="宋体" w:hAnsi="宋体" w:cs="宋体"/>
          <w:b/>
          <w:color w:val="auto"/>
          <w:szCs w:val="21"/>
          <w:highlight w:val="none"/>
        </w:rPr>
      </w:pPr>
    </w:p>
    <w:p w14:paraId="008EF13C">
      <w:pPr>
        <w:widowControl/>
        <w:jc w:val="left"/>
        <w:rPr>
          <w:rFonts w:ascii="宋体" w:hAnsi="宋体" w:cs="宋体"/>
          <w:b/>
          <w:color w:val="auto"/>
          <w:szCs w:val="21"/>
          <w:highlight w:val="none"/>
        </w:rPr>
      </w:pPr>
    </w:p>
    <w:p w14:paraId="06C93DD4">
      <w:pPr>
        <w:widowControl/>
        <w:jc w:val="left"/>
        <w:rPr>
          <w:rFonts w:ascii="宋体" w:hAnsi="宋体" w:cs="宋体"/>
          <w:b/>
          <w:color w:val="auto"/>
          <w:szCs w:val="21"/>
          <w:highlight w:val="none"/>
        </w:rPr>
      </w:pPr>
    </w:p>
    <w:p w14:paraId="715595E0">
      <w:pPr>
        <w:widowControl/>
        <w:jc w:val="left"/>
        <w:rPr>
          <w:rFonts w:ascii="宋体" w:hAnsi="宋体" w:cs="宋体"/>
          <w:b/>
          <w:color w:val="auto"/>
          <w:szCs w:val="21"/>
          <w:highlight w:val="none"/>
        </w:rPr>
      </w:pPr>
    </w:p>
    <w:p w14:paraId="7B63AFFD">
      <w:pPr>
        <w:widowControl/>
        <w:jc w:val="left"/>
        <w:rPr>
          <w:rFonts w:ascii="宋体" w:hAnsi="宋体" w:cs="宋体"/>
          <w:b/>
          <w:color w:val="auto"/>
          <w:szCs w:val="21"/>
          <w:highlight w:val="none"/>
        </w:rPr>
      </w:pPr>
    </w:p>
    <w:p w14:paraId="3A637E03">
      <w:pPr>
        <w:widowControl/>
        <w:jc w:val="left"/>
        <w:rPr>
          <w:rFonts w:ascii="宋体" w:hAnsi="宋体" w:cs="宋体"/>
          <w:b/>
          <w:color w:val="auto"/>
          <w:kern w:val="0"/>
          <w:szCs w:val="21"/>
          <w:highlight w:val="none"/>
        </w:rPr>
      </w:pPr>
      <w:r>
        <w:rPr>
          <w:rFonts w:ascii="宋体" w:hAnsi="宋体" w:cs="宋体"/>
          <w:b/>
          <w:color w:val="auto"/>
          <w:szCs w:val="21"/>
          <w:highlight w:val="none"/>
        </w:rPr>
        <w:br w:type="page"/>
      </w:r>
    </w:p>
    <w:p w14:paraId="15E611BC">
      <w:pPr>
        <w:pStyle w:val="8"/>
        <w:spacing w:after="0" w:line="360" w:lineRule="auto"/>
        <w:ind w:left="0" w:leftChars="0" w:firstLine="422"/>
        <w:jc w:val="center"/>
        <w:rPr>
          <w:rFonts w:ascii="宋体" w:hAnsi="宋体" w:cs="宋体"/>
          <w:b/>
          <w:color w:val="auto"/>
          <w:sz w:val="21"/>
          <w:szCs w:val="21"/>
          <w:highlight w:val="none"/>
        </w:rPr>
      </w:pPr>
      <w:r>
        <w:rPr>
          <w:rFonts w:hint="eastAsia" w:ascii="宋体" w:hAnsi="宋体" w:cs="宋体"/>
          <w:b/>
          <w:color w:val="auto"/>
          <w:sz w:val="21"/>
          <w:szCs w:val="21"/>
          <w:highlight w:val="none"/>
        </w:rPr>
        <w:t>（3）报价合理性说明</w:t>
      </w:r>
    </w:p>
    <w:p w14:paraId="36430834">
      <w:pPr>
        <w:spacing w:line="360" w:lineRule="auto"/>
        <w:ind w:left="-2" w:leftChars="-1"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供应商应当做好详细且依据充分的报价合理性的书面说明材料，有下列情形之一的，将视为不合理报价作响应无效处理：</w:t>
      </w:r>
    </w:p>
    <w:p w14:paraId="449E817E">
      <w:pPr>
        <w:spacing w:line="360" w:lineRule="auto"/>
        <w:ind w:left="-2" w:leftChars="-1"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（1）对于最后报价低于最高限价</w:t>
      </w:r>
      <w:r>
        <w:rPr>
          <w:rFonts w:ascii="宋体" w:hAnsi="宋体" w:cs="宋体"/>
          <w:bCs/>
          <w:color w:val="auto"/>
          <w:kern w:val="0"/>
          <w:szCs w:val="21"/>
          <w:highlight w:val="none"/>
        </w:rPr>
        <w:t>85</w:t>
      </w:r>
      <w:r>
        <w:rPr>
          <w:rFonts w:hint="eastAsia" w:ascii="宋体" w:hAnsi="宋体" w:cs="宋体"/>
          <w:bCs/>
          <w:color w:val="auto"/>
          <w:kern w:val="0"/>
          <w:szCs w:val="21"/>
          <w:highlight w:val="none"/>
        </w:rPr>
        <w:t>%（即人民币1538542.5元）的响应报价，供应商未在规定时间内提供报价合理性的书面说明材料（至少包括工程量清单综合单价工料分析表、措施项目清单综合单价工料分析表、类似项目主材进货发票寄进货明细）；</w:t>
      </w:r>
    </w:p>
    <w:p w14:paraId="0FDA8702">
      <w:pPr>
        <w:spacing w:line="360" w:lineRule="auto"/>
        <w:ind w:left="-2" w:leftChars="-1"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2）磋商小组认为供应商的报价明显低于其他通过响应性审查供应商的报价，有可能影响工程质量或者不能诚信履约的，且供应商未在1小时内向磋商小组提供报价合理性的书面说明材料（至少包括工程量清单综合单价工料分析表、措施项目清单综合单价工料分析表、类似项目主材进货发票寄进货明细）；</w:t>
      </w:r>
    </w:p>
    <w:p w14:paraId="4D7A0F19">
      <w:pPr>
        <w:spacing w:line="360" w:lineRule="auto"/>
        <w:ind w:left="-2" w:leftChars="-1"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（3）供应商虽然提供了书面说明材料，但材料内容不完整、或依据不充分、或磋商小组经分析认为其依据不合理。</w:t>
      </w:r>
    </w:p>
    <w:p w14:paraId="5EA214D6">
      <w:pPr>
        <w:pStyle w:val="2"/>
        <w:spacing w:after="0" w:line="360" w:lineRule="auto"/>
        <w:ind w:firstLine="211"/>
        <w:rPr>
          <w:rFonts w:ascii="宋体" w:hAnsi="宋体" w:cs="宋体"/>
          <w:b/>
          <w:color w:val="auto"/>
          <w:sz w:val="21"/>
          <w:szCs w:val="21"/>
          <w:highlight w:val="none"/>
        </w:rPr>
      </w:pPr>
    </w:p>
    <w:p w14:paraId="0B063F05">
      <w:pPr>
        <w:pStyle w:val="2"/>
        <w:rPr>
          <w:rFonts w:ascii="宋体" w:hAnsi="宋体"/>
          <w:color w:val="auto"/>
          <w:highlight w:val="none"/>
        </w:rPr>
      </w:pPr>
    </w:p>
    <w:p w14:paraId="09AC5E2A">
      <w:pPr>
        <w:pStyle w:val="2"/>
        <w:rPr>
          <w:rFonts w:ascii="宋体" w:hAnsi="宋体"/>
          <w:color w:val="auto"/>
          <w:highlight w:val="none"/>
        </w:rPr>
      </w:pPr>
    </w:p>
    <w:p w14:paraId="34A51F57">
      <w:pPr>
        <w:pStyle w:val="2"/>
        <w:rPr>
          <w:rFonts w:ascii="宋体" w:hAnsi="宋体"/>
          <w:color w:val="auto"/>
          <w:highlight w:val="none"/>
        </w:rPr>
      </w:pPr>
    </w:p>
    <w:p w14:paraId="3DB01B48">
      <w:pPr>
        <w:pStyle w:val="2"/>
        <w:rPr>
          <w:rFonts w:ascii="宋体" w:hAnsi="宋体"/>
          <w:color w:val="auto"/>
          <w:highlight w:val="none"/>
        </w:rPr>
      </w:pPr>
    </w:p>
    <w:p w14:paraId="2813685B">
      <w:pPr>
        <w:snapToGrid w:val="0"/>
        <w:spacing w:before="50" w:after="50" w:line="360" w:lineRule="auto"/>
        <w:ind w:left="-23" w:leftChars="-11" w:right="27" w:rightChars="13" w:firstLine="21" w:firstLineChars="10"/>
        <w:rPr>
          <w:rFonts w:ascii="宋体" w:hAnsi="宋体" w:cs="宋体"/>
          <w:b/>
          <w:color w:val="auto"/>
          <w:highlight w:val="none"/>
        </w:rPr>
      </w:pPr>
      <w:r>
        <w:rPr>
          <w:rFonts w:hint="eastAsia" w:ascii="宋体" w:hAnsi="宋体"/>
          <w:b/>
          <w:color w:val="auto"/>
          <w:highlight w:val="none"/>
        </w:rPr>
        <w:t>注：</w:t>
      </w:r>
      <w:r>
        <w:rPr>
          <w:rFonts w:hint="eastAsia" w:ascii="宋体" w:hAnsi="宋体" w:cs="宋体"/>
          <w:b/>
          <w:color w:val="auto"/>
          <w:highlight w:val="none"/>
        </w:rPr>
        <w:t>请供应商提前做好说明及证明材料的准备，否则自行承担因不能在规定时间按照规定要求提交相关材料导致被认定为响应无效的后果。</w:t>
      </w:r>
    </w:p>
    <w:p w14:paraId="0B9744AD">
      <w:pPr>
        <w:pStyle w:val="2"/>
        <w:rPr>
          <w:rFonts w:ascii="宋体" w:hAnsi="宋体"/>
          <w:color w:val="auto"/>
          <w:highlight w:val="none"/>
        </w:rPr>
      </w:pPr>
    </w:p>
    <w:p w14:paraId="45325D9D">
      <w:pPr>
        <w:pStyle w:val="2"/>
        <w:rPr>
          <w:rFonts w:ascii="宋体" w:hAnsi="宋体"/>
          <w:color w:val="auto"/>
          <w:highlight w:val="none"/>
        </w:rPr>
      </w:pPr>
    </w:p>
    <w:p w14:paraId="383E35CA">
      <w:pPr>
        <w:pStyle w:val="2"/>
        <w:rPr>
          <w:rFonts w:ascii="宋体" w:hAnsi="宋体"/>
          <w:color w:val="auto"/>
          <w:highlight w:val="none"/>
        </w:rPr>
        <w:sectPr>
          <w:pgSz w:w="11906" w:h="16838"/>
          <w:pgMar w:top="1276" w:right="1983" w:bottom="1276" w:left="1610" w:header="426" w:footer="851" w:gutter="0"/>
          <w:cols w:space="720" w:num="1"/>
          <w:docGrid w:linePitch="312" w:charSpace="0"/>
        </w:sectPr>
      </w:pPr>
    </w:p>
    <w:tbl>
      <w:tblPr>
        <w:tblStyle w:val="17"/>
        <w:tblW w:w="15077" w:type="dxa"/>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7F69925C">
        <w:tblPrEx>
          <w:tblCellMar>
            <w:top w:w="0" w:type="dxa"/>
            <w:left w:w="108" w:type="dxa"/>
            <w:bottom w:w="0" w:type="dxa"/>
            <w:right w:w="108" w:type="dxa"/>
          </w:tblCellMar>
        </w:tblPrEx>
        <w:trPr>
          <w:trHeight w:val="450" w:hRule="atLeast"/>
        </w:trPr>
        <w:tc>
          <w:tcPr>
            <w:tcW w:w="15077" w:type="dxa"/>
            <w:gridSpan w:val="11"/>
            <w:tcBorders>
              <w:top w:val="nil"/>
              <w:left w:val="nil"/>
              <w:bottom w:val="nil"/>
              <w:right w:val="nil"/>
            </w:tcBorders>
            <w:vAlign w:val="bottom"/>
          </w:tcPr>
          <w:p w14:paraId="45A2537C">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14:paraId="17FE73C3">
        <w:tblPrEx>
          <w:tblCellMar>
            <w:top w:w="0" w:type="dxa"/>
            <w:left w:w="108" w:type="dxa"/>
            <w:bottom w:w="0" w:type="dxa"/>
            <w:right w:w="108" w:type="dxa"/>
          </w:tblCellMar>
        </w:tblPrEx>
        <w:trPr>
          <w:gridAfter w:val="1"/>
          <w:wAfter w:w="3" w:type="dxa"/>
          <w:trHeight w:val="283" w:hRule="atLeast"/>
        </w:trPr>
        <w:tc>
          <w:tcPr>
            <w:tcW w:w="2004" w:type="dxa"/>
            <w:vMerge w:val="restart"/>
            <w:tcBorders>
              <w:top w:val="single" w:color="auto" w:sz="8" w:space="0"/>
              <w:left w:val="single" w:color="auto" w:sz="8" w:space="0"/>
              <w:bottom w:val="single" w:color="000000" w:sz="4" w:space="0"/>
              <w:right w:val="single" w:color="auto" w:sz="8" w:space="0"/>
            </w:tcBorders>
            <w:vAlign w:val="center"/>
          </w:tcPr>
          <w:p w14:paraId="1020DD38">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70" w:type="dxa"/>
            <w:gridSpan w:val="3"/>
            <w:tcBorders>
              <w:top w:val="single" w:color="auto" w:sz="8" w:space="0"/>
              <w:left w:val="nil"/>
              <w:bottom w:val="single" w:color="auto" w:sz="4" w:space="0"/>
              <w:right w:val="single" w:color="000000" w:sz="8" w:space="0"/>
            </w:tcBorders>
            <w:vAlign w:val="bottom"/>
          </w:tcPr>
          <w:p w14:paraId="57D36251">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82" w:type="dxa"/>
            <w:gridSpan w:val="3"/>
            <w:tcBorders>
              <w:top w:val="single" w:color="auto" w:sz="8" w:space="0"/>
              <w:left w:val="nil"/>
              <w:bottom w:val="single" w:color="auto" w:sz="4" w:space="0"/>
              <w:right w:val="single" w:color="000000" w:sz="8" w:space="0"/>
            </w:tcBorders>
            <w:vAlign w:val="bottom"/>
          </w:tcPr>
          <w:p w14:paraId="636FA75F">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18" w:type="dxa"/>
            <w:gridSpan w:val="3"/>
            <w:tcBorders>
              <w:top w:val="single" w:color="auto" w:sz="8" w:space="0"/>
              <w:left w:val="nil"/>
              <w:bottom w:val="single" w:color="auto" w:sz="4" w:space="0"/>
              <w:right w:val="single" w:color="000000" w:sz="8" w:space="0"/>
            </w:tcBorders>
            <w:vAlign w:val="bottom"/>
          </w:tcPr>
          <w:p w14:paraId="4D74E192">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674B42F7">
        <w:tblPrEx>
          <w:tblCellMar>
            <w:top w:w="0" w:type="dxa"/>
            <w:left w:w="108" w:type="dxa"/>
            <w:bottom w:w="0" w:type="dxa"/>
            <w:right w:w="108" w:type="dxa"/>
          </w:tblCellMar>
        </w:tblPrEx>
        <w:trPr>
          <w:gridAfter w:val="1"/>
          <w:wAfter w:w="6" w:type="dxa"/>
          <w:trHeight w:val="283" w:hRule="atLeast"/>
        </w:trPr>
        <w:tc>
          <w:tcPr>
            <w:tcW w:w="2004" w:type="dxa"/>
            <w:vMerge w:val="continue"/>
            <w:tcBorders>
              <w:top w:val="single" w:color="auto" w:sz="8" w:space="0"/>
              <w:left w:val="single" w:color="auto" w:sz="8" w:space="0"/>
              <w:bottom w:val="single" w:color="000000" w:sz="4" w:space="0"/>
              <w:right w:val="single" w:color="auto" w:sz="8" w:space="0"/>
            </w:tcBorders>
            <w:vAlign w:val="center"/>
          </w:tcPr>
          <w:p w14:paraId="17ABAB87">
            <w:pPr>
              <w:widowControl/>
              <w:jc w:val="left"/>
              <w:rPr>
                <w:rFonts w:ascii="宋体" w:hAnsi="宋体" w:cs="宋体"/>
                <w:b/>
                <w:bCs/>
                <w:color w:val="auto"/>
                <w:kern w:val="0"/>
                <w:sz w:val="24"/>
                <w:highlight w:val="none"/>
              </w:rPr>
            </w:pPr>
          </w:p>
        </w:tc>
        <w:tc>
          <w:tcPr>
            <w:tcW w:w="1513" w:type="dxa"/>
            <w:tcBorders>
              <w:top w:val="nil"/>
              <w:left w:val="nil"/>
              <w:bottom w:val="single" w:color="auto" w:sz="4" w:space="0"/>
              <w:right w:val="single" w:color="auto" w:sz="4" w:space="0"/>
            </w:tcBorders>
            <w:vAlign w:val="bottom"/>
          </w:tcPr>
          <w:p w14:paraId="2FE0098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80" w:type="dxa"/>
            <w:tcBorders>
              <w:top w:val="nil"/>
              <w:left w:val="nil"/>
              <w:bottom w:val="single" w:color="auto" w:sz="4" w:space="0"/>
              <w:right w:val="single" w:color="auto" w:sz="4" w:space="0"/>
            </w:tcBorders>
            <w:vAlign w:val="bottom"/>
          </w:tcPr>
          <w:p w14:paraId="40DB1FD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31616F1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76" w:type="dxa"/>
            <w:tcBorders>
              <w:top w:val="nil"/>
              <w:left w:val="nil"/>
              <w:bottom w:val="single" w:color="auto" w:sz="4" w:space="0"/>
              <w:right w:val="single" w:color="auto" w:sz="8" w:space="0"/>
            </w:tcBorders>
            <w:vAlign w:val="bottom"/>
          </w:tcPr>
          <w:p w14:paraId="01EFCC7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678344B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52" w:type="dxa"/>
            <w:tcBorders>
              <w:top w:val="nil"/>
              <w:left w:val="nil"/>
              <w:bottom w:val="single" w:color="auto" w:sz="4" w:space="0"/>
              <w:right w:val="single" w:color="auto" w:sz="4" w:space="0"/>
            </w:tcBorders>
            <w:vAlign w:val="bottom"/>
          </w:tcPr>
          <w:p w14:paraId="31F04B1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94" w:type="dxa"/>
            <w:tcBorders>
              <w:top w:val="nil"/>
              <w:left w:val="nil"/>
              <w:bottom w:val="single" w:color="auto" w:sz="4" w:space="0"/>
              <w:right w:val="single" w:color="auto" w:sz="4" w:space="0"/>
            </w:tcBorders>
            <w:vAlign w:val="bottom"/>
          </w:tcPr>
          <w:p w14:paraId="6A7DB90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7430FFB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5" w:type="dxa"/>
            <w:tcBorders>
              <w:top w:val="nil"/>
              <w:left w:val="nil"/>
              <w:bottom w:val="single" w:color="auto" w:sz="4" w:space="0"/>
              <w:right w:val="single" w:color="auto" w:sz="8" w:space="0"/>
            </w:tcBorders>
            <w:vAlign w:val="bottom"/>
          </w:tcPr>
          <w:p w14:paraId="16CDE63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7405BFB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97" w:type="dxa"/>
            <w:tcBorders>
              <w:top w:val="nil"/>
              <w:left w:val="nil"/>
              <w:bottom w:val="single" w:color="auto" w:sz="4" w:space="0"/>
              <w:right w:val="single" w:color="auto" w:sz="4" w:space="0"/>
            </w:tcBorders>
            <w:vAlign w:val="bottom"/>
          </w:tcPr>
          <w:p w14:paraId="1B99CE3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7" w:type="dxa"/>
            <w:tcBorders>
              <w:top w:val="nil"/>
              <w:left w:val="nil"/>
              <w:bottom w:val="single" w:color="auto" w:sz="4" w:space="0"/>
              <w:right w:val="single" w:color="auto" w:sz="4" w:space="0"/>
            </w:tcBorders>
            <w:vAlign w:val="bottom"/>
          </w:tcPr>
          <w:p w14:paraId="7688E6E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3" w:type="dxa"/>
            <w:tcBorders>
              <w:top w:val="nil"/>
              <w:left w:val="nil"/>
              <w:bottom w:val="single" w:color="auto" w:sz="4" w:space="0"/>
              <w:right w:val="single" w:color="auto" w:sz="8" w:space="0"/>
            </w:tcBorders>
            <w:vAlign w:val="bottom"/>
          </w:tcPr>
          <w:p w14:paraId="7D0FEED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14:paraId="63DA2EF9">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4D54DDDD">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13" w:type="dxa"/>
            <w:tcBorders>
              <w:top w:val="nil"/>
              <w:left w:val="nil"/>
              <w:bottom w:val="single" w:color="auto" w:sz="4" w:space="0"/>
              <w:right w:val="single" w:color="auto" w:sz="4" w:space="0"/>
            </w:tcBorders>
            <w:vAlign w:val="center"/>
          </w:tcPr>
          <w:p w14:paraId="4BD042D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80" w:type="dxa"/>
            <w:tcBorders>
              <w:top w:val="nil"/>
              <w:left w:val="nil"/>
              <w:bottom w:val="single" w:color="auto" w:sz="4" w:space="0"/>
              <w:right w:val="single" w:color="auto" w:sz="4" w:space="0"/>
            </w:tcBorders>
            <w:vAlign w:val="center"/>
          </w:tcPr>
          <w:p w14:paraId="0FA15753">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6" w:type="dxa"/>
            <w:tcBorders>
              <w:top w:val="nil"/>
              <w:left w:val="nil"/>
              <w:bottom w:val="single" w:color="auto" w:sz="4" w:space="0"/>
              <w:right w:val="single" w:color="auto" w:sz="8" w:space="0"/>
            </w:tcBorders>
            <w:vAlign w:val="center"/>
          </w:tcPr>
          <w:p w14:paraId="3B9FD27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7D5AB5E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14:paraId="1C00B350">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5" w:type="dxa"/>
            <w:tcBorders>
              <w:top w:val="nil"/>
              <w:left w:val="nil"/>
              <w:bottom w:val="single" w:color="auto" w:sz="4" w:space="0"/>
              <w:right w:val="single" w:color="auto" w:sz="8" w:space="0"/>
            </w:tcBorders>
            <w:vAlign w:val="center"/>
          </w:tcPr>
          <w:p w14:paraId="61EBC2A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2C9667A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14:paraId="2113C20C">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3" w:type="dxa"/>
            <w:tcBorders>
              <w:top w:val="nil"/>
              <w:left w:val="nil"/>
              <w:bottom w:val="single" w:color="auto" w:sz="4" w:space="0"/>
              <w:right w:val="single" w:color="auto" w:sz="8" w:space="0"/>
            </w:tcBorders>
            <w:vAlign w:val="center"/>
          </w:tcPr>
          <w:p w14:paraId="0E07FF4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BFCE7AB">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4448E5EA">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13" w:type="dxa"/>
            <w:tcBorders>
              <w:top w:val="nil"/>
              <w:left w:val="nil"/>
              <w:bottom w:val="single" w:color="auto" w:sz="4" w:space="0"/>
              <w:right w:val="single" w:color="auto" w:sz="4" w:space="0"/>
            </w:tcBorders>
            <w:vAlign w:val="center"/>
          </w:tcPr>
          <w:p w14:paraId="3BA92B95">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80" w:type="dxa"/>
            <w:tcBorders>
              <w:top w:val="nil"/>
              <w:left w:val="nil"/>
              <w:bottom w:val="single" w:color="auto" w:sz="4" w:space="0"/>
              <w:right w:val="single" w:color="auto" w:sz="4" w:space="0"/>
            </w:tcBorders>
            <w:vAlign w:val="center"/>
          </w:tcPr>
          <w:p w14:paraId="63F9CA58">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6" w:type="dxa"/>
            <w:tcBorders>
              <w:top w:val="nil"/>
              <w:left w:val="nil"/>
              <w:bottom w:val="single" w:color="auto" w:sz="4" w:space="0"/>
              <w:right w:val="single" w:color="auto" w:sz="8" w:space="0"/>
            </w:tcBorders>
            <w:vAlign w:val="center"/>
          </w:tcPr>
          <w:p w14:paraId="00D47C4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72B1196B">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14:paraId="0F29055A">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5" w:type="dxa"/>
            <w:tcBorders>
              <w:top w:val="nil"/>
              <w:left w:val="nil"/>
              <w:bottom w:val="single" w:color="auto" w:sz="4" w:space="0"/>
              <w:right w:val="single" w:color="auto" w:sz="8" w:space="0"/>
            </w:tcBorders>
            <w:vAlign w:val="center"/>
          </w:tcPr>
          <w:p w14:paraId="33BF06D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42773CD4">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14:paraId="7365641C">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3" w:type="dxa"/>
            <w:tcBorders>
              <w:top w:val="nil"/>
              <w:left w:val="nil"/>
              <w:bottom w:val="single" w:color="auto" w:sz="4" w:space="0"/>
              <w:right w:val="single" w:color="auto" w:sz="8" w:space="0"/>
            </w:tcBorders>
            <w:vAlign w:val="center"/>
          </w:tcPr>
          <w:p w14:paraId="13BE70D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BFF4E69">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005037A2">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13" w:type="dxa"/>
            <w:tcBorders>
              <w:top w:val="nil"/>
              <w:left w:val="nil"/>
              <w:bottom w:val="single" w:color="auto" w:sz="4" w:space="0"/>
              <w:right w:val="single" w:color="auto" w:sz="4" w:space="0"/>
            </w:tcBorders>
            <w:vAlign w:val="center"/>
          </w:tcPr>
          <w:p w14:paraId="2072F14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80" w:type="dxa"/>
            <w:tcBorders>
              <w:top w:val="nil"/>
              <w:left w:val="nil"/>
              <w:bottom w:val="single" w:color="auto" w:sz="4" w:space="0"/>
              <w:right w:val="single" w:color="auto" w:sz="4" w:space="0"/>
            </w:tcBorders>
            <w:vAlign w:val="center"/>
          </w:tcPr>
          <w:p w14:paraId="749F302B">
            <w:pPr>
              <w:widowControl/>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6" w:type="dxa"/>
            <w:tcBorders>
              <w:top w:val="nil"/>
              <w:left w:val="nil"/>
              <w:bottom w:val="single" w:color="auto" w:sz="4" w:space="0"/>
              <w:right w:val="single" w:color="auto" w:sz="8" w:space="0"/>
            </w:tcBorders>
            <w:vAlign w:val="center"/>
          </w:tcPr>
          <w:p w14:paraId="1A07E81F">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52" w:type="dxa"/>
            <w:tcBorders>
              <w:top w:val="nil"/>
              <w:left w:val="nil"/>
              <w:bottom w:val="single" w:color="auto" w:sz="4" w:space="0"/>
              <w:right w:val="single" w:color="auto" w:sz="4" w:space="0"/>
            </w:tcBorders>
            <w:vAlign w:val="center"/>
          </w:tcPr>
          <w:p w14:paraId="3C60A28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14:paraId="6248413A">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5" w:type="dxa"/>
            <w:tcBorders>
              <w:top w:val="nil"/>
              <w:left w:val="nil"/>
              <w:bottom w:val="single" w:color="auto" w:sz="4" w:space="0"/>
              <w:right w:val="single" w:color="auto" w:sz="8" w:space="0"/>
            </w:tcBorders>
            <w:vAlign w:val="center"/>
          </w:tcPr>
          <w:p w14:paraId="08FB37A6">
            <w:pPr>
              <w:widowControl/>
              <w:rPr>
                <w:rFonts w:ascii="宋体" w:hAnsi="宋体" w:cs="宋体"/>
                <w:color w:val="auto"/>
                <w:kern w:val="0"/>
                <w:sz w:val="20"/>
                <w:highlight w:val="none"/>
              </w:rPr>
            </w:pPr>
            <w:r>
              <w:rPr>
                <w:rFonts w:ascii="宋体" w:hAnsi="宋体" w:cs="宋体"/>
                <w:color w:val="auto"/>
                <w:kern w:val="0"/>
                <w:sz w:val="20"/>
                <w:highlight w:val="none"/>
              </w:rPr>
              <w:t xml:space="preserve"> 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vAlign w:val="center"/>
          </w:tcPr>
          <w:p w14:paraId="28928C2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14:paraId="1917C4DB">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3" w:type="dxa"/>
            <w:tcBorders>
              <w:top w:val="nil"/>
              <w:left w:val="nil"/>
              <w:bottom w:val="single" w:color="auto" w:sz="4" w:space="0"/>
              <w:right w:val="single" w:color="auto" w:sz="8" w:space="0"/>
            </w:tcBorders>
            <w:vAlign w:val="center"/>
          </w:tcPr>
          <w:p w14:paraId="3FE7D5BB">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14:paraId="2D86EBB6">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4C6FE610">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13" w:type="dxa"/>
            <w:tcBorders>
              <w:top w:val="nil"/>
              <w:left w:val="nil"/>
              <w:bottom w:val="single" w:color="auto" w:sz="4" w:space="0"/>
              <w:right w:val="single" w:color="auto" w:sz="4" w:space="0"/>
            </w:tcBorders>
            <w:vAlign w:val="center"/>
          </w:tcPr>
          <w:p w14:paraId="7BD9DE6F">
            <w:pPr>
              <w:widowControl/>
              <w:rPr>
                <w:rFonts w:ascii="宋体" w:hAnsi="宋体" w:cs="宋体"/>
                <w:color w:val="auto"/>
                <w:kern w:val="0"/>
                <w:sz w:val="20"/>
                <w:highlight w:val="none"/>
              </w:rPr>
            </w:pPr>
            <w:r>
              <w:rPr>
                <w:rFonts w:ascii="宋体" w:hAnsi="宋体" w:cs="宋体"/>
                <w:color w:val="auto"/>
                <w:kern w:val="0"/>
                <w:sz w:val="20"/>
                <w:highlight w:val="none"/>
              </w:rPr>
              <w:t xml:space="preserve"> 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80" w:type="dxa"/>
            <w:tcBorders>
              <w:top w:val="nil"/>
              <w:left w:val="nil"/>
              <w:bottom w:val="single" w:color="auto" w:sz="4" w:space="0"/>
              <w:right w:val="single" w:color="auto" w:sz="4" w:space="0"/>
            </w:tcBorders>
            <w:vAlign w:val="center"/>
          </w:tcPr>
          <w:p w14:paraId="7037345E">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6" w:type="dxa"/>
            <w:tcBorders>
              <w:top w:val="nil"/>
              <w:left w:val="nil"/>
              <w:bottom w:val="single" w:color="auto" w:sz="4" w:space="0"/>
              <w:right w:val="single" w:color="auto" w:sz="8" w:space="0"/>
            </w:tcBorders>
            <w:vAlign w:val="center"/>
          </w:tcPr>
          <w:p w14:paraId="10E0F7A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2189A51A">
            <w:pPr>
              <w:widowControl/>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94" w:type="dxa"/>
            <w:tcBorders>
              <w:top w:val="nil"/>
              <w:left w:val="nil"/>
              <w:bottom w:val="single" w:color="auto" w:sz="4" w:space="0"/>
              <w:right w:val="single" w:color="auto" w:sz="4" w:space="0"/>
            </w:tcBorders>
            <w:vAlign w:val="center"/>
          </w:tcPr>
          <w:p w14:paraId="388F8B58">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5" w:type="dxa"/>
            <w:tcBorders>
              <w:top w:val="nil"/>
              <w:left w:val="nil"/>
              <w:bottom w:val="single" w:color="auto" w:sz="4" w:space="0"/>
              <w:right w:val="single" w:color="auto" w:sz="8" w:space="0"/>
            </w:tcBorders>
            <w:vAlign w:val="center"/>
          </w:tcPr>
          <w:p w14:paraId="75E191F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69A8EF17">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7" w:type="dxa"/>
            <w:tcBorders>
              <w:top w:val="nil"/>
              <w:left w:val="nil"/>
              <w:bottom w:val="single" w:color="auto" w:sz="4" w:space="0"/>
              <w:right w:val="single" w:color="auto" w:sz="4" w:space="0"/>
            </w:tcBorders>
            <w:vAlign w:val="center"/>
          </w:tcPr>
          <w:p w14:paraId="10E94111">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3" w:type="dxa"/>
            <w:tcBorders>
              <w:top w:val="nil"/>
              <w:left w:val="nil"/>
              <w:bottom w:val="single" w:color="auto" w:sz="4" w:space="0"/>
              <w:right w:val="single" w:color="auto" w:sz="8" w:space="0"/>
            </w:tcBorders>
            <w:vAlign w:val="center"/>
          </w:tcPr>
          <w:p w14:paraId="5F71D86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437519C">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2C0D833B">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13" w:type="dxa"/>
            <w:tcBorders>
              <w:top w:val="nil"/>
              <w:left w:val="nil"/>
              <w:bottom w:val="single" w:color="auto" w:sz="4" w:space="0"/>
              <w:right w:val="single" w:color="auto" w:sz="4" w:space="0"/>
            </w:tcBorders>
            <w:vAlign w:val="center"/>
          </w:tcPr>
          <w:p w14:paraId="1D70274E">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0" w:type="dxa"/>
            <w:tcBorders>
              <w:top w:val="nil"/>
              <w:left w:val="nil"/>
              <w:bottom w:val="single" w:color="auto" w:sz="4" w:space="0"/>
              <w:right w:val="single" w:color="auto" w:sz="4" w:space="0"/>
            </w:tcBorders>
            <w:vAlign w:val="center"/>
          </w:tcPr>
          <w:p w14:paraId="72A0B001">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6" w:type="dxa"/>
            <w:tcBorders>
              <w:top w:val="nil"/>
              <w:left w:val="nil"/>
              <w:bottom w:val="single" w:color="auto" w:sz="4" w:space="0"/>
              <w:right w:val="single" w:color="auto" w:sz="8" w:space="0"/>
            </w:tcBorders>
            <w:vAlign w:val="center"/>
          </w:tcPr>
          <w:p w14:paraId="198CF9F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505D7BD3">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94" w:type="dxa"/>
            <w:tcBorders>
              <w:top w:val="nil"/>
              <w:left w:val="nil"/>
              <w:bottom w:val="single" w:color="auto" w:sz="4" w:space="0"/>
              <w:right w:val="single" w:color="auto" w:sz="4" w:space="0"/>
            </w:tcBorders>
            <w:vAlign w:val="center"/>
          </w:tcPr>
          <w:p w14:paraId="2D642F5C">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5" w:type="dxa"/>
            <w:tcBorders>
              <w:top w:val="nil"/>
              <w:left w:val="nil"/>
              <w:bottom w:val="single" w:color="auto" w:sz="4" w:space="0"/>
              <w:right w:val="single" w:color="auto" w:sz="8" w:space="0"/>
            </w:tcBorders>
            <w:vAlign w:val="center"/>
          </w:tcPr>
          <w:p w14:paraId="7779B0D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12830354">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47235680">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3" w:type="dxa"/>
            <w:tcBorders>
              <w:top w:val="nil"/>
              <w:left w:val="nil"/>
              <w:bottom w:val="single" w:color="auto" w:sz="4" w:space="0"/>
              <w:right w:val="single" w:color="auto" w:sz="8" w:space="0"/>
            </w:tcBorders>
            <w:vAlign w:val="center"/>
          </w:tcPr>
          <w:p w14:paraId="31BA540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9A91A9B">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6942B42C">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13" w:type="dxa"/>
            <w:tcBorders>
              <w:top w:val="nil"/>
              <w:left w:val="nil"/>
              <w:bottom w:val="single" w:color="auto" w:sz="4" w:space="0"/>
              <w:right w:val="single" w:color="auto" w:sz="4" w:space="0"/>
            </w:tcBorders>
            <w:vAlign w:val="center"/>
          </w:tcPr>
          <w:p w14:paraId="3F06E868">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80" w:type="dxa"/>
            <w:tcBorders>
              <w:top w:val="nil"/>
              <w:left w:val="nil"/>
              <w:bottom w:val="single" w:color="auto" w:sz="4" w:space="0"/>
              <w:right w:val="single" w:color="auto" w:sz="4" w:space="0"/>
            </w:tcBorders>
            <w:vAlign w:val="center"/>
          </w:tcPr>
          <w:p w14:paraId="070EB141">
            <w:pPr>
              <w:widowControl/>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6" w:type="dxa"/>
            <w:tcBorders>
              <w:top w:val="nil"/>
              <w:left w:val="nil"/>
              <w:bottom w:val="single" w:color="auto" w:sz="4" w:space="0"/>
              <w:right w:val="single" w:color="auto" w:sz="8" w:space="0"/>
            </w:tcBorders>
            <w:vAlign w:val="center"/>
          </w:tcPr>
          <w:p w14:paraId="59B2CB6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3B32F302">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14:paraId="2CA16879">
            <w:pPr>
              <w:widowControl/>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5" w:type="dxa"/>
            <w:tcBorders>
              <w:top w:val="nil"/>
              <w:left w:val="nil"/>
              <w:bottom w:val="single" w:color="auto" w:sz="4" w:space="0"/>
              <w:right w:val="single" w:color="auto" w:sz="8" w:space="0"/>
            </w:tcBorders>
            <w:vAlign w:val="center"/>
          </w:tcPr>
          <w:p w14:paraId="4731AE2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57F28028">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14:paraId="0D2B59A6">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3" w:type="dxa"/>
            <w:tcBorders>
              <w:top w:val="nil"/>
              <w:left w:val="nil"/>
              <w:bottom w:val="single" w:color="auto" w:sz="4" w:space="0"/>
              <w:right w:val="single" w:color="auto" w:sz="8" w:space="0"/>
            </w:tcBorders>
            <w:vAlign w:val="center"/>
          </w:tcPr>
          <w:p w14:paraId="531AE3F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180B8CB">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776E80E6">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13" w:type="dxa"/>
            <w:tcBorders>
              <w:top w:val="nil"/>
              <w:left w:val="nil"/>
              <w:bottom w:val="single" w:color="auto" w:sz="4" w:space="0"/>
              <w:right w:val="single" w:color="auto" w:sz="4" w:space="0"/>
            </w:tcBorders>
            <w:vAlign w:val="center"/>
          </w:tcPr>
          <w:p w14:paraId="6553FA87">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80" w:type="dxa"/>
            <w:tcBorders>
              <w:top w:val="nil"/>
              <w:left w:val="nil"/>
              <w:bottom w:val="single" w:color="auto" w:sz="4" w:space="0"/>
              <w:right w:val="single" w:color="auto" w:sz="4" w:space="0"/>
            </w:tcBorders>
            <w:vAlign w:val="center"/>
          </w:tcPr>
          <w:p w14:paraId="61BEFA5D">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6" w:type="dxa"/>
            <w:tcBorders>
              <w:top w:val="nil"/>
              <w:left w:val="nil"/>
              <w:bottom w:val="single" w:color="auto" w:sz="4" w:space="0"/>
              <w:right w:val="single" w:color="auto" w:sz="8" w:space="0"/>
            </w:tcBorders>
            <w:vAlign w:val="center"/>
          </w:tcPr>
          <w:p w14:paraId="76979C2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314E39E5">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210FC2D0">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5" w:type="dxa"/>
            <w:tcBorders>
              <w:top w:val="nil"/>
              <w:left w:val="nil"/>
              <w:bottom w:val="single" w:color="auto" w:sz="4" w:space="0"/>
              <w:right w:val="single" w:color="auto" w:sz="8" w:space="0"/>
            </w:tcBorders>
            <w:vAlign w:val="center"/>
          </w:tcPr>
          <w:p w14:paraId="74B1570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526409CC">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14:paraId="62D8ACC0">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3" w:type="dxa"/>
            <w:tcBorders>
              <w:top w:val="nil"/>
              <w:left w:val="nil"/>
              <w:bottom w:val="single" w:color="auto" w:sz="4" w:space="0"/>
              <w:right w:val="single" w:color="auto" w:sz="8" w:space="0"/>
            </w:tcBorders>
            <w:vAlign w:val="center"/>
          </w:tcPr>
          <w:p w14:paraId="2D68333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321EB9D">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123DFCFF">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13" w:type="dxa"/>
            <w:tcBorders>
              <w:top w:val="nil"/>
              <w:left w:val="nil"/>
              <w:bottom w:val="single" w:color="auto" w:sz="4" w:space="0"/>
              <w:right w:val="single" w:color="auto" w:sz="4" w:space="0"/>
            </w:tcBorders>
            <w:vAlign w:val="center"/>
          </w:tcPr>
          <w:p w14:paraId="6F1F6D6B">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80" w:type="dxa"/>
            <w:tcBorders>
              <w:top w:val="nil"/>
              <w:left w:val="nil"/>
              <w:bottom w:val="single" w:color="auto" w:sz="4" w:space="0"/>
              <w:right w:val="single" w:color="auto" w:sz="4" w:space="0"/>
            </w:tcBorders>
            <w:vAlign w:val="center"/>
          </w:tcPr>
          <w:p w14:paraId="23B59736">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6" w:type="dxa"/>
            <w:tcBorders>
              <w:top w:val="nil"/>
              <w:left w:val="nil"/>
              <w:bottom w:val="single" w:color="auto" w:sz="4" w:space="0"/>
              <w:right w:val="single" w:color="auto" w:sz="8" w:space="0"/>
            </w:tcBorders>
            <w:vAlign w:val="center"/>
          </w:tcPr>
          <w:p w14:paraId="0876B77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4D699A63">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14:paraId="6754A459">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5" w:type="dxa"/>
            <w:tcBorders>
              <w:top w:val="nil"/>
              <w:left w:val="nil"/>
              <w:bottom w:val="single" w:color="auto" w:sz="4" w:space="0"/>
              <w:right w:val="single" w:color="auto" w:sz="8" w:space="0"/>
            </w:tcBorders>
            <w:vAlign w:val="center"/>
          </w:tcPr>
          <w:p w14:paraId="3531E91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56C8BDE6">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14:paraId="6E29FB84">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3" w:type="dxa"/>
            <w:tcBorders>
              <w:top w:val="nil"/>
              <w:left w:val="nil"/>
              <w:bottom w:val="single" w:color="auto" w:sz="4" w:space="0"/>
              <w:right w:val="single" w:color="auto" w:sz="8" w:space="0"/>
            </w:tcBorders>
            <w:vAlign w:val="center"/>
          </w:tcPr>
          <w:p w14:paraId="5BA2E46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2151FA5">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17589A7D">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13" w:type="dxa"/>
            <w:tcBorders>
              <w:top w:val="nil"/>
              <w:left w:val="nil"/>
              <w:bottom w:val="single" w:color="auto" w:sz="4" w:space="0"/>
              <w:right w:val="single" w:color="auto" w:sz="4" w:space="0"/>
            </w:tcBorders>
            <w:vAlign w:val="center"/>
          </w:tcPr>
          <w:p w14:paraId="3D2B6695">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0" w:type="dxa"/>
            <w:tcBorders>
              <w:top w:val="nil"/>
              <w:left w:val="nil"/>
              <w:bottom w:val="single" w:color="auto" w:sz="4" w:space="0"/>
              <w:right w:val="single" w:color="auto" w:sz="4" w:space="0"/>
            </w:tcBorders>
            <w:vAlign w:val="center"/>
          </w:tcPr>
          <w:p w14:paraId="450B2C4F">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6" w:type="dxa"/>
            <w:tcBorders>
              <w:top w:val="nil"/>
              <w:left w:val="nil"/>
              <w:bottom w:val="single" w:color="auto" w:sz="4" w:space="0"/>
              <w:right w:val="single" w:color="auto" w:sz="8" w:space="0"/>
            </w:tcBorders>
            <w:vAlign w:val="center"/>
          </w:tcPr>
          <w:p w14:paraId="58AFA5C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65784771">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5259AD11">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5" w:type="dxa"/>
            <w:tcBorders>
              <w:top w:val="nil"/>
              <w:left w:val="nil"/>
              <w:bottom w:val="single" w:color="auto" w:sz="4" w:space="0"/>
              <w:right w:val="single" w:color="auto" w:sz="8" w:space="0"/>
            </w:tcBorders>
            <w:vAlign w:val="center"/>
          </w:tcPr>
          <w:p w14:paraId="5551380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27DFFA27">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568C832F">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3" w:type="dxa"/>
            <w:tcBorders>
              <w:top w:val="nil"/>
              <w:left w:val="nil"/>
              <w:bottom w:val="single" w:color="auto" w:sz="4" w:space="0"/>
              <w:right w:val="single" w:color="auto" w:sz="8" w:space="0"/>
            </w:tcBorders>
            <w:vAlign w:val="center"/>
          </w:tcPr>
          <w:p w14:paraId="679173D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6C8A10B">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0F6BED69">
            <w:pPr>
              <w:widowControl/>
              <w:jc w:val="left"/>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13" w:type="dxa"/>
            <w:tcBorders>
              <w:top w:val="nil"/>
              <w:left w:val="nil"/>
              <w:bottom w:val="single" w:color="auto" w:sz="4" w:space="0"/>
              <w:right w:val="single" w:color="auto" w:sz="4" w:space="0"/>
            </w:tcBorders>
            <w:vAlign w:val="center"/>
          </w:tcPr>
          <w:p w14:paraId="3A7FA146">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0" w:type="dxa"/>
            <w:tcBorders>
              <w:top w:val="nil"/>
              <w:left w:val="nil"/>
              <w:bottom w:val="single" w:color="auto" w:sz="4" w:space="0"/>
              <w:right w:val="single" w:color="auto" w:sz="4" w:space="0"/>
            </w:tcBorders>
            <w:vAlign w:val="center"/>
          </w:tcPr>
          <w:p w14:paraId="4D5AC2E3">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6" w:type="dxa"/>
            <w:tcBorders>
              <w:top w:val="nil"/>
              <w:left w:val="nil"/>
              <w:bottom w:val="single" w:color="auto" w:sz="4" w:space="0"/>
              <w:right w:val="single" w:color="auto" w:sz="8" w:space="0"/>
            </w:tcBorders>
            <w:vAlign w:val="center"/>
          </w:tcPr>
          <w:p w14:paraId="2DF34AB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6987316A">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027F99E9">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5" w:type="dxa"/>
            <w:tcBorders>
              <w:top w:val="nil"/>
              <w:left w:val="nil"/>
              <w:bottom w:val="single" w:color="auto" w:sz="4" w:space="0"/>
              <w:right w:val="single" w:color="auto" w:sz="8" w:space="0"/>
            </w:tcBorders>
            <w:vAlign w:val="center"/>
          </w:tcPr>
          <w:p w14:paraId="7440306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5D8E8297">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3F34C63A">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3" w:type="dxa"/>
            <w:tcBorders>
              <w:top w:val="nil"/>
              <w:left w:val="nil"/>
              <w:bottom w:val="single" w:color="auto" w:sz="4" w:space="0"/>
              <w:right w:val="single" w:color="auto" w:sz="8" w:space="0"/>
            </w:tcBorders>
            <w:vAlign w:val="center"/>
          </w:tcPr>
          <w:p w14:paraId="66A5841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E7B9BA6">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09D72287">
            <w:pPr>
              <w:widowControl/>
              <w:jc w:val="left"/>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13" w:type="dxa"/>
            <w:tcBorders>
              <w:top w:val="nil"/>
              <w:left w:val="nil"/>
              <w:bottom w:val="single" w:color="auto" w:sz="4" w:space="0"/>
              <w:right w:val="single" w:color="auto" w:sz="4" w:space="0"/>
            </w:tcBorders>
            <w:vAlign w:val="center"/>
          </w:tcPr>
          <w:p w14:paraId="1D544E84">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80" w:type="dxa"/>
            <w:tcBorders>
              <w:top w:val="nil"/>
              <w:left w:val="nil"/>
              <w:bottom w:val="single" w:color="auto" w:sz="4" w:space="0"/>
              <w:right w:val="single" w:color="auto" w:sz="4" w:space="0"/>
            </w:tcBorders>
            <w:vAlign w:val="center"/>
          </w:tcPr>
          <w:p w14:paraId="4654DDA4">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6" w:type="dxa"/>
            <w:tcBorders>
              <w:top w:val="nil"/>
              <w:left w:val="nil"/>
              <w:bottom w:val="single" w:color="auto" w:sz="4" w:space="0"/>
              <w:right w:val="single" w:color="auto" w:sz="8" w:space="0"/>
            </w:tcBorders>
            <w:vAlign w:val="center"/>
          </w:tcPr>
          <w:p w14:paraId="40C7C58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4AF29E6B">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58B453CC">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5" w:type="dxa"/>
            <w:tcBorders>
              <w:top w:val="nil"/>
              <w:left w:val="nil"/>
              <w:bottom w:val="single" w:color="auto" w:sz="4" w:space="0"/>
              <w:right w:val="single" w:color="auto" w:sz="8" w:space="0"/>
            </w:tcBorders>
            <w:vAlign w:val="center"/>
          </w:tcPr>
          <w:p w14:paraId="18FFACA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238F3998">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48A1352A">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3" w:type="dxa"/>
            <w:tcBorders>
              <w:top w:val="nil"/>
              <w:left w:val="nil"/>
              <w:bottom w:val="single" w:color="auto" w:sz="4" w:space="0"/>
              <w:right w:val="single" w:color="auto" w:sz="8" w:space="0"/>
            </w:tcBorders>
            <w:vAlign w:val="center"/>
          </w:tcPr>
          <w:p w14:paraId="6B8167E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5A68C1C">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470F1907">
            <w:pPr>
              <w:widowControl/>
              <w:jc w:val="left"/>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13" w:type="dxa"/>
            <w:tcBorders>
              <w:top w:val="nil"/>
              <w:left w:val="nil"/>
              <w:bottom w:val="single" w:color="auto" w:sz="4" w:space="0"/>
              <w:right w:val="single" w:color="auto" w:sz="4" w:space="0"/>
            </w:tcBorders>
            <w:vAlign w:val="center"/>
          </w:tcPr>
          <w:p w14:paraId="294006B3">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0" w:type="dxa"/>
            <w:tcBorders>
              <w:top w:val="nil"/>
              <w:left w:val="nil"/>
              <w:bottom w:val="single" w:color="auto" w:sz="4" w:space="0"/>
              <w:right w:val="single" w:color="auto" w:sz="4" w:space="0"/>
            </w:tcBorders>
            <w:vAlign w:val="center"/>
          </w:tcPr>
          <w:p w14:paraId="184DBCBF">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6" w:type="dxa"/>
            <w:tcBorders>
              <w:top w:val="nil"/>
              <w:left w:val="nil"/>
              <w:bottom w:val="single" w:color="auto" w:sz="4" w:space="0"/>
              <w:right w:val="single" w:color="auto" w:sz="8" w:space="0"/>
            </w:tcBorders>
            <w:vAlign w:val="center"/>
          </w:tcPr>
          <w:p w14:paraId="794EBC4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5C9B0321">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41D40080">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5" w:type="dxa"/>
            <w:tcBorders>
              <w:top w:val="nil"/>
              <w:left w:val="nil"/>
              <w:bottom w:val="single" w:color="auto" w:sz="4" w:space="0"/>
              <w:right w:val="single" w:color="auto" w:sz="8" w:space="0"/>
            </w:tcBorders>
            <w:vAlign w:val="center"/>
          </w:tcPr>
          <w:p w14:paraId="7D23FD7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68BFF607">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274E5A1D">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3" w:type="dxa"/>
            <w:tcBorders>
              <w:top w:val="nil"/>
              <w:left w:val="nil"/>
              <w:bottom w:val="single" w:color="auto" w:sz="4" w:space="0"/>
              <w:right w:val="single" w:color="auto" w:sz="8" w:space="0"/>
            </w:tcBorders>
            <w:vAlign w:val="center"/>
          </w:tcPr>
          <w:p w14:paraId="03E3CFC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38ABBBC">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7159FC50">
            <w:pPr>
              <w:widowControl/>
              <w:jc w:val="left"/>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13" w:type="dxa"/>
            <w:tcBorders>
              <w:top w:val="nil"/>
              <w:left w:val="nil"/>
              <w:bottom w:val="single" w:color="auto" w:sz="4" w:space="0"/>
              <w:right w:val="single" w:color="auto" w:sz="4" w:space="0"/>
            </w:tcBorders>
            <w:vAlign w:val="center"/>
          </w:tcPr>
          <w:p w14:paraId="243189B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80" w:type="dxa"/>
            <w:tcBorders>
              <w:top w:val="nil"/>
              <w:left w:val="nil"/>
              <w:bottom w:val="single" w:color="auto" w:sz="4" w:space="0"/>
              <w:right w:val="single" w:color="auto" w:sz="4" w:space="0"/>
            </w:tcBorders>
            <w:vAlign w:val="center"/>
          </w:tcPr>
          <w:p w14:paraId="1B7D06AD">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6" w:type="dxa"/>
            <w:tcBorders>
              <w:top w:val="nil"/>
              <w:left w:val="nil"/>
              <w:bottom w:val="single" w:color="auto" w:sz="4" w:space="0"/>
              <w:right w:val="single" w:color="auto" w:sz="8" w:space="0"/>
            </w:tcBorders>
            <w:vAlign w:val="center"/>
          </w:tcPr>
          <w:p w14:paraId="2675E27B">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52" w:type="dxa"/>
            <w:tcBorders>
              <w:top w:val="nil"/>
              <w:left w:val="nil"/>
              <w:bottom w:val="single" w:color="auto" w:sz="4" w:space="0"/>
              <w:right w:val="single" w:color="auto" w:sz="4" w:space="0"/>
            </w:tcBorders>
            <w:vAlign w:val="center"/>
          </w:tcPr>
          <w:p w14:paraId="137E550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14:paraId="709117A1">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5" w:type="dxa"/>
            <w:tcBorders>
              <w:top w:val="nil"/>
              <w:left w:val="nil"/>
              <w:bottom w:val="single" w:color="auto" w:sz="4" w:space="0"/>
              <w:right w:val="single" w:color="auto" w:sz="8" w:space="0"/>
            </w:tcBorders>
            <w:vAlign w:val="center"/>
          </w:tcPr>
          <w:p w14:paraId="094461C5">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vAlign w:val="center"/>
          </w:tcPr>
          <w:p w14:paraId="1F6773C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14:paraId="5ED2198C">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3" w:type="dxa"/>
            <w:tcBorders>
              <w:top w:val="nil"/>
              <w:left w:val="nil"/>
              <w:bottom w:val="single" w:color="auto" w:sz="4" w:space="0"/>
              <w:right w:val="single" w:color="auto" w:sz="8" w:space="0"/>
            </w:tcBorders>
            <w:vAlign w:val="center"/>
          </w:tcPr>
          <w:p w14:paraId="3D2AF1CB">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14:paraId="72BAFF14">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6C50DD9B">
            <w:pPr>
              <w:widowControl/>
              <w:jc w:val="left"/>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13" w:type="dxa"/>
            <w:tcBorders>
              <w:top w:val="nil"/>
              <w:left w:val="nil"/>
              <w:bottom w:val="single" w:color="auto" w:sz="4" w:space="0"/>
              <w:right w:val="single" w:color="auto" w:sz="4" w:space="0"/>
            </w:tcBorders>
            <w:vAlign w:val="center"/>
          </w:tcPr>
          <w:p w14:paraId="755279FE">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80" w:type="dxa"/>
            <w:tcBorders>
              <w:top w:val="nil"/>
              <w:left w:val="nil"/>
              <w:bottom w:val="single" w:color="auto" w:sz="4" w:space="0"/>
              <w:right w:val="single" w:color="auto" w:sz="4" w:space="0"/>
            </w:tcBorders>
            <w:vAlign w:val="center"/>
          </w:tcPr>
          <w:p w14:paraId="781EFAAF">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6" w:type="dxa"/>
            <w:tcBorders>
              <w:top w:val="nil"/>
              <w:left w:val="nil"/>
              <w:bottom w:val="single" w:color="auto" w:sz="4" w:space="0"/>
              <w:right w:val="single" w:color="auto" w:sz="8" w:space="0"/>
            </w:tcBorders>
            <w:vAlign w:val="center"/>
          </w:tcPr>
          <w:p w14:paraId="5783FDB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7DA83B59">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14:paraId="39F9D38C">
            <w:pPr>
              <w:widowControl/>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5" w:type="dxa"/>
            <w:tcBorders>
              <w:top w:val="nil"/>
              <w:left w:val="nil"/>
              <w:bottom w:val="single" w:color="auto" w:sz="4" w:space="0"/>
              <w:right w:val="single" w:color="auto" w:sz="8" w:space="0"/>
            </w:tcBorders>
            <w:vAlign w:val="center"/>
          </w:tcPr>
          <w:p w14:paraId="4035726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5D72E3BC">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7" w:type="dxa"/>
            <w:tcBorders>
              <w:top w:val="nil"/>
              <w:left w:val="nil"/>
              <w:bottom w:val="single" w:color="auto" w:sz="4" w:space="0"/>
              <w:right w:val="single" w:color="auto" w:sz="4" w:space="0"/>
            </w:tcBorders>
            <w:vAlign w:val="center"/>
          </w:tcPr>
          <w:p w14:paraId="1B9788FA">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3" w:type="dxa"/>
            <w:tcBorders>
              <w:top w:val="nil"/>
              <w:left w:val="nil"/>
              <w:bottom w:val="single" w:color="auto" w:sz="4" w:space="0"/>
              <w:right w:val="single" w:color="auto" w:sz="8" w:space="0"/>
            </w:tcBorders>
            <w:vAlign w:val="center"/>
          </w:tcPr>
          <w:p w14:paraId="1F6EA4F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E458FC3">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0AD88553">
            <w:pPr>
              <w:widowControl/>
              <w:jc w:val="left"/>
              <w:rPr>
                <w:rFonts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13" w:type="dxa"/>
            <w:tcBorders>
              <w:top w:val="nil"/>
              <w:left w:val="nil"/>
              <w:bottom w:val="single" w:color="auto" w:sz="4" w:space="0"/>
              <w:right w:val="single" w:color="auto" w:sz="4" w:space="0"/>
            </w:tcBorders>
            <w:vAlign w:val="center"/>
          </w:tcPr>
          <w:p w14:paraId="2F7F79B9">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0" w:type="dxa"/>
            <w:tcBorders>
              <w:top w:val="nil"/>
              <w:left w:val="nil"/>
              <w:bottom w:val="single" w:color="auto" w:sz="4" w:space="0"/>
              <w:right w:val="single" w:color="auto" w:sz="4" w:space="0"/>
            </w:tcBorders>
            <w:vAlign w:val="center"/>
          </w:tcPr>
          <w:p w14:paraId="486D8D5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6" w:type="dxa"/>
            <w:tcBorders>
              <w:top w:val="nil"/>
              <w:left w:val="nil"/>
              <w:bottom w:val="single" w:color="auto" w:sz="4" w:space="0"/>
              <w:right w:val="single" w:color="auto" w:sz="8" w:space="0"/>
            </w:tcBorders>
            <w:vAlign w:val="center"/>
          </w:tcPr>
          <w:p w14:paraId="2DD51CDA">
            <w:pPr>
              <w:widowControl/>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52" w:type="dxa"/>
            <w:tcBorders>
              <w:top w:val="nil"/>
              <w:left w:val="nil"/>
              <w:bottom w:val="single" w:color="auto" w:sz="4" w:space="0"/>
              <w:right w:val="single" w:color="auto" w:sz="4" w:space="0"/>
            </w:tcBorders>
            <w:vAlign w:val="center"/>
          </w:tcPr>
          <w:p w14:paraId="63C09888">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6EA8823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5" w:type="dxa"/>
            <w:tcBorders>
              <w:top w:val="nil"/>
              <w:left w:val="nil"/>
              <w:bottom w:val="single" w:color="auto" w:sz="4" w:space="0"/>
              <w:right w:val="single" w:color="auto" w:sz="8" w:space="0"/>
            </w:tcBorders>
            <w:vAlign w:val="center"/>
          </w:tcPr>
          <w:p w14:paraId="5198EFB1">
            <w:pPr>
              <w:widowControl/>
              <w:rPr>
                <w:rFonts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7" w:type="dxa"/>
            <w:tcBorders>
              <w:top w:val="nil"/>
              <w:left w:val="nil"/>
              <w:bottom w:val="single" w:color="auto" w:sz="4" w:space="0"/>
              <w:right w:val="single" w:color="auto" w:sz="4" w:space="0"/>
            </w:tcBorders>
            <w:vAlign w:val="center"/>
          </w:tcPr>
          <w:p w14:paraId="7330469E">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1E121C2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3" w:type="dxa"/>
            <w:tcBorders>
              <w:top w:val="nil"/>
              <w:left w:val="nil"/>
              <w:bottom w:val="single" w:color="auto" w:sz="4" w:space="0"/>
              <w:right w:val="single" w:color="auto" w:sz="8" w:space="0"/>
            </w:tcBorders>
            <w:vAlign w:val="center"/>
          </w:tcPr>
          <w:p w14:paraId="37CDD3DD">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14:paraId="03766715">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8" w:space="0"/>
              <w:right w:val="single" w:color="auto" w:sz="8" w:space="0"/>
            </w:tcBorders>
            <w:vAlign w:val="bottom"/>
          </w:tcPr>
          <w:p w14:paraId="7DA91ACE">
            <w:pPr>
              <w:widowControl/>
              <w:jc w:val="left"/>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13" w:type="dxa"/>
            <w:tcBorders>
              <w:top w:val="nil"/>
              <w:left w:val="nil"/>
              <w:bottom w:val="single" w:color="auto" w:sz="8" w:space="0"/>
              <w:right w:val="single" w:color="auto" w:sz="4" w:space="0"/>
            </w:tcBorders>
            <w:vAlign w:val="center"/>
          </w:tcPr>
          <w:p w14:paraId="5B76517D">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0" w:type="dxa"/>
            <w:tcBorders>
              <w:top w:val="nil"/>
              <w:left w:val="nil"/>
              <w:bottom w:val="single" w:color="auto" w:sz="8" w:space="0"/>
              <w:right w:val="single" w:color="auto" w:sz="4" w:space="0"/>
            </w:tcBorders>
            <w:vAlign w:val="center"/>
          </w:tcPr>
          <w:p w14:paraId="6520FD9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6" w:type="dxa"/>
            <w:tcBorders>
              <w:top w:val="nil"/>
              <w:left w:val="nil"/>
              <w:bottom w:val="single" w:color="auto" w:sz="8" w:space="0"/>
              <w:right w:val="single" w:color="auto" w:sz="8" w:space="0"/>
            </w:tcBorders>
            <w:vAlign w:val="center"/>
          </w:tcPr>
          <w:p w14:paraId="3DADEAF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8" w:space="0"/>
              <w:right w:val="single" w:color="auto" w:sz="4" w:space="0"/>
            </w:tcBorders>
            <w:vAlign w:val="center"/>
          </w:tcPr>
          <w:p w14:paraId="541AEBE7">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8" w:space="0"/>
              <w:right w:val="single" w:color="auto" w:sz="4" w:space="0"/>
            </w:tcBorders>
            <w:vAlign w:val="center"/>
          </w:tcPr>
          <w:p w14:paraId="27D8DA4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5" w:type="dxa"/>
            <w:tcBorders>
              <w:top w:val="nil"/>
              <w:left w:val="nil"/>
              <w:bottom w:val="single" w:color="auto" w:sz="8" w:space="0"/>
              <w:right w:val="single" w:color="auto" w:sz="8" w:space="0"/>
            </w:tcBorders>
            <w:vAlign w:val="center"/>
          </w:tcPr>
          <w:p w14:paraId="453ABC1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8" w:space="0"/>
              <w:right w:val="single" w:color="auto" w:sz="4" w:space="0"/>
            </w:tcBorders>
            <w:vAlign w:val="center"/>
          </w:tcPr>
          <w:p w14:paraId="794DD60D">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8" w:space="0"/>
              <w:right w:val="single" w:color="auto" w:sz="4" w:space="0"/>
            </w:tcBorders>
            <w:vAlign w:val="center"/>
          </w:tcPr>
          <w:p w14:paraId="3A19B6E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3" w:type="dxa"/>
            <w:tcBorders>
              <w:top w:val="nil"/>
              <w:left w:val="nil"/>
              <w:bottom w:val="single" w:color="auto" w:sz="8" w:space="0"/>
              <w:right w:val="single" w:color="auto" w:sz="8" w:space="0"/>
            </w:tcBorders>
            <w:vAlign w:val="center"/>
          </w:tcPr>
          <w:p w14:paraId="078B3B8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E192EA7">
        <w:tblPrEx>
          <w:tblCellMar>
            <w:top w:w="0" w:type="dxa"/>
            <w:left w:w="108" w:type="dxa"/>
            <w:bottom w:w="0" w:type="dxa"/>
            <w:right w:w="108" w:type="dxa"/>
          </w:tblCellMar>
        </w:tblPrEx>
        <w:trPr>
          <w:trHeight w:val="1009" w:hRule="atLeast"/>
        </w:trPr>
        <w:tc>
          <w:tcPr>
            <w:tcW w:w="15077" w:type="dxa"/>
            <w:gridSpan w:val="11"/>
            <w:tcBorders>
              <w:top w:val="nil"/>
              <w:left w:val="nil"/>
              <w:bottom w:val="nil"/>
              <w:right w:val="nil"/>
            </w:tcBorders>
            <w:vAlign w:val="bottom"/>
          </w:tcPr>
          <w:p w14:paraId="705D5257">
            <w:pPr>
              <w:widowControl/>
              <w:spacing w:line="320" w:lineRule="exact"/>
              <w:jc w:val="left"/>
              <w:rPr>
                <w:rFonts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14:paraId="472CB8E9">
            <w:pPr>
              <w:widowControl/>
              <w:spacing w:line="320" w:lineRule="exact"/>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14:paraId="19BE8C4D">
            <w:pPr>
              <w:widowControl/>
              <w:spacing w:line="320" w:lineRule="exact"/>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14:paraId="5CCE9164">
      <w:pPr>
        <w:pStyle w:val="2"/>
        <w:ind w:firstLine="0" w:firstLineChars="0"/>
        <w:jc w:val="both"/>
        <w:rPr>
          <w:rFonts w:ascii="宋体" w:hAnsi="宋体"/>
          <w:color w:val="auto"/>
          <w:highlight w:val="none"/>
        </w:rPr>
        <w:sectPr>
          <w:pgSz w:w="16838" w:h="11906" w:orient="landscape"/>
          <w:pgMar w:top="1134" w:right="1276" w:bottom="1983" w:left="1276" w:header="426" w:footer="851" w:gutter="0"/>
          <w:cols w:space="720" w:num="1"/>
          <w:docGrid w:linePitch="312" w:charSpace="0"/>
        </w:sectPr>
      </w:pPr>
    </w:p>
    <w:p w14:paraId="42F77E3A">
      <w:pPr>
        <w:widowControl/>
        <w:jc w:val="left"/>
        <w:rPr>
          <w:color w:val="auto"/>
          <w:highlight w:val="none"/>
        </w:rPr>
      </w:pPr>
    </w:p>
    <w:tbl>
      <w:tblPr>
        <w:tblStyle w:val="17"/>
        <w:tblW w:w="9600" w:type="dxa"/>
        <w:jc w:val="center"/>
        <w:tblCellSpacing w:w="0" w:type="dxa"/>
        <w:tblLayout w:type="autofit"/>
        <w:tblCellMar>
          <w:top w:w="0" w:type="dxa"/>
          <w:left w:w="0" w:type="dxa"/>
          <w:bottom w:w="0" w:type="dxa"/>
          <w:right w:w="0" w:type="dxa"/>
        </w:tblCellMar>
      </w:tblPr>
      <w:tblGrid>
        <w:gridCol w:w="9600"/>
      </w:tblGrid>
      <w:tr w14:paraId="07734342">
        <w:tblPrEx>
          <w:tblCellMar>
            <w:top w:w="0" w:type="dxa"/>
            <w:left w:w="0" w:type="dxa"/>
            <w:bottom w:w="0" w:type="dxa"/>
            <w:right w:w="0" w:type="dxa"/>
          </w:tblCellMar>
        </w:tblPrEx>
        <w:trPr>
          <w:trHeight w:val="1200" w:hRule="atLeast"/>
          <w:tblCellSpacing w:w="0" w:type="dxa"/>
          <w:jc w:val="center"/>
        </w:trPr>
        <w:tc>
          <w:tcPr>
            <w:tcW w:w="0" w:type="auto"/>
            <w:vAlign w:val="center"/>
          </w:tcPr>
          <w:p w14:paraId="53F209EA">
            <w:pPr>
              <w:widowControl/>
              <w:jc w:val="center"/>
              <w:rPr>
                <w:color w:val="auto"/>
                <w:kern w:val="0"/>
                <w:szCs w:val="21"/>
                <w:highlight w:val="none"/>
              </w:rPr>
            </w:pPr>
            <w:r>
              <w:rPr>
                <w:color w:val="auto"/>
                <w:highlight w:val="none"/>
              </w:rPr>
              <w:br w:type="page"/>
            </w:r>
            <w:r>
              <w:rPr>
                <w:color w:val="auto"/>
                <w:highlight w:val="none"/>
              </w:rPr>
              <w:br w:type="page"/>
            </w:r>
            <w:r>
              <w:rPr>
                <w:color w:val="auto"/>
                <w:kern w:val="0"/>
                <w:szCs w:val="21"/>
                <w:highlight w:val="none"/>
              </w:rPr>
              <w:t>关于印发中小企业划型标准规定的通知(工信部联企业〔2011〕300号)</w:t>
            </w:r>
          </w:p>
        </w:tc>
      </w:tr>
      <w:tr w14:paraId="4AB42C2F">
        <w:tblPrEx>
          <w:tblCellMar>
            <w:top w:w="0" w:type="dxa"/>
            <w:left w:w="0" w:type="dxa"/>
            <w:bottom w:w="0" w:type="dxa"/>
            <w:right w:w="0" w:type="dxa"/>
          </w:tblCellMar>
        </w:tblPrEx>
        <w:trPr>
          <w:tblCellSpacing w:w="0" w:type="dxa"/>
          <w:jc w:val="center"/>
        </w:trPr>
        <w:tc>
          <w:tcPr>
            <w:tcW w:w="0" w:type="auto"/>
            <w:vAlign w:val="center"/>
          </w:tcPr>
          <w:p w14:paraId="6BE7E802">
            <w:pPr>
              <w:widowControl/>
              <w:jc w:val="center"/>
              <w:rPr>
                <w:color w:val="auto"/>
                <w:kern w:val="0"/>
                <w:szCs w:val="21"/>
                <w:highlight w:val="none"/>
              </w:rPr>
            </w:pPr>
            <w:r>
              <w:rPr>
                <w:color w:val="auto"/>
                <w:kern w:val="0"/>
                <w:szCs w:val="21"/>
                <w:highlight w:val="none"/>
              </w:rPr>
              <w:t>关于印发中小企业划型标准规定的通知</w:t>
            </w:r>
            <w:r>
              <w:rPr>
                <w:color w:val="auto"/>
                <w:kern w:val="0"/>
                <w:szCs w:val="21"/>
                <w:highlight w:val="none"/>
              </w:rPr>
              <w:br w:type="textWrapping"/>
            </w:r>
            <w:r>
              <w:rPr>
                <w:color w:val="auto"/>
                <w:kern w:val="0"/>
                <w:szCs w:val="21"/>
                <w:highlight w:val="none"/>
              </w:rPr>
              <w:t>工信部联企业〔2011〕300号</w:t>
            </w:r>
          </w:p>
          <w:p w14:paraId="3ABC74EF">
            <w:pPr>
              <w:widowControl/>
              <w:jc w:val="left"/>
              <w:rPr>
                <w:color w:val="auto"/>
                <w:kern w:val="0"/>
                <w:szCs w:val="21"/>
                <w:highlight w:val="none"/>
              </w:rPr>
            </w:pPr>
            <w:r>
              <w:rPr>
                <w:color w:val="auto"/>
                <w:kern w:val="0"/>
                <w:szCs w:val="21"/>
                <w:highlight w:val="none"/>
              </w:rPr>
              <w:t>各省、自治区、直辖市人民政府，国务院各部委、各直属机构及有关单位：</w:t>
            </w:r>
            <w:r>
              <w:rPr>
                <w:color w:val="auto"/>
                <w:kern w:val="0"/>
                <w:szCs w:val="21"/>
                <w:highlight w:val="none"/>
              </w:rPr>
              <w:br w:type="textWrapping"/>
            </w:r>
            <w:r>
              <w:rPr>
                <w:color w:val="auto"/>
                <w:kern w:val="0"/>
                <w:szCs w:val="21"/>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color w:val="auto"/>
                <w:kern w:val="0"/>
                <w:szCs w:val="21"/>
                <w:highlight w:val="none"/>
              </w:rPr>
              <w:br w:type="textWrapping"/>
            </w:r>
            <w:r>
              <w:rPr>
                <w:color w:val="auto"/>
                <w:kern w:val="0"/>
                <w:szCs w:val="21"/>
                <w:highlight w:val="none"/>
              </w:rPr>
              <w:t>　　　　　　　　　　　　　　　　　　　　　　 工业和信息化部　国家统计局</w:t>
            </w:r>
            <w:r>
              <w:rPr>
                <w:color w:val="auto"/>
                <w:kern w:val="0"/>
                <w:szCs w:val="21"/>
                <w:highlight w:val="none"/>
              </w:rPr>
              <w:br w:type="textWrapping"/>
            </w:r>
            <w:r>
              <w:rPr>
                <w:color w:val="auto"/>
                <w:kern w:val="0"/>
                <w:szCs w:val="21"/>
                <w:highlight w:val="none"/>
              </w:rPr>
              <w:t>　　　　　　　　　　　　　　　　　　　　　　国家发展和改革委员会　财政部</w:t>
            </w:r>
            <w:r>
              <w:rPr>
                <w:color w:val="auto"/>
                <w:kern w:val="0"/>
                <w:szCs w:val="21"/>
                <w:highlight w:val="none"/>
              </w:rPr>
              <w:br w:type="textWrapping"/>
            </w:r>
            <w:r>
              <w:rPr>
                <w:color w:val="auto"/>
                <w:kern w:val="0"/>
                <w:szCs w:val="21"/>
                <w:highlight w:val="none"/>
              </w:rPr>
              <w:t>　　　　　　　　　　　　　　　　　　　　　　　　二○一一年六月十八日</w:t>
            </w:r>
          </w:p>
          <w:p w14:paraId="6ADED75A">
            <w:pPr>
              <w:widowControl/>
              <w:jc w:val="left"/>
              <w:rPr>
                <w:color w:val="auto"/>
                <w:kern w:val="0"/>
                <w:szCs w:val="21"/>
                <w:highlight w:val="none"/>
              </w:rPr>
            </w:pPr>
            <w:r>
              <w:rPr>
                <w:color w:val="auto"/>
                <w:kern w:val="0"/>
                <w:szCs w:val="21"/>
                <w:highlight w:val="none"/>
              </w:rPr>
              <w:t> </w:t>
            </w:r>
          </w:p>
          <w:p w14:paraId="01F8926F">
            <w:pPr>
              <w:widowControl/>
              <w:jc w:val="center"/>
              <w:rPr>
                <w:color w:val="auto"/>
                <w:kern w:val="0"/>
                <w:szCs w:val="21"/>
                <w:highlight w:val="none"/>
              </w:rPr>
            </w:pPr>
            <w:r>
              <w:rPr>
                <w:color w:val="auto"/>
                <w:kern w:val="0"/>
                <w:szCs w:val="21"/>
                <w:highlight w:val="none"/>
              </w:rPr>
              <w:t>中小企业划型标准规定</w:t>
            </w:r>
          </w:p>
          <w:p w14:paraId="38164DD1">
            <w:pPr>
              <w:widowControl/>
              <w:jc w:val="left"/>
              <w:rPr>
                <w:color w:val="auto"/>
                <w:kern w:val="0"/>
                <w:szCs w:val="21"/>
                <w:highlight w:val="none"/>
              </w:rPr>
            </w:pPr>
            <w:r>
              <w:rPr>
                <w:color w:val="auto"/>
                <w:kern w:val="0"/>
                <w:szCs w:val="21"/>
                <w:highlight w:val="none"/>
              </w:rPr>
              <w:t>　　一、根据《中华人民共和国中小企业促进法》和《国务院关于进一步促进中小企业发展的若干意见》(国发〔2009〕36号)，制定本规定。</w:t>
            </w:r>
            <w:r>
              <w:rPr>
                <w:color w:val="auto"/>
                <w:kern w:val="0"/>
                <w:szCs w:val="21"/>
                <w:highlight w:val="none"/>
              </w:rPr>
              <w:br w:type="textWrapping"/>
            </w:r>
            <w:r>
              <w:rPr>
                <w:color w:val="auto"/>
                <w:kern w:val="0"/>
                <w:szCs w:val="21"/>
                <w:highlight w:val="none"/>
              </w:rPr>
              <w:t>　　二、中小企业划分为中型、小型、微型三种类型，具体标准根据企业从业人员、营业收入、资产总额等指标，结合行业特点制定。</w:t>
            </w:r>
            <w:r>
              <w:rPr>
                <w:color w:val="auto"/>
                <w:kern w:val="0"/>
                <w:szCs w:val="21"/>
                <w:highlight w:val="none"/>
              </w:rPr>
              <w:br w:type="textWrapping"/>
            </w:r>
            <w:r>
              <w:rPr>
                <w:color w:val="auto"/>
                <w:kern w:val="0"/>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color w:val="auto"/>
                <w:kern w:val="0"/>
                <w:szCs w:val="21"/>
                <w:highlight w:val="none"/>
              </w:rPr>
              <w:br w:type="textWrapping"/>
            </w:r>
            <w:r>
              <w:rPr>
                <w:color w:val="auto"/>
                <w:kern w:val="0"/>
                <w:szCs w:val="21"/>
                <w:highlight w:val="none"/>
              </w:rPr>
              <w:t>　　四、各行业划型标准为：</w:t>
            </w:r>
            <w:r>
              <w:rPr>
                <w:color w:val="auto"/>
                <w:kern w:val="0"/>
                <w:szCs w:val="21"/>
                <w:highlight w:val="none"/>
              </w:rPr>
              <w:br w:type="textWrapping"/>
            </w:r>
            <w:r>
              <w:rPr>
                <w:color w:val="auto"/>
                <w:kern w:val="0"/>
                <w:szCs w:val="21"/>
                <w:highlight w:val="none"/>
              </w:rPr>
              <w:t>　　（一）农、林、牧、渔业。营业收入20000万元以下的为中小微型企业。其中，营业收入500万元及以上的为中型企业，营业收入50万元及以上的为小型企业，营业收入50万元以下的为微型企业。</w:t>
            </w:r>
            <w:r>
              <w:rPr>
                <w:color w:val="auto"/>
                <w:kern w:val="0"/>
                <w:szCs w:val="21"/>
                <w:highlight w:val="none"/>
              </w:rPr>
              <w:br w:type="textWrapping"/>
            </w:r>
            <w:r>
              <w:rPr>
                <w:color w:val="auto"/>
                <w:kern w:val="0"/>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color w:val="auto"/>
                <w:kern w:val="0"/>
                <w:szCs w:val="21"/>
                <w:highlight w:val="none"/>
              </w:rPr>
              <w:br w:type="textWrapping"/>
            </w:r>
            <w:r>
              <w:rPr>
                <w:color w:val="auto"/>
                <w:kern w:val="0"/>
                <w:szCs w:val="21"/>
                <w:highlight w:val="none"/>
              </w:rPr>
              <w:t>　　</w:t>
            </w:r>
            <w:r>
              <w:rPr>
                <w:color w:val="auto"/>
                <w:kern w:val="0"/>
                <w:szCs w:val="21"/>
                <w:highlight w:val="none"/>
                <w:u w:val="thick" w:color="FF0000"/>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color w:val="auto"/>
                <w:kern w:val="0"/>
                <w:szCs w:val="21"/>
                <w:highlight w:val="none"/>
              </w:rPr>
              <w:br w:type="textWrapping"/>
            </w:r>
            <w:r>
              <w:rPr>
                <w:color w:val="auto"/>
                <w:kern w:val="0"/>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color w:val="auto"/>
                <w:kern w:val="0"/>
                <w:szCs w:val="21"/>
                <w:highlight w:val="none"/>
              </w:rPr>
              <w:br w:type="textWrapping"/>
            </w:r>
            <w:r>
              <w:rPr>
                <w:color w:val="auto"/>
                <w:kern w:val="0"/>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color w:val="auto"/>
                <w:kern w:val="0"/>
                <w:szCs w:val="21"/>
                <w:highlight w:val="none"/>
              </w:rPr>
              <w:br w:type="textWrapping"/>
            </w:r>
            <w:r>
              <w:rPr>
                <w:color w:val="auto"/>
                <w:kern w:val="0"/>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color w:val="auto"/>
                <w:kern w:val="0"/>
                <w:szCs w:val="21"/>
                <w:highlight w:val="none"/>
              </w:rPr>
              <w:br w:type="textWrapping"/>
            </w:r>
            <w:r>
              <w:rPr>
                <w:color w:val="auto"/>
                <w:kern w:val="0"/>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color w:val="auto"/>
                <w:kern w:val="0"/>
                <w:szCs w:val="21"/>
                <w:highlight w:val="none"/>
              </w:rPr>
              <w:br w:type="textWrapping"/>
            </w:r>
            <w:r>
              <w:rPr>
                <w:color w:val="auto"/>
                <w:kern w:val="0"/>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color w:val="auto"/>
                <w:kern w:val="0"/>
                <w:szCs w:val="21"/>
                <w:highlight w:val="none"/>
              </w:rPr>
              <w:br w:type="textWrapping"/>
            </w:r>
            <w:r>
              <w:rPr>
                <w:color w:val="auto"/>
                <w:kern w:val="0"/>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color w:val="auto"/>
                <w:kern w:val="0"/>
                <w:szCs w:val="21"/>
                <w:highlight w:val="none"/>
              </w:rPr>
              <w:br w:type="textWrapping"/>
            </w:r>
            <w:r>
              <w:rPr>
                <w:color w:val="auto"/>
                <w:kern w:val="0"/>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color w:val="auto"/>
                <w:kern w:val="0"/>
                <w:szCs w:val="21"/>
                <w:highlight w:val="none"/>
              </w:rPr>
              <w:br w:type="textWrapping"/>
            </w:r>
            <w:r>
              <w:rPr>
                <w:color w:val="auto"/>
                <w:kern w:val="0"/>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color w:val="auto"/>
                <w:kern w:val="0"/>
                <w:szCs w:val="21"/>
                <w:highlight w:val="none"/>
              </w:rPr>
              <w:br w:type="textWrapping"/>
            </w:r>
            <w:r>
              <w:rPr>
                <w:color w:val="auto"/>
                <w:kern w:val="0"/>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color w:val="auto"/>
                <w:kern w:val="0"/>
                <w:szCs w:val="21"/>
                <w:highlight w:val="none"/>
              </w:rPr>
              <w:br w:type="textWrapping"/>
            </w:r>
            <w:r>
              <w:rPr>
                <w:color w:val="auto"/>
                <w:kern w:val="0"/>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color w:val="auto"/>
                <w:kern w:val="0"/>
                <w:szCs w:val="21"/>
                <w:highlight w:val="none"/>
              </w:rPr>
              <w:br w:type="textWrapping"/>
            </w:r>
            <w:r>
              <w:rPr>
                <w:color w:val="auto"/>
                <w:kern w:val="0"/>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color w:val="auto"/>
                <w:kern w:val="0"/>
                <w:szCs w:val="21"/>
                <w:highlight w:val="none"/>
              </w:rPr>
              <w:br w:type="textWrapping"/>
            </w:r>
            <w:r>
              <w:rPr>
                <w:color w:val="auto"/>
                <w:kern w:val="0"/>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color w:val="auto"/>
                <w:kern w:val="0"/>
                <w:szCs w:val="21"/>
                <w:highlight w:val="none"/>
              </w:rPr>
              <w:br w:type="textWrapping"/>
            </w:r>
            <w:r>
              <w:rPr>
                <w:color w:val="auto"/>
                <w:kern w:val="0"/>
                <w:szCs w:val="21"/>
                <w:highlight w:val="none"/>
              </w:rPr>
              <w:t>　　（十六）其他未列明行业。从业人员300人以下的为中小微型企业。其中，从业人员100人及以上的为中型企业；从业人员10人及以上的为小型企业；从业人员10人以下的为微型企业。</w:t>
            </w:r>
            <w:r>
              <w:rPr>
                <w:color w:val="auto"/>
                <w:kern w:val="0"/>
                <w:szCs w:val="21"/>
                <w:highlight w:val="none"/>
              </w:rPr>
              <w:br w:type="textWrapping"/>
            </w:r>
            <w:r>
              <w:rPr>
                <w:color w:val="auto"/>
                <w:kern w:val="0"/>
                <w:szCs w:val="21"/>
                <w:highlight w:val="none"/>
              </w:rPr>
              <w:t>　　五、企业类型的划分以统计部门的统计数据为依据。</w:t>
            </w:r>
            <w:r>
              <w:rPr>
                <w:color w:val="auto"/>
                <w:kern w:val="0"/>
                <w:szCs w:val="21"/>
                <w:highlight w:val="none"/>
              </w:rPr>
              <w:br w:type="textWrapping"/>
            </w:r>
            <w:r>
              <w:rPr>
                <w:color w:val="auto"/>
                <w:kern w:val="0"/>
                <w:szCs w:val="21"/>
                <w:highlight w:val="none"/>
              </w:rPr>
              <w:t>　　六、本规定适用于在中华人民共和国境内依法设立的各类所有制和各种组织形式的企业。个体工商户和本规定以外的行业，参照本规定进行划型。</w:t>
            </w:r>
            <w:r>
              <w:rPr>
                <w:color w:val="auto"/>
                <w:kern w:val="0"/>
                <w:szCs w:val="21"/>
                <w:highlight w:val="none"/>
              </w:rPr>
              <w:br w:type="textWrapping"/>
            </w:r>
            <w:r>
              <w:rPr>
                <w:color w:val="auto"/>
                <w:kern w:val="0"/>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r>
              <w:rPr>
                <w:color w:val="auto"/>
                <w:kern w:val="0"/>
                <w:szCs w:val="21"/>
                <w:highlight w:val="none"/>
              </w:rPr>
              <w:br w:type="textWrapping"/>
            </w:r>
            <w:r>
              <w:rPr>
                <w:color w:val="auto"/>
                <w:kern w:val="0"/>
                <w:szCs w:val="21"/>
                <w:highlight w:val="none"/>
              </w:rPr>
              <w:t>　　八、本规定由工业和信息化部、国家统计局会同有关部门根据《国民经济行业分类》修订情况和企业发展变化情况适时修订。</w:t>
            </w:r>
            <w:r>
              <w:rPr>
                <w:color w:val="auto"/>
                <w:kern w:val="0"/>
                <w:szCs w:val="21"/>
                <w:highlight w:val="none"/>
              </w:rPr>
              <w:br w:type="textWrapping"/>
            </w:r>
            <w:r>
              <w:rPr>
                <w:color w:val="auto"/>
                <w:kern w:val="0"/>
                <w:szCs w:val="21"/>
                <w:highlight w:val="none"/>
              </w:rPr>
              <w:t>　　九、本规定由工业和信息化部、国家统计局会同有关部门负责解释。</w:t>
            </w:r>
            <w:r>
              <w:rPr>
                <w:color w:val="auto"/>
                <w:kern w:val="0"/>
                <w:szCs w:val="21"/>
                <w:highlight w:val="none"/>
              </w:rPr>
              <w:br w:type="textWrapping"/>
            </w:r>
            <w:r>
              <w:rPr>
                <w:color w:val="auto"/>
                <w:kern w:val="0"/>
                <w:szCs w:val="21"/>
                <w:highlight w:val="none"/>
              </w:rPr>
              <w:t>　　十、本规定自发布之日起执行，原国家经贸委、原国家计委、财政部和国家统计局2003年颁布的《中小企业标准暂行规定》同时废止。</w:t>
            </w:r>
          </w:p>
        </w:tc>
      </w:tr>
    </w:tbl>
    <w:p w14:paraId="7D0FEF12">
      <w:pPr>
        <w:pStyle w:val="38"/>
        <w:snapToGrid w:val="0"/>
        <w:rPr>
          <w:rFonts w:hAnsi="宋体" w:cs="宋体"/>
          <w:b/>
          <w:color w:val="auto"/>
          <w:sz w:val="28"/>
          <w:szCs w:val="28"/>
          <w:highlight w:val="none"/>
        </w:rPr>
      </w:pPr>
      <w:r>
        <w:rPr>
          <w:rFonts w:ascii="Times New Roman" w:hAnsi="Times New Roman"/>
          <w:b/>
          <w:color w:val="auto"/>
          <w:sz w:val="28"/>
          <w:szCs w:val="28"/>
          <w:highlight w:val="none"/>
          <w:shd w:val="clear" w:color="FFFFFF" w:fill="D9D9D9"/>
        </w:rPr>
        <w:br w:type="page"/>
      </w:r>
      <w:r>
        <w:rPr>
          <w:rFonts w:hint="eastAsia" w:hAnsi="宋体" w:cs="宋体"/>
          <w:b/>
          <w:color w:val="auto"/>
          <w:sz w:val="28"/>
          <w:szCs w:val="28"/>
          <w:highlight w:val="none"/>
        </w:rPr>
        <w:t>附件1</w:t>
      </w:r>
    </w:p>
    <w:p w14:paraId="67538A3C">
      <w:pPr>
        <w:pStyle w:val="38"/>
        <w:snapToGrid w:val="0"/>
        <w:jc w:val="center"/>
        <w:rPr>
          <w:rFonts w:hAnsi="宋体" w:cs="宋体"/>
          <w:b/>
          <w:color w:val="auto"/>
          <w:sz w:val="28"/>
          <w:szCs w:val="28"/>
          <w:highlight w:val="none"/>
        </w:rPr>
      </w:pPr>
    </w:p>
    <w:p w14:paraId="0AEB1404">
      <w:pPr>
        <w:pStyle w:val="38"/>
        <w:snapToGrid w:val="0"/>
        <w:jc w:val="center"/>
        <w:rPr>
          <w:rFonts w:hAnsi="宋体" w:cs="宋体"/>
          <w:color w:val="auto"/>
          <w:sz w:val="30"/>
          <w:szCs w:val="30"/>
          <w:highlight w:val="none"/>
        </w:rPr>
      </w:pPr>
      <w:r>
        <w:rPr>
          <w:rFonts w:hint="eastAsia" w:hAnsi="宋体" w:cs="宋体"/>
          <w:b/>
          <w:color w:val="auto"/>
          <w:sz w:val="28"/>
          <w:szCs w:val="28"/>
          <w:highlight w:val="none"/>
        </w:rPr>
        <w:t>财政部 发展改革委 生态环境部 市场监管总局 关于调整优化节能产品、环境标志产品政府采购执行机制的通知</w:t>
      </w:r>
    </w:p>
    <w:p w14:paraId="776B865C">
      <w:pPr>
        <w:pStyle w:val="5"/>
        <w:keepNext w:val="0"/>
        <w:keepLines w:val="0"/>
        <w:widowControl/>
        <w:tabs>
          <w:tab w:val="left" w:pos="578"/>
        </w:tabs>
        <w:spacing w:before="120" w:after="120" w:line="750" w:lineRule="atLeast"/>
        <w:jc w:val="center"/>
        <w:textAlignment w:val="baseline"/>
        <w:rPr>
          <w:rFonts w:ascii="宋体" w:hAnsi="宋体" w:eastAsia="宋体" w:cs="宋体"/>
          <w:b w:val="0"/>
          <w:bCs w:val="0"/>
          <w:color w:val="auto"/>
          <w:sz w:val="25"/>
          <w:szCs w:val="25"/>
          <w:highlight w:val="none"/>
        </w:rPr>
      </w:pPr>
      <w:r>
        <w:rPr>
          <w:rFonts w:hint="eastAsia" w:ascii="宋体" w:hAnsi="宋体" w:eastAsia="宋体" w:cs="宋体"/>
          <w:b w:val="0"/>
          <w:bCs w:val="0"/>
          <w:color w:val="auto"/>
          <w:sz w:val="25"/>
          <w:szCs w:val="25"/>
          <w:highlight w:val="none"/>
          <w:shd w:val="clear" w:color="auto" w:fill="FFFFFF"/>
        </w:rPr>
        <w:t>财库〔2019〕9号</w:t>
      </w:r>
    </w:p>
    <w:p w14:paraId="730E7E5D">
      <w:pPr>
        <w:pStyle w:val="14"/>
        <w:spacing w:before="0" w:beforeAutospacing="0" w:after="280" w:afterAutospacing="0" w:line="560" w:lineRule="atLeast"/>
        <w:textAlignment w:val="baseline"/>
        <w:rPr>
          <w:color w:val="auto"/>
          <w:sz w:val="28"/>
          <w:szCs w:val="28"/>
          <w:highlight w:val="none"/>
        </w:rPr>
      </w:pPr>
      <w:r>
        <w:rPr>
          <w:rFonts w:hint="eastAsia"/>
          <w:color w:val="auto"/>
          <w:sz w:val="28"/>
          <w:szCs w:val="28"/>
          <w:highlight w:val="none"/>
          <w:shd w:val="clear" w:color="auto" w:fill="FFFFFF"/>
        </w:rPr>
        <w:t>有关中央预算单位，各省、自治区、直辖市、计划单列市财政厅（局）、发展改革委（经信委、工信委、工信厅、经信局）、生态环境厅（局）、市场监管部门，新疆生产建设兵团财政局、发展改革委、工信委、环境保护局、市场监管局：</w:t>
      </w:r>
    </w:p>
    <w:p w14:paraId="0E12BB3C">
      <w:pPr>
        <w:pStyle w:val="14"/>
        <w:spacing w:before="0" w:beforeAutospacing="0" w:after="280" w:afterAutospacing="0" w:line="560" w:lineRule="atLeast"/>
        <w:textAlignment w:val="baseline"/>
        <w:rPr>
          <w:color w:val="auto"/>
          <w:sz w:val="28"/>
          <w:szCs w:val="28"/>
          <w:highlight w:val="none"/>
        </w:rPr>
      </w:pPr>
      <w:r>
        <w:rPr>
          <w:rFonts w:hint="eastAsia"/>
          <w:color w:val="auto"/>
          <w:sz w:val="28"/>
          <w:szCs w:val="28"/>
          <w:highlight w:val="none"/>
          <w:shd w:val="clear" w:color="auto"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7FA5B39A">
      <w:pPr>
        <w:pStyle w:val="14"/>
        <w:spacing w:before="0" w:beforeAutospacing="0" w:after="280" w:afterAutospacing="0" w:line="560" w:lineRule="atLeast"/>
        <w:textAlignment w:val="baseline"/>
        <w:rPr>
          <w:color w:val="auto"/>
          <w:sz w:val="28"/>
          <w:szCs w:val="28"/>
          <w:highlight w:val="none"/>
        </w:rPr>
      </w:pPr>
      <w:r>
        <w:rPr>
          <w:rFonts w:hint="eastAsia"/>
          <w:color w:val="auto"/>
          <w:sz w:val="28"/>
          <w:szCs w:val="28"/>
          <w:highlight w:val="none"/>
          <w:shd w:val="clear" w:color="auto"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12E80DBD">
      <w:pPr>
        <w:pStyle w:val="14"/>
        <w:spacing w:before="0" w:beforeAutospacing="0" w:after="280" w:afterAutospacing="0" w:line="560" w:lineRule="atLeast"/>
        <w:textAlignment w:val="baseline"/>
        <w:rPr>
          <w:color w:val="auto"/>
          <w:sz w:val="28"/>
          <w:szCs w:val="28"/>
          <w:highlight w:val="none"/>
        </w:rPr>
      </w:pPr>
      <w:r>
        <w:rPr>
          <w:rFonts w:hint="eastAsia"/>
          <w:color w:val="auto"/>
          <w:sz w:val="28"/>
          <w:szCs w:val="28"/>
          <w:highlight w:val="none"/>
          <w:shd w:val="clear" w:color="auto"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B63C9A0">
      <w:pPr>
        <w:pStyle w:val="14"/>
        <w:spacing w:before="0" w:beforeAutospacing="0" w:after="280" w:afterAutospacing="0" w:line="560" w:lineRule="atLeast"/>
        <w:textAlignment w:val="baseline"/>
        <w:rPr>
          <w:color w:val="auto"/>
          <w:sz w:val="28"/>
          <w:szCs w:val="28"/>
          <w:highlight w:val="none"/>
        </w:rPr>
      </w:pPr>
      <w:r>
        <w:rPr>
          <w:rFonts w:hint="eastAsia"/>
          <w:color w:val="auto"/>
          <w:sz w:val="28"/>
          <w:szCs w:val="28"/>
          <w:highlight w:val="none"/>
          <w:shd w:val="clear" w:color="auto"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6E3AE147">
      <w:pPr>
        <w:pStyle w:val="14"/>
        <w:spacing w:before="0" w:beforeAutospacing="0" w:after="280" w:afterAutospacing="0" w:line="560" w:lineRule="atLeast"/>
        <w:textAlignment w:val="baseline"/>
        <w:rPr>
          <w:color w:val="auto"/>
          <w:sz w:val="28"/>
          <w:szCs w:val="28"/>
          <w:highlight w:val="none"/>
        </w:rPr>
      </w:pPr>
      <w:r>
        <w:rPr>
          <w:rFonts w:hint="eastAsia"/>
          <w:color w:val="auto"/>
          <w:sz w:val="28"/>
          <w:szCs w:val="28"/>
          <w:highlight w:val="none"/>
          <w:shd w:val="clear" w:color="auto"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63E15F32">
      <w:pPr>
        <w:pStyle w:val="14"/>
        <w:spacing w:before="0" w:beforeAutospacing="0" w:after="280" w:afterAutospacing="0" w:line="560" w:lineRule="atLeast"/>
        <w:textAlignment w:val="baseline"/>
        <w:rPr>
          <w:color w:val="auto"/>
          <w:sz w:val="28"/>
          <w:szCs w:val="28"/>
          <w:highlight w:val="none"/>
        </w:rPr>
      </w:pPr>
      <w:r>
        <w:rPr>
          <w:rFonts w:hint="eastAsia"/>
          <w:color w:val="auto"/>
          <w:sz w:val="28"/>
          <w:szCs w:val="28"/>
          <w:highlight w:val="none"/>
          <w:shd w:val="clear" w:color="auto"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80DEB7C">
      <w:pPr>
        <w:pStyle w:val="14"/>
        <w:spacing w:before="0" w:beforeAutospacing="0" w:after="280" w:afterAutospacing="0" w:line="560" w:lineRule="atLeast"/>
        <w:textAlignment w:val="baseline"/>
        <w:rPr>
          <w:color w:val="auto"/>
          <w:sz w:val="28"/>
          <w:szCs w:val="28"/>
          <w:highlight w:val="none"/>
        </w:rPr>
      </w:pPr>
      <w:r>
        <w:rPr>
          <w:rFonts w:hint="eastAsia"/>
          <w:color w:val="auto"/>
          <w:sz w:val="28"/>
          <w:szCs w:val="28"/>
          <w:highlight w:val="none"/>
          <w:shd w:val="clear" w:color="auto" w:fill="FFFFFF"/>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290FEA96">
      <w:pPr>
        <w:pStyle w:val="14"/>
        <w:spacing w:before="0" w:beforeAutospacing="0" w:after="0" w:afterAutospacing="0" w:line="560" w:lineRule="atLeast"/>
        <w:jc w:val="right"/>
        <w:textAlignment w:val="baseline"/>
        <w:rPr>
          <w:color w:val="auto"/>
          <w:sz w:val="28"/>
          <w:szCs w:val="28"/>
          <w:highlight w:val="none"/>
        </w:rPr>
      </w:pPr>
      <w:r>
        <w:rPr>
          <w:rFonts w:hint="eastAsia"/>
          <w:color w:val="auto"/>
          <w:sz w:val="28"/>
          <w:szCs w:val="28"/>
          <w:highlight w:val="none"/>
          <w:shd w:val="clear" w:color="auto" w:fill="FFFFFF"/>
        </w:rPr>
        <w:t>财政部 发展改革委 生态环境部 市场监管总局</w:t>
      </w:r>
      <w:r>
        <w:rPr>
          <w:rFonts w:hint="eastAsia"/>
          <w:color w:val="auto"/>
          <w:sz w:val="28"/>
          <w:szCs w:val="28"/>
          <w:highlight w:val="none"/>
          <w:shd w:val="clear" w:color="auto" w:fill="FFFFFF"/>
        </w:rPr>
        <w:br w:type="textWrapping"/>
      </w:r>
      <w:r>
        <w:rPr>
          <w:rFonts w:hint="eastAsia"/>
          <w:color w:val="auto"/>
          <w:sz w:val="28"/>
          <w:szCs w:val="28"/>
          <w:highlight w:val="none"/>
          <w:shd w:val="clear" w:color="auto" w:fill="FFFFFF"/>
        </w:rPr>
        <w:t>2019年2月1日</w:t>
      </w:r>
    </w:p>
    <w:p w14:paraId="62A73D9A">
      <w:pPr>
        <w:pStyle w:val="38"/>
        <w:snapToGrid w:val="0"/>
        <w:rPr>
          <w:rFonts w:hAnsi="宋体" w:cs="宋体"/>
          <w:b/>
          <w:color w:val="auto"/>
          <w:sz w:val="28"/>
          <w:szCs w:val="28"/>
          <w:highlight w:val="none"/>
        </w:rPr>
      </w:pPr>
    </w:p>
    <w:p w14:paraId="44F3373A">
      <w:pPr>
        <w:pStyle w:val="38"/>
        <w:snapToGrid w:val="0"/>
        <w:rPr>
          <w:rFonts w:hAnsi="宋体" w:cs="宋体"/>
          <w:b/>
          <w:color w:val="auto"/>
          <w:sz w:val="28"/>
          <w:szCs w:val="28"/>
          <w:highlight w:val="none"/>
        </w:rPr>
      </w:pPr>
      <w:r>
        <w:rPr>
          <w:rFonts w:hint="eastAsia" w:hAnsi="宋体" w:cs="宋体"/>
          <w:b/>
          <w:color w:val="auto"/>
          <w:sz w:val="28"/>
          <w:szCs w:val="28"/>
          <w:highlight w:val="none"/>
        </w:rPr>
        <w:br w:type="page"/>
      </w:r>
      <w:r>
        <w:rPr>
          <w:rFonts w:hint="eastAsia" w:hAnsi="宋体" w:cs="宋体"/>
          <w:b/>
          <w:color w:val="auto"/>
          <w:sz w:val="28"/>
          <w:szCs w:val="28"/>
          <w:highlight w:val="none"/>
        </w:rPr>
        <w:t>附件2</w:t>
      </w:r>
    </w:p>
    <w:p w14:paraId="419A96B2">
      <w:pPr>
        <w:pStyle w:val="38"/>
        <w:snapToGrid w:val="0"/>
        <w:jc w:val="center"/>
        <w:rPr>
          <w:rFonts w:hAnsi="宋体" w:cs="宋体"/>
          <w:b/>
          <w:color w:val="auto"/>
          <w:sz w:val="28"/>
          <w:szCs w:val="28"/>
          <w:highlight w:val="none"/>
        </w:rPr>
      </w:pPr>
      <w:r>
        <w:rPr>
          <w:rFonts w:hint="eastAsia" w:hAnsi="宋体" w:cs="宋体"/>
          <w:b/>
          <w:color w:val="auto"/>
          <w:sz w:val="28"/>
          <w:szCs w:val="28"/>
          <w:highlight w:val="none"/>
        </w:rPr>
        <w:t>关于印发环境标志产品政府采购品目清单的通知</w:t>
      </w:r>
    </w:p>
    <w:p w14:paraId="6293F058">
      <w:pPr>
        <w:pStyle w:val="5"/>
        <w:keepNext w:val="0"/>
        <w:keepLines w:val="0"/>
        <w:widowControl/>
        <w:tabs>
          <w:tab w:val="left" w:pos="578"/>
        </w:tabs>
        <w:spacing w:before="120" w:after="120" w:line="750" w:lineRule="atLeast"/>
        <w:jc w:val="center"/>
        <w:textAlignment w:val="baseline"/>
        <w:rPr>
          <w:rFonts w:ascii="宋体" w:hAnsi="宋体" w:eastAsia="宋体" w:cs="宋体"/>
          <w:b w:val="0"/>
          <w:bCs w:val="0"/>
          <w:color w:val="auto"/>
          <w:sz w:val="25"/>
          <w:szCs w:val="25"/>
          <w:highlight w:val="none"/>
        </w:rPr>
      </w:pPr>
      <w:r>
        <w:rPr>
          <w:rFonts w:hint="eastAsia" w:ascii="宋体" w:hAnsi="宋体" w:eastAsia="宋体" w:cs="宋体"/>
          <w:b w:val="0"/>
          <w:bCs w:val="0"/>
          <w:color w:val="auto"/>
          <w:sz w:val="25"/>
          <w:szCs w:val="25"/>
          <w:highlight w:val="none"/>
          <w:shd w:val="clear" w:color="auto" w:fill="FFFFFF"/>
        </w:rPr>
        <w:t>财库〔2019〕18号</w:t>
      </w:r>
    </w:p>
    <w:p w14:paraId="60785D52">
      <w:pPr>
        <w:pStyle w:val="14"/>
        <w:spacing w:before="0" w:beforeAutospacing="0" w:after="280" w:afterAutospacing="0" w:line="560" w:lineRule="atLeast"/>
        <w:textAlignment w:val="baseline"/>
        <w:rPr>
          <w:color w:val="auto"/>
          <w:sz w:val="28"/>
          <w:szCs w:val="28"/>
          <w:highlight w:val="none"/>
        </w:rPr>
      </w:pPr>
      <w:r>
        <w:rPr>
          <w:rFonts w:hint="eastAsia"/>
          <w:color w:val="auto"/>
          <w:sz w:val="28"/>
          <w:szCs w:val="28"/>
          <w:highlight w:val="none"/>
          <w:shd w:val="clear" w:color="auto" w:fill="FFFFFF"/>
        </w:rPr>
        <w:t>有关中央预算单位，各省、自治区、直辖市、计划单列市财政厅（局）、生态环境厅（局），新疆生产建设兵团财政局、环境保护局：</w:t>
      </w:r>
    </w:p>
    <w:p w14:paraId="04A10E93">
      <w:pPr>
        <w:pStyle w:val="14"/>
        <w:spacing w:before="0" w:beforeAutospacing="0" w:after="280" w:afterAutospacing="0" w:line="560" w:lineRule="atLeast"/>
        <w:textAlignment w:val="baseline"/>
        <w:rPr>
          <w:color w:val="auto"/>
          <w:sz w:val="28"/>
          <w:szCs w:val="28"/>
          <w:highlight w:val="none"/>
        </w:rPr>
      </w:pPr>
      <w:r>
        <w:rPr>
          <w:rFonts w:hint="eastAsia"/>
          <w:color w:val="auto"/>
          <w:sz w:val="28"/>
          <w:szCs w:val="28"/>
          <w:highlight w:val="none"/>
          <w:shd w:val="clear" w:color="auto" w:fill="FFFFFF"/>
        </w:rPr>
        <w:t>　　根据《财政部发展改革委 生态环境部 市场监管总局关于调整优化节能产品 环境标志产品政府采购执行机制的通知》（财库〔2019〕9号）， 我们研究制定了环境标志产品政府采购品目清单，现印发给你们，请遵照执行。</w:t>
      </w:r>
    </w:p>
    <w:p w14:paraId="31B8D394">
      <w:pPr>
        <w:pStyle w:val="14"/>
        <w:spacing w:before="0" w:beforeAutospacing="0" w:after="280" w:afterAutospacing="0" w:line="560" w:lineRule="atLeast"/>
        <w:ind w:firstLine="560"/>
        <w:textAlignment w:val="baseline"/>
        <w:rPr>
          <w:color w:val="auto"/>
          <w:sz w:val="28"/>
          <w:szCs w:val="28"/>
          <w:highlight w:val="none"/>
          <w:shd w:val="clear" w:color="auto" w:fill="FFFFFF"/>
        </w:rPr>
      </w:pPr>
      <w:r>
        <w:rPr>
          <w:rFonts w:hint="eastAsia"/>
          <w:color w:val="auto"/>
          <w:sz w:val="28"/>
          <w:szCs w:val="28"/>
          <w:highlight w:val="none"/>
          <w:shd w:val="clear" w:color="auto" w:fill="FFFFFF"/>
        </w:rPr>
        <w:t>附件：</w:t>
      </w:r>
      <w:r>
        <w:rPr>
          <w:color w:val="auto"/>
          <w:highlight w:val="none"/>
        </w:rPr>
        <w:fldChar w:fldCharType="begin"/>
      </w:r>
      <w:r>
        <w:rPr>
          <w:color w:val="auto"/>
          <w:highlight w:val="none"/>
        </w:rPr>
        <w:instrText xml:space="preserve"> HYPERLINK "http://gks.mof.gov.cn/ztztz/zhengfucaigouguanli/201903/P020190329702478575295.pdf" </w:instrText>
      </w:r>
      <w:r>
        <w:rPr>
          <w:color w:val="auto"/>
          <w:highlight w:val="none"/>
        </w:rPr>
        <w:fldChar w:fldCharType="separate"/>
      </w:r>
      <w:r>
        <w:rPr>
          <w:rStyle w:val="21"/>
          <w:rFonts w:hint="eastAsia"/>
          <w:color w:val="auto"/>
          <w:sz w:val="28"/>
          <w:szCs w:val="28"/>
          <w:highlight w:val="none"/>
          <w:shd w:val="clear" w:color="auto" w:fill="FFFFFF"/>
        </w:rPr>
        <w:t>环境标志产品政府采购品目清单</w:t>
      </w:r>
      <w:r>
        <w:rPr>
          <w:rStyle w:val="21"/>
          <w:rFonts w:hint="eastAsia"/>
          <w:color w:val="auto"/>
          <w:sz w:val="28"/>
          <w:szCs w:val="28"/>
          <w:highlight w:val="none"/>
          <w:shd w:val="clear" w:color="auto" w:fill="FFFFFF"/>
        </w:rPr>
        <w:fldChar w:fldCharType="end"/>
      </w:r>
    </w:p>
    <w:p w14:paraId="1A9994C2">
      <w:pPr>
        <w:pStyle w:val="14"/>
        <w:spacing w:before="0" w:beforeAutospacing="0" w:after="280" w:afterAutospacing="0" w:line="560" w:lineRule="atLeast"/>
        <w:ind w:firstLine="560"/>
        <w:textAlignment w:val="baseline"/>
        <w:rPr>
          <w:color w:val="auto"/>
          <w:sz w:val="28"/>
          <w:szCs w:val="28"/>
          <w:highlight w:val="none"/>
          <w:shd w:val="clear" w:color="auto" w:fill="FFFFFF"/>
        </w:rPr>
      </w:pPr>
      <w:r>
        <w:rPr>
          <w:rFonts w:hint="eastAsia"/>
          <w:color w:val="auto"/>
          <w:sz w:val="28"/>
          <w:szCs w:val="28"/>
          <w:highlight w:val="none"/>
          <w:shd w:val="clear" w:color="auto" w:fill="FFFFFF"/>
        </w:rPr>
        <w:object>
          <v:shape id="_x0000_i1025" o:spt="75" type="#_x0000_t75" style="height:66pt;width:72.75pt;" o:ole="t" filled="f" o:preferrelative="t" stroked="f" coordsize="21600,21600">
            <v:path/>
            <v:fill on="f" focussize="0,0"/>
            <v:stroke on="f" joinstyle="miter"/>
            <v:imagedata r:id="rId11" o:title=""/>
            <o:lock v:ext="edit" aspectratio="t"/>
            <w10:wrap type="none"/>
            <w10:anchorlock/>
          </v:shape>
          <o:OLEObject Type="Embed" ProgID="Package" ShapeID="_x0000_i1025" DrawAspect="Icon" ObjectID="_1468075725" r:id="rId10">
            <o:LockedField>false</o:LockedField>
          </o:OLEObject>
        </w:object>
      </w:r>
    </w:p>
    <w:p w14:paraId="10EC8E9A">
      <w:pPr>
        <w:pStyle w:val="14"/>
        <w:spacing w:before="0" w:beforeAutospacing="0" w:after="0" w:afterAutospacing="0" w:line="560" w:lineRule="atLeast"/>
        <w:jc w:val="right"/>
        <w:textAlignment w:val="baseline"/>
        <w:rPr>
          <w:color w:val="auto"/>
          <w:sz w:val="28"/>
          <w:szCs w:val="28"/>
          <w:highlight w:val="none"/>
          <w:shd w:val="clear" w:color="auto" w:fill="FFFFFF"/>
        </w:rPr>
      </w:pPr>
      <w:r>
        <w:rPr>
          <w:rFonts w:hint="eastAsia"/>
          <w:color w:val="auto"/>
          <w:sz w:val="28"/>
          <w:szCs w:val="28"/>
          <w:highlight w:val="none"/>
          <w:shd w:val="clear" w:color="auto" w:fill="FFFFFF"/>
        </w:rPr>
        <w:t>财政部 生态环境部</w:t>
      </w:r>
      <w:r>
        <w:rPr>
          <w:rFonts w:hint="eastAsia"/>
          <w:color w:val="auto"/>
          <w:sz w:val="28"/>
          <w:szCs w:val="28"/>
          <w:highlight w:val="none"/>
          <w:shd w:val="clear" w:color="auto" w:fill="FFFFFF"/>
        </w:rPr>
        <w:br w:type="textWrapping"/>
      </w:r>
      <w:r>
        <w:rPr>
          <w:rFonts w:hint="eastAsia"/>
          <w:color w:val="auto"/>
          <w:sz w:val="28"/>
          <w:szCs w:val="28"/>
          <w:highlight w:val="none"/>
          <w:shd w:val="clear" w:color="auto" w:fill="FFFFFF"/>
        </w:rPr>
        <w:t>2019年3月29日</w:t>
      </w:r>
    </w:p>
    <w:p w14:paraId="5E275F4B">
      <w:pPr>
        <w:pStyle w:val="14"/>
        <w:spacing w:before="0" w:beforeAutospacing="0" w:after="0" w:afterAutospacing="0" w:line="560" w:lineRule="atLeast"/>
        <w:jc w:val="both"/>
        <w:textAlignment w:val="baseline"/>
        <w:rPr>
          <w:color w:val="auto"/>
          <w:sz w:val="28"/>
          <w:szCs w:val="28"/>
          <w:highlight w:val="none"/>
          <w:shd w:val="clear" w:color="auto" w:fill="FFFFFF"/>
        </w:rPr>
      </w:pPr>
      <w:r>
        <w:rPr>
          <w:rFonts w:hint="eastAsia"/>
          <w:color w:val="auto"/>
          <w:sz w:val="28"/>
          <w:szCs w:val="28"/>
          <w:highlight w:val="none"/>
          <w:shd w:val="clear" w:color="auto" w:fill="FFFFFF"/>
        </w:rPr>
        <w:br w:type="page"/>
      </w:r>
      <w:r>
        <w:rPr>
          <w:rFonts w:hint="eastAsia"/>
          <w:color w:val="auto"/>
          <w:sz w:val="28"/>
          <w:szCs w:val="28"/>
          <w:highlight w:val="none"/>
          <w:shd w:val="clear" w:color="auto" w:fill="FFFFFF"/>
        </w:rPr>
        <w:t>附件3</w:t>
      </w:r>
    </w:p>
    <w:p w14:paraId="277FA6AD">
      <w:pPr>
        <w:pStyle w:val="14"/>
        <w:spacing w:before="0" w:beforeAutospacing="0" w:after="0" w:afterAutospacing="0" w:line="560" w:lineRule="atLeast"/>
        <w:jc w:val="center"/>
        <w:textAlignment w:val="baseline"/>
        <w:rPr>
          <w:color w:val="auto"/>
          <w:sz w:val="28"/>
          <w:szCs w:val="28"/>
          <w:highlight w:val="none"/>
          <w:shd w:val="clear" w:color="auto" w:fill="FFFFFF"/>
        </w:rPr>
      </w:pPr>
      <w:r>
        <w:rPr>
          <w:rFonts w:hint="eastAsia"/>
          <w:color w:val="auto"/>
          <w:sz w:val="28"/>
          <w:szCs w:val="28"/>
          <w:highlight w:val="none"/>
          <w:shd w:val="clear" w:color="auto" w:fill="FFFFFF"/>
        </w:rPr>
        <w:t>关于印发节能产品政府采购品目清单的通知</w:t>
      </w:r>
    </w:p>
    <w:p w14:paraId="6729F9EF">
      <w:pPr>
        <w:pStyle w:val="5"/>
        <w:keepNext w:val="0"/>
        <w:keepLines w:val="0"/>
        <w:widowControl/>
        <w:tabs>
          <w:tab w:val="left" w:pos="578"/>
        </w:tabs>
        <w:spacing w:before="120" w:after="120" w:line="750" w:lineRule="atLeast"/>
        <w:jc w:val="center"/>
        <w:textAlignment w:val="baseline"/>
        <w:rPr>
          <w:rFonts w:ascii="宋体" w:hAnsi="宋体" w:eastAsia="宋体" w:cs="宋体"/>
          <w:b w:val="0"/>
          <w:bCs w:val="0"/>
          <w:color w:val="auto"/>
          <w:sz w:val="25"/>
          <w:szCs w:val="25"/>
          <w:highlight w:val="none"/>
        </w:rPr>
      </w:pPr>
      <w:r>
        <w:rPr>
          <w:rFonts w:hint="eastAsia" w:ascii="宋体" w:hAnsi="宋体" w:eastAsia="宋体" w:cs="宋体"/>
          <w:b w:val="0"/>
          <w:bCs w:val="0"/>
          <w:color w:val="auto"/>
          <w:sz w:val="25"/>
          <w:szCs w:val="25"/>
          <w:highlight w:val="none"/>
          <w:shd w:val="clear" w:color="auto" w:fill="FFFFFF"/>
        </w:rPr>
        <w:t>财库〔2019〕19号</w:t>
      </w:r>
    </w:p>
    <w:p w14:paraId="506643C7">
      <w:pPr>
        <w:pStyle w:val="14"/>
        <w:spacing w:before="0" w:beforeAutospacing="0" w:after="280" w:afterAutospacing="0" w:line="560" w:lineRule="atLeast"/>
        <w:textAlignment w:val="baseline"/>
        <w:rPr>
          <w:color w:val="auto"/>
          <w:sz w:val="28"/>
          <w:szCs w:val="28"/>
          <w:highlight w:val="none"/>
        </w:rPr>
      </w:pPr>
      <w:r>
        <w:rPr>
          <w:rFonts w:hint="eastAsia"/>
          <w:color w:val="auto"/>
          <w:sz w:val="28"/>
          <w:szCs w:val="28"/>
          <w:highlight w:val="none"/>
          <w:shd w:val="clear" w:color="auto" w:fill="FFFFFF"/>
        </w:rPr>
        <w:t>有关中央预算单位，各省、自治区、直辖市、计划单列市财政厅（局）、发展改革委（经信委、工信委、工信厅、经信局），新疆生产建设兵团财政局、发展改革委：</w:t>
      </w:r>
    </w:p>
    <w:p w14:paraId="7E431017">
      <w:pPr>
        <w:pStyle w:val="14"/>
        <w:spacing w:before="0" w:beforeAutospacing="0" w:after="280" w:afterAutospacing="0" w:line="560" w:lineRule="atLeast"/>
        <w:textAlignment w:val="baseline"/>
        <w:rPr>
          <w:color w:val="auto"/>
          <w:sz w:val="28"/>
          <w:szCs w:val="28"/>
          <w:highlight w:val="none"/>
        </w:rPr>
      </w:pPr>
      <w:r>
        <w:rPr>
          <w:rFonts w:hint="eastAsia"/>
          <w:color w:val="auto"/>
          <w:sz w:val="28"/>
          <w:szCs w:val="28"/>
          <w:highlight w:val="none"/>
          <w:shd w:val="clear" w:color="auto" w:fill="FFFFFF"/>
        </w:rPr>
        <w:t>　　根据《财政部 发展改革委 生态环境部 市场监管总局关于调整优化节能产品 环境标志产品政府采购执行机制的通知》（财库〔2019〕9号）， 我们研究制定节能产品政府采购品目清单，现印发给你们，请遵照执行。</w:t>
      </w:r>
    </w:p>
    <w:p w14:paraId="6DCD4AA6">
      <w:pPr>
        <w:pStyle w:val="14"/>
        <w:spacing w:before="0" w:beforeAutospacing="0" w:after="280" w:afterAutospacing="0" w:line="560" w:lineRule="atLeast"/>
        <w:ind w:firstLine="560"/>
        <w:textAlignment w:val="baseline"/>
        <w:rPr>
          <w:color w:val="auto"/>
          <w:sz w:val="28"/>
          <w:szCs w:val="28"/>
          <w:highlight w:val="none"/>
          <w:shd w:val="clear" w:color="auto" w:fill="FFFFFF"/>
        </w:rPr>
      </w:pPr>
      <w:r>
        <w:rPr>
          <w:rFonts w:hint="eastAsia"/>
          <w:color w:val="auto"/>
          <w:sz w:val="28"/>
          <w:szCs w:val="28"/>
          <w:highlight w:val="none"/>
          <w:shd w:val="clear" w:color="auto" w:fill="FFFFFF"/>
        </w:rPr>
        <w:t>附件：</w:t>
      </w:r>
      <w:r>
        <w:rPr>
          <w:color w:val="auto"/>
          <w:highlight w:val="none"/>
        </w:rPr>
        <w:fldChar w:fldCharType="begin"/>
      </w:r>
      <w:r>
        <w:rPr>
          <w:color w:val="auto"/>
          <w:highlight w:val="none"/>
        </w:rPr>
        <w:instrText xml:space="preserve"> HYPERLINK "http://gks.mof.gov.cn/ztztz/zhengfucaigouguanli/201904/P020190404409422168443.pdf" </w:instrText>
      </w:r>
      <w:r>
        <w:rPr>
          <w:color w:val="auto"/>
          <w:highlight w:val="none"/>
        </w:rPr>
        <w:fldChar w:fldCharType="separate"/>
      </w:r>
      <w:r>
        <w:rPr>
          <w:rStyle w:val="21"/>
          <w:rFonts w:hint="eastAsia"/>
          <w:color w:val="auto"/>
          <w:sz w:val="28"/>
          <w:szCs w:val="28"/>
          <w:highlight w:val="none"/>
          <w:shd w:val="clear" w:color="auto" w:fill="FFFFFF"/>
        </w:rPr>
        <w:t>节能产品政府采购品目清单</w:t>
      </w:r>
      <w:r>
        <w:rPr>
          <w:rStyle w:val="21"/>
          <w:rFonts w:hint="eastAsia"/>
          <w:color w:val="auto"/>
          <w:sz w:val="28"/>
          <w:szCs w:val="28"/>
          <w:highlight w:val="none"/>
          <w:shd w:val="clear" w:color="auto" w:fill="FFFFFF"/>
        </w:rPr>
        <w:fldChar w:fldCharType="end"/>
      </w:r>
    </w:p>
    <w:p w14:paraId="77B5ABBA">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《节能产品政府采购品目清单》详见《关于印发节能产品政府采购品目清单的通知(财库[2019]19号)》(如遇调整，按最新清单执行)。</w:t>
      </w:r>
    </w:p>
    <w:tbl>
      <w:tblPr>
        <w:tblStyle w:val="17"/>
        <w:tblW w:w="9006"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2367"/>
      </w:tblGrid>
      <w:tr w14:paraId="50CD62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0F89EE4B">
            <w:pPr>
              <w:jc w:val="center"/>
              <w:rPr>
                <w:rFonts w:ascii="宋体" w:hAnsi="宋体" w:cs="宋体"/>
                <w:b/>
                <w:color w:val="auto"/>
                <w:w w:val="90"/>
                <w:szCs w:val="21"/>
                <w:highlight w:val="none"/>
              </w:rPr>
            </w:pPr>
            <w:r>
              <w:rPr>
                <w:rFonts w:hint="eastAsia" w:ascii="宋体" w:hAnsi="宋体" w:cs="宋体"/>
                <w:b/>
                <w:color w:val="auto"/>
                <w:w w:val="90"/>
                <w:szCs w:val="21"/>
                <w:highlight w:val="none"/>
              </w:rPr>
              <w:t>品目序号</w:t>
            </w:r>
          </w:p>
        </w:tc>
        <w:tc>
          <w:tcPr>
            <w:tcW w:w="5949" w:type="dxa"/>
            <w:gridSpan w:val="3"/>
            <w:shd w:val="clear" w:color="auto" w:fill="DAEEF3"/>
            <w:vAlign w:val="center"/>
          </w:tcPr>
          <w:p w14:paraId="39876021">
            <w:pPr>
              <w:jc w:val="center"/>
              <w:rPr>
                <w:rFonts w:ascii="宋体" w:hAnsi="宋体" w:cs="宋体"/>
                <w:b/>
                <w:color w:val="auto"/>
                <w:w w:val="90"/>
                <w:szCs w:val="21"/>
                <w:highlight w:val="none"/>
              </w:rPr>
            </w:pPr>
            <w:r>
              <w:rPr>
                <w:rFonts w:hint="eastAsia" w:ascii="宋体" w:hAnsi="宋体" w:cs="宋体"/>
                <w:b/>
                <w:color w:val="auto"/>
                <w:w w:val="90"/>
                <w:szCs w:val="21"/>
                <w:highlight w:val="none"/>
              </w:rPr>
              <w:t>名称（</w:t>
            </w:r>
            <w:r>
              <w:rPr>
                <w:rFonts w:hint="eastAsia" w:ascii="宋体" w:hAnsi="宋体" w:cs="宋体"/>
                <w:b/>
                <w:color w:val="auto"/>
                <w:w w:val="90"/>
                <w:szCs w:val="22"/>
                <w:highlight w:val="none"/>
              </w:rPr>
              <w:t>以“★”标注的为政府强制采购产品）</w:t>
            </w:r>
          </w:p>
        </w:tc>
        <w:tc>
          <w:tcPr>
            <w:tcW w:w="2367" w:type="dxa"/>
            <w:shd w:val="clear" w:color="auto" w:fill="DAEEF3"/>
            <w:vAlign w:val="center"/>
          </w:tcPr>
          <w:p w14:paraId="197FA443">
            <w:pPr>
              <w:jc w:val="center"/>
              <w:rPr>
                <w:rFonts w:ascii="宋体" w:hAnsi="宋体" w:cs="宋体"/>
                <w:b/>
                <w:color w:val="auto"/>
                <w:w w:val="90"/>
                <w:szCs w:val="21"/>
                <w:highlight w:val="none"/>
              </w:rPr>
            </w:pPr>
            <w:r>
              <w:rPr>
                <w:rFonts w:hint="eastAsia" w:ascii="宋体" w:hAnsi="宋体" w:cs="宋体"/>
                <w:b/>
                <w:color w:val="auto"/>
                <w:w w:val="90"/>
                <w:szCs w:val="21"/>
                <w:highlight w:val="none"/>
              </w:rPr>
              <w:t>依据的标准</w:t>
            </w:r>
          </w:p>
        </w:tc>
      </w:tr>
      <w:tr w14:paraId="1B9288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252335E">
            <w:pPr>
              <w:jc w:val="center"/>
              <w:rPr>
                <w:rFonts w:ascii="宋体" w:hAnsi="宋体" w:cs="宋体"/>
                <w:color w:val="auto"/>
                <w:w w:val="90"/>
                <w:szCs w:val="21"/>
                <w:highlight w:val="none"/>
              </w:rPr>
            </w:pPr>
            <w:r>
              <w:rPr>
                <w:rFonts w:hint="eastAsia" w:ascii="宋体" w:hAnsi="宋体" w:cs="宋体"/>
                <w:color w:val="auto"/>
                <w:w w:val="90"/>
                <w:szCs w:val="21"/>
                <w:highlight w:val="none"/>
              </w:rPr>
              <w:t>1</w:t>
            </w:r>
          </w:p>
        </w:tc>
        <w:tc>
          <w:tcPr>
            <w:tcW w:w="1933" w:type="dxa"/>
            <w:vMerge w:val="restart"/>
            <w:vAlign w:val="center"/>
          </w:tcPr>
          <w:p w14:paraId="56899243">
            <w:pPr>
              <w:jc w:val="left"/>
              <w:rPr>
                <w:rFonts w:ascii="宋体" w:hAnsi="宋体" w:cs="宋体"/>
                <w:color w:val="auto"/>
                <w:w w:val="90"/>
                <w:szCs w:val="21"/>
                <w:highlight w:val="none"/>
              </w:rPr>
            </w:pPr>
            <w:r>
              <w:rPr>
                <w:rFonts w:hint="eastAsia" w:ascii="宋体" w:hAnsi="宋体" w:cs="宋体"/>
                <w:color w:val="auto"/>
                <w:w w:val="90"/>
                <w:szCs w:val="21"/>
                <w:highlight w:val="none"/>
              </w:rPr>
              <w:t>A020101计算机设备</w:t>
            </w:r>
          </w:p>
        </w:tc>
        <w:tc>
          <w:tcPr>
            <w:tcW w:w="2334" w:type="dxa"/>
            <w:vAlign w:val="center"/>
          </w:tcPr>
          <w:p w14:paraId="76BCEA94">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A02010104台式计算机</w:t>
            </w:r>
          </w:p>
        </w:tc>
        <w:tc>
          <w:tcPr>
            <w:tcW w:w="1682" w:type="dxa"/>
            <w:vAlign w:val="center"/>
          </w:tcPr>
          <w:p w14:paraId="48803297">
            <w:pPr>
              <w:jc w:val="center"/>
              <w:rPr>
                <w:rFonts w:ascii="宋体" w:hAnsi="宋体" w:cs="宋体"/>
                <w:color w:val="auto"/>
                <w:w w:val="90"/>
                <w:szCs w:val="21"/>
                <w:highlight w:val="none"/>
              </w:rPr>
            </w:pPr>
          </w:p>
        </w:tc>
        <w:tc>
          <w:tcPr>
            <w:tcW w:w="2367" w:type="dxa"/>
            <w:vAlign w:val="center"/>
          </w:tcPr>
          <w:p w14:paraId="7921AA63">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5FF985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F8BB678">
            <w:pPr>
              <w:jc w:val="center"/>
              <w:rPr>
                <w:rFonts w:ascii="宋体" w:hAnsi="宋体" w:cs="宋体"/>
                <w:color w:val="auto"/>
                <w:w w:val="90"/>
                <w:szCs w:val="21"/>
                <w:highlight w:val="none"/>
              </w:rPr>
            </w:pPr>
          </w:p>
        </w:tc>
        <w:tc>
          <w:tcPr>
            <w:tcW w:w="1933" w:type="dxa"/>
            <w:vMerge w:val="continue"/>
            <w:vAlign w:val="center"/>
          </w:tcPr>
          <w:p w14:paraId="0DE4123B">
            <w:pPr>
              <w:jc w:val="left"/>
              <w:rPr>
                <w:rFonts w:ascii="宋体" w:hAnsi="宋体" w:cs="宋体"/>
                <w:color w:val="auto"/>
                <w:w w:val="90"/>
                <w:szCs w:val="21"/>
                <w:highlight w:val="none"/>
              </w:rPr>
            </w:pPr>
          </w:p>
        </w:tc>
        <w:tc>
          <w:tcPr>
            <w:tcW w:w="2334" w:type="dxa"/>
            <w:vAlign w:val="center"/>
          </w:tcPr>
          <w:p w14:paraId="019C25D9">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A02010105便携式计算</w:t>
            </w:r>
          </w:p>
        </w:tc>
        <w:tc>
          <w:tcPr>
            <w:tcW w:w="1682" w:type="dxa"/>
            <w:vAlign w:val="center"/>
          </w:tcPr>
          <w:p w14:paraId="5E64A316">
            <w:pPr>
              <w:jc w:val="center"/>
              <w:rPr>
                <w:rFonts w:ascii="宋体" w:hAnsi="宋体" w:cs="宋体"/>
                <w:color w:val="auto"/>
                <w:w w:val="90"/>
                <w:szCs w:val="21"/>
                <w:highlight w:val="none"/>
              </w:rPr>
            </w:pPr>
          </w:p>
        </w:tc>
        <w:tc>
          <w:tcPr>
            <w:tcW w:w="2367" w:type="dxa"/>
            <w:vAlign w:val="center"/>
          </w:tcPr>
          <w:p w14:paraId="55D1781B">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0F6439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2810D88">
            <w:pPr>
              <w:jc w:val="center"/>
              <w:rPr>
                <w:rFonts w:ascii="宋体" w:hAnsi="宋体" w:cs="宋体"/>
                <w:color w:val="auto"/>
                <w:w w:val="90"/>
                <w:szCs w:val="21"/>
                <w:highlight w:val="none"/>
              </w:rPr>
            </w:pPr>
          </w:p>
        </w:tc>
        <w:tc>
          <w:tcPr>
            <w:tcW w:w="1933" w:type="dxa"/>
            <w:vMerge w:val="continue"/>
            <w:vAlign w:val="center"/>
          </w:tcPr>
          <w:p w14:paraId="2BF0C6D7">
            <w:pPr>
              <w:jc w:val="left"/>
              <w:rPr>
                <w:rFonts w:ascii="宋体" w:hAnsi="宋体" w:cs="宋体"/>
                <w:color w:val="auto"/>
                <w:w w:val="90"/>
                <w:szCs w:val="21"/>
                <w:highlight w:val="none"/>
              </w:rPr>
            </w:pPr>
          </w:p>
        </w:tc>
        <w:tc>
          <w:tcPr>
            <w:tcW w:w="2334" w:type="dxa"/>
            <w:vAlign w:val="center"/>
          </w:tcPr>
          <w:p w14:paraId="4F08F4EF">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A02010107平板式微型计算机</w:t>
            </w:r>
          </w:p>
        </w:tc>
        <w:tc>
          <w:tcPr>
            <w:tcW w:w="1682" w:type="dxa"/>
            <w:vAlign w:val="center"/>
          </w:tcPr>
          <w:p w14:paraId="25A9429A">
            <w:pPr>
              <w:jc w:val="center"/>
              <w:rPr>
                <w:rFonts w:ascii="宋体" w:hAnsi="宋体" w:cs="宋体"/>
                <w:color w:val="auto"/>
                <w:w w:val="90"/>
                <w:szCs w:val="21"/>
                <w:highlight w:val="none"/>
              </w:rPr>
            </w:pPr>
          </w:p>
        </w:tc>
        <w:tc>
          <w:tcPr>
            <w:tcW w:w="2367" w:type="dxa"/>
            <w:vAlign w:val="center"/>
          </w:tcPr>
          <w:p w14:paraId="696CD640">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02D891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13102447">
            <w:pPr>
              <w:jc w:val="center"/>
              <w:rPr>
                <w:rFonts w:ascii="宋体" w:hAnsi="宋体" w:cs="宋体"/>
                <w:color w:val="auto"/>
                <w:w w:val="90"/>
                <w:szCs w:val="21"/>
                <w:highlight w:val="none"/>
              </w:rPr>
            </w:pPr>
            <w:r>
              <w:rPr>
                <w:rFonts w:hint="eastAsia" w:ascii="宋体" w:hAnsi="宋体" w:cs="宋体"/>
                <w:color w:val="auto"/>
                <w:w w:val="90"/>
                <w:szCs w:val="21"/>
                <w:highlight w:val="none"/>
              </w:rPr>
              <w:t>2</w:t>
            </w:r>
          </w:p>
        </w:tc>
        <w:tc>
          <w:tcPr>
            <w:tcW w:w="1933" w:type="dxa"/>
            <w:vMerge w:val="restart"/>
            <w:vAlign w:val="center"/>
          </w:tcPr>
          <w:p w14:paraId="6D4C7B13">
            <w:pPr>
              <w:jc w:val="left"/>
              <w:rPr>
                <w:rFonts w:ascii="宋体" w:hAnsi="宋体" w:cs="宋体"/>
                <w:color w:val="auto"/>
                <w:w w:val="90"/>
                <w:szCs w:val="21"/>
                <w:highlight w:val="none"/>
              </w:rPr>
            </w:pPr>
            <w:r>
              <w:rPr>
                <w:rFonts w:hint="eastAsia" w:ascii="宋体" w:hAnsi="宋体" w:cs="宋体"/>
                <w:color w:val="auto"/>
                <w:w w:val="90"/>
                <w:szCs w:val="21"/>
                <w:highlight w:val="none"/>
              </w:rPr>
              <w:t>A020106输入输出设备</w:t>
            </w:r>
          </w:p>
        </w:tc>
        <w:tc>
          <w:tcPr>
            <w:tcW w:w="2334" w:type="dxa"/>
            <w:vMerge w:val="restart"/>
            <w:vAlign w:val="center"/>
          </w:tcPr>
          <w:p w14:paraId="2A1A8C74">
            <w:pPr>
              <w:jc w:val="left"/>
              <w:rPr>
                <w:rFonts w:ascii="宋体" w:hAnsi="宋体" w:cs="宋体"/>
                <w:color w:val="auto"/>
                <w:w w:val="90"/>
                <w:szCs w:val="21"/>
                <w:highlight w:val="none"/>
              </w:rPr>
            </w:pPr>
            <w:r>
              <w:rPr>
                <w:rFonts w:hint="eastAsia" w:ascii="宋体" w:hAnsi="宋体" w:cs="宋体"/>
                <w:color w:val="auto"/>
                <w:w w:val="90"/>
                <w:szCs w:val="21"/>
                <w:highlight w:val="none"/>
              </w:rPr>
              <w:t>A02010601打印设备</w:t>
            </w:r>
          </w:p>
        </w:tc>
        <w:tc>
          <w:tcPr>
            <w:tcW w:w="1682" w:type="dxa"/>
            <w:vAlign w:val="center"/>
          </w:tcPr>
          <w:p w14:paraId="578AFE0E">
            <w:pPr>
              <w:jc w:val="left"/>
              <w:rPr>
                <w:rFonts w:ascii="宋体" w:hAnsi="宋体" w:cs="宋体"/>
                <w:color w:val="auto"/>
                <w:w w:val="90"/>
                <w:szCs w:val="21"/>
                <w:highlight w:val="none"/>
              </w:rPr>
            </w:pPr>
            <w:r>
              <w:rPr>
                <w:rFonts w:hint="eastAsia" w:ascii="宋体" w:hAnsi="宋体" w:cs="宋体"/>
                <w:b/>
                <w:bCs/>
                <w:color w:val="auto"/>
                <w:w w:val="90"/>
                <w:szCs w:val="21"/>
                <w:highlight w:val="none"/>
              </w:rPr>
              <w:t>A0201060101喷墨打印机</w:t>
            </w:r>
          </w:p>
        </w:tc>
        <w:tc>
          <w:tcPr>
            <w:tcW w:w="2367" w:type="dxa"/>
            <w:vAlign w:val="center"/>
          </w:tcPr>
          <w:p w14:paraId="0A41369B">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1AF939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5D6558">
            <w:pPr>
              <w:jc w:val="center"/>
              <w:rPr>
                <w:rFonts w:ascii="宋体" w:hAnsi="宋体" w:cs="宋体"/>
                <w:color w:val="auto"/>
                <w:w w:val="90"/>
                <w:szCs w:val="21"/>
                <w:highlight w:val="none"/>
              </w:rPr>
            </w:pPr>
          </w:p>
        </w:tc>
        <w:tc>
          <w:tcPr>
            <w:tcW w:w="1933" w:type="dxa"/>
            <w:vMerge w:val="continue"/>
            <w:vAlign w:val="center"/>
          </w:tcPr>
          <w:p w14:paraId="1F05C9F3">
            <w:pPr>
              <w:jc w:val="left"/>
              <w:rPr>
                <w:rFonts w:ascii="宋体" w:hAnsi="宋体" w:cs="宋体"/>
                <w:color w:val="auto"/>
                <w:w w:val="90"/>
                <w:szCs w:val="21"/>
                <w:highlight w:val="none"/>
              </w:rPr>
            </w:pPr>
          </w:p>
        </w:tc>
        <w:tc>
          <w:tcPr>
            <w:tcW w:w="2334" w:type="dxa"/>
            <w:vMerge w:val="continue"/>
            <w:vAlign w:val="center"/>
          </w:tcPr>
          <w:p w14:paraId="3C2125C0">
            <w:pPr>
              <w:jc w:val="left"/>
              <w:rPr>
                <w:rFonts w:ascii="宋体" w:hAnsi="宋体" w:cs="宋体"/>
                <w:color w:val="auto"/>
                <w:w w:val="90"/>
                <w:szCs w:val="21"/>
                <w:highlight w:val="none"/>
              </w:rPr>
            </w:pPr>
          </w:p>
        </w:tc>
        <w:tc>
          <w:tcPr>
            <w:tcW w:w="1682" w:type="dxa"/>
            <w:vAlign w:val="center"/>
          </w:tcPr>
          <w:p w14:paraId="5EB2129C">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A0201060102激光打印机</w:t>
            </w:r>
          </w:p>
        </w:tc>
        <w:tc>
          <w:tcPr>
            <w:tcW w:w="2367" w:type="dxa"/>
            <w:vAlign w:val="center"/>
          </w:tcPr>
          <w:p w14:paraId="7080DF08">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5951D7E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61EFC06">
            <w:pPr>
              <w:jc w:val="center"/>
              <w:rPr>
                <w:rFonts w:ascii="宋体" w:hAnsi="宋体" w:cs="宋体"/>
                <w:color w:val="auto"/>
                <w:w w:val="90"/>
                <w:szCs w:val="21"/>
                <w:highlight w:val="none"/>
              </w:rPr>
            </w:pPr>
          </w:p>
        </w:tc>
        <w:tc>
          <w:tcPr>
            <w:tcW w:w="1933" w:type="dxa"/>
            <w:vMerge w:val="continue"/>
            <w:vAlign w:val="center"/>
          </w:tcPr>
          <w:p w14:paraId="4DB751F0">
            <w:pPr>
              <w:jc w:val="left"/>
              <w:rPr>
                <w:rFonts w:ascii="宋体" w:hAnsi="宋体" w:cs="宋体"/>
                <w:color w:val="auto"/>
                <w:w w:val="90"/>
                <w:szCs w:val="21"/>
                <w:highlight w:val="none"/>
              </w:rPr>
            </w:pPr>
          </w:p>
        </w:tc>
        <w:tc>
          <w:tcPr>
            <w:tcW w:w="2334" w:type="dxa"/>
            <w:vMerge w:val="continue"/>
            <w:vAlign w:val="center"/>
          </w:tcPr>
          <w:p w14:paraId="0CCF4346">
            <w:pPr>
              <w:jc w:val="left"/>
              <w:rPr>
                <w:rFonts w:ascii="宋体" w:hAnsi="宋体" w:cs="宋体"/>
                <w:color w:val="auto"/>
                <w:w w:val="90"/>
                <w:szCs w:val="21"/>
                <w:highlight w:val="none"/>
              </w:rPr>
            </w:pPr>
          </w:p>
        </w:tc>
        <w:tc>
          <w:tcPr>
            <w:tcW w:w="1682" w:type="dxa"/>
            <w:vAlign w:val="center"/>
          </w:tcPr>
          <w:p w14:paraId="06549B2A">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A0201060104针式打印机</w:t>
            </w:r>
          </w:p>
        </w:tc>
        <w:tc>
          <w:tcPr>
            <w:tcW w:w="2367" w:type="dxa"/>
            <w:vAlign w:val="center"/>
          </w:tcPr>
          <w:p w14:paraId="76D15FB7">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199735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3D5A765">
            <w:pPr>
              <w:jc w:val="center"/>
              <w:rPr>
                <w:rFonts w:ascii="宋体" w:hAnsi="宋体" w:cs="宋体"/>
                <w:color w:val="auto"/>
                <w:w w:val="90"/>
                <w:szCs w:val="21"/>
                <w:highlight w:val="none"/>
              </w:rPr>
            </w:pPr>
          </w:p>
        </w:tc>
        <w:tc>
          <w:tcPr>
            <w:tcW w:w="1933" w:type="dxa"/>
            <w:vMerge w:val="continue"/>
            <w:vAlign w:val="center"/>
          </w:tcPr>
          <w:p w14:paraId="268390AE">
            <w:pPr>
              <w:jc w:val="left"/>
              <w:rPr>
                <w:rFonts w:ascii="宋体" w:hAnsi="宋体" w:cs="宋体"/>
                <w:color w:val="auto"/>
                <w:w w:val="90"/>
                <w:szCs w:val="21"/>
                <w:highlight w:val="none"/>
              </w:rPr>
            </w:pPr>
          </w:p>
        </w:tc>
        <w:tc>
          <w:tcPr>
            <w:tcW w:w="2334" w:type="dxa"/>
            <w:vAlign w:val="center"/>
          </w:tcPr>
          <w:p w14:paraId="20522586">
            <w:pPr>
              <w:jc w:val="left"/>
              <w:rPr>
                <w:rFonts w:ascii="宋体" w:hAnsi="宋体" w:cs="宋体"/>
                <w:color w:val="auto"/>
                <w:w w:val="90"/>
                <w:szCs w:val="21"/>
                <w:highlight w:val="none"/>
              </w:rPr>
            </w:pPr>
            <w:r>
              <w:rPr>
                <w:rFonts w:hint="eastAsia" w:ascii="宋体" w:hAnsi="宋体" w:cs="宋体"/>
                <w:color w:val="auto"/>
                <w:w w:val="90"/>
                <w:szCs w:val="21"/>
                <w:highlight w:val="none"/>
              </w:rPr>
              <w:t>A02010604显示设备</w:t>
            </w:r>
          </w:p>
        </w:tc>
        <w:tc>
          <w:tcPr>
            <w:tcW w:w="1682" w:type="dxa"/>
            <w:vAlign w:val="center"/>
          </w:tcPr>
          <w:p w14:paraId="0A765602">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A0201060401液晶显示器</w:t>
            </w:r>
          </w:p>
        </w:tc>
        <w:tc>
          <w:tcPr>
            <w:tcW w:w="2367" w:type="dxa"/>
            <w:vAlign w:val="center"/>
          </w:tcPr>
          <w:p w14:paraId="78CE3369">
            <w:pPr>
              <w:jc w:val="left"/>
              <w:rPr>
                <w:rFonts w:ascii="宋体" w:hAnsi="宋体" w:cs="宋体"/>
                <w:color w:val="auto"/>
                <w:w w:val="90"/>
                <w:szCs w:val="21"/>
                <w:highlight w:val="none"/>
              </w:rPr>
            </w:pPr>
            <w:r>
              <w:rPr>
                <w:rFonts w:hint="eastAsia" w:ascii="宋体" w:hAnsi="宋体" w:cs="宋体"/>
                <w:color w:val="auto"/>
                <w:w w:val="90"/>
                <w:szCs w:val="21"/>
                <w:highlight w:val="none"/>
              </w:rPr>
              <w:t>《计算机显示器能效限定值及能效等级》（GB 21520）</w:t>
            </w:r>
          </w:p>
        </w:tc>
      </w:tr>
      <w:tr w14:paraId="2E0894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8E03798">
            <w:pPr>
              <w:jc w:val="center"/>
              <w:rPr>
                <w:rFonts w:ascii="宋体" w:hAnsi="宋体" w:cs="宋体"/>
                <w:color w:val="auto"/>
                <w:w w:val="90"/>
                <w:szCs w:val="21"/>
                <w:highlight w:val="none"/>
              </w:rPr>
            </w:pPr>
          </w:p>
        </w:tc>
        <w:tc>
          <w:tcPr>
            <w:tcW w:w="1933" w:type="dxa"/>
            <w:vMerge w:val="continue"/>
            <w:vAlign w:val="center"/>
          </w:tcPr>
          <w:p w14:paraId="2CC1B529">
            <w:pPr>
              <w:jc w:val="left"/>
              <w:rPr>
                <w:rFonts w:ascii="宋体" w:hAnsi="宋体" w:cs="宋体"/>
                <w:color w:val="auto"/>
                <w:w w:val="90"/>
                <w:szCs w:val="21"/>
                <w:highlight w:val="none"/>
              </w:rPr>
            </w:pPr>
          </w:p>
        </w:tc>
        <w:tc>
          <w:tcPr>
            <w:tcW w:w="2334" w:type="dxa"/>
            <w:vAlign w:val="center"/>
          </w:tcPr>
          <w:p w14:paraId="1E4FB1CD">
            <w:pPr>
              <w:jc w:val="left"/>
              <w:rPr>
                <w:rFonts w:ascii="宋体" w:hAnsi="宋体" w:cs="宋体"/>
                <w:color w:val="auto"/>
                <w:w w:val="90"/>
                <w:szCs w:val="21"/>
                <w:highlight w:val="none"/>
              </w:rPr>
            </w:pPr>
            <w:r>
              <w:rPr>
                <w:rFonts w:hint="eastAsia" w:ascii="宋体" w:hAnsi="宋体" w:cs="宋体"/>
                <w:color w:val="auto"/>
                <w:w w:val="90"/>
                <w:szCs w:val="21"/>
                <w:highlight w:val="none"/>
              </w:rPr>
              <w:t>A02010609图形图像输入设备</w:t>
            </w:r>
          </w:p>
        </w:tc>
        <w:tc>
          <w:tcPr>
            <w:tcW w:w="1682" w:type="dxa"/>
            <w:vAlign w:val="center"/>
          </w:tcPr>
          <w:p w14:paraId="7264B905">
            <w:pPr>
              <w:jc w:val="left"/>
              <w:rPr>
                <w:rFonts w:ascii="宋体" w:hAnsi="宋体" w:cs="宋体"/>
                <w:color w:val="auto"/>
                <w:w w:val="90"/>
                <w:szCs w:val="21"/>
                <w:highlight w:val="none"/>
              </w:rPr>
            </w:pPr>
            <w:r>
              <w:rPr>
                <w:rFonts w:hint="eastAsia" w:ascii="宋体" w:hAnsi="宋体" w:cs="宋体"/>
                <w:color w:val="auto"/>
                <w:w w:val="90"/>
                <w:szCs w:val="21"/>
                <w:highlight w:val="none"/>
              </w:rPr>
              <w:t>A0201060901扫描仪</w:t>
            </w:r>
          </w:p>
        </w:tc>
        <w:tc>
          <w:tcPr>
            <w:tcW w:w="2367" w:type="dxa"/>
            <w:vAlign w:val="center"/>
          </w:tcPr>
          <w:p w14:paraId="1D1AF3D3">
            <w:pPr>
              <w:jc w:val="left"/>
              <w:rPr>
                <w:rFonts w:ascii="宋体" w:hAnsi="宋体" w:cs="宋体"/>
                <w:color w:val="auto"/>
                <w:w w:val="90"/>
                <w:szCs w:val="21"/>
                <w:highlight w:val="none"/>
              </w:rPr>
            </w:pPr>
            <w:r>
              <w:rPr>
                <w:rFonts w:hint="eastAsia" w:ascii="宋体" w:hAnsi="宋体" w:cs="宋体"/>
                <w:color w:val="auto"/>
                <w:w w:val="90"/>
                <w:szCs w:val="21"/>
                <w:highlight w:val="none"/>
              </w:rPr>
              <w:t>参照《复印机、打印机和传真机能效限定值及能效等级》（GB 21521中打印速度为 15 页/分的针式打印机相关要求</w:t>
            </w:r>
          </w:p>
        </w:tc>
      </w:tr>
      <w:tr w14:paraId="285FA31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A3AE06C">
            <w:pPr>
              <w:jc w:val="center"/>
              <w:rPr>
                <w:rFonts w:ascii="宋体" w:hAnsi="宋体" w:cs="宋体"/>
                <w:color w:val="auto"/>
                <w:w w:val="90"/>
                <w:szCs w:val="21"/>
                <w:highlight w:val="none"/>
              </w:rPr>
            </w:pPr>
            <w:r>
              <w:rPr>
                <w:rFonts w:hint="eastAsia" w:ascii="宋体" w:hAnsi="宋体" w:cs="宋体"/>
                <w:color w:val="auto"/>
                <w:w w:val="90"/>
                <w:szCs w:val="21"/>
                <w:highlight w:val="none"/>
              </w:rPr>
              <w:t>3</w:t>
            </w:r>
          </w:p>
        </w:tc>
        <w:tc>
          <w:tcPr>
            <w:tcW w:w="1933" w:type="dxa"/>
            <w:vAlign w:val="center"/>
          </w:tcPr>
          <w:p w14:paraId="5FC05358">
            <w:pPr>
              <w:jc w:val="left"/>
              <w:rPr>
                <w:rFonts w:ascii="宋体" w:hAnsi="宋体" w:cs="宋体"/>
                <w:color w:val="auto"/>
                <w:w w:val="90"/>
                <w:szCs w:val="21"/>
                <w:highlight w:val="none"/>
              </w:rPr>
            </w:pPr>
            <w:r>
              <w:rPr>
                <w:rFonts w:hint="eastAsia" w:ascii="宋体" w:hAnsi="宋体" w:cs="宋体"/>
                <w:color w:val="auto"/>
                <w:w w:val="90"/>
                <w:szCs w:val="21"/>
                <w:highlight w:val="none"/>
              </w:rPr>
              <w:t>A020202投影仪</w:t>
            </w:r>
          </w:p>
        </w:tc>
        <w:tc>
          <w:tcPr>
            <w:tcW w:w="2334" w:type="dxa"/>
            <w:vAlign w:val="center"/>
          </w:tcPr>
          <w:p w14:paraId="704A3513">
            <w:pPr>
              <w:jc w:val="left"/>
              <w:rPr>
                <w:rFonts w:ascii="宋体" w:hAnsi="宋体" w:cs="宋体"/>
                <w:color w:val="auto"/>
                <w:w w:val="90"/>
                <w:szCs w:val="21"/>
                <w:highlight w:val="none"/>
              </w:rPr>
            </w:pPr>
          </w:p>
        </w:tc>
        <w:tc>
          <w:tcPr>
            <w:tcW w:w="1682" w:type="dxa"/>
            <w:vAlign w:val="center"/>
          </w:tcPr>
          <w:p w14:paraId="69E31F7F">
            <w:pPr>
              <w:jc w:val="center"/>
              <w:rPr>
                <w:rFonts w:ascii="宋体" w:hAnsi="宋体" w:cs="宋体"/>
                <w:color w:val="auto"/>
                <w:w w:val="90"/>
                <w:szCs w:val="21"/>
                <w:highlight w:val="none"/>
              </w:rPr>
            </w:pPr>
          </w:p>
        </w:tc>
        <w:tc>
          <w:tcPr>
            <w:tcW w:w="2367" w:type="dxa"/>
            <w:vAlign w:val="center"/>
          </w:tcPr>
          <w:p w14:paraId="493C463E">
            <w:pPr>
              <w:jc w:val="left"/>
              <w:rPr>
                <w:rFonts w:ascii="宋体" w:hAnsi="宋体" w:cs="宋体"/>
                <w:color w:val="auto"/>
                <w:w w:val="90"/>
                <w:szCs w:val="21"/>
                <w:highlight w:val="none"/>
              </w:rPr>
            </w:pPr>
            <w:r>
              <w:rPr>
                <w:rFonts w:hint="eastAsia" w:ascii="宋体" w:hAnsi="宋体" w:cs="宋体"/>
                <w:color w:val="auto"/>
                <w:w w:val="90"/>
                <w:szCs w:val="21"/>
                <w:highlight w:val="none"/>
              </w:rPr>
              <w:t>《投影机能效限定值及能效等级（GB 32028）</w:t>
            </w:r>
          </w:p>
        </w:tc>
      </w:tr>
      <w:tr w14:paraId="217845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7FFCE9D">
            <w:pPr>
              <w:jc w:val="center"/>
              <w:rPr>
                <w:rFonts w:ascii="宋体" w:hAnsi="宋体" w:cs="宋体"/>
                <w:color w:val="auto"/>
                <w:w w:val="90"/>
                <w:szCs w:val="21"/>
                <w:highlight w:val="none"/>
              </w:rPr>
            </w:pPr>
            <w:r>
              <w:rPr>
                <w:rFonts w:hint="eastAsia" w:ascii="宋体" w:hAnsi="宋体" w:cs="宋体"/>
                <w:color w:val="auto"/>
                <w:w w:val="90"/>
                <w:szCs w:val="21"/>
                <w:highlight w:val="none"/>
              </w:rPr>
              <w:t>4</w:t>
            </w:r>
          </w:p>
        </w:tc>
        <w:tc>
          <w:tcPr>
            <w:tcW w:w="1933" w:type="dxa"/>
            <w:vAlign w:val="center"/>
          </w:tcPr>
          <w:p w14:paraId="2BA65E83">
            <w:pPr>
              <w:jc w:val="left"/>
              <w:rPr>
                <w:rFonts w:ascii="宋体" w:hAnsi="宋体" w:cs="宋体"/>
                <w:color w:val="auto"/>
                <w:w w:val="90"/>
                <w:szCs w:val="21"/>
                <w:highlight w:val="none"/>
              </w:rPr>
            </w:pPr>
            <w:r>
              <w:rPr>
                <w:rFonts w:hint="eastAsia" w:ascii="宋体" w:hAnsi="宋体" w:cs="宋体"/>
                <w:color w:val="auto"/>
                <w:w w:val="90"/>
                <w:szCs w:val="21"/>
                <w:highlight w:val="none"/>
              </w:rPr>
              <w:t>A020204352多功能一体机</w:t>
            </w:r>
          </w:p>
        </w:tc>
        <w:tc>
          <w:tcPr>
            <w:tcW w:w="2334" w:type="dxa"/>
            <w:vAlign w:val="center"/>
          </w:tcPr>
          <w:p w14:paraId="28849CA3">
            <w:pPr>
              <w:jc w:val="left"/>
              <w:rPr>
                <w:rFonts w:ascii="宋体" w:hAnsi="宋体" w:cs="宋体"/>
                <w:color w:val="auto"/>
                <w:w w:val="90"/>
                <w:szCs w:val="21"/>
                <w:highlight w:val="none"/>
              </w:rPr>
            </w:pPr>
          </w:p>
        </w:tc>
        <w:tc>
          <w:tcPr>
            <w:tcW w:w="1682" w:type="dxa"/>
            <w:vAlign w:val="center"/>
          </w:tcPr>
          <w:p w14:paraId="0279D2EA">
            <w:pPr>
              <w:jc w:val="center"/>
              <w:rPr>
                <w:rFonts w:ascii="宋体" w:hAnsi="宋体" w:cs="宋体"/>
                <w:color w:val="auto"/>
                <w:w w:val="90"/>
                <w:szCs w:val="21"/>
                <w:highlight w:val="none"/>
              </w:rPr>
            </w:pPr>
          </w:p>
        </w:tc>
        <w:tc>
          <w:tcPr>
            <w:tcW w:w="2367" w:type="dxa"/>
            <w:vAlign w:val="center"/>
          </w:tcPr>
          <w:p w14:paraId="169D093E">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12A395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E199AE4">
            <w:pPr>
              <w:jc w:val="center"/>
              <w:rPr>
                <w:rFonts w:ascii="宋体" w:hAnsi="宋体" w:cs="宋体"/>
                <w:color w:val="auto"/>
                <w:w w:val="90"/>
                <w:szCs w:val="21"/>
                <w:highlight w:val="none"/>
              </w:rPr>
            </w:pPr>
            <w:r>
              <w:rPr>
                <w:rFonts w:hint="eastAsia" w:ascii="宋体" w:hAnsi="宋体" w:cs="宋体"/>
                <w:color w:val="auto"/>
                <w:w w:val="90"/>
                <w:szCs w:val="21"/>
                <w:highlight w:val="none"/>
              </w:rPr>
              <w:t>5</w:t>
            </w:r>
          </w:p>
        </w:tc>
        <w:tc>
          <w:tcPr>
            <w:tcW w:w="1933" w:type="dxa"/>
            <w:vAlign w:val="center"/>
          </w:tcPr>
          <w:p w14:paraId="5757EE20">
            <w:pPr>
              <w:jc w:val="left"/>
              <w:rPr>
                <w:rFonts w:ascii="宋体" w:hAnsi="宋体" w:cs="宋体"/>
                <w:color w:val="auto"/>
                <w:w w:val="90"/>
                <w:szCs w:val="21"/>
                <w:highlight w:val="none"/>
              </w:rPr>
            </w:pPr>
            <w:r>
              <w:rPr>
                <w:rFonts w:hint="eastAsia" w:ascii="宋体" w:hAnsi="宋体" w:cs="宋体"/>
                <w:color w:val="auto"/>
                <w:w w:val="90"/>
                <w:szCs w:val="21"/>
                <w:highlight w:val="none"/>
              </w:rPr>
              <w:t>A020519泵</w:t>
            </w:r>
          </w:p>
        </w:tc>
        <w:tc>
          <w:tcPr>
            <w:tcW w:w="2334" w:type="dxa"/>
            <w:vAlign w:val="center"/>
          </w:tcPr>
          <w:p w14:paraId="63571E89">
            <w:pPr>
              <w:jc w:val="left"/>
              <w:rPr>
                <w:rFonts w:ascii="宋体" w:hAnsi="宋体" w:cs="宋体"/>
                <w:color w:val="auto"/>
                <w:w w:val="90"/>
                <w:szCs w:val="21"/>
                <w:highlight w:val="none"/>
              </w:rPr>
            </w:pPr>
            <w:r>
              <w:rPr>
                <w:rFonts w:hint="eastAsia" w:ascii="宋体" w:hAnsi="宋体" w:cs="宋体"/>
                <w:color w:val="auto"/>
                <w:w w:val="90"/>
                <w:szCs w:val="21"/>
                <w:highlight w:val="none"/>
              </w:rPr>
              <w:t>A02051901离心泵</w:t>
            </w:r>
          </w:p>
        </w:tc>
        <w:tc>
          <w:tcPr>
            <w:tcW w:w="1682" w:type="dxa"/>
            <w:vAlign w:val="center"/>
          </w:tcPr>
          <w:p w14:paraId="203B509A">
            <w:pPr>
              <w:jc w:val="center"/>
              <w:rPr>
                <w:rFonts w:ascii="宋体" w:hAnsi="宋体" w:cs="宋体"/>
                <w:color w:val="auto"/>
                <w:w w:val="90"/>
                <w:szCs w:val="21"/>
                <w:highlight w:val="none"/>
              </w:rPr>
            </w:pPr>
          </w:p>
        </w:tc>
        <w:tc>
          <w:tcPr>
            <w:tcW w:w="2367" w:type="dxa"/>
            <w:vAlign w:val="center"/>
          </w:tcPr>
          <w:p w14:paraId="1E8FEDD4">
            <w:pPr>
              <w:jc w:val="left"/>
              <w:rPr>
                <w:rFonts w:ascii="宋体" w:hAnsi="宋体" w:cs="宋体"/>
                <w:color w:val="auto"/>
                <w:w w:val="90"/>
                <w:szCs w:val="21"/>
                <w:highlight w:val="none"/>
              </w:rPr>
            </w:pPr>
            <w:r>
              <w:rPr>
                <w:rFonts w:hint="eastAsia" w:ascii="宋体" w:hAnsi="宋体" w:cs="宋体"/>
                <w:color w:val="auto"/>
                <w:w w:val="90"/>
                <w:szCs w:val="21"/>
                <w:highlight w:val="none"/>
              </w:rPr>
              <w:t>《清水离心泵能效限定值及节能评价值》（GB 19762）</w:t>
            </w:r>
          </w:p>
        </w:tc>
      </w:tr>
      <w:tr w14:paraId="6C89052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8A119FB">
            <w:pPr>
              <w:jc w:val="center"/>
              <w:rPr>
                <w:rFonts w:ascii="宋体" w:hAnsi="宋体" w:cs="宋体"/>
                <w:color w:val="auto"/>
                <w:w w:val="90"/>
                <w:szCs w:val="21"/>
                <w:highlight w:val="none"/>
              </w:rPr>
            </w:pPr>
            <w:r>
              <w:rPr>
                <w:rFonts w:hint="eastAsia" w:ascii="宋体" w:hAnsi="宋体" w:cs="宋体"/>
                <w:color w:val="auto"/>
                <w:w w:val="90"/>
                <w:szCs w:val="21"/>
                <w:highlight w:val="none"/>
              </w:rPr>
              <w:t>6</w:t>
            </w:r>
          </w:p>
        </w:tc>
        <w:tc>
          <w:tcPr>
            <w:tcW w:w="1933" w:type="dxa"/>
            <w:vMerge w:val="restart"/>
            <w:vAlign w:val="center"/>
          </w:tcPr>
          <w:p w14:paraId="476E7D56">
            <w:pPr>
              <w:jc w:val="left"/>
              <w:rPr>
                <w:rFonts w:ascii="宋体" w:hAnsi="宋体" w:cs="宋体"/>
                <w:color w:val="auto"/>
                <w:w w:val="90"/>
                <w:szCs w:val="21"/>
                <w:highlight w:val="none"/>
              </w:rPr>
            </w:pPr>
            <w:r>
              <w:rPr>
                <w:rFonts w:hint="eastAsia" w:ascii="宋体" w:hAnsi="宋体" w:cs="宋体"/>
                <w:color w:val="auto"/>
                <w:w w:val="90"/>
                <w:szCs w:val="21"/>
                <w:highlight w:val="none"/>
              </w:rPr>
              <w:t>A020523制冷空调设备</w:t>
            </w:r>
          </w:p>
        </w:tc>
        <w:tc>
          <w:tcPr>
            <w:tcW w:w="2334" w:type="dxa"/>
            <w:vMerge w:val="restart"/>
            <w:vAlign w:val="center"/>
          </w:tcPr>
          <w:p w14:paraId="74CB2D32">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A02052301制冷压缩机</w:t>
            </w:r>
          </w:p>
        </w:tc>
        <w:tc>
          <w:tcPr>
            <w:tcW w:w="1682" w:type="dxa"/>
            <w:vAlign w:val="center"/>
          </w:tcPr>
          <w:p w14:paraId="3191D904">
            <w:pPr>
              <w:jc w:val="left"/>
              <w:rPr>
                <w:rFonts w:ascii="宋体" w:hAnsi="宋体" w:cs="宋体"/>
                <w:b/>
                <w:color w:val="auto"/>
                <w:w w:val="90"/>
                <w:szCs w:val="21"/>
                <w:highlight w:val="none"/>
              </w:rPr>
            </w:pPr>
            <w:r>
              <w:rPr>
                <w:rFonts w:hint="eastAsia" w:ascii="宋体" w:hAnsi="宋体" w:cs="宋体"/>
                <w:b/>
                <w:color w:val="auto"/>
                <w:w w:val="90"/>
                <w:szCs w:val="21"/>
                <w:highlight w:val="none"/>
              </w:rPr>
              <w:t>冷水机组</w:t>
            </w:r>
          </w:p>
        </w:tc>
        <w:tc>
          <w:tcPr>
            <w:tcW w:w="2367" w:type="dxa"/>
            <w:vAlign w:val="center"/>
          </w:tcPr>
          <w:p w14:paraId="433F400D">
            <w:pPr>
              <w:jc w:val="left"/>
              <w:rPr>
                <w:rFonts w:ascii="宋体" w:hAnsi="宋体" w:cs="宋体"/>
                <w:color w:val="auto"/>
                <w:w w:val="90"/>
                <w:szCs w:val="21"/>
                <w:highlight w:val="none"/>
              </w:rPr>
            </w:pPr>
            <w:r>
              <w:rPr>
                <w:rFonts w:hint="eastAsia" w:ascii="宋体" w:hAnsi="宋体" w:cs="宋体"/>
                <w:color w:val="auto"/>
                <w:w w:val="90"/>
                <w:szCs w:val="21"/>
                <w:highlight w:val="none"/>
              </w:rPr>
              <w:t>《冷水机组能效限定值及能效等级》（GB 19577），《低环境温度空气源热泵（冷水）机组能效限定值及能效等级》（GB 37480）</w:t>
            </w:r>
          </w:p>
        </w:tc>
      </w:tr>
      <w:tr w14:paraId="53D4CA6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F972EC9">
            <w:pPr>
              <w:jc w:val="center"/>
              <w:rPr>
                <w:rFonts w:ascii="宋体" w:hAnsi="宋体" w:cs="宋体"/>
                <w:color w:val="auto"/>
                <w:w w:val="90"/>
                <w:szCs w:val="21"/>
                <w:highlight w:val="none"/>
              </w:rPr>
            </w:pPr>
          </w:p>
        </w:tc>
        <w:tc>
          <w:tcPr>
            <w:tcW w:w="1933" w:type="dxa"/>
            <w:vMerge w:val="continue"/>
            <w:vAlign w:val="center"/>
          </w:tcPr>
          <w:p w14:paraId="45EAC6D6">
            <w:pPr>
              <w:jc w:val="left"/>
              <w:rPr>
                <w:rFonts w:ascii="宋体" w:hAnsi="宋体" w:cs="宋体"/>
                <w:color w:val="auto"/>
                <w:w w:val="90"/>
                <w:szCs w:val="21"/>
                <w:highlight w:val="none"/>
              </w:rPr>
            </w:pPr>
          </w:p>
        </w:tc>
        <w:tc>
          <w:tcPr>
            <w:tcW w:w="2334" w:type="dxa"/>
            <w:vMerge w:val="continue"/>
            <w:vAlign w:val="center"/>
          </w:tcPr>
          <w:p w14:paraId="5ADAD635">
            <w:pPr>
              <w:jc w:val="left"/>
              <w:rPr>
                <w:rFonts w:ascii="宋体" w:hAnsi="宋体" w:cs="宋体"/>
                <w:b/>
                <w:color w:val="auto"/>
                <w:w w:val="90"/>
                <w:szCs w:val="21"/>
                <w:highlight w:val="none"/>
              </w:rPr>
            </w:pPr>
          </w:p>
        </w:tc>
        <w:tc>
          <w:tcPr>
            <w:tcW w:w="1682" w:type="dxa"/>
            <w:vAlign w:val="center"/>
          </w:tcPr>
          <w:p w14:paraId="1858A0A0">
            <w:pPr>
              <w:jc w:val="left"/>
              <w:rPr>
                <w:rFonts w:ascii="宋体" w:hAnsi="宋体" w:cs="宋体"/>
                <w:b/>
                <w:color w:val="auto"/>
                <w:w w:val="90"/>
                <w:szCs w:val="21"/>
                <w:highlight w:val="none"/>
              </w:rPr>
            </w:pPr>
            <w:r>
              <w:rPr>
                <w:rFonts w:hint="eastAsia" w:ascii="宋体" w:hAnsi="宋体" w:cs="宋体"/>
                <w:b/>
                <w:color w:val="auto"/>
                <w:w w:val="90"/>
                <w:szCs w:val="21"/>
                <w:highlight w:val="none"/>
              </w:rPr>
              <w:t>水源热泵机组</w:t>
            </w:r>
          </w:p>
        </w:tc>
        <w:tc>
          <w:tcPr>
            <w:tcW w:w="2367" w:type="dxa"/>
            <w:vAlign w:val="center"/>
          </w:tcPr>
          <w:p w14:paraId="1B16C6C9">
            <w:pPr>
              <w:jc w:val="left"/>
              <w:rPr>
                <w:rFonts w:ascii="宋体" w:hAnsi="宋体" w:cs="宋体"/>
                <w:color w:val="auto"/>
                <w:w w:val="90"/>
                <w:szCs w:val="21"/>
                <w:highlight w:val="none"/>
              </w:rPr>
            </w:pPr>
            <w:r>
              <w:rPr>
                <w:rFonts w:hint="eastAsia" w:ascii="宋体" w:hAnsi="宋体" w:cs="宋体"/>
                <w:color w:val="auto"/>
                <w:w w:val="90"/>
                <w:szCs w:val="21"/>
                <w:highlight w:val="none"/>
              </w:rPr>
              <w:t>《水（地）源热泵机组能效限定值及能效等级》（GB 30721）</w:t>
            </w:r>
          </w:p>
        </w:tc>
      </w:tr>
      <w:tr w14:paraId="64B1F8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56508BD">
            <w:pPr>
              <w:jc w:val="center"/>
              <w:rPr>
                <w:rFonts w:ascii="宋体" w:hAnsi="宋体" w:cs="宋体"/>
                <w:color w:val="auto"/>
                <w:w w:val="90"/>
                <w:szCs w:val="21"/>
                <w:highlight w:val="none"/>
              </w:rPr>
            </w:pPr>
          </w:p>
        </w:tc>
        <w:tc>
          <w:tcPr>
            <w:tcW w:w="1933" w:type="dxa"/>
            <w:vMerge w:val="continue"/>
            <w:vAlign w:val="center"/>
          </w:tcPr>
          <w:p w14:paraId="300D0D28">
            <w:pPr>
              <w:jc w:val="left"/>
              <w:rPr>
                <w:rFonts w:ascii="宋体" w:hAnsi="宋体" w:cs="宋体"/>
                <w:color w:val="auto"/>
                <w:w w:val="90"/>
                <w:szCs w:val="21"/>
                <w:highlight w:val="none"/>
              </w:rPr>
            </w:pPr>
          </w:p>
        </w:tc>
        <w:tc>
          <w:tcPr>
            <w:tcW w:w="2334" w:type="dxa"/>
            <w:vMerge w:val="continue"/>
            <w:vAlign w:val="center"/>
          </w:tcPr>
          <w:p w14:paraId="7FBE90D8">
            <w:pPr>
              <w:jc w:val="left"/>
              <w:rPr>
                <w:rFonts w:ascii="宋体" w:hAnsi="宋体" w:cs="宋体"/>
                <w:b/>
                <w:color w:val="auto"/>
                <w:w w:val="90"/>
                <w:szCs w:val="21"/>
                <w:highlight w:val="none"/>
              </w:rPr>
            </w:pPr>
          </w:p>
        </w:tc>
        <w:tc>
          <w:tcPr>
            <w:tcW w:w="1682" w:type="dxa"/>
            <w:vAlign w:val="center"/>
          </w:tcPr>
          <w:p w14:paraId="4CC79C17">
            <w:pPr>
              <w:jc w:val="left"/>
              <w:rPr>
                <w:rFonts w:ascii="宋体" w:hAnsi="宋体" w:cs="宋体"/>
                <w:b/>
                <w:color w:val="auto"/>
                <w:w w:val="90"/>
                <w:szCs w:val="21"/>
                <w:highlight w:val="none"/>
              </w:rPr>
            </w:pPr>
            <w:r>
              <w:rPr>
                <w:rFonts w:hint="eastAsia" w:ascii="宋体" w:hAnsi="宋体" w:cs="宋体"/>
                <w:b/>
                <w:color w:val="auto"/>
                <w:w w:val="90"/>
                <w:szCs w:val="21"/>
                <w:highlight w:val="none"/>
              </w:rPr>
              <w:t>溴化锂吸收式冷水机组</w:t>
            </w:r>
          </w:p>
        </w:tc>
        <w:tc>
          <w:tcPr>
            <w:tcW w:w="2367" w:type="dxa"/>
            <w:vAlign w:val="center"/>
          </w:tcPr>
          <w:p w14:paraId="20BBEE4E">
            <w:pPr>
              <w:jc w:val="left"/>
              <w:rPr>
                <w:rFonts w:ascii="宋体" w:hAnsi="宋体" w:cs="宋体"/>
                <w:color w:val="auto"/>
                <w:w w:val="90"/>
                <w:szCs w:val="21"/>
                <w:highlight w:val="none"/>
              </w:rPr>
            </w:pPr>
            <w:r>
              <w:rPr>
                <w:rFonts w:hint="eastAsia" w:ascii="宋体" w:hAnsi="宋体" w:cs="宋体"/>
                <w:color w:val="auto"/>
                <w:w w:val="90"/>
                <w:szCs w:val="21"/>
                <w:highlight w:val="none"/>
              </w:rPr>
              <w:t>《溴化锂吸收式冷水机组能效限定值及能效等级》（GB 29540）</w:t>
            </w:r>
          </w:p>
        </w:tc>
      </w:tr>
      <w:tr w14:paraId="71DDCD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AA6BC91">
            <w:pPr>
              <w:jc w:val="center"/>
              <w:rPr>
                <w:rFonts w:ascii="宋体" w:hAnsi="宋体" w:cs="宋体"/>
                <w:color w:val="auto"/>
                <w:w w:val="90"/>
                <w:szCs w:val="21"/>
                <w:highlight w:val="none"/>
              </w:rPr>
            </w:pPr>
          </w:p>
        </w:tc>
        <w:tc>
          <w:tcPr>
            <w:tcW w:w="1933" w:type="dxa"/>
            <w:vMerge w:val="continue"/>
            <w:vAlign w:val="center"/>
          </w:tcPr>
          <w:p w14:paraId="099CC9D1">
            <w:pPr>
              <w:jc w:val="left"/>
              <w:rPr>
                <w:rFonts w:ascii="宋体" w:hAnsi="宋体" w:cs="宋体"/>
                <w:color w:val="auto"/>
                <w:w w:val="90"/>
                <w:szCs w:val="21"/>
                <w:highlight w:val="none"/>
              </w:rPr>
            </w:pPr>
          </w:p>
        </w:tc>
        <w:tc>
          <w:tcPr>
            <w:tcW w:w="2334" w:type="dxa"/>
            <w:vMerge w:val="restart"/>
            <w:vAlign w:val="center"/>
          </w:tcPr>
          <w:p w14:paraId="5EF700CF">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A02052305空调机组</w:t>
            </w:r>
          </w:p>
        </w:tc>
        <w:tc>
          <w:tcPr>
            <w:tcW w:w="1682" w:type="dxa"/>
            <w:vAlign w:val="center"/>
          </w:tcPr>
          <w:p w14:paraId="44E6F3A5">
            <w:pPr>
              <w:jc w:val="left"/>
              <w:rPr>
                <w:rFonts w:ascii="宋体" w:hAnsi="宋体" w:cs="宋体"/>
                <w:b/>
                <w:color w:val="auto"/>
                <w:w w:val="90"/>
                <w:szCs w:val="21"/>
                <w:highlight w:val="none"/>
              </w:rPr>
            </w:pPr>
            <w:r>
              <w:rPr>
                <w:rFonts w:hint="eastAsia" w:ascii="宋体" w:hAnsi="宋体" w:cs="宋体"/>
                <w:b/>
                <w:color w:val="auto"/>
                <w:w w:val="90"/>
                <w:szCs w:val="21"/>
                <w:highlight w:val="none"/>
              </w:rPr>
              <w:t>多联式空调（热泵）机组(制冷量&gt;14000W)</w:t>
            </w:r>
          </w:p>
        </w:tc>
        <w:tc>
          <w:tcPr>
            <w:tcW w:w="2367" w:type="dxa"/>
            <w:vAlign w:val="center"/>
          </w:tcPr>
          <w:p w14:paraId="6B1DD0BD">
            <w:pPr>
              <w:jc w:val="left"/>
              <w:rPr>
                <w:rFonts w:ascii="宋体" w:hAnsi="宋体" w:cs="宋体"/>
                <w:color w:val="auto"/>
                <w:w w:val="90"/>
                <w:szCs w:val="21"/>
                <w:highlight w:val="none"/>
              </w:rPr>
            </w:pPr>
            <w:r>
              <w:rPr>
                <w:rFonts w:hint="eastAsia" w:ascii="宋体" w:hAnsi="宋体" w:cs="宋体"/>
                <w:color w:val="auto"/>
                <w:w w:val="90"/>
                <w:szCs w:val="21"/>
                <w:highlight w:val="none"/>
              </w:rPr>
              <w:t>《多联式空调（热泵）机组能效限定值及能源效率等级》（GB 21454）</w:t>
            </w:r>
          </w:p>
        </w:tc>
      </w:tr>
      <w:tr w14:paraId="02532B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5278E8E">
            <w:pPr>
              <w:jc w:val="center"/>
              <w:rPr>
                <w:rFonts w:ascii="宋体" w:hAnsi="宋体" w:cs="宋体"/>
                <w:color w:val="auto"/>
                <w:w w:val="90"/>
                <w:szCs w:val="21"/>
                <w:highlight w:val="none"/>
              </w:rPr>
            </w:pPr>
          </w:p>
        </w:tc>
        <w:tc>
          <w:tcPr>
            <w:tcW w:w="1933" w:type="dxa"/>
            <w:vMerge w:val="continue"/>
            <w:vAlign w:val="center"/>
          </w:tcPr>
          <w:p w14:paraId="3994C669">
            <w:pPr>
              <w:jc w:val="left"/>
              <w:rPr>
                <w:rFonts w:ascii="宋体" w:hAnsi="宋体" w:cs="宋体"/>
                <w:color w:val="auto"/>
                <w:w w:val="90"/>
                <w:szCs w:val="21"/>
                <w:highlight w:val="none"/>
              </w:rPr>
            </w:pPr>
          </w:p>
        </w:tc>
        <w:tc>
          <w:tcPr>
            <w:tcW w:w="2334" w:type="dxa"/>
            <w:vMerge w:val="continue"/>
            <w:vAlign w:val="center"/>
          </w:tcPr>
          <w:p w14:paraId="1B8C8868">
            <w:pPr>
              <w:jc w:val="left"/>
              <w:rPr>
                <w:rFonts w:ascii="宋体" w:hAnsi="宋体" w:cs="宋体"/>
                <w:b/>
                <w:color w:val="auto"/>
                <w:w w:val="90"/>
                <w:szCs w:val="21"/>
                <w:highlight w:val="none"/>
              </w:rPr>
            </w:pPr>
          </w:p>
        </w:tc>
        <w:tc>
          <w:tcPr>
            <w:tcW w:w="1682" w:type="dxa"/>
            <w:vAlign w:val="center"/>
          </w:tcPr>
          <w:p w14:paraId="7959C496">
            <w:pPr>
              <w:jc w:val="left"/>
              <w:rPr>
                <w:rFonts w:ascii="宋体" w:hAnsi="宋体" w:cs="宋体"/>
                <w:b/>
                <w:color w:val="auto"/>
                <w:w w:val="90"/>
                <w:szCs w:val="21"/>
                <w:highlight w:val="none"/>
              </w:rPr>
            </w:pPr>
            <w:r>
              <w:rPr>
                <w:rFonts w:hint="eastAsia" w:ascii="宋体" w:hAnsi="宋体" w:cs="宋体"/>
                <w:b/>
                <w:color w:val="auto"/>
                <w:w w:val="90"/>
                <w:szCs w:val="21"/>
                <w:highlight w:val="none"/>
              </w:rPr>
              <w:t>单元式空气调节机(制冷量&gt;14000W)</w:t>
            </w:r>
          </w:p>
        </w:tc>
        <w:tc>
          <w:tcPr>
            <w:tcW w:w="2367" w:type="dxa"/>
            <w:vAlign w:val="center"/>
          </w:tcPr>
          <w:p w14:paraId="03D7A149">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《单元式空气调节机能效限定值及能效等级》（GB 19576）《风管送风式空调机组能效限定值及能效等级》（GB 37479）</w:t>
            </w:r>
          </w:p>
        </w:tc>
      </w:tr>
      <w:tr w14:paraId="7B5F1EE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BB81634">
            <w:pPr>
              <w:jc w:val="center"/>
              <w:rPr>
                <w:rFonts w:ascii="宋体" w:hAnsi="宋体" w:cs="宋体"/>
                <w:color w:val="auto"/>
                <w:w w:val="90"/>
                <w:szCs w:val="21"/>
                <w:highlight w:val="none"/>
              </w:rPr>
            </w:pPr>
          </w:p>
        </w:tc>
        <w:tc>
          <w:tcPr>
            <w:tcW w:w="1933" w:type="dxa"/>
            <w:vMerge w:val="continue"/>
            <w:vAlign w:val="center"/>
          </w:tcPr>
          <w:p w14:paraId="7038A0C8">
            <w:pPr>
              <w:jc w:val="left"/>
              <w:rPr>
                <w:rFonts w:ascii="宋体" w:hAnsi="宋体" w:cs="宋体"/>
                <w:color w:val="auto"/>
                <w:w w:val="90"/>
                <w:szCs w:val="21"/>
                <w:highlight w:val="none"/>
              </w:rPr>
            </w:pPr>
          </w:p>
        </w:tc>
        <w:tc>
          <w:tcPr>
            <w:tcW w:w="2334" w:type="dxa"/>
            <w:vAlign w:val="center"/>
          </w:tcPr>
          <w:p w14:paraId="477D0BF9">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A02052309专用制冷、空调设备</w:t>
            </w:r>
          </w:p>
        </w:tc>
        <w:tc>
          <w:tcPr>
            <w:tcW w:w="1682" w:type="dxa"/>
            <w:vAlign w:val="center"/>
          </w:tcPr>
          <w:p w14:paraId="234117EA">
            <w:pPr>
              <w:jc w:val="left"/>
              <w:rPr>
                <w:rFonts w:ascii="宋体" w:hAnsi="宋体" w:cs="宋体"/>
                <w:b/>
                <w:color w:val="auto"/>
                <w:w w:val="90"/>
                <w:szCs w:val="21"/>
                <w:highlight w:val="none"/>
              </w:rPr>
            </w:pPr>
            <w:r>
              <w:rPr>
                <w:rFonts w:hint="eastAsia" w:ascii="宋体" w:hAnsi="宋体" w:cs="宋体"/>
                <w:b/>
                <w:color w:val="auto"/>
                <w:w w:val="90"/>
                <w:szCs w:val="21"/>
                <w:highlight w:val="none"/>
              </w:rPr>
              <w:t>机房空调</w:t>
            </w:r>
          </w:p>
        </w:tc>
        <w:tc>
          <w:tcPr>
            <w:tcW w:w="2367" w:type="dxa"/>
            <w:vAlign w:val="center"/>
          </w:tcPr>
          <w:p w14:paraId="133F384A">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《单元式空气调节机能效限定值及能效等级》（GB 19576）</w:t>
            </w:r>
          </w:p>
        </w:tc>
      </w:tr>
      <w:tr w14:paraId="418750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B31BB0C">
            <w:pPr>
              <w:jc w:val="center"/>
              <w:rPr>
                <w:rFonts w:ascii="宋体" w:hAnsi="宋体" w:cs="宋体"/>
                <w:color w:val="auto"/>
                <w:w w:val="90"/>
                <w:szCs w:val="21"/>
                <w:highlight w:val="none"/>
              </w:rPr>
            </w:pPr>
          </w:p>
        </w:tc>
        <w:tc>
          <w:tcPr>
            <w:tcW w:w="1933" w:type="dxa"/>
            <w:vMerge w:val="continue"/>
            <w:vAlign w:val="center"/>
          </w:tcPr>
          <w:p w14:paraId="0DE16C24">
            <w:pPr>
              <w:jc w:val="left"/>
              <w:rPr>
                <w:rFonts w:ascii="宋体" w:hAnsi="宋体" w:cs="宋体"/>
                <w:color w:val="auto"/>
                <w:w w:val="90"/>
                <w:szCs w:val="21"/>
                <w:highlight w:val="none"/>
              </w:rPr>
            </w:pPr>
          </w:p>
        </w:tc>
        <w:tc>
          <w:tcPr>
            <w:tcW w:w="2334" w:type="dxa"/>
            <w:vAlign w:val="center"/>
          </w:tcPr>
          <w:p w14:paraId="1BFE5E13">
            <w:pPr>
              <w:jc w:val="left"/>
              <w:rPr>
                <w:rFonts w:ascii="宋体" w:hAnsi="宋体" w:cs="宋体"/>
                <w:color w:val="auto"/>
                <w:w w:val="90"/>
                <w:szCs w:val="21"/>
                <w:highlight w:val="none"/>
              </w:rPr>
            </w:pPr>
            <w:r>
              <w:rPr>
                <w:rFonts w:hint="eastAsia" w:ascii="宋体" w:hAnsi="宋体" w:cs="宋体"/>
                <w:color w:val="auto"/>
                <w:w w:val="90"/>
                <w:szCs w:val="21"/>
                <w:highlight w:val="none"/>
              </w:rPr>
              <w:t>A02052399其他制冷空调设备</w:t>
            </w:r>
          </w:p>
        </w:tc>
        <w:tc>
          <w:tcPr>
            <w:tcW w:w="1682" w:type="dxa"/>
            <w:vAlign w:val="center"/>
          </w:tcPr>
          <w:p w14:paraId="086BACD6">
            <w:pPr>
              <w:jc w:val="left"/>
              <w:rPr>
                <w:rFonts w:ascii="宋体" w:hAnsi="宋体" w:cs="宋体"/>
                <w:color w:val="auto"/>
                <w:w w:val="90"/>
                <w:szCs w:val="21"/>
                <w:highlight w:val="none"/>
              </w:rPr>
            </w:pPr>
            <w:r>
              <w:rPr>
                <w:rFonts w:hint="eastAsia" w:ascii="宋体" w:hAnsi="宋体" w:cs="宋体"/>
                <w:color w:val="auto"/>
                <w:w w:val="90"/>
                <w:szCs w:val="21"/>
                <w:highlight w:val="none"/>
              </w:rPr>
              <w:t>冷却塔</w:t>
            </w:r>
          </w:p>
        </w:tc>
        <w:tc>
          <w:tcPr>
            <w:tcW w:w="2367" w:type="dxa"/>
            <w:vAlign w:val="center"/>
          </w:tcPr>
          <w:p w14:paraId="25D24E7B">
            <w:pPr>
              <w:jc w:val="left"/>
              <w:rPr>
                <w:rFonts w:ascii="宋体" w:hAnsi="宋体" w:cs="宋体"/>
                <w:color w:val="auto"/>
                <w:w w:val="90"/>
                <w:szCs w:val="21"/>
                <w:highlight w:val="none"/>
              </w:rPr>
            </w:pPr>
            <w:r>
              <w:rPr>
                <w:rFonts w:hint="eastAsia" w:ascii="宋体" w:hAnsi="宋体" w:cs="宋体"/>
                <w:color w:val="auto"/>
                <w:w w:val="90"/>
                <w:szCs w:val="21"/>
                <w:highlight w:val="none"/>
              </w:rPr>
              <w:t>《机械通风冷却塔 第 1 部分：中小型开式冷却塔》（GB/T 7190.1）</w:t>
            </w:r>
          </w:p>
          <w:p w14:paraId="10199C21">
            <w:pPr>
              <w:jc w:val="left"/>
              <w:rPr>
                <w:rFonts w:ascii="宋体" w:hAnsi="宋体" w:cs="宋体"/>
                <w:color w:val="auto"/>
                <w:w w:val="90"/>
                <w:szCs w:val="21"/>
                <w:highlight w:val="none"/>
              </w:rPr>
            </w:pPr>
            <w:r>
              <w:rPr>
                <w:rFonts w:hint="eastAsia" w:ascii="宋体" w:hAnsi="宋体" w:cs="宋体"/>
                <w:color w:val="auto"/>
                <w:w w:val="90"/>
                <w:szCs w:val="21"/>
                <w:highlight w:val="none"/>
              </w:rPr>
              <w:t>《机械通风冷却塔 第 2 部分：大型开式冷却塔》（GB/T 7190.2）</w:t>
            </w:r>
          </w:p>
        </w:tc>
      </w:tr>
      <w:tr w14:paraId="6AFFEA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F27B594">
            <w:pPr>
              <w:jc w:val="center"/>
              <w:rPr>
                <w:rFonts w:ascii="宋体" w:hAnsi="宋体" w:cs="宋体"/>
                <w:color w:val="auto"/>
                <w:w w:val="90"/>
                <w:szCs w:val="21"/>
                <w:highlight w:val="none"/>
              </w:rPr>
            </w:pPr>
            <w:r>
              <w:rPr>
                <w:rFonts w:hint="eastAsia" w:ascii="宋体" w:hAnsi="宋体" w:cs="宋体"/>
                <w:color w:val="auto"/>
                <w:w w:val="90"/>
                <w:szCs w:val="21"/>
                <w:highlight w:val="none"/>
              </w:rPr>
              <w:t>7</w:t>
            </w:r>
          </w:p>
        </w:tc>
        <w:tc>
          <w:tcPr>
            <w:tcW w:w="1933" w:type="dxa"/>
            <w:vAlign w:val="center"/>
          </w:tcPr>
          <w:p w14:paraId="316DFDBB">
            <w:pPr>
              <w:jc w:val="left"/>
              <w:rPr>
                <w:rFonts w:ascii="宋体" w:hAnsi="宋体" w:cs="宋体"/>
                <w:color w:val="auto"/>
                <w:w w:val="90"/>
                <w:szCs w:val="21"/>
                <w:highlight w:val="none"/>
              </w:rPr>
            </w:pPr>
            <w:r>
              <w:rPr>
                <w:rFonts w:hint="eastAsia" w:ascii="宋体" w:hAnsi="宋体" w:cs="宋体"/>
                <w:color w:val="auto"/>
                <w:w w:val="90"/>
                <w:szCs w:val="21"/>
                <w:highlight w:val="none"/>
              </w:rPr>
              <w:t>A020601电机</w:t>
            </w:r>
          </w:p>
        </w:tc>
        <w:tc>
          <w:tcPr>
            <w:tcW w:w="2334" w:type="dxa"/>
            <w:vAlign w:val="center"/>
          </w:tcPr>
          <w:p w14:paraId="63ABB849">
            <w:pPr>
              <w:jc w:val="left"/>
              <w:rPr>
                <w:rFonts w:ascii="宋体" w:hAnsi="宋体" w:cs="宋体"/>
                <w:color w:val="auto"/>
                <w:w w:val="90"/>
                <w:szCs w:val="21"/>
                <w:highlight w:val="none"/>
              </w:rPr>
            </w:pPr>
          </w:p>
        </w:tc>
        <w:tc>
          <w:tcPr>
            <w:tcW w:w="1682" w:type="dxa"/>
            <w:vAlign w:val="center"/>
          </w:tcPr>
          <w:p w14:paraId="4DC9C20D">
            <w:pPr>
              <w:jc w:val="center"/>
              <w:rPr>
                <w:rFonts w:ascii="宋体" w:hAnsi="宋体" w:cs="宋体"/>
                <w:color w:val="auto"/>
                <w:w w:val="90"/>
                <w:szCs w:val="21"/>
                <w:highlight w:val="none"/>
              </w:rPr>
            </w:pPr>
          </w:p>
        </w:tc>
        <w:tc>
          <w:tcPr>
            <w:tcW w:w="2367" w:type="dxa"/>
            <w:vAlign w:val="center"/>
          </w:tcPr>
          <w:p w14:paraId="50265E63">
            <w:pPr>
              <w:jc w:val="left"/>
              <w:rPr>
                <w:rFonts w:ascii="宋体" w:hAnsi="宋体" w:cs="宋体"/>
                <w:color w:val="auto"/>
                <w:w w:val="90"/>
                <w:szCs w:val="21"/>
                <w:highlight w:val="none"/>
              </w:rPr>
            </w:pPr>
            <w:r>
              <w:rPr>
                <w:rFonts w:hint="eastAsia" w:ascii="宋体" w:hAnsi="宋体" w:cs="宋体"/>
                <w:color w:val="auto"/>
                <w:w w:val="90"/>
                <w:szCs w:val="21"/>
                <w:highlight w:val="none"/>
              </w:rPr>
              <w:t>《中小型三相异步电动机能效限定值及能效等级》（GB 18613）</w:t>
            </w:r>
          </w:p>
        </w:tc>
      </w:tr>
      <w:tr w14:paraId="5C405C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6E1CD2A">
            <w:pPr>
              <w:jc w:val="center"/>
              <w:rPr>
                <w:rFonts w:ascii="宋体" w:hAnsi="宋体" w:cs="宋体"/>
                <w:color w:val="auto"/>
                <w:w w:val="90"/>
                <w:szCs w:val="21"/>
                <w:highlight w:val="none"/>
              </w:rPr>
            </w:pPr>
            <w:r>
              <w:rPr>
                <w:rFonts w:hint="eastAsia" w:ascii="宋体" w:hAnsi="宋体" w:cs="宋体"/>
                <w:color w:val="auto"/>
                <w:w w:val="90"/>
                <w:szCs w:val="21"/>
                <w:highlight w:val="none"/>
              </w:rPr>
              <w:t>8</w:t>
            </w:r>
          </w:p>
        </w:tc>
        <w:tc>
          <w:tcPr>
            <w:tcW w:w="1933" w:type="dxa"/>
            <w:vAlign w:val="center"/>
          </w:tcPr>
          <w:p w14:paraId="4F88BCF7">
            <w:pPr>
              <w:jc w:val="left"/>
              <w:rPr>
                <w:rFonts w:ascii="宋体" w:hAnsi="宋体" w:cs="宋体"/>
                <w:color w:val="auto"/>
                <w:w w:val="90"/>
                <w:szCs w:val="21"/>
                <w:highlight w:val="none"/>
              </w:rPr>
            </w:pPr>
            <w:r>
              <w:rPr>
                <w:rFonts w:hint="eastAsia" w:ascii="宋体" w:hAnsi="宋体" w:cs="宋体"/>
                <w:color w:val="auto"/>
                <w:w w:val="90"/>
                <w:szCs w:val="21"/>
                <w:highlight w:val="none"/>
              </w:rPr>
              <w:t>A020602变压器</w:t>
            </w:r>
          </w:p>
        </w:tc>
        <w:tc>
          <w:tcPr>
            <w:tcW w:w="2334" w:type="dxa"/>
            <w:vAlign w:val="center"/>
          </w:tcPr>
          <w:p w14:paraId="4BC6418C">
            <w:pPr>
              <w:jc w:val="left"/>
              <w:rPr>
                <w:rFonts w:ascii="宋体" w:hAnsi="宋体" w:cs="宋体"/>
                <w:color w:val="auto"/>
                <w:w w:val="90"/>
                <w:szCs w:val="21"/>
                <w:highlight w:val="none"/>
              </w:rPr>
            </w:pPr>
            <w:r>
              <w:rPr>
                <w:rFonts w:hint="eastAsia" w:ascii="宋体" w:hAnsi="宋体" w:cs="宋体"/>
                <w:color w:val="auto"/>
                <w:w w:val="90"/>
                <w:szCs w:val="21"/>
                <w:highlight w:val="none"/>
              </w:rPr>
              <w:t>配电变压器</w:t>
            </w:r>
          </w:p>
        </w:tc>
        <w:tc>
          <w:tcPr>
            <w:tcW w:w="1682" w:type="dxa"/>
            <w:vAlign w:val="center"/>
          </w:tcPr>
          <w:p w14:paraId="0FCD6E54">
            <w:pPr>
              <w:jc w:val="center"/>
              <w:rPr>
                <w:rFonts w:ascii="宋体" w:hAnsi="宋体" w:cs="宋体"/>
                <w:color w:val="auto"/>
                <w:w w:val="90"/>
                <w:szCs w:val="21"/>
                <w:highlight w:val="none"/>
              </w:rPr>
            </w:pPr>
          </w:p>
        </w:tc>
        <w:tc>
          <w:tcPr>
            <w:tcW w:w="2367" w:type="dxa"/>
            <w:vAlign w:val="center"/>
          </w:tcPr>
          <w:p w14:paraId="570E5785">
            <w:pPr>
              <w:jc w:val="left"/>
              <w:rPr>
                <w:rFonts w:ascii="宋体" w:hAnsi="宋体" w:cs="宋体"/>
                <w:color w:val="auto"/>
                <w:w w:val="90"/>
                <w:szCs w:val="21"/>
                <w:highlight w:val="none"/>
              </w:rPr>
            </w:pPr>
            <w:r>
              <w:rPr>
                <w:rFonts w:hint="eastAsia" w:ascii="宋体" w:hAnsi="宋体" w:cs="宋体"/>
                <w:color w:val="auto"/>
                <w:w w:val="90"/>
                <w:szCs w:val="21"/>
                <w:highlight w:val="none"/>
              </w:rPr>
              <w:t>《三相配电变压器能效限定值及能效等级》（GB 20052）</w:t>
            </w:r>
          </w:p>
        </w:tc>
      </w:tr>
      <w:tr w14:paraId="2214E91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C2332F9">
            <w:pPr>
              <w:jc w:val="center"/>
              <w:rPr>
                <w:rFonts w:ascii="宋体" w:hAnsi="宋体" w:cs="宋体"/>
                <w:color w:val="auto"/>
                <w:w w:val="90"/>
                <w:szCs w:val="21"/>
                <w:highlight w:val="none"/>
              </w:rPr>
            </w:pPr>
            <w:r>
              <w:rPr>
                <w:rFonts w:hint="eastAsia" w:ascii="宋体" w:hAnsi="宋体" w:cs="宋体"/>
                <w:color w:val="auto"/>
                <w:w w:val="90"/>
                <w:szCs w:val="21"/>
                <w:highlight w:val="none"/>
              </w:rPr>
              <w:t>9</w:t>
            </w:r>
          </w:p>
        </w:tc>
        <w:tc>
          <w:tcPr>
            <w:tcW w:w="1933" w:type="dxa"/>
            <w:vAlign w:val="center"/>
          </w:tcPr>
          <w:p w14:paraId="5D674B3A">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A020609镇流器</w:t>
            </w:r>
          </w:p>
        </w:tc>
        <w:tc>
          <w:tcPr>
            <w:tcW w:w="2334" w:type="dxa"/>
            <w:vAlign w:val="center"/>
          </w:tcPr>
          <w:p w14:paraId="5EBDE8EE">
            <w:pPr>
              <w:jc w:val="left"/>
              <w:rPr>
                <w:rFonts w:ascii="宋体" w:hAnsi="宋体" w:cs="宋体"/>
                <w:b/>
                <w:color w:val="auto"/>
                <w:w w:val="90"/>
                <w:szCs w:val="21"/>
                <w:highlight w:val="none"/>
              </w:rPr>
            </w:pPr>
            <w:r>
              <w:rPr>
                <w:rFonts w:hint="eastAsia" w:ascii="宋体" w:hAnsi="宋体" w:cs="宋体"/>
                <w:b/>
                <w:color w:val="auto"/>
                <w:w w:val="90"/>
                <w:szCs w:val="21"/>
                <w:highlight w:val="none"/>
              </w:rPr>
              <w:t>管型荧光灯镇流器</w:t>
            </w:r>
          </w:p>
        </w:tc>
        <w:tc>
          <w:tcPr>
            <w:tcW w:w="1682" w:type="dxa"/>
            <w:vAlign w:val="center"/>
          </w:tcPr>
          <w:p w14:paraId="369DCBC7">
            <w:pPr>
              <w:jc w:val="center"/>
              <w:rPr>
                <w:rFonts w:ascii="宋体" w:hAnsi="宋体" w:cs="宋体"/>
                <w:color w:val="auto"/>
                <w:w w:val="90"/>
                <w:szCs w:val="21"/>
                <w:highlight w:val="none"/>
              </w:rPr>
            </w:pPr>
          </w:p>
        </w:tc>
        <w:tc>
          <w:tcPr>
            <w:tcW w:w="2367" w:type="dxa"/>
            <w:vAlign w:val="center"/>
          </w:tcPr>
          <w:p w14:paraId="5E9F588C">
            <w:pPr>
              <w:jc w:val="left"/>
              <w:rPr>
                <w:rFonts w:ascii="宋体" w:hAnsi="宋体" w:cs="宋体"/>
                <w:color w:val="auto"/>
                <w:w w:val="90"/>
                <w:szCs w:val="21"/>
                <w:highlight w:val="none"/>
              </w:rPr>
            </w:pPr>
            <w:r>
              <w:rPr>
                <w:rFonts w:hint="eastAsia" w:ascii="宋体" w:hAnsi="宋体" w:cs="宋体"/>
                <w:color w:val="auto"/>
                <w:w w:val="90"/>
                <w:szCs w:val="21"/>
                <w:highlight w:val="none"/>
              </w:rPr>
              <w:t>《管形荧光灯镇流器能效限定值及能效等级》（GB 17896）</w:t>
            </w:r>
          </w:p>
        </w:tc>
      </w:tr>
      <w:tr w14:paraId="092A5A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173F2FB0">
            <w:pPr>
              <w:jc w:val="center"/>
              <w:rPr>
                <w:rFonts w:ascii="宋体" w:hAnsi="宋体" w:cs="宋体"/>
                <w:color w:val="auto"/>
                <w:w w:val="90"/>
                <w:szCs w:val="21"/>
                <w:highlight w:val="none"/>
              </w:rPr>
            </w:pPr>
            <w:r>
              <w:rPr>
                <w:rFonts w:hint="eastAsia" w:ascii="宋体" w:hAnsi="宋体" w:cs="宋体"/>
                <w:color w:val="auto"/>
                <w:w w:val="90"/>
                <w:szCs w:val="21"/>
                <w:highlight w:val="none"/>
              </w:rPr>
              <w:t>10</w:t>
            </w:r>
          </w:p>
        </w:tc>
        <w:tc>
          <w:tcPr>
            <w:tcW w:w="1933" w:type="dxa"/>
            <w:vMerge w:val="restart"/>
            <w:vAlign w:val="center"/>
          </w:tcPr>
          <w:p w14:paraId="6E1530FA">
            <w:pPr>
              <w:jc w:val="left"/>
              <w:rPr>
                <w:rFonts w:ascii="宋体" w:hAnsi="宋体" w:cs="宋体"/>
                <w:color w:val="auto"/>
                <w:w w:val="90"/>
                <w:szCs w:val="21"/>
                <w:highlight w:val="none"/>
              </w:rPr>
            </w:pPr>
            <w:r>
              <w:rPr>
                <w:rFonts w:hint="eastAsia" w:ascii="宋体" w:hAnsi="宋体" w:cs="宋体"/>
                <w:color w:val="auto"/>
                <w:w w:val="90"/>
                <w:szCs w:val="21"/>
                <w:highlight w:val="none"/>
              </w:rPr>
              <w:t>A020618 生活用电器</w:t>
            </w:r>
          </w:p>
        </w:tc>
        <w:tc>
          <w:tcPr>
            <w:tcW w:w="2334" w:type="dxa"/>
            <w:vAlign w:val="center"/>
          </w:tcPr>
          <w:p w14:paraId="3E04CFF2">
            <w:pPr>
              <w:jc w:val="left"/>
              <w:rPr>
                <w:rFonts w:ascii="宋体" w:hAnsi="宋体" w:cs="宋体"/>
                <w:color w:val="auto"/>
                <w:w w:val="90"/>
                <w:szCs w:val="21"/>
                <w:highlight w:val="none"/>
              </w:rPr>
            </w:pPr>
            <w:r>
              <w:rPr>
                <w:rFonts w:hint="eastAsia" w:ascii="宋体" w:hAnsi="宋体" w:cs="宋体"/>
                <w:color w:val="auto"/>
                <w:w w:val="90"/>
                <w:szCs w:val="21"/>
                <w:highlight w:val="none"/>
              </w:rPr>
              <w:t>A0206180101电冰箱</w:t>
            </w:r>
          </w:p>
        </w:tc>
        <w:tc>
          <w:tcPr>
            <w:tcW w:w="1682" w:type="dxa"/>
            <w:vAlign w:val="center"/>
          </w:tcPr>
          <w:p w14:paraId="59AA4AC2">
            <w:pPr>
              <w:jc w:val="center"/>
              <w:rPr>
                <w:rFonts w:ascii="宋体" w:hAnsi="宋体" w:cs="宋体"/>
                <w:color w:val="auto"/>
                <w:w w:val="90"/>
                <w:szCs w:val="21"/>
                <w:highlight w:val="none"/>
              </w:rPr>
            </w:pPr>
          </w:p>
        </w:tc>
        <w:tc>
          <w:tcPr>
            <w:tcW w:w="2367" w:type="dxa"/>
            <w:vAlign w:val="center"/>
          </w:tcPr>
          <w:p w14:paraId="7502D821">
            <w:pPr>
              <w:jc w:val="left"/>
              <w:rPr>
                <w:rFonts w:ascii="宋体" w:hAnsi="宋体" w:cs="宋体"/>
                <w:color w:val="auto"/>
                <w:w w:val="90"/>
                <w:szCs w:val="21"/>
                <w:highlight w:val="none"/>
              </w:rPr>
            </w:pPr>
            <w:r>
              <w:rPr>
                <w:rFonts w:hint="eastAsia" w:ascii="宋体" w:hAnsi="宋体" w:cs="宋体"/>
                <w:color w:val="auto"/>
                <w:w w:val="90"/>
                <w:szCs w:val="21"/>
                <w:highlight w:val="none"/>
              </w:rPr>
              <w:t>《家用电冰箱耗电量限定值及能效等级》（GB</w:t>
            </w:r>
            <w:r>
              <w:rPr>
                <w:rFonts w:hint="eastAsia" w:ascii="宋体" w:hAnsi="宋体" w:cs="宋体"/>
                <w:color w:val="auto"/>
                <w:w w:val="90"/>
                <w:szCs w:val="21"/>
                <w:highlight w:val="none"/>
              </w:rPr>
              <w:tab/>
            </w:r>
            <w:r>
              <w:rPr>
                <w:rFonts w:hint="eastAsia" w:ascii="宋体" w:hAnsi="宋体" w:cs="宋体"/>
                <w:color w:val="auto"/>
                <w:w w:val="90"/>
                <w:szCs w:val="21"/>
                <w:highlight w:val="none"/>
              </w:rPr>
              <w:t>12021.2）</w:t>
            </w:r>
          </w:p>
        </w:tc>
      </w:tr>
      <w:tr w14:paraId="23C1D8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8D18739">
            <w:pPr>
              <w:jc w:val="center"/>
              <w:rPr>
                <w:rFonts w:ascii="宋体" w:hAnsi="宋体" w:cs="宋体"/>
                <w:color w:val="auto"/>
                <w:w w:val="90"/>
                <w:szCs w:val="21"/>
                <w:highlight w:val="none"/>
              </w:rPr>
            </w:pPr>
          </w:p>
        </w:tc>
        <w:tc>
          <w:tcPr>
            <w:tcW w:w="1933" w:type="dxa"/>
            <w:vMerge w:val="continue"/>
            <w:vAlign w:val="center"/>
          </w:tcPr>
          <w:p w14:paraId="593D759D">
            <w:pPr>
              <w:jc w:val="left"/>
              <w:rPr>
                <w:rFonts w:ascii="宋体" w:hAnsi="宋体" w:cs="宋体"/>
                <w:color w:val="auto"/>
                <w:w w:val="90"/>
                <w:szCs w:val="21"/>
                <w:highlight w:val="none"/>
              </w:rPr>
            </w:pPr>
          </w:p>
        </w:tc>
        <w:tc>
          <w:tcPr>
            <w:tcW w:w="2334" w:type="dxa"/>
            <w:vMerge w:val="restart"/>
            <w:vAlign w:val="center"/>
          </w:tcPr>
          <w:p w14:paraId="25D5F50F">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A0206180203空调机</w:t>
            </w:r>
          </w:p>
        </w:tc>
        <w:tc>
          <w:tcPr>
            <w:tcW w:w="1682" w:type="dxa"/>
            <w:vAlign w:val="center"/>
          </w:tcPr>
          <w:p w14:paraId="1C26FEF1">
            <w:pPr>
              <w:jc w:val="left"/>
              <w:rPr>
                <w:rFonts w:ascii="宋体" w:hAnsi="宋体" w:cs="宋体"/>
                <w:b/>
                <w:color w:val="auto"/>
                <w:w w:val="90"/>
                <w:szCs w:val="21"/>
                <w:highlight w:val="none"/>
              </w:rPr>
            </w:pPr>
            <w:r>
              <w:rPr>
                <w:rFonts w:hint="eastAsia" w:ascii="宋体" w:hAnsi="宋体" w:cs="宋体"/>
                <w:b/>
                <w:color w:val="auto"/>
                <w:w w:val="90"/>
                <w:szCs w:val="21"/>
                <w:highlight w:val="none"/>
              </w:rPr>
              <w:t>房间空气调节器</w:t>
            </w:r>
          </w:p>
        </w:tc>
        <w:tc>
          <w:tcPr>
            <w:tcW w:w="2367" w:type="dxa"/>
            <w:vAlign w:val="center"/>
          </w:tcPr>
          <w:p w14:paraId="1F0F29C3">
            <w:pPr>
              <w:jc w:val="left"/>
              <w:rPr>
                <w:rFonts w:ascii="宋体" w:hAnsi="宋体" w:cs="宋体"/>
                <w:color w:val="auto"/>
                <w:w w:val="90"/>
                <w:szCs w:val="21"/>
                <w:highlight w:val="none"/>
              </w:rPr>
            </w:pPr>
            <w:r>
              <w:rPr>
                <w:rFonts w:hint="eastAsia" w:ascii="宋体" w:hAnsi="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7E1718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EAA3509">
            <w:pPr>
              <w:jc w:val="center"/>
              <w:rPr>
                <w:rFonts w:ascii="宋体" w:hAnsi="宋体" w:cs="宋体"/>
                <w:color w:val="auto"/>
                <w:w w:val="90"/>
                <w:szCs w:val="21"/>
                <w:highlight w:val="none"/>
              </w:rPr>
            </w:pPr>
          </w:p>
        </w:tc>
        <w:tc>
          <w:tcPr>
            <w:tcW w:w="1933" w:type="dxa"/>
            <w:vMerge w:val="continue"/>
            <w:vAlign w:val="center"/>
          </w:tcPr>
          <w:p w14:paraId="42C1796E">
            <w:pPr>
              <w:jc w:val="left"/>
              <w:rPr>
                <w:rFonts w:ascii="宋体" w:hAnsi="宋体" w:cs="宋体"/>
                <w:color w:val="auto"/>
                <w:w w:val="90"/>
                <w:szCs w:val="21"/>
                <w:highlight w:val="none"/>
              </w:rPr>
            </w:pPr>
          </w:p>
        </w:tc>
        <w:tc>
          <w:tcPr>
            <w:tcW w:w="2334" w:type="dxa"/>
            <w:vMerge w:val="continue"/>
            <w:vAlign w:val="center"/>
          </w:tcPr>
          <w:p w14:paraId="135C3EAA">
            <w:pPr>
              <w:jc w:val="left"/>
              <w:rPr>
                <w:rFonts w:ascii="宋体" w:hAnsi="宋体" w:cs="宋体"/>
                <w:b/>
                <w:color w:val="auto"/>
                <w:w w:val="90"/>
                <w:szCs w:val="21"/>
                <w:highlight w:val="none"/>
              </w:rPr>
            </w:pPr>
          </w:p>
        </w:tc>
        <w:tc>
          <w:tcPr>
            <w:tcW w:w="1682" w:type="dxa"/>
            <w:vAlign w:val="center"/>
          </w:tcPr>
          <w:p w14:paraId="54DCC118">
            <w:pPr>
              <w:jc w:val="left"/>
              <w:rPr>
                <w:rFonts w:ascii="宋体" w:hAnsi="宋体" w:cs="宋体"/>
                <w:b/>
                <w:color w:val="auto"/>
                <w:w w:val="90"/>
                <w:szCs w:val="21"/>
                <w:highlight w:val="none"/>
              </w:rPr>
            </w:pPr>
            <w:r>
              <w:rPr>
                <w:rFonts w:hint="eastAsia" w:ascii="宋体" w:hAnsi="宋体" w:cs="宋体"/>
                <w:b/>
                <w:color w:val="auto"/>
                <w:w w:val="90"/>
                <w:szCs w:val="21"/>
                <w:highlight w:val="none"/>
              </w:rPr>
              <w:t>多联式空调（热泵）机组（制冷量≤ 14000W）</w:t>
            </w:r>
          </w:p>
        </w:tc>
        <w:tc>
          <w:tcPr>
            <w:tcW w:w="2367" w:type="dxa"/>
            <w:vAlign w:val="center"/>
          </w:tcPr>
          <w:p w14:paraId="33E89E8B">
            <w:pPr>
              <w:jc w:val="left"/>
              <w:rPr>
                <w:rFonts w:ascii="宋体" w:hAnsi="宋体" w:cs="宋体"/>
                <w:color w:val="auto"/>
                <w:w w:val="90"/>
                <w:szCs w:val="21"/>
                <w:highlight w:val="none"/>
              </w:rPr>
            </w:pPr>
            <w:r>
              <w:rPr>
                <w:rFonts w:hint="eastAsia" w:ascii="宋体" w:hAnsi="宋体" w:cs="宋体"/>
                <w:color w:val="auto"/>
                <w:w w:val="90"/>
                <w:szCs w:val="21"/>
                <w:highlight w:val="none"/>
              </w:rPr>
              <w:t>《多联式空调（热泵）机组能效限定值及能源效率等级》（GB 21454）</w:t>
            </w:r>
          </w:p>
        </w:tc>
      </w:tr>
      <w:tr w14:paraId="39B105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71D9148">
            <w:pPr>
              <w:jc w:val="center"/>
              <w:rPr>
                <w:rFonts w:ascii="宋体" w:hAnsi="宋体" w:cs="宋体"/>
                <w:color w:val="auto"/>
                <w:w w:val="90"/>
                <w:szCs w:val="21"/>
                <w:highlight w:val="none"/>
              </w:rPr>
            </w:pPr>
          </w:p>
        </w:tc>
        <w:tc>
          <w:tcPr>
            <w:tcW w:w="1933" w:type="dxa"/>
            <w:vMerge w:val="continue"/>
            <w:vAlign w:val="center"/>
          </w:tcPr>
          <w:p w14:paraId="245B6A06">
            <w:pPr>
              <w:jc w:val="left"/>
              <w:rPr>
                <w:rFonts w:ascii="宋体" w:hAnsi="宋体" w:cs="宋体"/>
                <w:color w:val="auto"/>
                <w:w w:val="90"/>
                <w:szCs w:val="21"/>
                <w:highlight w:val="none"/>
              </w:rPr>
            </w:pPr>
          </w:p>
        </w:tc>
        <w:tc>
          <w:tcPr>
            <w:tcW w:w="2334" w:type="dxa"/>
            <w:vMerge w:val="continue"/>
            <w:vAlign w:val="center"/>
          </w:tcPr>
          <w:p w14:paraId="61FF2D1D">
            <w:pPr>
              <w:jc w:val="left"/>
              <w:rPr>
                <w:rFonts w:ascii="宋体" w:hAnsi="宋体" w:cs="宋体"/>
                <w:b/>
                <w:color w:val="auto"/>
                <w:w w:val="90"/>
                <w:szCs w:val="21"/>
                <w:highlight w:val="none"/>
              </w:rPr>
            </w:pPr>
          </w:p>
        </w:tc>
        <w:tc>
          <w:tcPr>
            <w:tcW w:w="1682" w:type="dxa"/>
            <w:vAlign w:val="center"/>
          </w:tcPr>
          <w:p w14:paraId="15728F93">
            <w:pPr>
              <w:jc w:val="left"/>
              <w:rPr>
                <w:rFonts w:ascii="宋体" w:hAnsi="宋体" w:cs="宋体"/>
                <w:b/>
                <w:color w:val="auto"/>
                <w:w w:val="90"/>
                <w:szCs w:val="21"/>
                <w:highlight w:val="none"/>
              </w:rPr>
            </w:pPr>
            <w:r>
              <w:rPr>
                <w:rFonts w:hint="eastAsia" w:ascii="宋体" w:hAnsi="宋体" w:cs="宋体"/>
                <w:b/>
                <w:color w:val="auto"/>
                <w:w w:val="90"/>
                <w:szCs w:val="21"/>
                <w:highlight w:val="none"/>
              </w:rPr>
              <w:t>单元式空气调节机(制冷量≤14000W)</w:t>
            </w:r>
          </w:p>
        </w:tc>
        <w:tc>
          <w:tcPr>
            <w:tcW w:w="2367" w:type="dxa"/>
            <w:vAlign w:val="center"/>
          </w:tcPr>
          <w:p w14:paraId="66FAAC4D">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《单元式空气调节机能效限定值及能源效率等级》（GB 19576）《风管送风式空调机组能效限定值及能效等级》（GB 37479）</w:t>
            </w:r>
          </w:p>
        </w:tc>
      </w:tr>
      <w:tr w14:paraId="795FB0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71E7FD4">
            <w:pPr>
              <w:jc w:val="center"/>
              <w:rPr>
                <w:rFonts w:ascii="宋体" w:hAnsi="宋体" w:cs="宋体"/>
                <w:color w:val="auto"/>
                <w:w w:val="90"/>
                <w:szCs w:val="21"/>
                <w:highlight w:val="none"/>
              </w:rPr>
            </w:pPr>
          </w:p>
        </w:tc>
        <w:tc>
          <w:tcPr>
            <w:tcW w:w="1933" w:type="dxa"/>
            <w:vMerge w:val="continue"/>
            <w:vAlign w:val="center"/>
          </w:tcPr>
          <w:p w14:paraId="481AD4BD">
            <w:pPr>
              <w:jc w:val="left"/>
              <w:rPr>
                <w:rFonts w:ascii="宋体" w:hAnsi="宋体" w:cs="宋体"/>
                <w:color w:val="auto"/>
                <w:w w:val="90"/>
                <w:szCs w:val="21"/>
                <w:highlight w:val="none"/>
              </w:rPr>
            </w:pPr>
          </w:p>
        </w:tc>
        <w:tc>
          <w:tcPr>
            <w:tcW w:w="2334" w:type="dxa"/>
            <w:vAlign w:val="center"/>
          </w:tcPr>
          <w:p w14:paraId="48601FA4">
            <w:pPr>
              <w:jc w:val="left"/>
              <w:rPr>
                <w:rFonts w:ascii="宋体" w:hAnsi="宋体" w:cs="宋体"/>
                <w:color w:val="auto"/>
                <w:w w:val="90"/>
                <w:szCs w:val="21"/>
                <w:highlight w:val="none"/>
              </w:rPr>
            </w:pPr>
            <w:r>
              <w:rPr>
                <w:rFonts w:hint="eastAsia" w:ascii="宋体" w:hAnsi="宋体" w:cs="宋体"/>
                <w:color w:val="auto"/>
                <w:w w:val="90"/>
                <w:szCs w:val="21"/>
                <w:highlight w:val="none"/>
              </w:rPr>
              <w:t>A0206180301洗衣机</w:t>
            </w:r>
          </w:p>
        </w:tc>
        <w:tc>
          <w:tcPr>
            <w:tcW w:w="1682" w:type="dxa"/>
            <w:vAlign w:val="center"/>
          </w:tcPr>
          <w:p w14:paraId="2AAAAD46">
            <w:pPr>
              <w:jc w:val="left"/>
              <w:rPr>
                <w:rFonts w:ascii="宋体" w:hAnsi="宋体" w:cs="宋体"/>
                <w:color w:val="auto"/>
                <w:w w:val="90"/>
                <w:szCs w:val="21"/>
                <w:highlight w:val="none"/>
              </w:rPr>
            </w:pPr>
          </w:p>
        </w:tc>
        <w:tc>
          <w:tcPr>
            <w:tcW w:w="2367" w:type="dxa"/>
            <w:vAlign w:val="center"/>
          </w:tcPr>
          <w:p w14:paraId="70C60FF9">
            <w:pPr>
              <w:jc w:val="left"/>
              <w:rPr>
                <w:rFonts w:ascii="宋体" w:hAnsi="宋体" w:cs="宋体"/>
                <w:color w:val="auto"/>
                <w:w w:val="90"/>
                <w:szCs w:val="21"/>
                <w:highlight w:val="none"/>
              </w:rPr>
            </w:pPr>
            <w:r>
              <w:rPr>
                <w:rFonts w:hint="eastAsia" w:ascii="宋体" w:hAnsi="宋体" w:cs="宋体"/>
                <w:color w:val="auto"/>
                <w:w w:val="90"/>
                <w:szCs w:val="21"/>
                <w:highlight w:val="none"/>
              </w:rPr>
              <w:t>《电动洗衣机能效水效限定值及等级》（GB 12021.4）</w:t>
            </w:r>
          </w:p>
        </w:tc>
      </w:tr>
      <w:tr w14:paraId="623A66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7021D3F">
            <w:pPr>
              <w:jc w:val="center"/>
              <w:rPr>
                <w:rFonts w:ascii="宋体" w:hAnsi="宋体" w:cs="宋体"/>
                <w:color w:val="auto"/>
                <w:w w:val="90"/>
                <w:szCs w:val="21"/>
                <w:highlight w:val="none"/>
              </w:rPr>
            </w:pPr>
          </w:p>
        </w:tc>
        <w:tc>
          <w:tcPr>
            <w:tcW w:w="1933" w:type="dxa"/>
            <w:vMerge w:val="continue"/>
            <w:vAlign w:val="center"/>
          </w:tcPr>
          <w:p w14:paraId="5728ED80">
            <w:pPr>
              <w:jc w:val="left"/>
              <w:rPr>
                <w:rFonts w:ascii="宋体" w:hAnsi="宋体" w:cs="宋体"/>
                <w:color w:val="auto"/>
                <w:w w:val="90"/>
                <w:szCs w:val="21"/>
                <w:highlight w:val="none"/>
              </w:rPr>
            </w:pPr>
          </w:p>
        </w:tc>
        <w:tc>
          <w:tcPr>
            <w:tcW w:w="2334" w:type="dxa"/>
            <w:vMerge w:val="restart"/>
            <w:vAlign w:val="center"/>
          </w:tcPr>
          <w:p w14:paraId="582C2BC1">
            <w:pPr>
              <w:jc w:val="left"/>
              <w:rPr>
                <w:rFonts w:ascii="宋体" w:hAnsi="宋体" w:cs="宋体"/>
                <w:color w:val="auto"/>
                <w:w w:val="90"/>
                <w:szCs w:val="21"/>
                <w:highlight w:val="none"/>
              </w:rPr>
            </w:pPr>
            <w:r>
              <w:rPr>
                <w:rFonts w:hint="eastAsia" w:ascii="宋体" w:hAnsi="宋体" w:cs="宋体"/>
                <w:color w:val="auto"/>
                <w:w w:val="90"/>
                <w:szCs w:val="21"/>
                <w:highlight w:val="none"/>
              </w:rPr>
              <w:t>A02061808热水器</w:t>
            </w:r>
          </w:p>
        </w:tc>
        <w:tc>
          <w:tcPr>
            <w:tcW w:w="1682" w:type="dxa"/>
            <w:vAlign w:val="center"/>
          </w:tcPr>
          <w:p w14:paraId="3197664D">
            <w:pPr>
              <w:jc w:val="left"/>
              <w:rPr>
                <w:rFonts w:ascii="宋体" w:hAnsi="宋体" w:cs="宋体"/>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电热水器</w:t>
            </w:r>
          </w:p>
        </w:tc>
        <w:tc>
          <w:tcPr>
            <w:tcW w:w="2367" w:type="dxa"/>
            <w:vAlign w:val="center"/>
          </w:tcPr>
          <w:p w14:paraId="183C73FD">
            <w:pPr>
              <w:jc w:val="left"/>
              <w:rPr>
                <w:rFonts w:ascii="宋体" w:hAnsi="宋体" w:cs="宋体"/>
                <w:color w:val="auto"/>
                <w:w w:val="90"/>
                <w:szCs w:val="21"/>
                <w:highlight w:val="none"/>
              </w:rPr>
            </w:pPr>
            <w:r>
              <w:rPr>
                <w:rFonts w:hint="eastAsia" w:ascii="宋体" w:hAnsi="宋体" w:cs="宋体"/>
                <w:color w:val="auto"/>
                <w:w w:val="90"/>
                <w:szCs w:val="21"/>
                <w:highlight w:val="none"/>
              </w:rPr>
              <w:t>《储水式电热水器能效限定值及能效等级》（GB 21519）</w:t>
            </w:r>
          </w:p>
        </w:tc>
      </w:tr>
      <w:tr w14:paraId="285E04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57A7803">
            <w:pPr>
              <w:jc w:val="center"/>
              <w:rPr>
                <w:rFonts w:ascii="宋体" w:hAnsi="宋体" w:cs="宋体"/>
                <w:color w:val="auto"/>
                <w:w w:val="90"/>
                <w:szCs w:val="21"/>
                <w:highlight w:val="none"/>
              </w:rPr>
            </w:pPr>
          </w:p>
        </w:tc>
        <w:tc>
          <w:tcPr>
            <w:tcW w:w="1933" w:type="dxa"/>
            <w:vMerge w:val="continue"/>
            <w:vAlign w:val="center"/>
          </w:tcPr>
          <w:p w14:paraId="765B0A8A">
            <w:pPr>
              <w:jc w:val="left"/>
              <w:rPr>
                <w:rFonts w:ascii="宋体" w:hAnsi="宋体" w:cs="宋体"/>
                <w:color w:val="auto"/>
                <w:w w:val="90"/>
                <w:szCs w:val="21"/>
                <w:highlight w:val="none"/>
              </w:rPr>
            </w:pPr>
          </w:p>
        </w:tc>
        <w:tc>
          <w:tcPr>
            <w:tcW w:w="2334" w:type="dxa"/>
            <w:vMerge w:val="continue"/>
            <w:vAlign w:val="center"/>
          </w:tcPr>
          <w:p w14:paraId="1DB04F4A">
            <w:pPr>
              <w:jc w:val="left"/>
              <w:rPr>
                <w:rFonts w:ascii="宋体" w:hAnsi="宋体" w:cs="宋体"/>
                <w:color w:val="auto"/>
                <w:w w:val="90"/>
                <w:szCs w:val="21"/>
                <w:highlight w:val="none"/>
              </w:rPr>
            </w:pPr>
          </w:p>
        </w:tc>
        <w:tc>
          <w:tcPr>
            <w:tcW w:w="1682" w:type="dxa"/>
            <w:vAlign w:val="center"/>
          </w:tcPr>
          <w:p w14:paraId="0FDE86CE">
            <w:pPr>
              <w:jc w:val="left"/>
              <w:rPr>
                <w:rFonts w:ascii="宋体" w:hAnsi="宋体" w:cs="宋体"/>
                <w:color w:val="auto"/>
                <w:w w:val="90"/>
                <w:szCs w:val="21"/>
                <w:highlight w:val="none"/>
              </w:rPr>
            </w:pPr>
            <w:r>
              <w:rPr>
                <w:rFonts w:hint="eastAsia" w:ascii="宋体" w:hAnsi="宋体" w:cs="宋体"/>
                <w:color w:val="auto"/>
                <w:w w:val="90"/>
                <w:szCs w:val="21"/>
                <w:highlight w:val="none"/>
              </w:rPr>
              <w:t>燃气热水器</w:t>
            </w:r>
          </w:p>
        </w:tc>
        <w:tc>
          <w:tcPr>
            <w:tcW w:w="2367" w:type="dxa"/>
            <w:vAlign w:val="center"/>
          </w:tcPr>
          <w:p w14:paraId="66E633CC">
            <w:pPr>
              <w:jc w:val="left"/>
              <w:rPr>
                <w:rFonts w:ascii="宋体" w:hAnsi="宋体" w:cs="宋体"/>
                <w:color w:val="auto"/>
                <w:w w:val="90"/>
                <w:szCs w:val="21"/>
                <w:highlight w:val="none"/>
              </w:rPr>
            </w:pPr>
            <w:r>
              <w:rPr>
                <w:rFonts w:hint="eastAsia" w:ascii="宋体" w:hAnsi="宋体" w:cs="宋体"/>
                <w:color w:val="auto"/>
                <w:w w:val="90"/>
                <w:szCs w:val="21"/>
                <w:highlight w:val="none"/>
              </w:rPr>
              <w:t>《家用燃气快速热水器和燃气采暖热水炉能效限定值及能效等级（GB 20665）</w:t>
            </w:r>
          </w:p>
        </w:tc>
      </w:tr>
      <w:tr w14:paraId="597255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9D907F2">
            <w:pPr>
              <w:jc w:val="center"/>
              <w:rPr>
                <w:rFonts w:ascii="宋体" w:hAnsi="宋体" w:cs="宋体"/>
                <w:color w:val="auto"/>
                <w:w w:val="90"/>
                <w:szCs w:val="21"/>
                <w:highlight w:val="none"/>
              </w:rPr>
            </w:pPr>
          </w:p>
        </w:tc>
        <w:tc>
          <w:tcPr>
            <w:tcW w:w="1933" w:type="dxa"/>
            <w:vMerge w:val="continue"/>
            <w:vAlign w:val="center"/>
          </w:tcPr>
          <w:p w14:paraId="5612AB4D">
            <w:pPr>
              <w:jc w:val="left"/>
              <w:rPr>
                <w:rFonts w:ascii="宋体" w:hAnsi="宋体" w:cs="宋体"/>
                <w:color w:val="auto"/>
                <w:w w:val="90"/>
                <w:szCs w:val="21"/>
                <w:highlight w:val="none"/>
              </w:rPr>
            </w:pPr>
          </w:p>
        </w:tc>
        <w:tc>
          <w:tcPr>
            <w:tcW w:w="2334" w:type="dxa"/>
            <w:vMerge w:val="continue"/>
            <w:vAlign w:val="center"/>
          </w:tcPr>
          <w:p w14:paraId="25428164">
            <w:pPr>
              <w:jc w:val="left"/>
              <w:rPr>
                <w:rFonts w:ascii="宋体" w:hAnsi="宋体" w:cs="宋体"/>
                <w:color w:val="auto"/>
                <w:w w:val="90"/>
                <w:szCs w:val="21"/>
                <w:highlight w:val="none"/>
              </w:rPr>
            </w:pPr>
          </w:p>
        </w:tc>
        <w:tc>
          <w:tcPr>
            <w:tcW w:w="1682" w:type="dxa"/>
            <w:vAlign w:val="center"/>
          </w:tcPr>
          <w:p w14:paraId="036A99B2">
            <w:pPr>
              <w:jc w:val="left"/>
              <w:rPr>
                <w:rFonts w:ascii="宋体" w:hAnsi="宋体" w:cs="宋体"/>
                <w:color w:val="auto"/>
                <w:w w:val="90"/>
                <w:szCs w:val="21"/>
                <w:highlight w:val="none"/>
              </w:rPr>
            </w:pPr>
            <w:r>
              <w:rPr>
                <w:rFonts w:hint="eastAsia" w:ascii="宋体" w:hAnsi="宋体" w:cs="宋体"/>
                <w:color w:val="auto"/>
                <w:w w:val="90"/>
                <w:szCs w:val="21"/>
                <w:highlight w:val="none"/>
              </w:rPr>
              <w:t>热泵热水器</w:t>
            </w:r>
          </w:p>
        </w:tc>
        <w:tc>
          <w:tcPr>
            <w:tcW w:w="2367" w:type="dxa"/>
            <w:vAlign w:val="center"/>
          </w:tcPr>
          <w:p w14:paraId="2B96F644">
            <w:pPr>
              <w:jc w:val="left"/>
              <w:rPr>
                <w:rFonts w:ascii="宋体" w:hAnsi="宋体" w:cs="宋体"/>
                <w:color w:val="auto"/>
                <w:w w:val="90"/>
                <w:szCs w:val="21"/>
                <w:highlight w:val="none"/>
              </w:rPr>
            </w:pPr>
            <w:r>
              <w:rPr>
                <w:rFonts w:hint="eastAsia" w:ascii="宋体" w:hAnsi="宋体" w:cs="宋体"/>
                <w:color w:val="auto"/>
                <w:w w:val="90"/>
                <w:szCs w:val="21"/>
                <w:highlight w:val="none"/>
              </w:rPr>
              <w:t>《热泵热水机（器）能效限定值及能效等级》（GB 29541）</w:t>
            </w:r>
          </w:p>
        </w:tc>
      </w:tr>
      <w:tr w14:paraId="3EE667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252CE81">
            <w:pPr>
              <w:jc w:val="center"/>
              <w:rPr>
                <w:rFonts w:ascii="宋体" w:hAnsi="宋体" w:cs="宋体"/>
                <w:color w:val="auto"/>
                <w:w w:val="90"/>
                <w:szCs w:val="21"/>
                <w:highlight w:val="none"/>
              </w:rPr>
            </w:pPr>
          </w:p>
        </w:tc>
        <w:tc>
          <w:tcPr>
            <w:tcW w:w="1933" w:type="dxa"/>
            <w:vMerge w:val="continue"/>
            <w:vAlign w:val="center"/>
          </w:tcPr>
          <w:p w14:paraId="0DC8D859">
            <w:pPr>
              <w:jc w:val="left"/>
              <w:rPr>
                <w:rFonts w:ascii="宋体" w:hAnsi="宋体" w:cs="宋体"/>
                <w:color w:val="auto"/>
                <w:w w:val="90"/>
                <w:szCs w:val="21"/>
                <w:highlight w:val="none"/>
              </w:rPr>
            </w:pPr>
          </w:p>
        </w:tc>
        <w:tc>
          <w:tcPr>
            <w:tcW w:w="2334" w:type="dxa"/>
            <w:vMerge w:val="continue"/>
            <w:vAlign w:val="center"/>
          </w:tcPr>
          <w:p w14:paraId="6D208B9F">
            <w:pPr>
              <w:jc w:val="left"/>
              <w:rPr>
                <w:rFonts w:ascii="宋体" w:hAnsi="宋体" w:cs="宋体"/>
                <w:color w:val="auto"/>
                <w:w w:val="90"/>
                <w:szCs w:val="21"/>
                <w:highlight w:val="none"/>
              </w:rPr>
            </w:pPr>
          </w:p>
        </w:tc>
        <w:tc>
          <w:tcPr>
            <w:tcW w:w="1682" w:type="dxa"/>
            <w:vAlign w:val="center"/>
          </w:tcPr>
          <w:p w14:paraId="149942EF">
            <w:pPr>
              <w:jc w:val="left"/>
              <w:rPr>
                <w:rFonts w:ascii="宋体" w:hAnsi="宋体" w:cs="宋体"/>
                <w:color w:val="auto"/>
                <w:w w:val="90"/>
                <w:szCs w:val="21"/>
                <w:highlight w:val="none"/>
              </w:rPr>
            </w:pPr>
            <w:r>
              <w:rPr>
                <w:rFonts w:hint="eastAsia" w:ascii="宋体" w:hAnsi="宋体" w:cs="宋体"/>
                <w:color w:val="auto"/>
                <w:w w:val="90"/>
                <w:szCs w:val="21"/>
                <w:highlight w:val="none"/>
              </w:rPr>
              <w:t>太阳能热水系统</w:t>
            </w:r>
          </w:p>
        </w:tc>
        <w:tc>
          <w:tcPr>
            <w:tcW w:w="2367" w:type="dxa"/>
            <w:vAlign w:val="center"/>
          </w:tcPr>
          <w:p w14:paraId="56A97B27">
            <w:pPr>
              <w:jc w:val="left"/>
              <w:rPr>
                <w:rFonts w:ascii="宋体" w:hAnsi="宋体" w:cs="宋体"/>
                <w:color w:val="auto"/>
                <w:w w:val="90"/>
                <w:szCs w:val="21"/>
                <w:highlight w:val="none"/>
              </w:rPr>
            </w:pPr>
            <w:r>
              <w:rPr>
                <w:rFonts w:hint="eastAsia" w:ascii="宋体" w:hAnsi="宋体" w:cs="宋体"/>
                <w:color w:val="auto"/>
                <w:w w:val="90"/>
                <w:szCs w:val="21"/>
                <w:highlight w:val="none"/>
              </w:rPr>
              <w:t>《家用太阳能热水系统能效限定值及能效等级》（GB 26969）</w:t>
            </w:r>
          </w:p>
        </w:tc>
      </w:tr>
      <w:tr w14:paraId="6EBEEDF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80D30ED">
            <w:pPr>
              <w:jc w:val="center"/>
              <w:rPr>
                <w:rFonts w:ascii="宋体" w:hAnsi="宋体" w:cs="宋体"/>
                <w:color w:val="auto"/>
                <w:w w:val="90"/>
                <w:szCs w:val="21"/>
                <w:highlight w:val="none"/>
              </w:rPr>
            </w:pPr>
            <w:r>
              <w:rPr>
                <w:rFonts w:hint="eastAsia" w:ascii="宋体" w:hAnsi="宋体" w:cs="宋体"/>
                <w:color w:val="auto"/>
                <w:w w:val="90"/>
                <w:szCs w:val="21"/>
                <w:highlight w:val="none"/>
              </w:rPr>
              <w:t>11</w:t>
            </w:r>
          </w:p>
        </w:tc>
        <w:tc>
          <w:tcPr>
            <w:tcW w:w="1933" w:type="dxa"/>
            <w:vMerge w:val="restart"/>
            <w:vAlign w:val="center"/>
          </w:tcPr>
          <w:p w14:paraId="1D1AB297">
            <w:pPr>
              <w:jc w:val="left"/>
              <w:rPr>
                <w:rFonts w:ascii="宋体" w:hAnsi="宋体" w:cs="宋体"/>
                <w:color w:val="auto"/>
                <w:w w:val="90"/>
                <w:szCs w:val="21"/>
                <w:highlight w:val="none"/>
              </w:rPr>
            </w:pPr>
            <w:r>
              <w:rPr>
                <w:rFonts w:hint="eastAsia" w:ascii="宋体" w:hAnsi="宋体" w:cs="宋体"/>
                <w:color w:val="auto"/>
                <w:w w:val="90"/>
                <w:szCs w:val="21"/>
                <w:highlight w:val="none"/>
              </w:rPr>
              <w:t>A020619 照明设备</w:t>
            </w:r>
          </w:p>
        </w:tc>
        <w:tc>
          <w:tcPr>
            <w:tcW w:w="2334" w:type="dxa"/>
            <w:vAlign w:val="center"/>
          </w:tcPr>
          <w:p w14:paraId="24421111">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普通照明用双端荧光灯</w:t>
            </w:r>
          </w:p>
        </w:tc>
        <w:tc>
          <w:tcPr>
            <w:tcW w:w="1682" w:type="dxa"/>
            <w:vAlign w:val="center"/>
          </w:tcPr>
          <w:p w14:paraId="15957439">
            <w:pPr>
              <w:jc w:val="center"/>
              <w:rPr>
                <w:rFonts w:ascii="宋体" w:hAnsi="宋体" w:cs="宋体"/>
                <w:color w:val="auto"/>
                <w:w w:val="90"/>
                <w:szCs w:val="21"/>
                <w:highlight w:val="none"/>
              </w:rPr>
            </w:pPr>
          </w:p>
        </w:tc>
        <w:tc>
          <w:tcPr>
            <w:tcW w:w="2367" w:type="dxa"/>
            <w:vAlign w:val="center"/>
          </w:tcPr>
          <w:p w14:paraId="21986748">
            <w:pPr>
              <w:jc w:val="left"/>
              <w:rPr>
                <w:rFonts w:ascii="宋体" w:hAnsi="宋体" w:cs="宋体"/>
                <w:color w:val="auto"/>
                <w:w w:val="90"/>
                <w:szCs w:val="21"/>
                <w:highlight w:val="none"/>
              </w:rPr>
            </w:pPr>
            <w:r>
              <w:rPr>
                <w:rFonts w:hint="eastAsia" w:ascii="宋体" w:hAnsi="宋体" w:cs="宋体"/>
                <w:color w:val="auto"/>
                <w:w w:val="90"/>
                <w:szCs w:val="21"/>
                <w:highlight w:val="none"/>
              </w:rPr>
              <w:t>《普通照明用双端荧光灯能效限定值及能效等级》（GB 19043）</w:t>
            </w:r>
          </w:p>
        </w:tc>
      </w:tr>
      <w:tr w14:paraId="370782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DBB7758">
            <w:pPr>
              <w:jc w:val="center"/>
              <w:rPr>
                <w:rFonts w:ascii="宋体" w:hAnsi="宋体" w:cs="宋体"/>
                <w:color w:val="auto"/>
                <w:w w:val="90"/>
                <w:szCs w:val="21"/>
                <w:highlight w:val="none"/>
              </w:rPr>
            </w:pPr>
          </w:p>
        </w:tc>
        <w:tc>
          <w:tcPr>
            <w:tcW w:w="1933" w:type="dxa"/>
            <w:vMerge w:val="continue"/>
            <w:vAlign w:val="center"/>
          </w:tcPr>
          <w:p w14:paraId="0BDE2C62">
            <w:pPr>
              <w:jc w:val="left"/>
              <w:rPr>
                <w:rFonts w:ascii="宋体" w:hAnsi="宋体" w:cs="宋体"/>
                <w:color w:val="auto"/>
                <w:w w:val="90"/>
                <w:szCs w:val="21"/>
                <w:highlight w:val="none"/>
              </w:rPr>
            </w:pPr>
          </w:p>
        </w:tc>
        <w:tc>
          <w:tcPr>
            <w:tcW w:w="2334" w:type="dxa"/>
            <w:vAlign w:val="center"/>
          </w:tcPr>
          <w:p w14:paraId="65597508">
            <w:pPr>
              <w:jc w:val="left"/>
              <w:rPr>
                <w:rFonts w:ascii="宋体" w:hAnsi="宋体" w:cs="宋体"/>
                <w:color w:val="auto"/>
                <w:w w:val="90"/>
                <w:szCs w:val="21"/>
                <w:highlight w:val="none"/>
              </w:rPr>
            </w:pPr>
            <w:r>
              <w:rPr>
                <w:rFonts w:hint="eastAsia" w:ascii="宋体" w:hAnsi="宋体" w:cs="宋体"/>
                <w:color w:val="auto"/>
                <w:w w:val="90"/>
                <w:szCs w:val="21"/>
                <w:highlight w:val="none"/>
              </w:rPr>
              <w:t>LED道路/隧道照明产品</w:t>
            </w:r>
          </w:p>
        </w:tc>
        <w:tc>
          <w:tcPr>
            <w:tcW w:w="1682" w:type="dxa"/>
            <w:vAlign w:val="center"/>
          </w:tcPr>
          <w:p w14:paraId="33EB8E0C">
            <w:pPr>
              <w:jc w:val="center"/>
              <w:rPr>
                <w:rFonts w:ascii="宋体" w:hAnsi="宋体" w:cs="宋体"/>
                <w:color w:val="auto"/>
                <w:w w:val="90"/>
                <w:szCs w:val="21"/>
                <w:highlight w:val="none"/>
              </w:rPr>
            </w:pPr>
          </w:p>
        </w:tc>
        <w:tc>
          <w:tcPr>
            <w:tcW w:w="2367" w:type="dxa"/>
            <w:vAlign w:val="center"/>
          </w:tcPr>
          <w:p w14:paraId="6EB5298A">
            <w:pPr>
              <w:jc w:val="left"/>
              <w:rPr>
                <w:rFonts w:ascii="宋体" w:hAnsi="宋体" w:cs="宋体"/>
                <w:color w:val="auto"/>
                <w:w w:val="90"/>
                <w:szCs w:val="21"/>
                <w:highlight w:val="none"/>
              </w:rPr>
            </w:pPr>
            <w:r>
              <w:rPr>
                <w:rFonts w:hint="eastAsia" w:ascii="宋体" w:hAnsi="宋体" w:cs="宋体"/>
                <w:color w:val="auto"/>
                <w:w w:val="90"/>
                <w:szCs w:val="21"/>
                <w:highlight w:val="none"/>
              </w:rPr>
              <w:t>《道路和隧道照明用LED灯具能效限定值及能效等级》（GB 37478）</w:t>
            </w:r>
          </w:p>
        </w:tc>
      </w:tr>
      <w:tr w14:paraId="6708EB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6227938">
            <w:pPr>
              <w:jc w:val="center"/>
              <w:rPr>
                <w:rFonts w:ascii="宋体" w:hAnsi="宋体" w:cs="宋体"/>
                <w:color w:val="auto"/>
                <w:w w:val="90"/>
                <w:szCs w:val="21"/>
                <w:highlight w:val="none"/>
              </w:rPr>
            </w:pPr>
          </w:p>
        </w:tc>
        <w:tc>
          <w:tcPr>
            <w:tcW w:w="1933" w:type="dxa"/>
            <w:vMerge w:val="continue"/>
            <w:vAlign w:val="center"/>
          </w:tcPr>
          <w:p w14:paraId="63911DFA">
            <w:pPr>
              <w:jc w:val="left"/>
              <w:rPr>
                <w:rFonts w:ascii="宋体" w:hAnsi="宋体" w:cs="宋体"/>
                <w:color w:val="auto"/>
                <w:w w:val="90"/>
                <w:szCs w:val="21"/>
                <w:highlight w:val="none"/>
              </w:rPr>
            </w:pPr>
          </w:p>
        </w:tc>
        <w:tc>
          <w:tcPr>
            <w:tcW w:w="2334" w:type="dxa"/>
            <w:vAlign w:val="center"/>
          </w:tcPr>
          <w:p w14:paraId="5137E858">
            <w:pPr>
              <w:jc w:val="left"/>
              <w:rPr>
                <w:rFonts w:ascii="宋体" w:hAnsi="宋体" w:cs="宋体"/>
                <w:color w:val="auto"/>
                <w:w w:val="90"/>
                <w:szCs w:val="21"/>
                <w:highlight w:val="none"/>
              </w:rPr>
            </w:pPr>
            <w:r>
              <w:rPr>
                <w:rFonts w:hint="eastAsia" w:ascii="宋体" w:hAnsi="宋体" w:cs="宋体"/>
                <w:color w:val="auto"/>
                <w:w w:val="90"/>
                <w:szCs w:val="21"/>
                <w:highlight w:val="none"/>
              </w:rPr>
              <w:t>LED筒灯</w:t>
            </w:r>
          </w:p>
        </w:tc>
        <w:tc>
          <w:tcPr>
            <w:tcW w:w="1682" w:type="dxa"/>
            <w:vAlign w:val="center"/>
          </w:tcPr>
          <w:p w14:paraId="68D960B7">
            <w:pPr>
              <w:jc w:val="center"/>
              <w:rPr>
                <w:rFonts w:ascii="宋体" w:hAnsi="宋体" w:cs="宋体"/>
                <w:color w:val="auto"/>
                <w:w w:val="90"/>
                <w:szCs w:val="21"/>
                <w:highlight w:val="none"/>
              </w:rPr>
            </w:pPr>
          </w:p>
        </w:tc>
        <w:tc>
          <w:tcPr>
            <w:tcW w:w="2367" w:type="dxa"/>
            <w:vAlign w:val="center"/>
          </w:tcPr>
          <w:p w14:paraId="76604A22">
            <w:pPr>
              <w:jc w:val="left"/>
              <w:rPr>
                <w:rFonts w:ascii="宋体" w:hAnsi="宋体" w:cs="宋体"/>
                <w:color w:val="auto"/>
                <w:w w:val="90"/>
                <w:szCs w:val="21"/>
                <w:highlight w:val="none"/>
              </w:rPr>
            </w:pPr>
            <w:r>
              <w:rPr>
                <w:rFonts w:hint="eastAsia" w:ascii="宋体" w:hAnsi="宋体" w:cs="宋体"/>
                <w:color w:val="auto"/>
                <w:w w:val="90"/>
                <w:szCs w:val="21"/>
                <w:highlight w:val="none"/>
              </w:rPr>
              <w:t>《室内照明用LED产品能效限定值及能效等级》（GB 30255）</w:t>
            </w:r>
          </w:p>
        </w:tc>
      </w:tr>
      <w:tr w14:paraId="2DEB816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C44E4FE">
            <w:pPr>
              <w:jc w:val="center"/>
              <w:rPr>
                <w:rFonts w:ascii="宋体" w:hAnsi="宋体" w:cs="宋体"/>
                <w:color w:val="auto"/>
                <w:w w:val="90"/>
                <w:szCs w:val="21"/>
                <w:highlight w:val="none"/>
              </w:rPr>
            </w:pPr>
          </w:p>
        </w:tc>
        <w:tc>
          <w:tcPr>
            <w:tcW w:w="1933" w:type="dxa"/>
            <w:vMerge w:val="continue"/>
            <w:vAlign w:val="center"/>
          </w:tcPr>
          <w:p w14:paraId="5A11CC1F">
            <w:pPr>
              <w:jc w:val="left"/>
              <w:rPr>
                <w:rFonts w:ascii="宋体" w:hAnsi="宋体" w:cs="宋体"/>
                <w:color w:val="auto"/>
                <w:w w:val="90"/>
                <w:szCs w:val="21"/>
                <w:highlight w:val="none"/>
              </w:rPr>
            </w:pPr>
          </w:p>
        </w:tc>
        <w:tc>
          <w:tcPr>
            <w:tcW w:w="2334" w:type="dxa"/>
            <w:vAlign w:val="center"/>
          </w:tcPr>
          <w:p w14:paraId="77D0B805">
            <w:pPr>
              <w:jc w:val="left"/>
              <w:rPr>
                <w:rFonts w:ascii="宋体" w:hAnsi="宋体" w:cs="宋体"/>
                <w:color w:val="auto"/>
                <w:w w:val="90"/>
                <w:szCs w:val="21"/>
                <w:highlight w:val="none"/>
              </w:rPr>
            </w:pPr>
            <w:r>
              <w:rPr>
                <w:rFonts w:hint="eastAsia" w:ascii="宋体" w:hAnsi="宋体" w:cs="宋体"/>
                <w:color w:val="auto"/>
                <w:w w:val="90"/>
                <w:szCs w:val="21"/>
                <w:highlight w:val="none"/>
              </w:rPr>
              <w:t>普通照明用非定向自镇流LED灯</w:t>
            </w:r>
          </w:p>
        </w:tc>
        <w:tc>
          <w:tcPr>
            <w:tcW w:w="1682" w:type="dxa"/>
            <w:vAlign w:val="center"/>
          </w:tcPr>
          <w:p w14:paraId="1D309433">
            <w:pPr>
              <w:jc w:val="center"/>
              <w:rPr>
                <w:rFonts w:ascii="宋体" w:hAnsi="宋体" w:cs="宋体"/>
                <w:color w:val="auto"/>
                <w:w w:val="90"/>
                <w:szCs w:val="21"/>
                <w:highlight w:val="none"/>
              </w:rPr>
            </w:pPr>
          </w:p>
        </w:tc>
        <w:tc>
          <w:tcPr>
            <w:tcW w:w="2367" w:type="dxa"/>
            <w:vAlign w:val="center"/>
          </w:tcPr>
          <w:p w14:paraId="6BB23015">
            <w:pPr>
              <w:jc w:val="left"/>
              <w:rPr>
                <w:rFonts w:ascii="宋体" w:hAnsi="宋体" w:cs="宋体"/>
                <w:color w:val="auto"/>
                <w:w w:val="90"/>
                <w:szCs w:val="21"/>
                <w:highlight w:val="none"/>
              </w:rPr>
            </w:pPr>
            <w:r>
              <w:rPr>
                <w:rFonts w:hint="eastAsia" w:ascii="宋体" w:hAnsi="宋体" w:cs="宋体"/>
                <w:color w:val="auto"/>
                <w:w w:val="90"/>
                <w:szCs w:val="21"/>
                <w:highlight w:val="none"/>
              </w:rPr>
              <w:t>《室内照明用LED产品能效限定值及能效等级》（GB 30255）</w:t>
            </w:r>
          </w:p>
        </w:tc>
      </w:tr>
      <w:tr w14:paraId="74E655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ECF2182">
            <w:pPr>
              <w:jc w:val="center"/>
              <w:rPr>
                <w:rFonts w:ascii="宋体" w:hAnsi="宋体" w:cs="宋体"/>
                <w:color w:val="auto"/>
                <w:w w:val="90"/>
                <w:szCs w:val="21"/>
                <w:highlight w:val="none"/>
              </w:rPr>
            </w:pPr>
            <w:r>
              <w:rPr>
                <w:rFonts w:hint="eastAsia" w:ascii="宋体" w:hAnsi="宋体" w:cs="宋体"/>
                <w:color w:val="auto"/>
                <w:w w:val="90"/>
                <w:szCs w:val="21"/>
                <w:highlight w:val="none"/>
              </w:rPr>
              <w:t>12</w:t>
            </w:r>
          </w:p>
        </w:tc>
        <w:tc>
          <w:tcPr>
            <w:tcW w:w="1933" w:type="dxa"/>
            <w:vAlign w:val="center"/>
          </w:tcPr>
          <w:p w14:paraId="2B4545B4">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A020910电视设备</w:t>
            </w:r>
          </w:p>
        </w:tc>
        <w:tc>
          <w:tcPr>
            <w:tcW w:w="2334" w:type="dxa"/>
            <w:vAlign w:val="center"/>
          </w:tcPr>
          <w:p w14:paraId="1B8FDD30">
            <w:pPr>
              <w:jc w:val="left"/>
              <w:rPr>
                <w:rFonts w:ascii="宋体" w:hAnsi="宋体" w:cs="宋体"/>
                <w:b/>
                <w:color w:val="auto"/>
                <w:w w:val="90"/>
                <w:szCs w:val="21"/>
                <w:highlight w:val="none"/>
              </w:rPr>
            </w:pPr>
            <w:r>
              <w:rPr>
                <w:rFonts w:hint="eastAsia" w:ascii="宋体" w:hAnsi="宋体" w:cs="宋体"/>
                <w:b/>
                <w:color w:val="auto"/>
                <w:w w:val="90"/>
                <w:szCs w:val="21"/>
                <w:highlight w:val="none"/>
              </w:rPr>
              <w:t>A02091001普通电视设备（电视机）</w:t>
            </w:r>
          </w:p>
        </w:tc>
        <w:tc>
          <w:tcPr>
            <w:tcW w:w="1682" w:type="dxa"/>
            <w:vAlign w:val="center"/>
          </w:tcPr>
          <w:p w14:paraId="79254942">
            <w:pPr>
              <w:jc w:val="center"/>
              <w:rPr>
                <w:rFonts w:ascii="宋体" w:hAnsi="宋体" w:cs="宋体"/>
                <w:color w:val="auto"/>
                <w:w w:val="90"/>
                <w:szCs w:val="21"/>
                <w:highlight w:val="none"/>
              </w:rPr>
            </w:pPr>
          </w:p>
        </w:tc>
        <w:tc>
          <w:tcPr>
            <w:tcW w:w="2367" w:type="dxa"/>
            <w:vAlign w:val="center"/>
          </w:tcPr>
          <w:p w14:paraId="26786C7A">
            <w:pPr>
              <w:jc w:val="left"/>
              <w:rPr>
                <w:rFonts w:ascii="宋体" w:hAnsi="宋体" w:cs="宋体"/>
                <w:color w:val="auto"/>
                <w:w w:val="90"/>
                <w:szCs w:val="21"/>
                <w:highlight w:val="none"/>
              </w:rPr>
            </w:pPr>
            <w:r>
              <w:rPr>
                <w:rFonts w:hint="eastAsia" w:ascii="宋体" w:hAnsi="宋体" w:cs="宋体"/>
                <w:color w:val="auto"/>
                <w:w w:val="90"/>
                <w:szCs w:val="21"/>
                <w:highlight w:val="none"/>
              </w:rPr>
              <w:t>《平板电视能效限定值及能效等级》（GB 24850）</w:t>
            </w:r>
          </w:p>
        </w:tc>
      </w:tr>
      <w:tr w14:paraId="100763C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3752B0D">
            <w:pPr>
              <w:jc w:val="center"/>
              <w:rPr>
                <w:rFonts w:ascii="宋体" w:hAnsi="宋体" w:cs="宋体"/>
                <w:color w:val="auto"/>
                <w:w w:val="90"/>
                <w:szCs w:val="21"/>
                <w:highlight w:val="none"/>
              </w:rPr>
            </w:pPr>
            <w:r>
              <w:rPr>
                <w:rFonts w:hint="eastAsia" w:ascii="宋体" w:hAnsi="宋体" w:cs="宋体"/>
                <w:color w:val="auto"/>
                <w:w w:val="90"/>
                <w:szCs w:val="21"/>
                <w:highlight w:val="none"/>
              </w:rPr>
              <w:t>13</w:t>
            </w:r>
          </w:p>
        </w:tc>
        <w:tc>
          <w:tcPr>
            <w:tcW w:w="1933" w:type="dxa"/>
            <w:vAlign w:val="center"/>
          </w:tcPr>
          <w:p w14:paraId="01016C77">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A020911视频设备</w:t>
            </w:r>
          </w:p>
        </w:tc>
        <w:tc>
          <w:tcPr>
            <w:tcW w:w="2334" w:type="dxa"/>
            <w:vAlign w:val="center"/>
          </w:tcPr>
          <w:p w14:paraId="2EAAC36F">
            <w:pPr>
              <w:jc w:val="left"/>
              <w:rPr>
                <w:rFonts w:ascii="宋体" w:hAnsi="宋体" w:cs="宋体"/>
                <w:b/>
                <w:color w:val="auto"/>
                <w:w w:val="90"/>
                <w:szCs w:val="21"/>
                <w:highlight w:val="none"/>
              </w:rPr>
            </w:pPr>
            <w:r>
              <w:rPr>
                <w:rFonts w:hint="eastAsia" w:ascii="宋体" w:hAnsi="宋体" w:cs="宋体"/>
                <w:b/>
                <w:color w:val="auto"/>
                <w:w w:val="90"/>
                <w:szCs w:val="21"/>
                <w:highlight w:val="none"/>
              </w:rPr>
              <w:t>A02091107视频监控设备</w:t>
            </w:r>
          </w:p>
        </w:tc>
        <w:tc>
          <w:tcPr>
            <w:tcW w:w="1682" w:type="dxa"/>
            <w:vAlign w:val="center"/>
          </w:tcPr>
          <w:p w14:paraId="681847A0">
            <w:pPr>
              <w:jc w:val="center"/>
              <w:rPr>
                <w:rFonts w:ascii="宋体" w:hAnsi="宋体" w:cs="宋体"/>
                <w:b/>
                <w:color w:val="auto"/>
                <w:w w:val="90"/>
                <w:szCs w:val="21"/>
                <w:highlight w:val="none"/>
              </w:rPr>
            </w:pPr>
            <w:r>
              <w:rPr>
                <w:rFonts w:hint="eastAsia" w:ascii="宋体" w:hAnsi="宋体" w:cs="宋体"/>
                <w:b/>
                <w:color w:val="auto"/>
                <w:w w:val="90"/>
                <w:szCs w:val="21"/>
                <w:highlight w:val="none"/>
              </w:rPr>
              <w:t>监视器</w:t>
            </w:r>
          </w:p>
        </w:tc>
        <w:tc>
          <w:tcPr>
            <w:tcW w:w="2367" w:type="dxa"/>
            <w:vAlign w:val="center"/>
          </w:tcPr>
          <w:p w14:paraId="0680A35A">
            <w:pPr>
              <w:jc w:val="left"/>
              <w:rPr>
                <w:rFonts w:ascii="宋体" w:hAnsi="宋体" w:cs="宋体"/>
                <w:color w:val="auto"/>
                <w:w w:val="90"/>
                <w:szCs w:val="21"/>
                <w:highlight w:val="none"/>
              </w:rPr>
            </w:pPr>
            <w:r>
              <w:rPr>
                <w:rFonts w:hint="eastAsia" w:ascii="宋体" w:hAnsi="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479BD4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68C7A7B">
            <w:pPr>
              <w:jc w:val="center"/>
              <w:rPr>
                <w:rFonts w:ascii="宋体" w:hAnsi="宋体" w:cs="宋体"/>
                <w:color w:val="auto"/>
                <w:w w:val="90"/>
                <w:szCs w:val="21"/>
                <w:highlight w:val="none"/>
              </w:rPr>
            </w:pPr>
            <w:r>
              <w:rPr>
                <w:rFonts w:hint="eastAsia" w:ascii="宋体" w:hAnsi="宋体" w:cs="宋体"/>
                <w:color w:val="auto"/>
                <w:w w:val="90"/>
                <w:szCs w:val="21"/>
                <w:highlight w:val="none"/>
              </w:rPr>
              <w:t>14</w:t>
            </w:r>
          </w:p>
        </w:tc>
        <w:tc>
          <w:tcPr>
            <w:tcW w:w="1933" w:type="dxa"/>
            <w:vAlign w:val="center"/>
          </w:tcPr>
          <w:p w14:paraId="56436D57">
            <w:pPr>
              <w:jc w:val="left"/>
              <w:rPr>
                <w:rFonts w:ascii="宋体" w:hAnsi="宋体" w:cs="宋体"/>
                <w:color w:val="auto"/>
                <w:w w:val="90"/>
                <w:szCs w:val="21"/>
                <w:highlight w:val="none"/>
              </w:rPr>
            </w:pPr>
            <w:r>
              <w:rPr>
                <w:rFonts w:hint="eastAsia" w:ascii="宋体" w:hAnsi="宋体" w:cs="宋体"/>
                <w:color w:val="auto"/>
                <w:w w:val="90"/>
                <w:szCs w:val="21"/>
                <w:highlight w:val="none"/>
              </w:rPr>
              <w:t>A031210饮食炊事机械</w:t>
            </w:r>
          </w:p>
        </w:tc>
        <w:tc>
          <w:tcPr>
            <w:tcW w:w="2334" w:type="dxa"/>
            <w:vAlign w:val="center"/>
          </w:tcPr>
          <w:p w14:paraId="73C68655">
            <w:pPr>
              <w:jc w:val="left"/>
              <w:rPr>
                <w:rFonts w:ascii="宋体" w:hAnsi="宋体" w:cs="宋体"/>
                <w:color w:val="auto"/>
                <w:w w:val="90"/>
                <w:szCs w:val="21"/>
                <w:highlight w:val="none"/>
              </w:rPr>
            </w:pPr>
            <w:r>
              <w:rPr>
                <w:rFonts w:hint="eastAsia" w:ascii="宋体" w:hAnsi="宋体" w:cs="宋体"/>
                <w:color w:val="auto"/>
                <w:w w:val="90"/>
                <w:szCs w:val="21"/>
                <w:highlight w:val="none"/>
              </w:rPr>
              <w:t>商用燃气灶具</w:t>
            </w:r>
          </w:p>
        </w:tc>
        <w:tc>
          <w:tcPr>
            <w:tcW w:w="1682" w:type="dxa"/>
            <w:vAlign w:val="center"/>
          </w:tcPr>
          <w:p w14:paraId="221C6204">
            <w:pPr>
              <w:jc w:val="center"/>
              <w:rPr>
                <w:rFonts w:ascii="宋体" w:hAnsi="宋体" w:cs="宋体"/>
                <w:color w:val="auto"/>
                <w:w w:val="90"/>
                <w:szCs w:val="21"/>
                <w:highlight w:val="none"/>
              </w:rPr>
            </w:pPr>
          </w:p>
        </w:tc>
        <w:tc>
          <w:tcPr>
            <w:tcW w:w="2367" w:type="dxa"/>
            <w:vAlign w:val="center"/>
          </w:tcPr>
          <w:p w14:paraId="35E9061A">
            <w:pPr>
              <w:jc w:val="left"/>
              <w:rPr>
                <w:rFonts w:ascii="宋体" w:hAnsi="宋体" w:cs="宋体"/>
                <w:color w:val="auto"/>
                <w:w w:val="90"/>
                <w:szCs w:val="21"/>
                <w:highlight w:val="none"/>
              </w:rPr>
            </w:pPr>
          </w:p>
        </w:tc>
      </w:tr>
      <w:tr w14:paraId="0A103C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02DA642">
            <w:pPr>
              <w:jc w:val="center"/>
              <w:rPr>
                <w:rFonts w:ascii="宋体" w:hAnsi="宋体" w:cs="宋体"/>
                <w:color w:val="auto"/>
                <w:w w:val="90"/>
                <w:szCs w:val="21"/>
                <w:highlight w:val="none"/>
              </w:rPr>
            </w:pPr>
            <w:r>
              <w:rPr>
                <w:rFonts w:hint="eastAsia" w:ascii="宋体" w:hAnsi="宋体" w:cs="宋体"/>
                <w:color w:val="auto"/>
                <w:w w:val="90"/>
                <w:szCs w:val="21"/>
                <w:highlight w:val="none"/>
              </w:rPr>
              <w:t>15</w:t>
            </w:r>
          </w:p>
        </w:tc>
        <w:tc>
          <w:tcPr>
            <w:tcW w:w="1933" w:type="dxa"/>
            <w:vMerge w:val="restart"/>
            <w:vAlign w:val="center"/>
          </w:tcPr>
          <w:p w14:paraId="3250029A">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A060805便器</w:t>
            </w:r>
          </w:p>
        </w:tc>
        <w:tc>
          <w:tcPr>
            <w:tcW w:w="2334" w:type="dxa"/>
            <w:vAlign w:val="center"/>
          </w:tcPr>
          <w:p w14:paraId="42809281">
            <w:pPr>
              <w:jc w:val="left"/>
              <w:rPr>
                <w:rFonts w:ascii="宋体" w:hAnsi="宋体" w:cs="宋体"/>
                <w:b/>
                <w:color w:val="auto"/>
                <w:w w:val="90"/>
                <w:szCs w:val="21"/>
                <w:highlight w:val="none"/>
              </w:rPr>
            </w:pPr>
            <w:r>
              <w:rPr>
                <w:rFonts w:hint="eastAsia" w:ascii="宋体" w:hAnsi="宋体" w:cs="宋体"/>
                <w:b/>
                <w:color w:val="auto"/>
                <w:w w:val="90"/>
                <w:szCs w:val="21"/>
                <w:highlight w:val="none"/>
              </w:rPr>
              <w:t>坐便器</w:t>
            </w:r>
          </w:p>
        </w:tc>
        <w:tc>
          <w:tcPr>
            <w:tcW w:w="1682" w:type="dxa"/>
            <w:vAlign w:val="center"/>
          </w:tcPr>
          <w:p w14:paraId="5981406B">
            <w:pPr>
              <w:jc w:val="center"/>
              <w:rPr>
                <w:rFonts w:ascii="宋体" w:hAnsi="宋体" w:cs="宋体"/>
                <w:color w:val="auto"/>
                <w:w w:val="90"/>
                <w:szCs w:val="21"/>
                <w:highlight w:val="none"/>
              </w:rPr>
            </w:pPr>
          </w:p>
        </w:tc>
        <w:tc>
          <w:tcPr>
            <w:tcW w:w="2367" w:type="dxa"/>
            <w:vAlign w:val="center"/>
          </w:tcPr>
          <w:p w14:paraId="4E9135BE">
            <w:pPr>
              <w:jc w:val="left"/>
              <w:rPr>
                <w:rFonts w:ascii="宋体" w:hAnsi="宋体" w:cs="宋体"/>
                <w:color w:val="auto"/>
                <w:w w:val="90"/>
                <w:szCs w:val="21"/>
                <w:highlight w:val="none"/>
              </w:rPr>
            </w:pPr>
            <w:r>
              <w:rPr>
                <w:rFonts w:hint="eastAsia" w:ascii="宋体" w:hAnsi="宋体" w:cs="宋体"/>
                <w:color w:val="auto"/>
                <w:w w:val="90"/>
                <w:szCs w:val="21"/>
                <w:highlight w:val="none"/>
              </w:rPr>
              <w:t>《坐便器水效限定值及水效等级</w:t>
            </w:r>
          </w:p>
          <w:p w14:paraId="33C790F1">
            <w:pPr>
              <w:jc w:val="left"/>
              <w:rPr>
                <w:rFonts w:ascii="宋体" w:hAnsi="宋体" w:cs="宋体"/>
                <w:color w:val="auto"/>
                <w:w w:val="90"/>
                <w:szCs w:val="21"/>
                <w:highlight w:val="none"/>
              </w:rPr>
            </w:pPr>
            <w:r>
              <w:rPr>
                <w:rFonts w:hint="eastAsia" w:ascii="宋体" w:hAnsi="宋体" w:cs="宋体"/>
                <w:color w:val="auto"/>
                <w:w w:val="90"/>
                <w:szCs w:val="21"/>
                <w:highlight w:val="none"/>
              </w:rPr>
              <w:t>（GB 25502）</w:t>
            </w:r>
          </w:p>
        </w:tc>
      </w:tr>
      <w:tr w14:paraId="140D29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BDAACA9">
            <w:pPr>
              <w:jc w:val="center"/>
              <w:rPr>
                <w:rFonts w:ascii="宋体" w:hAnsi="宋体" w:cs="宋体"/>
                <w:color w:val="auto"/>
                <w:w w:val="90"/>
                <w:szCs w:val="21"/>
                <w:highlight w:val="none"/>
              </w:rPr>
            </w:pPr>
          </w:p>
        </w:tc>
        <w:tc>
          <w:tcPr>
            <w:tcW w:w="1933" w:type="dxa"/>
            <w:vMerge w:val="continue"/>
            <w:vAlign w:val="center"/>
          </w:tcPr>
          <w:p w14:paraId="7F1E8F01">
            <w:pPr>
              <w:jc w:val="left"/>
              <w:rPr>
                <w:rFonts w:ascii="宋体" w:hAnsi="宋体" w:cs="宋体"/>
                <w:b/>
                <w:color w:val="auto"/>
                <w:w w:val="90"/>
                <w:szCs w:val="21"/>
                <w:highlight w:val="none"/>
              </w:rPr>
            </w:pPr>
          </w:p>
        </w:tc>
        <w:tc>
          <w:tcPr>
            <w:tcW w:w="2334" w:type="dxa"/>
            <w:vAlign w:val="center"/>
          </w:tcPr>
          <w:p w14:paraId="526121BB">
            <w:pPr>
              <w:jc w:val="left"/>
              <w:rPr>
                <w:rFonts w:ascii="宋体" w:hAnsi="宋体" w:cs="宋体"/>
                <w:b/>
                <w:color w:val="auto"/>
                <w:w w:val="90"/>
                <w:szCs w:val="21"/>
                <w:highlight w:val="none"/>
              </w:rPr>
            </w:pPr>
            <w:r>
              <w:rPr>
                <w:rFonts w:hint="eastAsia" w:ascii="宋体" w:hAnsi="宋体" w:cs="宋体"/>
                <w:b/>
                <w:color w:val="auto"/>
                <w:w w:val="90"/>
                <w:szCs w:val="21"/>
                <w:highlight w:val="none"/>
              </w:rPr>
              <w:t>蹲便器</w:t>
            </w:r>
          </w:p>
        </w:tc>
        <w:tc>
          <w:tcPr>
            <w:tcW w:w="1682" w:type="dxa"/>
            <w:vAlign w:val="center"/>
          </w:tcPr>
          <w:p w14:paraId="7357F340">
            <w:pPr>
              <w:jc w:val="center"/>
              <w:rPr>
                <w:rFonts w:ascii="宋体" w:hAnsi="宋体" w:cs="宋体"/>
                <w:color w:val="auto"/>
                <w:w w:val="90"/>
                <w:szCs w:val="21"/>
                <w:highlight w:val="none"/>
              </w:rPr>
            </w:pPr>
          </w:p>
        </w:tc>
        <w:tc>
          <w:tcPr>
            <w:tcW w:w="2367" w:type="dxa"/>
            <w:vAlign w:val="center"/>
          </w:tcPr>
          <w:p w14:paraId="101BC2CF">
            <w:pPr>
              <w:jc w:val="left"/>
              <w:rPr>
                <w:rFonts w:ascii="宋体" w:hAnsi="宋体" w:cs="宋体"/>
                <w:color w:val="auto"/>
                <w:w w:val="90"/>
                <w:szCs w:val="21"/>
                <w:highlight w:val="none"/>
              </w:rPr>
            </w:pPr>
            <w:r>
              <w:rPr>
                <w:rFonts w:hint="eastAsia" w:ascii="宋体" w:hAnsi="宋体" w:cs="宋体"/>
                <w:color w:val="auto"/>
                <w:w w:val="90"/>
                <w:szCs w:val="21"/>
                <w:highlight w:val="none"/>
              </w:rPr>
              <w:t>《蹲便器用水效率限定值及用水效率等级》（GB 30717）</w:t>
            </w:r>
          </w:p>
        </w:tc>
      </w:tr>
      <w:tr w14:paraId="587078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804F80A">
            <w:pPr>
              <w:jc w:val="center"/>
              <w:rPr>
                <w:rFonts w:ascii="宋体" w:hAnsi="宋体" w:cs="宋体"/>
                <w:color w:val="auto"/>
                <w:w w:val="90"/>
                <w:szCs w:val="21"/>
                <w:highlight w:val="none"/>
              </w:rPr>
            </w:pPr>
          </w:p>
        </w:tc>
        <w:tc>
          <w:tcPr>
            <w:tcW w:w="1933" w:type="dxa"/>
            <w:vMerge w:val="continue"/>
            <w:vAlign w:val="center"/>
          </w:tcPr>
          <w:p w14:paraId="51AC6CD3">
            <w:pPr>
              <w:jc w:val="left"/>
              <w:rPr>
                <w:rFonts w:ascii="宋体" w:hAnsi="宋体" w:cs="宋体"/>
                <w:b/>
                <w:color w:val="auto"/>
                <w:w w:val="90"/>
                <w:szCs w:val="21"/>
                <w:highlight w:val="none"/>
              </w:rPr>
            </w:pPr>
          </w:p>
        </w:tc>
        <w:tc>
          <w:tcPr>
            <w:tcW w:w="2334" w:type="dxa"/>
            <w:vAlign w:val="center"/>
          </w:tcPr>
          <w:p w14:paraId="5ED7C8A5">
            <w:pPr>
              <w:jc w:val="left"/>
              <w:rPr>
                <w:rFonts w:ascii="宋体" w:hAnsi="宋体" w:cs="宋体"/>
                <w:b/>
                <w:color w:val="auto"/>
                <w:w w:val="90"/>
                <w:szCs w:val="21"/>
                <w:highlight w:val="none"/>
              </w:rPr>
            </w:pPr>
            <w:r>
              <w:rPr>
                <w:rFonts w:hint="eastAsia" w:ascii="宋体" w:hAnsi="宋体" w:cs="宋体"/>
                <w:b/>
                <w:color w:val="auto"/>
                <w:w w:val="90"/>
                <w:szCs w:val="21"/>
                <w:highlight w:val="none"/>
              </w:rPr>
              <w:t>小便器</w:t>
            </w:r>
          </w:p>
        </w:tc>
        <w:tc>
          <w:tcPr>
            <w:tcW w:w="1682" w:type="dxa"/>
            <w:vAlign w:val="center"/>
          </w:tcPr>
          <w:p w14:paraId="173954A9">
            <w:pPr>
              <w:jc w:val="center"/>
              <w:rPr>
                <w:rFonts w:ascii="宋体" w:hAnsi="宋体" w:cs="宋体"/>
                <w:color w:val="auto"/>
                <w:w w:val="90"/>
                <w:szCs w:val="21"/>
                <w:highlight w:val="none"/>
              </w:rPr>
            </w:pPr>
          </w:p>
        </w:tc>
        <w:tc>
          <w:tcPr>
            <w:tcW w:w="2367" w:type="dxa"/>
            <w:vAlign w:val="center"/>
          </w:tcPr>
          <w:p w14:paraId="0D718E65">
            <w:pPr>
              <w:jc w:val="left"/>
              <w:rPr>
                <w:rFonts w:ascii="宋体" w:hAnsi="宋体" w:cs="宋体"/>
                <w:color w:val="auto"/>
                <w:w w:val="90"/>
                <w:szCs w:val="21"/>
                <w:highlight w:val="none"/>
              </w:rPr>
            </w:pPr>
            <w:r>
              <w:rPr>
                <w:rFonts w:hint="eastAsia" w:ascii="宋体" w:hAnsi="宋体" w:cs="宋体"/>
                <w:color w:val="auto"/>
                <w:w w:val="90"/>
                <w:szCs w:val="21"/>
                <w:highlight w:val="none"/>
              </w:rPr>
              <w:t>《小便器用水效率限定值及用水效率等级》（GB 28377）</w:t>
            </w:r>
          </w:p>
        </w:tc>
      </w:tr>
      <w:tr w14:paraId="6FC8725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DCFA9D3">
            <w:pPr>
              <w:jc w:val="center"/>
              <w:rPr>
                <w:rFonts w:ascii="宋体" w:hAnsi="宋体" w:cs="宋体"/>
                <w:color w:val="auto"/>
                <w:w w:val="90"/>
                <w:szCs w:val="21"/>
                <w:highlight w:val="none"/>
              </w:rPr>
            </w:pPr>
            <w:r>
              <w:rPr>
                <w:rFonts w:hint="eastAsia" w:ascii="宋体" w:hAnsi="宋体" w:cs="宋体"/>
                <w:color w:val="auto"/>
                <w:w w:val="90"/>
                <w:szCs w:val="21"/>
                <w:highlight w:val="none"/>
              </w:rPr>
              <w:t>16</w:t>
            </w:r>
          </w:p>
        </w:tc>
        <w:tc>
          <w:tcPr>
            <w:tcW w:w="1933" w:type="dxa"/>
            <w:vAlign w:val="center"/>
          </w:tcPr>
          <w:p w14:paraId="52B2E37C">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A060806水嘴</w:t>
            </w:r>
          </w:p>
        </w:tc>
        <w:tc>
          <w:tcPr>
            <w:tcW w:w="2334" w:type="dxa"/>
            <w:vAlign w:val="center"/>
          </w:tcPr>
          <w:p w14:paraId="33CDF22D">
            <w:pPr>
              <w:jc w:val="left"/>
              <w:rPr>
                <w:rFonts w:ascii="宋体" w:hAnsi="宋体" w:cs="宋体"/>
                <w:color w:val="auto"/>
                <w:w w:val="90"/>
                <w:szCs w:val="21"/>
                <w:highlight w:val="none"/>
              </w:rPr>
            </w:pPr>
          </w:p>
        </w:tc>
        <w:tc>
          <w:tcPr>
            <w:tcW w:w="1682" w:type="dxa"/>
            <w:vAlign w:val="center"/>
          </w:tcPr>
          <w:p w14:paraId="7ED071EC">
            <w:pPr>
              <w:jc w:val="center"/>
              <w:rPr>
                <w:rFonts w:ascii="宋体" w:hAnsi="宋体" w:cs="宋体"/>
                <w:color w:val="auto"/>
                <w:w w:val="90"/>
                <w:szCs w:val="21"/>
                <w:highlight w:val="none"/>
              </w:rPr>
            </w:pPr>
          </w:p>
        </w:tc>
        <w:tc>
          <w:tcPr>
            <w:tcW w:w="2367" w:type="dxa"/>
            <w:vAlign w:val="center"/>
          </w:tcPr>
          <w:p w14:paraId="1DAF792D">
            <w:pPr>
              <w:jc w:val="left"/>
              <w:rPr>
                <w:rFonts w:ascii="宋体" w:hAnsi="宋体" w:cs="宋体"/>
                <w:color w:val="auto"/>
                <w:w w:val="90"/>
                <w:szCs w:val="21"/>
                <w:highlight w:val="none"/>
              </w:rPr>
            </w:pPr>
            <w:r>
              <w:rPr>
                <w:rFonts w:hint="eastAsia" w:ascii="宋体" w:hAnsi="宋体" w:cs="宋体"/>
                <w:color w:val="auto"/>
                <w:w w:val="90"/>
                <w:szCs w:val="21"/>
                <w:highlight w:val="none"/>
              </w:rPr>
              <w:t>《水嘴用水效率限定值及用水效率等级》（GB 25501）</w:t>
            </w:r>
          </w:p>
        </w:tc>
      </w:tr>
      <w:tr w14:paraId="07576A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7D82A68">
            <w:pPr>
              <w:jc w:val="center"/>
              <w:rPr>
                <w:rFonts w:ascii="宋体" w:hAnsi="宋体" w:cs="宋体"/>
                <w:color w:val="auto"/>
                <w:w w:val="90"/>
                <w:szCs w:val="21"/>
                <w:highlight w:val="none"/>
              </w:rPr>
            </w:pPr>
            <w:r>
              <w:rPr>
                <w:rFonts w:hint="eastAsia" w:ascii="宋体" w:hAnsi="宋体" w:cs="宋体"/>
                <w:color w:val="auto"/>
                <w:w w:val="90"/>
                <w:szCs w:val="21"/>
                <w:highlight w:val="none"/>
              </w:rPr>
              <w:t>17</w:t>
            </w:r>
          </w:p>
        </w:tc>
        <w:tc>
          <w:tcPr>
            <w:tcW w:w="1933" w:type="dxa"/>
            <w:vAlign w:val="center"/>
          </w:tcPr>
          <w:p w14:paraId="3ADFC2B4">
            <w:pPr>
              <w:jc w:val="left"/>
              <w:rPr>
                <w:rFonts w:ascii="宋体" w:hAnsi="宋体" w:cs="宋体"/>
                <w:color w:val="auto"/>
                <w:w w:val="90"/>
                <w:szCs w:val="21"/>
                <w:highlight w:val="none"/>
              </w:rPr>
            </w:pPr>
            <w:r>
              <w:rPr>
                <w:rFonts w:hint="eastAsia" w:ascii="宋体" w:hAnsi="宋体" w:cs="宋体"/>
                <w:color w:val="auto"/>
                <w:w w:val="90"/>
                <w:szCs w:val="21"/>
                <w:highlight w:val="none"/>
              </w:rPr>
              <w:t>A060807便器冲洗阀</w:t>
            </w:r>
          </w:p>
        </w:tc>
        <w:tc>
          <w:tcPr>
            <w:tcW w:w="2334" w:type="dxa"/>
            <w:vAlign w:val="center"/>
          </w:tcPr>
          <w:p w14:paraId="353D5506">
            <w:pPr>
              <w:jc w:val="left"/>
              <w:rPr>
                <w:rFonts w:ascii="宋体" w:hAnsi="宋体" w:cs="宋体"/>
                <w:color w:val="auto"/>
                <w:w w:val="90"/>
                <w:szCs w:val="21"/>
                <w:highlight w:val="none"/>
              </w:rPr>
            </w:pPr>
          </w:p>
        </w:tc>
        <w:tc>
          <w:tcPr>
            <w:tcW w:w="1682" w:type="dxa"/>
            <w:vAlign w:val="center"/>
          </w:tcPr>
          <w:p w14:paraId="0CF394A9">
            <w:pPr>
              <w:jc w:val="center"/>
              <w:rPr>
                <w:rFonts w:ascii="宋体" w:hAnsi="宋体" w:cs="宋体"/>
                <w:color w:val="auto"/>
                <w:w w:val="90"/>
                <w:szCs w:val="21"/>
                <w:highlight w:val="none"/>
              </w:rPr>
            </w:pPr>
          </w:p>
        </w:tc>
        <w:tc>
          <w:tcPr>
            <w:tcW w:w="2367" w:type="dxa"/>
            <w:vAlign w:val="center"/>
          </w:tcPr>
          <w:p w14:paraId="779AC3D3">
            <w:pPr>
              <w:jc w:val="left"/>
              <w:rPr>
                <w:rFonts w:ascii="宋体" w:hAnsi="宋体" w:cs="宋体"/>
                <w:color w:val="auto"/>
                <w:w w:val="90"/>
                <w:szCs w:val="21"/>
                <w:highlight w:val="none"/>
              </w:rPr>
            </w:pPr>
            <w:r>
              <w:rPr>
                <w:rFonts w:hint="eastAsia" w:ascii="宋体" w:hAnsi="宋体" w:cs="宋体"/>
                <w:color w:val="auto"/>
                <w:w w:val="90"/>
                <w:szCs w:val="21"/>
                <w:highlight w:val="none"/>
              </w:rPr>
              <w:t>《便器冲洗阀用水效率限定值及用水效率等级》（GB 28379）</w:t>
            </w:r>
          </w:p>
        </w:tc>
      </w:tr>
      <w:tr w14:paraId="04FC23E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FAA973E">
            <w:pPr>
              <w:jc w:val="center"/>
              <w:rPr>
                <w:rFonts w:ascii="宋体" w:hAnsi="宋体" w:cs="宋体"/>
                <w:color w:val="auto"/>
                <w:w w:val="90"/>
                <w:szCs w:val="21"/>
                <w:highlight w:val="none"/>
              </w:rPr>
            </w:pPr>
            <w:r>
              <w:rPr>
                <w:rFonts w:hint="eastAsia" w:ascii="宋体" w:hAnsi="宋体" w:cs="宋体"/>
                <w:color w:val="auto"/>
                <w:w w:val="90"/>
                <w:szCs w:val="21"/>
                <w:highlight w:val="none"/>
              </w:rPr>
              <w:t>18</w:t>
            </w:r>
          </w:p>
        </w:tc>
        <w:tc>
          <w:tcPr>
            <w:tcW w:w="1933" w:type="dxa"/>
            <w:vAlign w:val="center"/>
          </w:tcPr>
          <w:p w14:paraId="0E78F6E6">
            <w:pPr>
              <w:jc w:val="left"/>
              <w:rPr>
                <w:rFonts w:ascii="宋体" w:hAnsi="宋体" w:cs="宋体"/>
                <w:color w:val="auto"/>
                <w:w w:val="90"/>
                <w:szCs w:val="21"/>
                <w:highlight w:val="none"/>
              </w:rPr>
            </w:pPr>
            <w:r>
              <w:rPr>
                <w:rFonts w:hint="eastAsia" w:ascii="宋体" w:hAnsi="宋体" w:cs="宋体"/>
                <w:color w:val="auto"/>
                <w:w w:val="90"/>
                <w:szCs w:val="21"/>
                <w:highlight w:val="none"/>
              </w:rPr>
              <w:t>A060810淋浴器</w:t>
            </w:r>
          </w:p>
        </w:tc>
        <w:tc>
          <w:tcPr>
            <w:tcW w:w="2334" w:type="dxa"/>
            <w:vAlign w:val="center"/>
          </w:tcPr>
          <w:p w14:paraId="51A49312">
            <w:pPr>
              <w:jc w:val="left"/>
              <w:rPr>
                <w:rFonts w:ascii="宋体" w:hAnsi="宋体" w:cs="宋体"/>
                <w:color w:val="auto"/>
                <w:w w:val="90"/>
                <w:szCs w:val="21"/>
                <w:highlight w:val="none"/>
              </w:rPr>
            </w:pPr>
          </w:p>
        </w:tc>
        <w:tc>
          <w:tcPr>
            <w:tcW w:w="1682" w:type="dxa"/>
            <w:vAlign w:val="center"/>
          </w:tcPr>
          <w:p w14:paraId="31AAF840">
            <w:pPr>
              <w:jc w:val="center"/>
              <w:rPr>
                <w:rFonts w:ascii="宋体" w:hAnsi="宋体" w:cs="宋体"/>
                <w:color w:val="auto"/>
                <w:w w:val="90"/>
                <w:szCs w:val="21"/>
                <w:highlight w:val="none"/>
              </w:rPr>
            </w:pPr>
          </w:p>
        </w:tc>
        <w:tc>
          <w:tcPr>
            <w:tcW w:w="2367" w:type="dxa"/>
            <w:vAlign w:val="center"/>
          </w:tcPr>
          <w:p w14:paraId="07027982">
            <w:pPr>
              <w:jc w:val="left"/>
              <w:rPr>
                <w:rFonts w:ascii="宋体" w:hAnsi="宋体" w:cs="宋体"/>
                <w:color w:val="auto"/>
                <w:w w:val="90"/>
                <w:szCs w:val="21"/>
                <w:highlight w:val="none"/>
              </w:rPr>
            </w:pPr>
            <w:r>
              <w:rPr>
                <w:rFonts w:hint="eastAsia" w:ascii="宋体" w:hAnsi="宋体" w:cs="宋体"/>
                <w:color w:val="auto"/>
                <w:w w:val="90"/>
                <w:szCs w:val="21"/>
                <w:highlight w:val="none"/>
              </w:rPr>
              <w:t>《淋浴器用水效率限定值及用水效率等级》（GB 28378）</w:t>
            </w:r>
          </w:p>
        </w:tc>
      </w:tr>
    </w:tbl>
    <w:p w14:paraId="57FB21AC">
      <w:pPr>
        <w:pStyle w:val="14"/>
        <w:spacing w:before="0" w:beforeAutospacing="0" w:after="0" w:afterAutospacing="0" w:line="560" w:lineRule="atLeast"/>
        <w:jc w:val="right"/>
        <w:textAlignment w:val="baseline"/>
        <w:rPr>
          <w:color w:val="auto"/>
          <w:sz w:val="28"/>
          <w:szCs w:val="28"/>
          <w:highlight w:val="none"/>
          <w:shd w:val="clear" w:color="auto" w:fill="FFFFFF"/>
        </w:rPr>
      </w:pPr>
      <w:r>
        <w:rPr>
          <w:rFonts w:hint="eastAsia"/>
          <w:color w:val="auto"/>
          <w:sz w:val="28"/>
          <w:szCs w:val="28"/>
          <w:highlight w:val="none"/>
          <w:shd w:val="clear" w:color="auto" w:fill="FFFFFF"/>
        </w:rPr>
        <w:t>财政部 发展改革委</w:t>
      </w:r>
      <w:r>
        <w:rPr>
          <w:rFonts w:hint="eastAsia"/>
          <w:color w:val="auto"/>
          <w:sz w:val="28"/>
          <w:szCs w:val="28"/>
          <w:highlight w:val="none"/>
          <w:shd w:val="clear" w:color="auto" w:fill="FFFFFF"/>
        </w:rPr>
        <w:br w:type="textWrapping"/>
      </w:r>
      <w:r>
        <w:rPr>
          <w:rFonts w:hint="eastAsia"/>
          <w:color w:val="auto"/>
          <w:sz w:val="28"/>
          <w:szCs w:val="28"/>
          <w:highlight w:val="none"/>
          <w:shd w:val="clear" w:color="auto" w:fill="FFFFFF"/>
        </w:rPr>
        <w:t>2019年4月2日</w:t>
      </w:r>
    </w:p>
    <w:p w14:paraId="5847B6DF">
      <w:pPr>
        <w:pStyle w:val="14"/>
        <w:spacing w:before="0" w:beforeAutospacing="0" w:after="0" w:afterAutospacing="0" w:line="560" w:lineRule="atLeast"/>
        <w:jc w:val="both"/>
        <w:textAlignment w:val="baseline"/>
        <w:rPr>
          <w:color w:val="auto"/>
          <w:sz w:val="28"/>
          <w:szCs w:val="28"/>
          <w:highlight w:val="none"/>
          <w:shd w:val="clear" w:color="auto" w:fill="FFFFFF"/>
        </w:rPr>
      </w:pPr>
      <w:r>
        <w:rPr>
          <w:rFonts w:hint="eastAsia"/>
          <w:color w:val="auto"/>
          <w:sz w:val="28"/>
          <w:szCs w:val="28"/>
          <w:highlight w:val="none"/>
          <w:shd w:val="clear" w:color="auto" w:fill="FFFFFF"/>
        </w:rPr>
        <w:br w:type="page"/>
      </w:r>
      <w:r>
        <w:rPr>
          <w:rFonts w:hint="eastAsia"/>
          <w:color w:val="auto"/>
          <w:sz w:val="28"/>
          <w:szCs w:val="28"/>
          <w:highlight w:val="none"/>
          <w:shd w:val="clear" w:color="auto" w:fill="FFFFFF"/>
        </w:rPr>
        <w:t>附件4</w:t>
      </w:r>
    </w:p>
    <w:p w14:paraId="523F7EB9">
      <w:pPr>
        <w:pStyle w:val="14"/>
        <w:spacing w:before="0" w:beforeAutospacing="0" w:after="0" w:afterAutospacing="0" w:line="560" w:lineRule="atLeast"/>
        <w:jc w:val="center"/>
        <w:textAlignment w:val="baseline"/>
        <w:rPr>
          <w:color w:val="auto"/>
          <w:sz w:val="28"/>
          <w:szCs w:val="28"/>
          <w:highlight w:val="none"/>
          <w:shd w:val="clear" w:color="auto" w:fill="FFFFFF"/>
        </w:rPr>
      </w:pPr>
      <w:r>
        <w:rPr>
          <w:rFonts w:hint="eastAsia"/>
          <w:color w:val="auto"/>
          <w:sz w:val="28"/>
          <w:szCs w:val="28"/>
          <w:highlight w:val="none"/>
          <w:shd w:val="clear" w:color="auto" w:fill="FFFFFF"/>
        </w:rPr>
        <w:t>市场监管总局关于发布参与实施政府采购节能产品、环境标志产品认证机构名录的公告</w:t>
      </w:r>
    </w:p>
    <w:p w14:paraId="68ED66C1">
      <w:pPr>
        <w:pStyle w:val="14"/>
        <w:shd w:val="clear" w:color="auto" w:fill="FFFFFF"/>
        <w:spacing w:before="75" w:beforeAutospacing="0" w:after="330" w:afterAutospacing="0"/>
        <w:jc w:val="center"/>
        <w:textAlignment w:val="baseline"/>
        <w:rPr>
          <w:color w:val="auto"/>
          <w:highlight w:val="none"/>
          <w:shd w:val="clear" w:color="auto" w:fill="FFFFFF"/>
        </w:rPr>
      </w:pPr>
    </w:p>
    <w:p w14:paraId="768BFB5D">
      <w:pPr>
        <w:pStyle w:val="14"/>
        <w:shd w:val="clear" w:color="auto" w:fill="FFFFFF"/>
        <w:spacing w:before="75" w:beforeAutospacing="0" w:after="330" w:afterAutospacing="0"/>
        <w:jc w:val="center"/>
        <w:textAlignment w:val="baseline"/>
        <w:rPr>
          <w:color w:val="auto"/>
          <w:highlight w:val="none"/>
        </w:rPr>
      </w:pPr>
      <w:r>
        <w:rPr>
          <w:rFonts w:hint="eastAsia"/>
          <w:color w:val="auto"/>
          <w:highlight w:val="none"/>
          <w:shd w:val="clear" w:color="auto" w:fill="FFFFFF"/>
        </w:rPr>
        <w:t>2019年第16号</w:t>
      </w:r>
    </w:p>
    <w:p w14:paraId="73370549">
      <w:pPr>
        <w:pStyle w:val="14"/>
        <w:shd w:val="clear" w:color="auto" w:fill="FFFFFF"/>
        <w:spacing w:before="75" w:beforeAutospacing="0" w:after="330" w:afterAutospacing="0"/>
        <w:textAlignment w:val="baseline"/>
        <w:rPr>
          <w:color w:val="auto"/>
          <w:highlight w:val="none"/>
        </w:rPr>
      </w:pPr>
      <w:r>
        <w:rPr>
          <w:rFonts w:hint="eastAsia"/>
          <w:color w:val="auto"/>
          <w:highlight w:val="none"/>
          <w:shd w:val="clear" w:color="auto" w:fill="FFFFFF"/>
        </w:rPr>
        <w:t>　　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r>
        <w:rPr>
          <w:rFonts w:hint="eastAsia"/>
          <w:color w:val="auto"/>
          <w:highlight w:val="none"/>
          <w:shd w:val="clear" w:color="auto" w:fill="FFFFFF"/>
        </w:rPr>
        <w:br w:type="textWrapping"/>
      </w:r>
      <w:r>
        <w:rPr>
          <w:rFonts w:hint="eastAsia"/>
          <w:color w:val="auto"/>
          <w:highlight w:val="none"/>
          <w:shd w:val="clear" w:color="auto" w:fill="FFFFFF"/>
        </w:rPr>
        <w:br w:type="textWrapping"/>
      </w:r>
      <w:r>
        <w:rPr>
          <w:rFonts w:hint="eastAsia"/>
          <w:color w:val="auto"/>
          <w:highlight w:val="none"/>
          <w:shd w:val="clear" w:color="auto" w:fill="FFFFFF"/>
        </w:rPr>
        <w:t>　　自本公告发布后，新增认证机构应尽快完成政府采购认证信息系统对接，对接完成后方可开展相关认证工作。</w:t>
      </w:r>
    </w:p>
    <w:p w14:paraId="20D2ADF1">
      <w:pPr>
        <w:pStyle w:val="14"/>
        <w:shd w:val="clear" w:color="auto" w:fill="FFFFFF"/>
        <w:spacing w:before="75" w:beforeAutospacing="0" w:after="330" w:afterAutospacing="0"/>
        <w:jc w:val="right"/>
        <w:textAlignment w:val="baseline"/>
        <w:rPr>
          <w:color w:val="auto"/>
          <w:highlight w:val="none"/>
        </w:rPr>
      </w:pPr>
      <w:r>
        <w:rPr>
          <w:rFonts w:hint="eastAsia"/>
          <w:color w:val="auto"/>
          <w:highlight w:val="none"/>
          <w:shd w:val="clear" w:color="auto" w:fill="FFFFFF"/>
        </w:rPr>
        <w:t>市场监管总局</w:t>
      </w:r>
      <w:r>
        <w:rPr>
          <w:rFonts w:hint="eastAsia"/>
          <w:color w:val="auto"/>
          <w:highlight w:val="none"/>
          <w:shd w:val="clear" w:color="auto" w:fill="FFFFFF"/>
        </w:rPr>
        <w:br w:type="textWrapping"/>
      </w:r>
      <w:r>
        <w:rPr>
          <w:rFonts w:hint="eastAsia"/>
          <w:color w:val="auto"/>
          <w:highlight w:val="none"/>
          <w:shd w:val="clear" w:color="auto" w:fill="FFFFFF"/>
        </w:rPr>
        <w:t>2019年4月3日</w:t>
      </w:r>
    </w:p>
    <w:p w14:paraId="4D67CA18">
      <w:pPr>
        <w:widowControl/>
        <w:shd w:val="clear" w:color="auto" w:fill="FFFFFF"/>
        <w:jc w:val="left"/>
        <w:textAlignment w:val="baseline"/>
        <w:rPr>
          <w:rFonts w:ascii="宋体" w:hAnsi="宋体" w:cs="宋体"/>
          <w:color w:val="auto"/>
          <w:sz w:val="32"/>
          <w:szCs w:val="32"/>
          <w:highlight w:val="none"/>
        </w:rPr>
      </w:pPr>
    </w:p>
    <w:p w14:paraId="21C0E8DE">
      <w:pPr>
        <w:widowControl/>
        <w:shd w:val="clear" w:color="auto" w:fill="FFFFFF"/>
        <w:spacing w:before="75" w:after="330"/>
        <w:jc w:val="center"/>
        <w:textAlignment w:val="baseline"/>
        <w:rPr>
          <w:rFonts w:ascii="宋体" w:hAnsi="宋体" w:cs="宋体"/>
          <w:color w:val="auto"/>
          <w:sz w:val="24"/>
          <w:highlight w:val="none"/>
        </w:rPr>
      </w:pPr>
      <w:r>
        <w:rPr>
          <w:rFonts w:hint="eastAsia" w:ascii="宋体" w:hAnsi="宋体" w:cs="宋体"/>
          <w:color w:val="auto"/>
          <w:kern w:val="0"/>
          <w:sz w:val="28"/>
          <w:szCs w:val="28"/>
          <w:highlight w:val="none"/>
          <w:shd w:val="clear" w:color="auto" w:fill="FFFFFF"/>
          <w:lang w:bidi="ar"/>
        </w:rPr>
        <w:t>参与实施政府采购节能产品认证机构名录</w:t>
      </w:r>
    </w:p>
    <w:tbl>
      <w:tblPr>
        <w:tblStyle w:val="17"/>
        <w:tblW w:w="0" w:type="auto"/>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30" w:type="dxa"/>
          <w:bottom w:w="30" w:type="dxa"/>
          <w:right w:w="30" w:type="dxa"/>
        </w:tblCellMar>
      </w:tblPr>
      <w:tblGrid>
        <w:gridCol w:w="627"/>
        <w:gridCol w:w="1171"/>
        <w:gridCol w:w="1098"/>
        <w:gridCol w:w="1515"/>
        <w:gridCol w:w="1425"/>
        <w:gridCol w:w="3076"/>
      </w:tblGrid>
      <w:tr w14:paraId="272461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00B24094">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3326" w:type="dxa"/>
            <w:gridSpan w:val="2"/>
            <w:tcBorders>
              <w:top w:val="single" w:color="auto" w:sz="8" w:space="0"/>
              <w:left w:val="nil"/>
              <w:bottom w:val="single" w:color="auto" w:sz="8" w:space="0"/>
              <w:right w:val="single" w:color="auto" w:sz="8" w:space="0"/>
            </w:tcBorders>
            <w:shd w:val="clear" w:color="auto" w:fill="FFFFFF"/>
            <w:tcMar>
              <w:left w:w="108" w:type="dxa"/>
              <w:bottom w:w="0" w:type="dxa"/>
              <w:right w:w="108" w:type="dxa"/>
            </w:tcMar>
            <w:vAlign w:val="center"/>
          </w:tcPr>
          <w:p w14:paraId="51641C85">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一级目录</w:t>
            </w:r>
          </w:p>
        </w:tc>
        <w:tc>
          <w:tcPr>
            <w:tcW w:w="4045" w:type="dxa"/>
            <w:gridSpan w:val="2"/>
            <w:tcBorders>
              <w:top w:val="single" w:color="auto" w:sz="8" w:space="0"/>
              <w:left w:val="nil"/>
              <w:bottom w:val="single" w:color="auto" w:sz="8" w:space="0"/>
              <w:right w:val="single" w:color="auto" w:sz="8" w:space="0"/>
            </w:tcBorders>
            <w:shd w:val="clear" w:color="auto" w:fill="FFFFFF"/>
            <w:tcMar>
              <w:left w:w="108" w:type="dxa"/>
              <w:bottom w:w="0" w:type="dxa"/>
              <w:right w:w="108" w:type="dxa"/>
            </w:tcMar>
            <w:vAlign w:val="center"/>
          </w:tcPr>
          <w:p w14:paraId="08A70159">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二级目录</w:t>
            </w:r>
          </w:p>
        </w:tc>
        <w:tc>
          <w:tcPr>
            <w:tcW w:w="5844" w:type="dxa"/>
            <w:vMerge w:val="restart"/>
            <w:tcBorders>
              <w:top w:val="single" w:color="auto" w:sz="8" w:space="0"/>
              <w:left w:val="nil"/>
              <w:bottom w:val="single" w:color="auto" w:sz="8" w:space="0"/>
              <w:right w:val="single" w:color="auto" w:sz="8" w:space="0"/>
            </w:tcBorders>
            <w:shd w:val="clear" w:color="auto" w:fill="FFFFFF"/>
            <w:tcMar>
              <w:left w:w="108" w:type="dxa"/>
              <w:bottom w:w="0" w:type="dxa"/>
              <w:right w:w="108" w:type="dxa"/>
            </w:tcMar>
            <w:vAlign w:val="center"/>
          </w:tcPr>
          <w:p w14:paraId="09EB68E9">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认证机构名录</w:t>
            </w:r>
          </w:p>
        </w:tc>
      </w:tr>
      <w:tr w14:paraId="42F536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30" w:type="dxa"/>
            <w:bottom w:w="30" w:type="dxa"/>
            <w:right w:w="30" w:type="dxa"/>
          </w:tblCellMar>
        </w:tblPrEx>
        <w:trPr>
          <w:trHeight w:val="284" w:hRule="atLeast"/>
        </w:trPr>
        <w:tc>
          <w:tcPr>
            <w:tcW w:w="866"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39B3AD57">
            <w:pPr>
              <w:rPr>
                <w:rFonts w:ascii="宋体" w:hAnsi="宋体" w:cs="宋体"/>
                <w:color w:val="auto"/>
                <w:szCs w:val="21"/>
                <w:highlight w:val="none"/>
              </w:rPr>
            </w:pP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D0DBB52">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产品代码</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2D81506">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产品名称</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6AB7806">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产品代码</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B2846C9">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产品名称</w:t>
            </w:r>
          </w:p>
        </w:tc>
        <w:tc>
          <w:tcPr>
            <w:tcW w:w="5844" w:type="dxa"/>
            <w:vMerge w:val="continue"/>
            <w:tcBorders>
              <w:top w:val="single" w:color="auto" w:sz="8" w:space="0"/>
              <w:left w:val="nil"/>
              <w:bottom w:val="single" w:color="auto" w:sz="8" w:space="0"/>
              <w:right w:val="single" w:color="auto" w:sz="8" w:space="0"/>
            </w:tcBorders>
            <w:shd w:val="clear" w:color="auto" w:fill="FFFFFF"/>
            <w:tcMar>
              <w:left w:w="108" w:type="dxa"/>
              <w:bottom w:w="0" w:type="dxa"/>
              <w:right w:w="108" w:type="dxa"/>
            </w:tcMar>
            <w:vAlign w:val="center"/>
          </w:tcPr>
          <w:p w14:paraId="1330673C">
            <w:pPr>
              <w:rPr>
                <w:rFonts w:ascii="宋体" w:hAnsi="宋体" w:cs="宋体"/>
                <w:color w:val="auto"/>
                <w:szCs w:val="21"/>
                <w:highlight w:val="none"/>
              </w:rPr>
            </w:pPr>
          </w:p>
        </w:tc>
      </w:tr>
      <w:tr w14:paraId="53FA1B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30" w:type="dxa"/>
            <w:bottom w:w="30" w:type="dxa"/>
            <w:right w:w="30" w:type="dxa"/>
          </w:tblCellMar>
        </w:tblPrEx>
        <w:trPr>
          <w:trHeight w:val="284" w:hRule="atLeast"/>
        </w:trPr>
        <w:tc>
          <w:tcPr>
            <w:tcW w:w="866" w:type="dxa"/>
            <w:vMerge w:val="restart"/>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5449CD10">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432"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E4CAEEA">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A020101</w:t>
            </w:r>
          </w:p>
        </w:tc>
        <w:tc>
          <w:tcPr>
            <w:tcW w:w="1894"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EDF0127">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计算机设备</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C3C0D35">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A02010104</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6D39482">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台式计算机</w:t>
            </w:r>
          </w:p>
        </w:tc>
        <w:tc>
          <w:tcPr>
            <w:tcW w:w="5844"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DF4E211">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369191C6">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北京赛西认证有限责任公司</w:t>
            </w:r>
          </w:p>
          <w:p w14:paraId="09922C7A">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中国网络安全审查技术与认证中心</w:t>
            </w:r>
          </w:p>
          <w:p w14:paraId="47C10C1A">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广州赛宝认证中心服务有限公司</w:t>
            </w:r>
          </w:p>
        </w:tc>
      </w:tr>
      <w:tr w14:paraId="03BDFE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continue"/>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3D06D06A">
            <w:pPr>
              <w:rPr>
                <w:rFonts w:ascii="宋体" w:hAnsi="宋体" w:cs="宋体"/>
                <w:color w:val="auto"/>
                <w:szCs w:val="21"/>
                <w:highlight w:val="none"/>
              </w:rPr>
            </w:pPr>
          </w:p>
        </w:tc>
        <w:tc>
          <w:tcPr>
            <w:tcW w:w="1432"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9765989">
            <w:pPr>
              <w:rPr>
                <w:rFonts w:ascii="宋体" w:hAnsi="宋体" w:cs="宋体"/>
                <w:color w:val="auto"/>
                <w:szCs w:val="21"/>
                <w:highlight w:val="none"/>
              </w:rPr>
            </w:pPr>
          </w:p>
        </w:tc>
        <w:tc>
          <w:tcPr>
            <w:tcW w:w="189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C55AD3E">
            <w:pPr>
              <w:rPr>
                <w:rFonts w:ascii="宋体" w:hAnsi="宋体" w:cs="宋体"/>
                <w:color w:val="auto"/>
                <w:szCs w:val="21"/>
                <w:highlight w:val="none"/>
              </w:rPr>
            </w:pP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DE40082">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A02010105</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EF46507">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便携式计算机</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0D4834D">
            <w:pPr>
              <w:rPr>
                <w:rFonts w:ascii="宋体" w:hAnsi="宋体" w:cs="宋体"/>
                <w:color w:val="auto"/>
                <w:szCs w:val="21"/>
                <w:highlight w:val="none"/>
              </w:rPr>
            </w:pPr>
          </w:p>
        </w:tc>
      </w:tr>
      <w:tr w14:paraId="214A17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continue"/>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2AE9E81F">
            <w:pPr>
              <w:rPr>
                <w:rFonts w:ascii="宋体" w:hAnsi="宋体" w:cs="宋体"/>
                <w:color w:val="auto"/>
                <w:szCs w:val="21"/>
                <w:highlight w:val="none"/>
              </w:rPr>
            </w:pPr>
          </w:p>
        </w:tc>
        <w:tc>
          <w:tcPr>
            <w:tcW w:w="1432"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A7ACA2C">
            <w:pPr>
              <w:rPr>
                <w:rFonts w:ascii="宋体" w:hAnsi="宋体" w:cs="宋体"/>
                <w:color w:val="auto"/>
                <w:szCs w:val="21"/>
                <w:highlight w:val="none"/>
              </w:rPr>
            </w:pPr>
          </w:p>
        </w:tc>
        <w:tc>
          <w:tcPr>
            <w:tcW w:w="189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3AADCD2">
            <w:pPr>
              <w:rPr>
                <w:rFonts w:ascii="宋体" w:hAnsi="宋体" w:cs="宋体"/>
                <w:color w:val="auto"/>
                <w:szCs w:val="21"/>
                <w:highlight w:val="none"/>
              </w:rPr>
            </w:pP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CE607CE">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A02010107</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FC6476C">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平板式微型计算机</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4AECF0D">
            <w:pPr>
              <w:rPr>
                <w:rFonts w:ascii="宋体" w:hAnsi="宋体" w:cs="宋体"/>
                <w:color w:val="auto"/>
                <w:szCs w:val="21"/>
                <w:highlight w:val="none"/>
              </w:rPr>
            </w:pPr>
          </w:p>
        </w:tc>
      </w:tr>
      <w:tr w14:paraId="6A3EC7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30" w:type="dxa"/>
            <w:bottom w:w="30" w:type="dxa"/>
            <w:right w:w="30" w:type="dxa"/>
          </w:tblCellMar>
        </w:tblPrEx>
        <w:trPr>
          <w:trHeight w:val="284" w:hRule="atLeast"/>
        </w:trPr>
        <w:tc>
          <w:tcPr>
            <w:tcW w:w="866" w:type="dxa"/>
            <w:vMerge w:val="restart"/>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326A601E">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432"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5F63A63">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A020106</w:t>
            </w:r>
          </w:p>
        </w:tc>
        <w:tc>
          <w:tcPr>
            <w:tcW w:w="1894"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22AB97D">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输入输出设备</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C1ABBDC">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A02010601</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8A5E3C1">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打印设备</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F1F2E43">
            <w:pPr>
              <w:rPr>
                <w:rFonts w:ascii="宋体" w:hAnsi="宋体" w:cs="宋体"/>
                <w:color w:val="auto"/>
                <w:szCs w:val="21"/>
                <w:highlight w:val="none"/>
              </w:rPr>
            </w:pPr>
          </w:p>
        </w:tc>
      </w:tr>
      <w:tr w14:paraId="47FE69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continue"/>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057E7A09">
            <w:pPr>
              <w:rPr>
                <w:rFonts w:ascii="宋体" w:hAnsi="宋体" w:cs="宋体"/>
                <w:color w:val="auto"/>
                <w:szCs w:val="21"/>
                <w:highlight w:val="none"/>
              </w:rPr>
            </w:pPr>
          </w:p>
        </w:tc>
        <w:tc>
          <w:tcPr>
            <w:tcW w:w="1432"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01C645D">
            <w:pPr>
              <w:rPr>
                <w:rFonts w:ascii="宋体" w:hAnsi="宋体" w:cs="宋体"/>
                <w:color w:val="auto"/>
                <w:szCs w:val="21"/>
                <w:highlight w:val="none"/>
              </w:rPr>
            </w:pPr>
          </w:p>
        </w:tc>
        <w:tc>
          <w:tcPr>
            <w:tcW w:w="189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C432D5C">
            <w:pPr>
              <w:rPr>
                <w:rFonts w:ascii="宋体" w:hAnsi="宋体" w:cs="宋体"/>
                <w:color w:val="auto"/>
                <w:szCs w:val="21"/>
                <w:highlight w:val="none"/>
              </w:rPr>
            </w:pP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82FF9A3">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A02010604</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388CC89">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显示设备</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21B9A62">
            <w:pPr>
              <w:rPr>
                <w:rFonts w:ascii="宋体" w:hAnsi="宋体" w:cs="宋体"/>
                <w:color w:val="auto"/>
                <w:szCs w:val="21"/>
                <w:highlight w:val="none"/>
              </w:rPr>
            </w:pPr>
          </w:p>
        </w:tc>
      </w:tr>
      <w:tr w14:paraId="213166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continue"/>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06292E60">
            <w:pPr>
              <w:rPr>
                <w:rFonts w:ascii="宋体" w:hAnsi="宋体" w:cs="宋体"/>
                <w:color w:val="auto"/>
                <w:szCs w:val="21"/>
                <w:highlight w:val="none"/>
              </w:rPr>
            </w:pPr>
          </w:p>
        </w:tc>
        <w:tc>
          <w:tcPr>
            <w:tcW w:w="1432"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4E4DD82">
            <w:pPr>
              <w:rPr>
                <w:rFonts w:ascii="宋体" w:hAnsi="宋体" w:cs="宋体"/>
                <w:color w:val="auto"/>
                <w:szCs w:val="21"/>
                <w:highlight w:val="none"/>
              </w:rPr>
            </w:pPr>
          </w:p>
        </w:tc>
        <w:tc>
          <w:tcPr>
            <w:tcW w:w="189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B12ACC1">
            <w:pPr>
              <w:rPr>
                <w:rFonts w:ascii="宋体" w:hAnsi="宋体" w:cs="宋体"/>
                <w:color w:val="auto"/>
                <w:szCs w:val="21"/>
                <w:highlight w:val="none"/>
              </w:rPr>
            </w:pP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67A2A93">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A02010609</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7C027A9">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图形图像输入设备</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1BE6B91">
            <w:pPr>
              <w:rPr>
                <w:rFonts w:ascii="宋体" w:hAnsi="宋体" w:cs="宋体"/>
                <w:color w:val="auto"/>
                <w:szCs w:val="21"/>
                <w:highlight w:val="none"/>
              </w:rPr>
            </w:pPr>
          </w:p>
        </w:tc>
      </w:tr>
      <w:tr w14:paraId="14AB4E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7F29B7A4">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E7712F9">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A020202</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91FD929">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投影仪</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5DAD9BB">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　</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7DF9AA0">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　</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83BAEBD">
            <w:pPr>
              <w:rPr>
                <w:rFonts w:ascii="宋体" w:hAnsi="宋体" w:cs="宋体"/>
                <w:color w:val="auto"/>
                <w:szCs w:val="21"/>
                <w:highlight w:val="none"/>
              </w:rPr>
            </w:pPr>
          </w:p>
        </w:tc>
      </w:tr>
      <w:tr w14:paraId="660B67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0AEF1CB5">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22CF292">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A020204</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16281F6">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多功能一体机</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B2099AE">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　</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CB45D7C">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　</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E733D82">
            <w:pPr>
              <w:rPr>
                <w:rFonts w:ascii="宋体" w:hAnsi="宋体" w:cs="宋体"/>
                <w:color w:val="auto"/>
                <w:szCs w:val="21"/>
                <w:highlight w:val="none"/>
              </w:rPr>
            </w:pPr>
          </w:p>
        </w:tc>
      </w:tr>
      <w:tr w14:paraId="47C4C3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799"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5E8C0AE7">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D8B2A3E">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A020519</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EE05CB3">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泵</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0510024">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A02051901</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E7F38FF">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离心泵</w:t>
            </w:r>
          </w:p>
        </w:tc>
        <w:tc>
          <w:tcPr>
            <w:tcW w:w="584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1BA7942">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79CAC505">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电能（北京）认证中心有限公司</w:t>
            </w:r>
          </w:p>
          <w:p w14:paraId="72F54E2B">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方圆标志认证集团有限公司</w:t>
            </w:r>
          </w:p>
        </w:tc>
      </w:tr>
      <w:tr w14:paraId="52882B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30" w:type="dxa"/>
            <w:bottom w:w="30" w:type="dxa"/>
            <w:right w:w="30" w:type="dxa"/>
          </w:tblCellMar>
        </w:tblPrEx>
        <w:trPr>
          <w:trHeight w:val="284" w:hRule="atLeast"/>
        </w:trPr>
        <w:tc>
          <w:tcPr>
            <w:tcW w:w="866" w:type="dxa"/>
            <w:vMerge w:val="restart"/>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628C02E6">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1432"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0581AC1">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A020523</w:t>
            </w:r>
          </w:p>
        </w:tc>
        <w:tc>
          <w:tcPr>
            <w:tcW w:w="1894"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F0738DA">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制冷空调设备</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31CDBC3">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A02052301</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5279624">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制冷压缩机</w:t>
            </w:r>
          </w:p>
        </w:tc>
        <w:tc>
          <w:tcPr>
            <w:tcW w:w="5844"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AB7B5CC">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24C64155">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威凯认证检测有限公司</w:t>
            </w:r>
          </w:p>
          <w:p w14:paraId="64C514C5">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合肥通用机械产品认证有限公司</w:t>
            </w:r>
          </w:p>
          <w:p w14:paraId="77BAC0ED">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北京中冷通质量认证中心有限公司</w:t>
            </w:r>
          </w:p>
        </w:tc>
      </w:tr>
      <w:tr w14:paraId="1A6CF5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continue"/>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4CF99A73">
            <w:pPr>
              <w:rPr>
                <w:rFonts w:ascii="宋体" w:hAnsi="宋体" w:cs="宋体"/>
                <w:color w:val="auto"/>
                <w:szCs w:val="21"/>
                <w:highlight w:val="none"/>
              </w:rPr>
            </w:pPr>
          </w:p>
        </w:tc>
        <w:tc>
          <w:tcPr>
            <w:tcW w:w="1432"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EA71C86">
            <w:pPr>
              <w:rPr>
                <w:rFonts w:ascii="宋体" w:hAnsi="宋体" w:cs="宋体"/>
                <w:color w:val="auto"/>
                <w:szCs w:val="21"/>
                <w:highlight w:val="none"/>
              </w:rPr>
            </w:pPr>
          </w:p>
        </w:tc>
        <w:tc>
          <w:tcPr>
            <w:tcW w:w="189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BFE05FE">
            <w:pPr>
              <w:rPr>
                <w:rFonts w:ascii="宋体" w:hAnsi="宋体" w:cs="宋体"/>
                <w:color w:val="auto"/>
                <w:szCs w:val="21"/>
                <w:highlight w:val="none"/>
              </w:rPr>
            </w:pP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B38956D">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A02052305</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4C93A42">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空调机组</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6CCD0A4">
            <w:pPr>
              <w:rPr>
                <w:rFonts w:ascii="宋体" w:hAnsi="宋体" w:cs="宋体"/>
                <w:color w:val="auto"/>
                <w:szCs w:val="21"/>
                <w:highlight w:val="none"/>
              </w:rPr>
            </w:pPr>
          </w:p>
        </w:tc>
      </w:tr>
      <w:tr w14:paraId="2D1F18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30" w:type="dxa"/>
            <w:bottom w:w="30" w:type="dxa"/>
            <w:right w:w="30" w:type="dxa"/>
          </w:tblCellMar>
        </w:tblPrEx>
        <w:trPr>
          <w:trHeight w:val="284" w:hRule="atLeast"/>
        </w:trPr>
        <w:tc>
          <w:tcPr>
            <w:tcW w:w="866" w:type="dxa"/>
            <w:vMerge w:val="continue"/>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610691C4">
            <w:pPr>
              <w:rPr>
                <w:rFonts w:ascii="宋体" w:hAnsi="宋体" w:cs="宋体"/>
                <w:color w:val="auto"/>
                <w:szCs w:val="21"/>
                <w:highlight w:val="none"/>
              </w:rPr>
            </w:pPr>
          </w:p>
        </w:tc>
        <w:tc>
          <w:tcPr>
            <w:tcW w:w="1432"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41304E9">
            <w:pPr>
              <w:rPr>
                <w:rFonts w:ascii="宋体" w:hAnsi="宋体" w:cs="宋体"/>
                <w:color w:val="auto"/>
                <w:szCs w:val="21"/>
                <w:highlight w:val="none"/>
              </w:rPr>
            </w:pPr>
          </w:p>
        </w:tc>
        <w:tc>
          <w:tcPr>
            <w:tcW w:w="189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8B05062">
            <w:pPr>
              <w:rPr>
                <w:rFonts w:ascii="宋体" w:hAnsi="宋体" w:cs="宋体"/>
                <w:color w:val="auto"/>
                <w:szCs w:val="21"/>
                <w:highlight w:val="none"/>
              </w:rPr>
            </w:pP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F08B577">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A02052309</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C26656E">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专用制冷、空调设备</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80E0693">
            <w:pPr>
              <w:rPr>
                <w:rFonts w:ascii="宋体" w:hAnsi="宋体" w:cs="宋体"/>
                <w:color w:val="auto"/>
                <w:szCs w:val="21"/>
                <w:highlight w:val="none"/>
              </w:rPr>
            </w:pPr>
          </w:p>
        </w:tc>
      </w:tr>
      <w:tr w14:paraId="0BC868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continue"/>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1CFCFF29">
            <w:pPr>
              <w:rPr>
                <w:rFonts w:ascii="宋体" w:hAnsi="宋体" w:cs="宋体"/>
                <w:color w:val="auto"/>
                <w:szCs w:val="21"/>
                <w:highlight w:val="none"/>
              </w:rPr>
            </w:pPr>
          </w:p>
        </w:tc>
        <w:tc>
          <w:tcPr>
            <w:tcW w:w="1432"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0D594FF">
            <w:pPr>
              <w:rPr>
                <w:rFonts w:ascii="宋体" w:hAnsi="宋体" w:cs="宋体"/>
                <w:color w:val="auto"/>
                <w:szCs w:val="21"/>
                <w:highlight w:val="none"/>
              </w:rPr>
            </w:pPr>
          </w:p>
        </w:tc>
        <w:tc>
          <w:tcPr>
            <w:tcW w:w="189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CC1D0F5">
            <w:pPr>
              <w:rPr>
                <w:rFonts w:ascii="宋体" w:hAnsi="宋体" w:cs="宋体"/>
                <w:color w:val="auto"/>
                <w:szCs w:val="21"/>
                <w:highlight w:val="none"/>
              </w:rPr>
            </w:pP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27A0413">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A02052399</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DFB01CE">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其他制冷空调设备</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180F875">
            <w:pPr>
              <w:rPr>
                <w:rFonts w:ascii="宋体" w:hAnsi="宋体" w:cs="宋体"/>
                <w:color w:val="auto"/>
                <w:szCs w:val="21"/>
                <w:highlight w:val="none"/>
              </w:rPr>
            </w:pPr>
          </w:p>
        </w:tc>
      </w:tr>
      <w:tr w14:paraId="03B937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1033"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226F71A5">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8679D56">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A020601</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A0BB047">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电机</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D766AF0">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　</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2F1362D">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　</w:t>
            </w:r>
          </w:p>
        </w:tc>
        <w:tc>
          <w:tcPr>
            <w:tcW w:w="584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AB85701">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6CEEA876">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威凯认证检测有限公司</w:t>
            </w:r>
          </w:p>
          <w:p w14:paraId="1AC1B4AD">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电能（北京）认证中心有限公司</w:t>
            </w:r>
          </w:p>
          <w:p w14:paraId="143D036D">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中国船级社质量认证公司</w:t>
            </w:r>
          </w:p>
        </w:tc>
      </w:tr>
      <w:tr w14:paraId="24A4AD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861"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738E425A">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39466CA">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A020602</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F382308">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变压器</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7A4C6F9">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　</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771E27F">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　</w:t>
            </w:r>
          </w:p>
        </w:tc>
        <w:tc>
          <w:tcPr>
            <w:tcW w:w="584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70B0A23">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0D90BF0E">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电能（北京）认证中心有限公司</w:t>
            </w:r>
          </w:p>
          <w:p w14:paraId="04FE2381">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方圆标志认证集团有限公司</w:t>
            </w:r>
          </w:p>
        </w:tc>
      </w:tr>
      <w:tr w14:paraId="74B07F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30" w:type="dxa"/>
            <w:bottom w:w="30" w:type="dxa"/>
            <w:right w:w="30" w:type="dxa"/>
          </w:tblCellMar>
        </w:tblPrEx>
        <w:trPr>
          <w:trHeight w:val="844"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5CAC9C8A">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4FE38C4">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A020609</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7D4A0DB">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镇流器</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32BA962">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　</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D0DD471">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　</w:t>
            </w:r>
          </w:p>
        </w:tc>
        <w:tc>
          <w:tcPr>
            <w:tcW w:w="584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69BC39A">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30ABBF8A">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深圳市计量质量检测研究院</w:t>
            </w:r>
          </w:p>
          <w:p w14:paraId="47DFEDBE">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中标合信（北京）认证有限公司</w:t>
            </w:r>
          </w:p>
        </w:tc>
      </w:tr>
      <w:tr w14:paraId="25FE0C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400" w:hRule="atLeast"/>
        </w:trPr>
        <w:tc>
          <w:tcPr>
            <w:tcW w:w="866" w:type="dxa"/>
            <w:vMerge w:val="restart"/>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32122D55">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432"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E61F21D">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A020618</w:t>
            </w:r>
          </w:p>
        </w:tc>
        <w:tc>
          <w:tcPr>
            <w:tcW w:w="1894"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E923361">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生活用电器</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9C9D8FF">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A0206180101</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F96706C">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电冰箱</w:t>
            </w:r>
          </w:p>
        </w:tc>
        <w:tc>
          <w:tcPr>
            <w:tcW w:w="584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963CB81">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0482FFD7">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威凯认证检测有限公司</w:t>
            </w:r>
          </w:p>
          <w:p w14:paraId="309D84D8">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中家院（北京）检测认证有限公司</w:t>
            </w:r>
          </w:p>
        </w:tc>
      </w:tr>
      <w:tr w14:paraId="2648CC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continue"/>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1E36BB14">
            <w:pPr>
              <w:rPr>
                <w:rFonts w:ascii="宋体" w:hAnsi="宋体" w:cs="宋体"/>
                <w:color w:val="auto"/>
                <w:szCs w:val="21"/>
                <w:highlight w:val="none"/>
              </w:rPr>
            </w:pPr>
          </w:p>
        </w:tc>
        <w:tc>
          <w:tcPr>
            <w:tcW w:w="1432"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4B3B227">
            <w:pPr>
              <w:rPr>
                <w:rFonts w:ascii="宋体" w:hAnsi="宋体" w:cs="宋体"/>
                <w:color w:val="auto"/>
                <w:szCs w:val="21"/>
                <w:highlight w:val="none"/>
              </w:rPr>
            </w:pPr>
          </w:p>
        </w:tc>
        <w:tc>
          <w:tcPr>
            <w:tcW w:w="189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CC64B5F">
            <w:pPr>
              <w:rPr>
                <w:rFonts w:ascii="宋体" w:hAnsi="宋体" w:cs="宋体"/>
                <w:color w:val="auto"/>
                <w:szCs w:val="21"/>
                <w:highlight w:val="none"/>
              </w:rPr>
            </w:pP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E46671D">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A0206180203</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DEE70B8">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空调机</w:t>
            </w:r>
          </w:p>
        </w:tc>
        <w:tc>
          <w:tcPr>
            <w:tcW w:w="584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F670A9F">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2F0F766A">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威凯认证检测有限公司</w:t>
            </w:r>
          </w:p>
          <w:p w14:paraId="7F3E95B3">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中家院（北京）检测认证有限公司</w:t>
            </w:r>
          </w:p>
          <w:p w14:paraId="1F01E206">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合肥通用机械产品认证有限公司</w:t>
            </w:r>
          </w:p>
        </w:tc>
      </w:tr>
      <w:tr w14:paraId="698EFB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30" w:type="dxa"/>
            <w:bottom w:w="30" w:type="dxa"/>
            <w:right w:w="30" w:type="dxa"/>
          </w:tblCellMar>
        </w:tblPrEx>
        <w:trPr>
          <w:trHeight w:val="284" w:hRule="atLeast"/>
        </w:trPr>
        <w:tc>
          <w:tcPr>
            <w:tcW w:w="866" w:type="dxa"/>
            <w:vMerge w:val="continue"/>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51DB5AC4">
            <w:pPr>
              <w:rPr>
                <w:rFonts w:ascii="宋体" w:hAnsi="宋体" w:cs="宋体"/>
                <w:color w:val="auto"/>
                <w:szCs w:val="21"/>
                <w:highlight w:val="none"/>
              </w:rPr>
            </w:pPr>
          </w:p>
        </w:tc>
        <w:tc>
          <w:tcPr>
            <w:tcW w:w="1432"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735F77A">
            <w:pPr>
              <w:rPr>
                <w:rFonts w:ascii="宋体" w:hAnsi="宋体" w:cs="宋体"/>
                <w:color w:val="auto"/>
                <w:szCs w:val="21"/>
                <w:highlight w:val="none"/>
              </w:rPr>
            </w:pPr>
          </w:p>
        </w:tc>
        <w:tc>
          <w:tcPr>
            <w:tcW w:w="189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C640134">
            <w:pPr>
              <w:rPr>
                <w:rFonts w:ascii="宋体" w:hAnsi="宋体" w:cs="宋体"/>
                <w:color w:val="auto"/>
                <w:szCs w:val="21"/>
                <w:highlight w:val="none"/>
              </w:rPr>
            </w:pP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38EE15C">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A0206180301</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B686C79">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洗衣机</w:t>
            </w:r>
          </w:p>
        </w:tc>
        <w:tc>
          <w:tcPr>
            <w:tcW w:w="584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01646EE">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01AC04A9">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威凯认证检测有限公司</w:t>
            </w:r>
          </w:p>
          <w:p w14:paraId="3F3B85F6">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中家院（北京）检测认证有限公司</w:t>
            </w:r>
          </w:p>
        </w:tc>
      </w:tr>
      <w:tr w14:paraId="17A6AE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continue"/>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2D54F7C9">
            <w:pPr>
              <w:rPr>
                <w:rFonts w:ascii="宋体" w:hAnsi="宋体" w:cs="宋体"/>
                <w:color w:val="auto"/>
                <w:szCs w:val="21"/>
                <w:highlight w:val="none"/>
              </w:rPr>
            </w:pPr>
          </w:p>
        </w:tc>
        <w:tc>
          <w:tcPr>
            <w:tcW w:w="1432"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FB2B043">
            <w:pPr>
              <w:rPr>
                <w:rFonts w:ascii="宋体" w:hAnsi="宋体" w:cs="宋体"/>
                <w:color w:val="auto"/>
                <w:szCs w:val="21"/>
                <w:highlight w:val="none"/>
              </w:rPr>
            </w:pPr>
          </w:p>
        </w:tc>
        <w:tc>
          <w:tcPr>
            <w:tcW w:w="189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520D6CC">
            <w:pPr>
              <w:rPr>
                <w:rFonts w:ascii="宋体" w:hAnsi="宋体" w:cs="宋体"/>
                <w:color w:val="auto"/>
                <w:szCs w:val="21"/>
                <w:highlight w:val="none"/>
              </w:rPr>
            </w:pP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7DD55DC">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A02061808</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133953D">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热水器</w:t>
            </w:r>
          </w:p>
        </w:tc>
        <w:tc>
          <w:tcPr>
            <w:tcW w:w="584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2F12777">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3883E60F">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威凯认证检测有限公司</w:t>
            </w:r>
          </w:p>
          <w:p w14:paraId="371DA185">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中家院（北京）检测认证有限公司</w:t>
            </w:r>
          </w:p>
          <w:p w14:paraId="06CA3D84">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合肥通用机械产品认证有限公司(范围仅限于“热泵热水器”)</w:t>
            </w:r>
          </w:p>
        </w:tc>
      </w:tr>
      <w:tr w14:paraId="632966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737"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707D306E">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DB7E0B4">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A020619</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2340CDD">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照明设备</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1DE7253">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　</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DD48D2E">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　</w:t>
            </w:r>
          </w:p>
        </w:tc>
        <w:tc>
          <w:tcPr>
            <w:tcW w:w="584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E38EBF0">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18C038F2">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深圳市计量质量检测研究院</w:t>
            </w:r>
          </w:p>
          <w:p w14:paraId="21555EFA">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中标合信（北京）认证有限公司</w:t>
            </w:r>
          </w:p>
        </w:tc>
      </w:tr>
      <w:tr w14:paraId="447B5B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419"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463EBFA6">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04B12BA">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A020910</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B1A5818">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电视设备</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CB24133">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A02091001</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D7C0903">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普通电视设备（电视机）</w:t>
            </w:r>
          </w:p>
        </w:tc>
        <w:tc>
          <w:tcPr>
            <w:tcW w:w="5844"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A727682">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64391877">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北京泰瑞特认证有限责任公司</w:t>
            </w:r>
          </w:p>
          <w:p w14:paraId="7D6C72C1">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广州赛宝认证中心服务有限公司</w:t>
            </w:r>
          </w:p>
        </w:tc>
      </w:tr>
      <w:tr w14:paraId="18364F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30" w:type="dxa"/>
            <w:bottom w:w="30" w:type="dxa"/>
            <w:right w:w="30" w:type="dxa"/>
          </w:tblCellMar>
        </w:tblPrEx>
        <w:trPr>
          <w:trHeight w:val="410"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4B604B19">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82DEE53">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A020911</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51CC3BD">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视频设备</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B8DFE7A">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A02091107</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1687FD5">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视频监控设备</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0FD15B3">
            <w:pPr>
              <w:rPr>
                <w:rFonts w:ascii="宋体" w:hAnsi="宋体" w:cs="宋体"/>
                <w:color w:val="auto"/>
                <w:szCs w:val="21"/>
                <w:highlight w:val="none"/>
              </w:rPr>
            </w:pPr>
          </w:p>
        </w:tc>
      </w:tr>
      <w:tr w14:paraId="439815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775"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769B0C37">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530838E">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A031210</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133B5E1">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饮食炊事机械</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7D543AA">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　</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B91C32D">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　</w:t>
            </w:r>
          </w:p>
        </w:tc>
        <w:tc>
          <w:tcPr>
            <w:tcW w:w="584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1F956D7">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25852024">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北京鉴衡认证中心</w:t>
            </w:r>
          </w:p>
          <w:p w14:paraId="7F2EDB18">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中国市政工程华北设计研究总院有限公司</w:t>
            </w:r>
          </w:p>
        </w:tc>
      </w:tr>
      <w:tr w14:paraId="261FF4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30" w:type="dxa"/>
            <w:bottom w:w="30" w:type="dxa"/>
            <w:right w:w="30" w:type="dxa"/>
          </w:tblCellMar>
        </w:tblPrEx>
        <w:trPr>
          <w:trHeight w:val="284"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3C82FA0A">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7BF13B9">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A060805</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8645BA0">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便器</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D1BE489">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　</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21B4CB0">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　</w:t>
            </w:r>
          </w:p>
        </w:tc>
        <w:tc>
          <w:tcPr>
            <w:tcW w:w="5844"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C59CB83">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0BE136B0">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北京新华节水产品认证有限公司</w:t>
            </w:r>
          </w:p>
          <w:p w14:paraId="59FBA619">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方圆标志认证集团有限公司</w:t>
            </w:r>
          </w:p>
        </w:tc>
      </w:tr>
      <w:tr w14:paraId="08153C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30" w:type="dxa"/>
            <w:bottom w:w="30" w:type="dxa"/>
            <w:right w:w="30" w:type="dxa"/>
          </w:tblCellMar>
        </w:tblPrEx>
        <w:trPr>
          <w:trHeight w:val="284"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32FBA59D">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B0D340D">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A060806</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492C385">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水嘴</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D639544">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　</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0622447">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　</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01671B6">
            <w:pPr>
              <w:rPr>
                <w:rFonts w:ascii="宋体" w:hAnsi="宋体" w:cs="宋体"/>
                <w:color w:val="auto"/>
                <w:szCs w:val="21"/>
                <w:highlight w:val="none"/>
              </w:rPr>
            </w:pPr>
          </w:p>
        </w:tc>
      </w:tr>
      <w:tr w14:paraId="5B68C3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30" w:type="dxa"/>
            <w:bottom w:w="30" w:type="dxa"/>
            <w:right w:w="30" w:type="dxa"/>
          </w:tblCellMar>
        </w:tblPrEx>
        <w:trPr>
          <w:trHeight w:val="284"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31C35809">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E15148E">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A060807</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9C269C5">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便器冲洗阀</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26090C5">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　</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D9EA61D">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　</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A578A7E">
            <w:pPr>
              <w:rPr>
                <w:rFonts w:ascii="宋体" w:hAnsi="宋体" w:cs="宋体"/>
                <w:color w:val="auto"/>
                <w:szCs w:val="21"/>
                <w:highlight w:val="none"/>
              </w:rPr>
            </w:pPr>
          </w:p>
        </w:tc>
      </w:tr>
      <w:tr w14:paraId="661275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5D110F7D">
            <w:pPr>
              <w:widowControl/>
              <w:spacing w:before="75" w:after="330" w:line="240" w:lineRule="atLeas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28C08D9">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A060810</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13C4FE4">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淋浴器</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1D19667">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　</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083A637">
            <w:pPr>
              <w:widowControl/>
              <w:spacing w:before="75" w:after="330" w:line="240" w:lineRule="atLeast"/>
              <w:jc w:val="lef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　</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58C652E">
            <w:pPr>
              <w:rPr>
                <w:rFonts w:ascii="宋体" w:hAnsi="宋体" w:cs="宋体"/>
                <w:color w:val="auto"/>
                <w:szCs w:val="21"/>
                <w:highlight w:val="none"/>
              </w:rPr>
            </w:pPr>
          </w:p>
        </w:tc>
      </w:tr>
    </w:tbl>
    <w:p w14:paraId="6D22FC52">
      <w:pPr>
        <w:widowControl/>
        <w:shd w:val="clear" w:color="auto" w:fill="FFFFFF"/>
        <w:spacing w:before="75" w:after="330"/>
        <w:jc w:val="center"/>
        <w:textAlignment w:val="baseline"/>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 </w:t>
      </w:r>
    </w:p>
    <w:p w14:paraId="7236D77D">
      <w:pPr>
        <w:widowControl/>
        <w:shd w:val="clear" w:color="auto" w:fill="FFFFFF"/>
        <w:spacing w:before="75" w:after="330"/>
        <w:jc w:val="center"/>
        <w:textAlignment w:val="baseline"/>
        <w:rPr>
          <w:rFonts w:ascii="宋体" w:hAnsi="宋体" w:cs="宋体"/>
          <w:color w:val="auto"/>
          <w:sz w:val="24"/>
          <w:highlight w:val="none"/>
        </w:rPr>
      </w:pPr>
      <w:r>
        <w:rPr>
          <w:rFonts w:hint="eastAsia" w:ascii="宋体" w:hAnsi="宋体" w:cs="宋体"/>
          <w:color w:val="auto"/>
          <w:kern w:val="0"/>
          <w:sz w:val="28"/>
          <w:szCs w:val="28"/>
          <w:highlight w:val="none"/>
          <w:shd w:val="clear" w:color="auto" w:fill="FFFFFF"/>
          <w:lang w:bidi="ar"/>
        </w:rPr>
        <w:t>参与实施政府采购环境标志产品认证机构名录</w:t>
      </w:r>
      <w:r>
        <w:rPr>
          <w:rFonts w:hint="eastAsia" w:ascii="宋体" w:hAnsi="宋体" w:cs="宋体"/>
          <w:color w:val="auto"/>
          <w:kern w:val="0"/>
          <w:sz w:val="24"/>
          <w:highlight w:val="none"/>
          <w:shd w:val="clear" w:color="auto" w:fill="FFFFFF"/>
          <w:lang w:bidi="ar"/>
        </w:rPr>
        <w:t> </w:t>
      </w:r>
    </w:p>
    <w:tbl>
      <w:tblPr>
        <w:tblStyle w:val="17"/>
        <w:tblW w:w="0" w:type="auto"/>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30" w:type="dxa"/>
          <w:bottom w:w="30" w:type="dxa"/>
          <w:right w:w="30" w:type="dxa"/>
        </w:tblCellMar>
      </w:tblPr>
      <w:tblGrid>
        <w:gridCol w:w="696"/>
        <w:gridCol w:w="2137"/>
        <w:gridCol w:w="6079"/>
      </w:tblGrid>
      <w:tr w14:paraId="7415C2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434" w:hRule="atLeast"/>
        </w:trPr>
        <w:tc>
          <w:tcPr>
            <w:tcW w:w="866" w:type="dxa"/>
            <w:tcBorders>
              <w:top w:val="single" w:color="auto" w:sz="8" w:space="0"/>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3CF5C06F">
            <w:pPr>
              <w:widowControl/>
              <w:spacing w:before="75" w:after="330" w:line="240" w:lineRule="atLeast"/>
              <w:jc w:val="center"/>
              <w:textAlignment w:val="baseline"/>
              <w:rPr>
                <w:rFonts w:ascii="宋体" w:hAnsi="宋体" w:cs="宋体"/>
                <w:color w:val="auto"/>
                <w:highlight w:val="none"/>
              </w:rPr>
            </w:pPr>
            <w:r>
              <w:rPr>
                <w:rFonts w:hint="eastAsia" w:ascii="宋体" w:hAnsi="宋体" w:cs="宋体"/>
                <w:color w:val="auto"/>
                <w:kern w:val="0"/>
                <w:sz w:val="24"/>
                <w:highlight w:val="none"/>
                <w:lang w:bidi="ar"/>
              </w:rPr>
              <w:t>序号</w:t>
            </w:r>
          </w:p>
        </w:tc>
        <w:tc>
          <w:tcPr>
            <w:tcW w:w="3326" w:type="dxa"/>
            <w:tcBorders>
              <w:top w:val="single" w:color="auto" w:sz="8" w:space="0"/>
              <w:left w:val="nil"/>
              <w:bottom w:val="single" w:color="auto" w:sz="8" w:space="0"/>
              <w:right w:val="single" w:color="auto" w:sz="8" w:space="0"/>
            </w:tcBorders>
            <w:shd w:val="clear" w:color="auto" w:fill="FFFFFF"/>
            <w:tcMar>
              <w:left w:w="108" w:type="dxa"/>
              <w:bottom w:w="0" w:type="dxa"/>
              <w:right w:w="108" w:type="dxa"/>
            </w:tcMar>
            <w:vAlign w:val="center"/>
          </w:tcPr>
          <w:p w14:paraId="3AE43D10">
            <w:pPr>
              <w:widowControl/>
              <w:spacing w:before="75" w:after="330" w:line="240" w:lineRule="atLeast"/>
              <w:jc w:val="center"/>
              <w:textAlignment w:val="baseline"/>
              <w:rPr>
                <w:rFonts w:ascii="宋体" w:hAnsi="宋体" w:cs="宋体"/>
                <w:color w:val="auto"/>
                <w:highlight w:val="none"/>
              </w:rPr>
            </w:pPr>
            <w:r>
              <w:rPr>
                <w:rFonts w:hint="eastAsia" w:ascii="宋体" w:hAnsi="宋体" w:cs="宋体"/>
                <w:color w:val="auto"/>
                <w:kern w:val="0"/>
                <w:sz w:val="24"/>
                <w:highlight w:val="none"/>
                <w:lang w:bidi="ar"/>
              </w:rPr>
              <w:t>目录</w:t>
            </w:r>
          </w:p>
        </w:tc>
        <w:tc>
          <w:tcPr>
            <w:tcW w:w="9889" w:type="dxa"/>
            <w:tcBorders>
              <w:top w:val="single" w:color="auto" w:sz="8" w:space="0"/>
              <w:left w:val="nil"/>
              <w:bottom w:val="single" w:color="auto" w:sz="8" w:space="0"/>
              <w:right w:val="single" w:color="auto" w:sz="8" w:space="0"/>
            </w:tcBorders>
            <w:shd w:val="clear" w:color="auto" w:fill="FFFFFF"/>
            <w:tcMar>
              <w:left w:w="108" w:type="dxa"/>
              <w:bottom w:w="0" w:type="dxa"/>
              <w:right w:w="108" w:type="dxa"/>
            </w:tcMar>
            <w:vAlign w:val="center"/>
          </w:tcPr>
          <w:p w14:paraId="61076760">
            <w:pPr>
              <w:widowControl/>
              <w:spacing w:before="75" w:after="330" w:line="240" w:lineRule="atLeast"/>
              <w:jc w:val="center"/>
              <w:textAlignment w:val="baseline"/>
              <w:rPr>
                <w:rFonts w:ascii="宋体" w:hAnsi="宋体" w:cs="宋体"/>
                <w:color w:val="auto"/>
                <w:highlight w:val="none"/>
              </w:rPr>
            </w:pPr>
            <w:r>
              <w:rPr>
                <w:rFonts w:hint="eastAsia" w:ascii="宋体" w:hAnsi="宋体" w:cs="宋体"/>
                <w:color w:val="auto"/>
                <w:kern w:val="0"/>
                <w:sz w:val="24"/>
                <w:highlight w:val="none"/>
                <w:lang w:bidi="ar"/>
              </w:rPr>
              <w:t>认证机构名录</w:t>
            </w:r>
          </w:p>
        </w:tc>
      </w:tr>
      <w:tr w14:paraId="256869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861"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01D4FADC">
            <w:pPr>
              <w:widowControl/>
              <w:spacing w:before="75" w:after="330" w:line="240" w:lineRule="atLeast"/>
              <w:jc w:val="center"/>
              <w:textAlignment w:val="baseline"/>
              <w:rPr>
                <w:rFonts w:ascii="宋体" w:hAnsi="宋体" w:cs="宋体"/>
                <w:color w:val="auto"/>
                <w:highlight w:val="none"/>
              </w:rPr>
            </w:pPr>
            <w:r>
              <w:rPr>
                <w:rFonts w:hint="eastAsia" w:ascii="宋体" w:hAnsi="宋体" w:cs="宋体"/>
                <w:color w:val="auto"/>
                <w:kern w:val="0"/>
                <w:sz w:val="24"/>
                <w:highlight w:val="none"/>
                <w:lang w:bidi="ar"/>
              </w:rPr>
              <w:t>1</w:t>
            </w:r>
          </w:p>
        </w:tc>
        <w:tc>
          <w:tcPr>
            <w:tcW w:w="3326"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2A86B6A">
            <w:pPr>
              <w:widowControl/>
              <w:spacing w:before="75" w:after="330" w:line="240" w:lineRule="atLeast"/>
              <w:jc w:val="center"/>
              <w:textAlignment w:val="baseline"/>
              <w:rPr>
                <w:rFonts w:ascii="宋体" w:hAnsi="宋体" w:cs="宋体"/>
                <w:color w:val="auto"/>
                <w:highlight w:val="none"/>
              </w:rPr>
            </w:pPr>
            <w:r>
              <w:rPr>
                <w:rFonts w:hint="eastAsia" w:ascii="宋体" w:hAnsi="宋体" w:cs="宋体"/>
                <w:color w:val="auto"/>
                <w:kern w:val="0"/>
                <w:sz w:val="24"/>
                <w:highlight w:val="none"/>
                <w:lang w:bidi="ar"/>
              </w:rPr>
              <w:t>环境标志产品</w:t>
            </w:r>
          </w:p>
        </w:tc>
        <w:tc>
          <w:tcPr>
            <w:tcW w:w="9889"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22DA2C4">
            <w:pPr>
              <w:widowControl/>
              <w:spacing w:before="75" w:after="330" w:line="240" w:lineRule="atLeast"/>
              <w:jc w:val="center"/>
              <w:textAlignment w:val="baseline"/>
              <w:rPr>
                <w:rFonts w:ascii="宋体" w:hAnsi="宋体" w:cs="宋体"/>
                <w:color w:val="auto"/>
                <w:highlight w:val="none"/>
              </w:rPr>
            </w:pPr>
            <w:r>
              <w:rPr>
                <w:rFonts w:hint="eastAsia" w:ascii="宋体" w:hAnsi="宋体" w:cs="宋体"/>
                <w:color w:val="auto"/>
                <w:kern w:val="0"/>
                <w:sz w:val="24"/>
                <w:highlight w:val="none"/>
                <w:lang w:bidi="ar"/>
              </w:rPr>
              <w:t>中环联合（北京）认证中心有限公司</w:t>
            </w:r>
          </w:p>
          <w:p w14:paraId="5BCA2134">
            <w:pPr>
              <w:widowControl/>
              <w:spacing w:before="75" w:after="330" w:line="240" w:lineRule="atLeast"/>
              <w:jc w:val="center"/>
              <w:textAlignment w:val="baseline"/>
              <w:rPr>
                <w:rFonts w:ascii="宋体" w:hAnsi="宋体" w:cs="宋体"/>
                <w:color w:val="auto"/>
                <w:highlight w:val="none"/>
              </w:rPr>
            </w:pPr>
            <w:r>
              <w:rPr>
                <w:rFonts w:hint="eastAsia" w:ascii="宋体" w:hAnsi="宋体" w:cs="宋体"/>
                <w:color w:val="auto"/>
                <w:kern w:val="0"/>
                <w:sz w:val="24"/>
                <w:highlight w:val="none"/>
                <w:lang w:bidi="ar"/>
              </w:rPr>
              <w:t>中标合信（北京）认证有限公司</w:t>
            </w:r>
          </w:p>
          <w:p w14:paraId="7468A639">
            <w:pPr>
              <w:widowControl/>
              <w:spacing w:before="75" w:after="330" w:line="240" w:lineRule="atLeast"/>
              <w:jc w:val="center"/>
              <w:textAlignment w:val="baseline"/>
              <w:rPr>
                <w:rFonts w:ascii="宋体" w:hAnsi="宋体" w:cs="宋体"/>
                <w:color w:val="auto"/>
                <w:highlight w:val="none"/>
              </w:rPr>
            </w:pPr>
            <w:r>
              <w:rPr>
                <w:rFonts w:hint="eastAsia" w:ascii="宋体" w:hAnsi="宋体" w:cs="宋体"/>
                <w:color w:val="auto"/>
                <w:kern w:val="0"/>
                <w:sz w:val="24"/>
                <w:highlight w:val="none"/>
                <w:lang w:bidi="ar"/>
              </w:rPr>
              <w:t>中环协（北京）认证中心</w:t>
            </w:r>
          </w:p>
          <w:p w14:paraId="6DBDCCD8">
            <w:pPr>
              <w:widowControl/>
              <w:spacing w:before="75" w:after="330" w:line="240" w:lineRule="atLeast"/>
              <w:jc w:val="center"/>
              <w:textAlignment w:val="baseline"/>
              <w:rPr>
                <w:rFonts w:ascii="宋体" w:hAnsi="宋体" w:cs="宋体"/>
                <w:color w:val="auto"/>
                <w:highlight w:val="none"/>
              </w:rPr>
            </w:pPr>
            <w:r>
              <w:rPr>
                <w:rFonts w:hint="eastAsia" w:ascii="宋体" w:hAnsi="宋体" w:cs="宋体"/>
                <w:color w:val="auto"/>
                <w:kern w:val="0"/>
                <w:sz w:val="24"/>
                <w:highlight w:val="none"/>
                <w:lang w:bidi="ar"/>
              </w:rPr>
              <w:t>天津华诚认证有限公司</w:t>
            </w:r>
          </w:p>
        </w:tc>
      </w:tr>
    </w:tbl>
    <w:p w14:paraId="319C083C">
      <w:pPr>
        <w:pStyle w:val="14"/>
        <w:spacing w:before="0" w:beforeAutospacing="0" w:after="0" w:afterAutospacing="0" w:line="560" w:lineRule="atLeast"/>
        <w:jc w:val="both"/>
        <w:textAlignment w:val="baseline"/>
        <w:rPr>
          <w:rFonts w:ascii="仿宋" w:hAnsi="仿宋" w:eastAsia="仿宋" w:cs="仿宋"/>
          <w:color w:val="auto"/>
          <w:sz w:val="28"/>
          <w:szCs w:val="28"/>
          <w:highlight w:val="none"/>
          <w:shd w:val="clear" w:color="auto" w:fill="FFFFFF"/>
        </w:rPr>
      </w:pPr>
    </w:p>
    <w:p w14:paraId="59ED82F0">
      <w:pPr>
        <w:rPr>
          <w:color w:val="auto"/>
          <w:highlight w:val="none"/>
        </w:rPr>
      </w:pPr>
    </w:p>
    <w:sectPr>
      <w:pgSz w:w="11906" w:h="16838"/>
      <w:pgMar w:top="1276" w:right="1983" w:bottom="1276" w:left="1134" w:header="426"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Helvetica">
    <w:altName w:val="Arial"/>
    <w:panose1 w:val="020B0504020202020204"/>
    <w:charset w:val="00"/>
    <w:family w:val="swiss"/>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E1131">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C26D7">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2D260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14:paraId="42D260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2548143"/>
    </w:sdtPr>
    <w:sdtContent>
      <w:p w14:paraId="75376C62">
        <w:pPr>
          <w:pStyle w:val="11"/>
          <w:ind w:firstLine="353"/>
          <w:jc w:val="center"/>
        </w:pPr>
        <w:r>
          <w:fldChar w:fldCharType="begin"/>
        </w:r>
        <w:r>
          <w:instrText xml:space="preserve">PAGE   \* MERGEFORMAT</w:instrText>
        </w:r>
        <w:r>
          <w:fldChar w:fldCharType="separate"/>
        </w:r>
        <w:r>
          <w:rPr>
            <w:lang w:val="zh-CN"/>
          </w:rPr>
          <w:t>12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F99AC">
    <w:pPr>
      <w:pStyle w:val="11"/>
      <w:framePr w:wrap="around" w:vAnchor="text" w:hAnchor="margin" w:xAlign="outside" w:y="1"/>
      <w:ind w:firstLine="353"/>
      <w:rPr>
        <w:rStyle w:val="20"/>
      </w:rPr>
    </w:pPr>
    <w:r>
      <w:fldChar w:fldCharType="begin"/>
    </w:r>
    <w:r>
      <w:rPr>
        <w:rStyle w:val="20"/>
      </w:rPr>
      <w:instrText xml:space="preserve">PAGE  </w:instrText>
    </w:r>
    <w:r>
      <w:fldChar w:fldCharType="end"/>
    </w:r>
  </w:p>
  <w:p w14:paraId="2AF71D93">
    <w:pPr>
      <w:pStyle w:val="11"/>
      <w:ind w:right="-50" w:firstLine="353"/>
    </w:pPr>
  </w:p>
  <w:p w14:paraId="65364BD2"/>
  <w:p w14:paraId="6F0792B3"/>
  <w:p w14:paraId="1093CDF3"/>
  <w:p w14:paraId="11508C91"/>
  <w:p w14:paraId="5A2D4D5F"/>
  <w:p w14:paraId="16FE2648"/>
  <w:p w14:paraId="2F0F59CB"/>
  <w:p w14:paraId="7AF49F14"/>
  <w:p w14:paraId="1587B668"/>
  <w:p w14:paraId="126D7C3D"/>
  <w:p w14:paraId="0D43FC71"/>
  <w:p w14:paraId="04382B15"/>
  <w:p w14:paraId="79D988A9"/>
  <w:p w14:paraId="295CB8E7"/>
  <w:p w14:paraId="652E32FC"/>
  <w:p w14:paraId="3866C8CF"/>
  <w:p w14:paraId="5A32902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D7B2C">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3A6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5EF78"/>
    <w:multiLevelType w:val="singleLevel"/>
    <w:tmpl w:val="9B65EF78"/>
    <w:lvl w:ilvl="0" w:tentative="0">
      <w:start w:val="3"/>
      <w:numFmt w:val="decimal"/>
      <w:suff w:val="nothing"/>
      <w:lvlText w:val="（%1）"/>
      <w:lvlJc w:val="left"/>
    </w:lvl>
  </w:abstractNum>
  <w:abstractNum w:abstractNumId="1">
    <w:nsid w:val="FF28F1BC"/>
    <w:multiLevelType w:val="singleLevel"/>
    <w:tmpl w:val="FF28F1BC"/>
    <w:lvl w:ilvl="0" w:tentative="0">
      <w:start w:val="1"/>
      <w:numFmt w:val="decimal"/>
      <w:pStyle w:val="6"/>
      <w:lvlText w:val="%1."/>
      <w:lvlJc w:val="left"/>
      <w:pPr>
        <w:tabs>
          <w:tab w:val="left" w:pos="360"/>
        </w:tabs>
        <w:ind w:left="360" w:hanging="360"/>
      </w:pPr>
    </w:lvl>
  </w:abstractNum>
  <w:abstractNum w:abstractNumId="2">
    <w:nsid w:val="380379F0"/>
    <w:multiLevelType w:val="singleLevel"/>
    <w:tmpl w:val="380379F0"/>
    <w:lvl w:ilvl="0" w:tentative="0">
      <w:start w:val="1"/>
      <w:numFmt w:val="japaneseCounting"/>
      <w:lvlText w:val="第%1条"/>
      <w:lvlJc w:val="left"/>
      <w:pPr>
        <w:tabs>
          <w:tab w:val="left" w:pos="1695"/>
        </w:tabs>
        <w:ind w:left="1695" w:hanging="1125"/>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B27"/>
    <w:rsid w:val="000018BC"/>
    <w:rsid w:val="001070FE"/>
    <w:rsid w:val="001232B8"/>
    <w:rsid w:val="001946DA"/>
    <w:rsid w:val="001C7AA4"/>
    <w:rsid w:val="00237A8E"/>
    <w:rsid w:val="00246CCF"/>
    <w:rsid w:val="00254F45"/>
    <w:rsid w:val="002910AA"/>
    <w:rsid w:val="002924B5"/>
    <w:rsid w:val="002A5EC8"/>
    <w:rsid w:val="002A74D7"/>
    <w:rsid w:val="002D3664"/>
    <w:rsid w:val="002F518D"/>
    <w:rsid w:val="00312C61"/>
    <w:rsid w:val="00355279"/>
    <w:rsid w:val="00371E16"/>
    <w:rsid w:val="003C42B1"/>
    <w:rsid w:val="00402001"/>
    <w:rsid w:val="004424CE"/>
    <w:rsid w:val="00451DE1"/>
    <w:rsid w:val="004D133E"/>
    <w:rsid w:val="00505A8D"/>
    <w:rsid w:val="005327B9"/>
    <w:rsid w:val="005A7FF9"/>
    <w:rsid w:val="005D19C0"/>
    <w:rsid w:val="005D1B78"/>
    <w:rsid w:val="005F58DE"/>
    <w:rsid w:val="00611B27"/>
    <w:rsid w:val="006307E6"/>
    <w:rsid w:val="00663085"/>
    <w:rsid w:val="00665B27"/>
    <w:rsid w:val="006678FC"/>
    <w:rsid w:val="0069285F"/>
    <w:rsid w:val="006B5774"/>
    <w:rsid w:val="006E4C9B"/>
    <w:rsid w:val="006E7932"/>
    <w:rsid w:val="0072507F"/>
    <w:rsid w:val="00766315"/>
    <w:rsid w:val="007931DF"/>
    <w:rsid w:val="007B4D24"/>
    <w:rsid w:val="007E2960"/>
    <w:rsid w:val="0081350A"/>
    <w:rsid w:val="00850110"/>
    <w:rsid w:val="008662AD"/>
    <w:rsid w:val="00874C46"/>
    <w:rsid w:val="008A30C9"/>
    <w:rsid w:val="008C2E9B"/>
    <w:rsid w:val="008C2F38"/>
    <w:rsid w:val="008E752C"/>
    <w:rsid w:val="008F61DF"/>
    <w:rsid w:val="00A06FA4"/>
    <w:rsid w:val="00A230B3"/>
    <w:rsid w:val="00A36E07"/>
    <w:rsid w:val="00A52D49"/>
    <w:rsid w:val="00AA40D2"/>
    <w:rsid w:val="00AC0E44"/>
    <w:rsid w:val="00AD296A"/>
    <w:rsid w:val="00B21A0C"/>
    <w:rsid w:val="00B60DCF"/>
    <w:rsid w:val="00B70022"/>
    <w:rsid w:val="00BC7739"/>
    <w:rsid w:val="00BD58A2"/>
    <w:rsid w:val="00BE36B9"/>
    <w:rsid w:val="00C14643"/>
    <w:rsid w:val="00C66846"/>
    <w:rsid w:val="00C764D8"/>
    <w:rsid w:val="00C80CB2"/>
    <w:rsid w:val="00CB5FD7"/>
    <w:rsid w:val="00CC044E"/>
    <w:rsid w:val="00CC0AE1"/>
    <w:rsid w:val="00CE0976"/>
    <w:rsid w:val="00CF5184"/>
    <w:rsid w:val="00D3257C"/>
    <w:rsid w:val="00D65B6B"/>
    <w:rsid w:val="00D86C9A"/>
    <w:rsid w:val="00D91165"/>
    <w:rsid w:val="00D912CC"/>
    <w:rsid w:val="00D94233"/>
    <w:rsid w:val="00DE763E"/>
    <w:rsid w:val="00DE76DF"/>
    <w:rsid w:val="00DF1797"/>
    <w:rsid w:val="00E02CBF"/>
    <w:rsid w:val="00E455E4"/>
    <w:rsid w:val="00E81A0A"/>
    <w:rsid w:val="00EA352D"/>
    <w:rsid w:val="00EB1234"/>
    <w:rsid w:val="00EB3382"/>
    <w:rsid w:val="00ED7832"/>
    <w:rsid w:val="00EF4795"/>
    <w:rsid w:val="00F02776"/>
    <w:rsid w:val="00F444C5"/>
    <w:rsid w:val="00FB1AB5"/>
    <w:rsid w:val="00FD00FE"/>
    <w:rsid w:val="00FD72F2"/>
    <w:rsid w:val="00FF3A0F"/>
    <w:rsid w:val="0C187374"/>
    <w:rsid w:val="11857FDE"/>
    <w:rsid w:val="21130FE1"/>
    <w:rsid w:val="2BCA6741"/>
    <w:rsid w:val="37571C7D"/>
    <w:rsid w:val="45F90BFD"/>
    <w:rsid w:val="46081EE8"/>
    <w:rsid w:val="4A77763C"/>
    <w:rsid w:val="69CA7330"/>
    <w:rsid w:val="73726A6F"/>
    <w:rsid w:val="7DC12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20" w:after="20" w:line="360" w:lineRule="auto"/>
      <w:jc w:val="center"/>
      <w:outlineLvl w:val="0"/>
    </w:pPr>
    <w:rPr>
      <w:b/>
      <w:bCs/>
      <w:color w:val="000000" w:themeColor="text1"/>
      <w:kern w:val="44"/>
      <w:sz w:val="24"/>
      <w:szCs w:val="44"/>
      <w14:textFill>
        <w14:solidFill>
          <w14:schemeClr w14:val="tx1"/>
        </w14:solidFill>
      </w14:textFill>
    </w:rPr>
  </w:style>
  <w:style w:type="paragraph" w:styleId="5">
    <w:name w:val="heading 2"/>
    <w:basedOn w:val="1"/>
    <w:next w:val="1"/>
    <w:link w:val="3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280" w:firstLineChars="100"/>
      <w:jc w:val="center"/>
    </w:pPr>
  </w:style>
  <w:style w:type="paragraph" w:styleId="3">
    <w:name w:val="Body Text"/>
    <w:basedOn w:val="1"/>
    <w:qFormat/>
    <w:uiPriority w:val="0"/>
    <w:pPr>
      <w:spacing w:after="120"/>
    </w:pPr>
    <w:rPr>
      <w:rFonts w:ascii="Calibri" w:hAnsi="Calibri"/>
      <w:kern w:val="0"/>
      <w:sz w:val="28"/>
    </w:rPr>
  </w:style>
  <w:style w:type="paragraph" w:styleId="6">
    <w:name w:val="List Number"/>
    <w:basedOn w:val="1"/>
    <w:qFormat/>
    <w:uiPriority w:val="0"/>
    <w:pPr>
      <w:numPr>
        <w:ilvl w:val="0"/>
        <w:numId w:val="1"/>
      </w:numPr>
    </w:pPr>
  </w:style>
  <w:style w:type="paragraph" w:styleId="7">
    <w:name w:val="annotation text"/>
    <w:basedOn w:val="1"/>
    <w:link w:val="35"/>
    <w:semiHidden/>
    <w:unhideWhenUsed/>
    <w:qFormat/>
    <w:uiPriority w:val="0"/>
    <w:pPr>
      <w:jc w:val="left"/>
    </w:pPr>
  </w:style>
  <w:style w:type="paragraph" w:styleId="8">
    <w:name w:val="Body Text Indent"/>
    <w:basedOn w:val="1"/>
    <w:unhideWhenUsed/>
    <w:qFormat/>
    <w:uiPriority w:val="99"/>
    <w:pPr>
      <w:spacing w:after="120"/>
      <w:ind w:left="420" w:leftChars="200"/>
    </w:pPr>
    <w:rPr>
      <w:kern w:val="0"/>
      <w:sz w:val="20"/>
    </w:rPr>
  </w:style>
  <w:style w:type="paragraph" w:styleId="9">
    <w:name w:val="Plain Text"/>
    <w:basedOn w:val="1"/>
    <w:qFormat/>
    <w:uiPriority w:val="0"/>
    <w:pPr>
      <w:snapToGrid w:val="0"/>
      <w:spacing w:line="360" w:lineRule="auto"/>
      <w:ind w:firstLine="420" w:firstLineChars="200"/>
      <w:contextualSpacing/>
      <w:jc w:val="left"/>
    </w:pPr>
    <w:rPr>
      <w:rFonts w:ascii="宋体" w:hAnsi="宋体" w:cs="宋体"/>
      <w:kern w:val="0"/>
      <w:szCs w:val="21"/>
    </w:rPr>
  </w:style>
  <w:style w:type="paragraph" w:styleId="10">
    <w:name w:val="Balloon Text"/>
    <w:basedOn w:val="1"/>
    <w:link w:val="34"/>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39"/>
    <w:pPr>
      <w:tabs>
        <w:tab w:val="right" w:leader="dot" w:pos="8846"/>
      </w:tabs>
      <w:spacing w:line="360" w:lineRule="auto"/>
    </w:pPr>
  </w:style>
  <w:style w:type="paragraph" w:styleId="14">
    <w:name w:val="Normal (Web)"/>
    <w:basedOn w:val="1"/>
    <w:qFormat/>
    <w:uiPriority w:val="0"/>
    <w:pPr>
      <w:widowControl/>
      <w:spacing w:before="100" w:beforeAutospacing="1" w:after="100" w:afterAutospacing="1" w:line="300" w:lineRule="atLeast"/>
      <w:jc w:val="left"/>
    </w:pPr>
    <w:rPr>
      <w:rFonts w:ascii="宋体" w:hAnsi="宋体" w:cs="宋体"/>
      <w:kern w:val="0"/>
      <w:sz w:val="24"/>
    </w:rPr>
  </w:style>
  <w:style w:type="paragraph" w:styleId="15">
    <w:name w:val="Title"/>
    <w:basedOn w:val="1"/>
    <w:qFormat/>
    <w:uiPriority w:val="0"/>
    <w:pPr>
      <w:spacing w:before="240" w:after="60"/>
      <w:jc w:val="center"/>
      <w:outlineLvl w:val="0"/>
    </w:pPr>
    <w:rPr>
      <w:rFonts w:ascii="Arial" w:hAnsi="Arial" w:eastAsia="仿宋_GB2312"/>
      <w:b/>
      <w:bCs/>
      <w:kern w:val="0"/>
      <w:sz w:val="36"/>
      <w:szCs w:val="32"/>
    </w:rPr>
  </w:style>
  <w:style w:type="paragraph" w:styleId="16">
    <w:name w:val="annotation subject"/>
    <w:basedOn w:val="7"/>
    <w:next w:val="7"/>
    <w:link w:val="36"/>
    <w:semiHidden/>
    <w:unhideWhenUsed/>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color w:val="0000FF"/>
      <w:u w:val="single"/>
    </w:rPr>
  </w:style>
  <w:style w:type="character" w:styleId="22">
    <w:name w:val="annotation reference"/>
    <w:basedOn w:val="19"/>
    <w:semiHidden/>
    <w:unhideWhenUsed/>
    <w:qFormat/>
    <w:uiPriority w:val="0"/>
    <w:rPr>
      <w:sz w:val="21"/>
      <w:szCs w:val="21"/>
    </w:rPr>
  </w:style>
  <w:style w:type="paragraph" w:customStyle="1" w:styleId="23">
    <w:name w:val="TOC 标题1"/>
    <w:basedOn w:val="4"/>
    <w:next w:val="1"/>
    <w:autoRedefine/>
    <w:qFormat/>
    <w:uiPriority w:val="0"/>
    <w:pPr>
      <w:outlineLvl w:val="9"/>
    </w:pPr>
  </w:style>
  <w:style w:type="paragraph" w:customStyle="1" w:styleId="24">
    <w:name w:val="须知二级小标题"/>
    <w:basedOn w:val="1"/>
    <w:autoRedefine/>
    <w:qFormat/>
    <w:uiPriority w:val="0"/>
    <w:pPr>
      <w:spacing w:line="500" w:lineRule="exact"/>
    </w:pPr>
    <w:rPr>
      <w:rFonts w:ascii="宋体"/>
      <w:b/>
      <w:sz w:val="24"/>
      <w:szCs w:val="20"/>
    </w:rPr>
  </w:style>
  <w:style w:type="character" w:customStyle="1" w:styleId="25">
    <w:name w:val="fontstyle01"/>
    <w:autoRedefine/>
    <w:qFormat/>
    <w:uiPriority w:val="0"/>
    <w:rPr>
      <w:rFonts w:hint="eastAsia" w:ascii="宋体" w:hAnsi="宋体" w:eastAsia="宋体"/>
      <w:color w:val="000000"/>
      <w:sz w:val="22"/>
      <w:szCs w:val="22"/>
    </w:rPr>
  </w:style>
  <w:style w:type="paragraph" w:customStyle="1" w:styleId="26">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7">
    <w:name w:val="正文段"/>
    <w:basedOn w:val="1"/>
    <w:autoRedefine/>
    <w:qFormat/>
    <w:uiPriority w:val="0"/>
    <w:pPr>
      <w:widowControl/>
      <w:snapToGrid w:val="0"/>
      <w:spacing w:afterLines="50"/>
      <w:ind w:firstLine="200" w:firstLineChars="200"/>
    </w:pPr>
    <w:rPr>
      <w:kern w:val="0"/>
      <w:sz w:val="24"/>
      <w:szCs w:val="20"/>
    </w:rPr>
  </w:style>
  <w:style w:type="paragraph" w:customStyle="1" w:styleId="28">
    <w:name w:val="D&amp;L"/>
    <w:basedOn w:val="12"/>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styleId="29">
    <w:name w:val="List Paragraph"/>
    <w:basedOn w:val="1"/>
    <w:autoRedefine/>
    <w:qFormat/>
    <w:uiPriority w:val="0"/>
    <w:pPr>
      <w:spacing w:line="360" w:lineRule="auto"/>
      <w:ind w:firstLine="632" w:firstLineChars="300"/>
      <w:jc w:val="left"/>
    </w:pPr>
    <w:rPr>
      <w:rFonts w:ascii="宋体" w:hAnsi="宋体" w:cs="宋体"/>
      <w:b/>
      <w:bCs/>
      <w:kern w:val="0"/>
      <w:szCs w:val="28"/>
    </w:rPr>
  </w:style>
  <w:style w:type="paragraph" w:customStyle="1" w:styleId="30">
    <w:name w:val="须知小标题"/>
    <w:basedOn w:val="1"/>
    <w:autoRedefine/>
    <w:qFormat/>
    <w:uiPriority w:val="0"/>
    <w:pPr>
      <w:spacing w:line="500" w:lineRule="exact"/>
    </w:pPr>
    <w:rPr>
      <w:rFonts w:ascii="黑体" w:eastAsia="黑体" w:hAnsiTheme="minorHAnsi" w:cstheme="minorBidi"/>
      <w:b/>
      <w:sz w:val="28"/>
      <w:szCs w:val="20"/>
    </w:rPr>
  </w:style>
  <w:style w:type="paragraph" w:customStyle="1" w:styleId="31">
    <w:name w:val="Blockquote"/>
    <w:basedOn w:val="1"/>
    <w:autoRedefine/>
    <w:qFormat/>
    <w:uiPriority w:val="0"/>
    <w:pPr>
      <w:tabs>
        <w:tab w:val="left" w:pos="0"/>
      </w:tabs>
      <w:autoSpaceDE w:val="0"/>
      <w:autoSpaceDN w:val="0"/>
      <w:adjustRightInd w:val="0"/>
      <w:spacing w:line="360" w:lineRule="auto"/>
      <w:ind w:firstLine="425" w:firstLineChars="177"/>
      <w:jc w:val="left"/>
    </w:pPr>
    <w:rPr>
      <w:rFonts w:asciiTheme="minorHAnsi" w:hAnsiTheme="minorHAnsi" w:eastAsiaTheme="minorEastAsia" w:cstheme="minorBidi"/>
      <w:kern w:val="0"/>
      <w:sz w:val="24"/>
      <w:szCs w:val="20"/>
    </w:rPr>
  </w:style>
  <w:style w:type="paragraph" w:customStyle="1" w:styleId="32">
    <w:name w:val="表1"/>
    <w:basedOn w:val="1"/>
    <w:qFormat/>
    <w:uiPriority w:val="0"/>
    <w:pPr>
      <w:overflowPunct w:val="0"/>
      <w:autoSpaceDE w:val="0"/>
      <w:autoSpaceDN w:val="0"/>
      <w:adjustRightInd w:val="0"/>
      <w:spacing w:before="200" w:line="320" w:lineRule="atLeast"/>
      <w:textAlignment w:val="baseline"/>
    </w:pPr>
    <w:rPr>
      <w:kern w:val="0"/>
      <w:sz w:val="24"/>
      <w:szCs w:val="20"/>
    </w:rPr>
  </w:style>
  <w:style w:type="paragraph" w:customStyle="1" w:styleId="33">
    <w:name w:val="首行缩进"/>
    <w:basedOn w:val="1"/>
    <w:qFormat/>
    <w:uiPriority w:val="0"/>
    <w:pPr>
      <w:ind w:firstLine="480" w:firstLineChars="200"/>
    </w:pPr>
    <w:rPr>
      <w:szCs w:val="20"/>
      <w:lang w:val="zh-CN"/>
    </w:rPr>
  </w:style>
  <w:style w:type="character" w:customStyle="1" w:styleId="34">
    <w:name w:val="批注框文本 字符"/>
    <w:basedOn w:val="19"/>
    <w:link w:val="10"/>
    <w:qFormat/>
    <w:uiPriority w:val="0"/>
    <w:rPr>
      <w:rFonts w:ascii="Times New Roman" w:hAnsi="Times New Roman" w:eastAsia="宋体" w:cs="Times New Roman"/>
      <w:kern w:val="2"/>
      <w:sz w:val="18"/>
      <w:szCs w:val="18"/>
    </w:rPr>
  </w:style>
  <w:style w:type="character" w:customStyle="1" w:styleId="35">
    <w:name w:val="批注文字 字符"/>
    <w:basedOn w:val="19"/>
    <w:link w:val="7"/>
    <w:semiHidden/>
    <w:qFormat/>
    <w:uiPriority w:val="0"/>
    <w:rPr>
      <w:rFonts w:ascii="Times New Roman" w:hAnsi="Times New Roman" w:eastAsia="宋体" w:cs="Times New Roman"/>
      <w:kern w:val="2"/>
      <w:sz w:val="21"/>
      <w:szCs w:val="24"/>
    </w:rPr>
  </w:style>
  <w:style w:type="character" w:customStyle="1" w:styleId="36">
    <w:name w:val="批注主题 字符"/>
    <w:basedOn w:val="35"/>
    <w:link w:val="16"/>
    <w:semiHidden/>
    <w:qFormat/>
    <w:uiPriority w:val="0"/>
    <w:rPr>
      <w:rFonts w:ascii="Times New Roman" w:hAnsi="Times New Roman" w:eastAsia="宋体" w:cs="Times New Roman"/>
      <w:b/>
      <w:bCs/>
      <w:kern w:val="2"/>
      <w:sz w:val="21"/>
      <w:szCs w:val="24"/>
    </w:rPr>
  </w:style>
  <w:style w:type="character" w:customStyle="1" w:styleId="37">
    <w:name w:val="标题 2 字符"/>
    <w:basedOn w:val="19"/>
    <w:link w:val="5"/>
    <w:semiHidden/>
    <w:qFormat/>
    <w:uiPriority w:val="0"/>
    <w:rPr>
      <w:rFonts w:asciiTheme="majorHAnsi" w:hAnsiTheme="majorHAnsi" w:eastAsiaTheme="majorEastAsia" w:cstheme="majorBidi"/>
      <w:b/>
      <w:bCs/>
      <w:kern w:val="2"/>
      <w:sz w:val="32"/>
      <w:szCs w:val="32"/>
    </w:rPr>
  </w:style>
  <w:style w:type="paragraph" w:customStyle="1" w:styleId="38">
    <w:name w:val="纯文本1"/>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84</Pages>
  <Words>16260</Words>
  <Characters>17478</Characters>
  <Lines>477</Lines>
  <Paragraphs>134</Paragraphs>
  <TotalTime>81</TotalTime>
  <ScaleCrop>false</ScaleCrop>
  <LinksUpToDate>false</LinksUpToDate>
  <CharactersWithSpaces>17548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2025-06-20T07:55:00Z</dcterms:created>
  <dc:creator>Administrator</dc:creator>
  <cp:lastModifiedBy>Limerence</cp:lastModifiedBy>
  <dcterms:modified xsi:type="dcterms:W3CDTF">2025-06-24T10:23:34Z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eyJoZGlkIjoiOGIwYmQzMzE0NGM4NDg4MzZmNWMxMzI3OGJmMjdkODEiLCJ1c2VySWQiOiIzODU0MzkyODkifQ==</vt:lpwstr>
  </property>
  <property fmtid="{D5CDD505-2E9C-101B-9397-08002B2CF9AE}" pid="4" name="ICV">
    <vt:lpwstr>A2CE3CE5F1C94D80A114AABD3026A012_12</vt:lpwstr>
  </property>
</Properties>
</file>