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40A24">
      <w:pPr>
        <w:spacing w:line="360" w:lineRule="auto"/>
        <w:jc w:val="center"/>
        <w:rPr>
          <w:rFonts w:ascii="宋体" w:hAnsi="宋体" w:cs="宋体"/>
          <w:b/>
          <w:color w:val="auto"/>
          <w:sz w:val="44"/>
          <w:szCs w:val="44"/>
          <w:highlight w:val="none"/>
        </w:rPr>
      </w:pPr>
    </w:p>
    <w:p w14:paraId="707325EE">
      <w:pPr>
        <w:adjustRightInd/>
        <w:spacing w:line="360" w:lineRule="auto"/>
        <w:jc w:val="center"/>
        <w:rPr>
          <w:rFonts w:ascii="宋体" w:hAnsi="宋体" w:cs="宋体"/>
          <w:b/>
          <w:color w:val="auto"/>
          <w:sz w:val="48"/>
          <w:szCs w:val="48"/>
          <w:highlight w:val="none"/>
        </w:rPr>
      </w:pPr>
    </w:p>
    <w:p w14:paraId="307D3E9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pacing w:val="-23"/>
          <w:sz w:val="48"/>
          <w:szCs w:val="48"/>
          <w:highlight w:val="none"/>
          <w:lang w:eastAsia="zh-CN"/>
        </w:rPr>
        <w:t>鄞州经济开发区管委会监控维保项目</w:t>
      </w:r>
    </w:p>
    <w:p w14:paraId="2108AFE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4A76AA5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0B253BEC">
      <w:pPr>
        <w:adjustRightInd/>
        <w:spacing w:line="360" w:lineRule="auto"/>
        <w:jc w:val="center"/>
        <w:rPr>
          <w:rFonts w:ascii="宋体" w:hAnsi="宋体" w:cs="宋体"/>
          <w:color w:val="auto"/>
          <w:sz w:val="28"/>
          <w:szCs w:val="20"/>
          <w:highlight w:val="none"/>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w:t>
      </w:r>
      <w:r>
        <w:rPr>
          <w:rFonts w:hint="eastAsia" w:ascii="宋体" w:hAnsi="宋体" w:cs="宋体"/>
          <w:color w:val="auto"/>
          <w:sz w:val="30"/>
          <w:szCs w:val="30"/>
          <w:highlight w:val="none"/>
          <w:lang w:val="en-US" w:eastAsia="zh-CN"/>
        </w:rPr>
        <w:t>号：CBNB-20252091G</w:t>
      </w:r>
    </w:p>
    <w:p w14:paraId="05A0A6C6">
      <w:pPr>
        <w:spacing w:line="360" w:lineRule="auto"/>
        <w:jc w:val="center"/>
        <w:rPr>
          <w:rFonts w:hint="eastAsia" w:ascii="宋体" w:hAnsi="宋体" w:cs="宋体"/>
          <w:b/>
          <w:color w:val="auto"/>
          <w:sz w:val="44"/>
          <w:szCs w:val="44"/>
          <w:highlight w:val="none"/>
        </w:rPr>
      </w:pPr>
    </w:p>
    <w:p w14:paraId="1C6598CF">
      <w:pPr>
        <w:spacing w:line="360" w:lineRule="auto"/>
        <w:jc w:val="center"/>
        <w:rPr>
          <w:rFonts w:hint="eastAsia" w:ascii="宋体" w:hAnsi="宋体" w:cs="宋体"/>
          <w:b/>
          <w:color w:val="auto"/>
          <w:sz w:val="44"/>
          <w:szCs w:val="44"/>
          <w:highlight w:val="none"/>
        </w:rPr>
      </w:pPr>
    </w:p>
    <w:p w14:paraId="7C58D411">
      <w:pPr>
        <w:spacing w:line="360" w:lineRule="auto"/>
        <w:jc w:val="center"/>
        <w:rPr>
          <w:rFonts w:ascii="宋体" w:hAnsi="宋体" w:cs="宋体"/>
          <w:b/>
          <w:color w:val="auto"/>
          <w:sz w:val="44"/>
          <w:szCs w:val="44"/>
          <w:highlight w:val="none"/>
        </w:rPr>
      </w:pPr>
    </w:p>
    <w:p w14:paraId="1519DC8A">
      <w:pPr>
        <w:spacing w:line="360" w:lineRule="auto"/>
        <w:jc w:val="center"/>
        <w:rPr>
          <w:rFonts w:ascii="宋体" w:hAnsi="宋体" w:cs="宋体"/>
          <w:b/>
          <w:color w:val="auto"/>
          <w:sz w:val="44"/>
          <w:szCs w:val="44"/>
          <w:highlight w:val="none"/>
        </w:rPr>
      </w:pPr>
    </w:p>
    <w:p w14:paraId="31F15320">
      <w:pPr>
        <w:spacing w:line="360" w:lineRule="auto"/>
        <w:rPr>
          <w:rFonts w:ascii="宋体" w:hAnsi="宋体" w:cs="宋体"/>
          <w:color w:val="auto"/>
          <w:sz w:val="32"/>
          <w:szCs w:val="32"/>
          <w:highlight w:val="none"/>
        </w:rPr>
      </w:pPr>
    </w:p>
    <w:p w14:paraId="5C89EF4C">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w:t>
      </w:r>
      <w:r>
        <w:rPr>
          <w:rFonts w:hint="eastAsia" w:ascii="宋体" w:hAnsi="宋体" w:cs="宋体"/>
          <w:color w:val="auto"/>
          <w:sz w:val="32"/>
          <w:szCs w:val="32"/>
          <w:highlight w:val="none"/>
          <w:lang w:val="en-US" w:eastAsia="zh-CN"/>
        </w:rPr>
        <w:t>人</w:t>
      </w:r>
      <w:r>
        <w:rPr>
          <w:rFonts w:hint="eastAsia" w:ascii="宋体" w:hAnsi="宋体" w:cs="宋体"/>
          <w:color w:val="auto"/>
          <w:sz w:val="32"/>
          <w:szCs w:val="32"/>
          <w:highlight w:val="none"/>
        </w:rPr>
        <w:t>：</w:t>
      </w:r>
      <w:r>
        <w:rPr>
          <w:rFonts w:hint="eastAsia" w:ascii="宋体" w:hAnsi="宋体" w:cs="宋体"/>
          <w:color w:val="auto"/>
          <w:sz w:val="32"/>
          <w:szCs w:val="32"/>
          <w:highlight w:val="none"/>
          <w:lang w:eastAsia="zh-CN"/>
        </w:rPr>
        <w:t>宁波市鄞州经济开发区管理委员会</w:t>
      </w:r>
    </w:p>
    <w:p w14:paraId="53C195F4">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采购代理机构：宁波中基国际招标有限公司</w:t>
      </w:r>
    </w:p>
    <w:p w14:paraId="7BCA09DE">
      <w:pPr>
        <w:snapToGrid w:val="0"/>
        <w:spacing w:line="360" w:lineRule="auto"/>
        <w:jc w:val="center"/>
        <w:rPr>
          <w:rFonts w:hint="eastAsia" w:ascii="宋体" w:hAnsi="宋体" w:cs="宋体"/>
          <w:bCs/>
          <w:color w:val="auto"/>
          <w:sz w:val="32"/>
          <w:szCs w:val="32"/>
          <w:highlight w:val="none"/>
        </w:rPr>
      </w:pPr>
    </w:p>
    <w:p w14:paraId="07A8128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27ABE050">
      <w:pPr>
        <w:tabs>
          <w:tab w:val="left" w:pos="2268"/>
        </w:tabs>
        <w:spacing w:line="360" w:lineRule="auto"/>
        <w:jc w:val="center"/>
        <w:rPr>
          <w:rFonts w:cs="仿宋_GB2312" w:asciiTheme="minorEastAsia" w:hAnsiTheme="minorEastAsia" w:eastAsiaTheme="minorEastAsia"/>
          <w:color w:val="auto"/>
          <w:sz w:val="24"/>
          <w:highlight w:val="none"/>
        </w:rPr>
      </w:pPr>
    </w:p>
    <w:p w14:paraId="651FF548">
      <w:pPr>
        <w:spacing w:line="360" w:lineRule="auto"/>
        <w:jc w:val="center"/>
        <w:rPr>
          <w:rFonts w:hint="eastAsia" w:cs="仿宋_GB2312" w:asciiTheme="minorEastAsia" w:hAnsiTheme="minorEastAsia" w:eastAsiaTheme="minorEastAsia"/>
          <w:b/>
          <w:color w:val="auto"/>
          <w:sz w:val="48"/>
          <w:szCs w:val="48"/>
          <w:highlight w:val="none"/>
        </w:rPr>
      </w:pPr>
    </w:p>
    <w:p w14:paraId="4ECC0491">
      <w:pPr>
        <w:spacing w:line="360" w:lineRule="auto"/>
        <w:jc w:val="center"/>
        <w:rPr>
          <w:rFonts w:hint="eastAsia" w:cs="仿宋_GB2312" w:asciiTheme="minorEastAsia" w:hAnsiTheme="minorEastAsia" w:eastAsiaTheme="minorEastAsia"/>
          <w:b/>
          <w:color w:val="auto"/>
          <w:sz w:val="48"/>
          <w:szCs w:val="48"/>
          <w:highlight w:val="none"/>
        </w:rPr>
      </w:pPr>
    </w:p>
    <w:p w14:paraId="58D53F9C">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0DC42FF2">
      <w:pPr>
        <w:spacing w:line="360" w:lineRule="auto"/>
        <w:rPr>
          <w:rFonts w:cs="仿宋_GB2312" w:asciiTheme="minorEastAsia" w:hAnsiTheme="minorEastAsia" w:eastAsiaTheme="minorEastAsia"/>
          <w:color w:val="auto"/>
          <w:sz w:val="32"/>
          <w:szCs w:val="32"/>
          <w:highlight w:val="none"/>
        </w:rPr>
      </w:pPr>
    </w:p>
    <w:p w14:paraId="3F0ADBB7">
      <w:pPr>
        <w:spacing w:line="360" w:lineRule="auto"/>
        <w:rPr>
          <w:rFonts w:cs="仿宋_GB2312" w:asciiTheme="minorEastAsia" w:hAnsiTheme="minorEastAsia" w:eastAsiaTheme="minorEastAsia"/>
          <w:color w:val="auto"/>
          <w:sz w:val="32"/>
          <w:szCs w:val="32"/>
          <w:highlight w:val="none"/>
        </w:rPr>
      </w:pPr>
    </w:p>
    <w:p w14:paraId="542E68E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1DF1A4D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6EAF857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7DC0C4A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1A92820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5BE1AF1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6AECFEE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5EED86BB">
      <w:pPr>
        <w:spacing w:line="360" w:lineRule="auto"/>
        <w:ind w:firstLine="549" w:firstLineChars="229"/>
        <w:rPr>
          <w:rFonts w:cs="仿宋_GB2312" w:asciiTheme="minorEastAsia" w:hAnsiTheme="minorEastAsia" w:eastAsiaTheme="minorEastAsia"/>
          <w:color w:val="auto"/>
          <w:sz w:val="24"/>
          <w:highlight w:val="none"/>
        </w:rPr>
      </w:pPr>
      <w:bookmarkStart w:id="0" w:name="_Hlt91233176"/>
      <w:bookmarkEnd w:id="0"/>
      <w:bookmarkStart w:id="1" w:name="_Toc91899869"/>
    </w:p>
    <w:p w14:paraId="0EE6D4D6">
      <w:pPr>
        <w:spacing w:line="360" w:lineRule="auto"/>
        <w:ind w:firstLine="549" w:firstLineChars="229"/>
        <w:rPr>
          <w:rFonts w:cs="仿宋_GB2312" w:asciiTheme="minorEastAsia" w:hAnsiTheme="minorEastAsia" w:eastAsiaTheme="minorEastAsia"/>
          <w:color w:val="auto"/>
          <w:sz w:val="24"/>
          <w:highlight w:val="none"/>
        </w:rPr>
      </w:pPr>
    </w:p>
    <w:p w14:paraId="45BE1794">
      <w:pPr>
        <w:spacing w:line="360" w:lineRule="auto"/>
        <w:ind w:firstLine="549" w:firstLineChars="229"/>
        <w:rPr>
          <w:rFonts w:cs="仿宋_GB2312" w:asciiTheme="minorEastAsia" w:hAnsiTheme="minorEastAsia" w:eastAsiaTheme="minorEastAsia"/>
          <w:color w:val="auto"/>
          <w:sz w:val="24"/>
          <w:highlight w:val="none"/>
        </w:rPr>
      </w:pPr>
    </w:p>
    <w:p w14:paraId="1606980F">
      <w:pPr>
        <w:spacing w:line="360" w:lineRule="auto"/>
        <w:ind w:firstLine="549" w:firstLineChars="229"/>
        <w:rPr>
          <w:rFonts w:cs="仿宋_GB2312" w:asciiTheme="minorEastAsia" w:hAnsiTheme="minorEastAsia" w:eastAsiaTheme="minorEastAsia"/>
          <w:color w:val="auto"/>
          <w:sz w:val="24"/>
          <w:highlight w:val="none"/>
        </w:rPr>
      </w:pPr>
    </w:p>
    <w:p w14:paraId="5AD86D6D">
      <w:pPr>
        <w:spacing w:line="360" w:lineRule="auto"/>
        <w:ind w:firstLine="549" w:firstLineChars="229"/>
        <w:rPr>
          <w:rFonts w:cs="仿宋_GB2312" w:asciiTheme="minorEastAsia" w:hAnsiTheme="minorEastAsia" w:eastAsiaTheme="minorEastAsia"/>
          <w:color w:val="auto"/>
          <w:sz w:val="24"/>
          <w:highlight w:val="none"/>
        </w:rPr>
      </w:pPr>
    </w:p>
    <w:p w14:paraId="73706BF6">
      <w:pPr>
        <w:spacing w:line="360" w:lineRule="auto"/>
        <w:ind w:firstLine="549" w:firstLineChars="229"/>
        <w:rPr>
          <w:rFonts w:cs="仿宋_GB2312" w:asciiTheme="minorEastAsia" w:hAnsiTheme="minorEastAsia" w:eastAsiaTheme="minorEastAsia"/>
          <w:color w:val="auto"/>
          <w:sz w:val="24"/>
          <w:highlight w:val="none"/>
        </w:rPr>
      </w:pPr>
    </w:p>
    <w:p w14:paraId="73DC52CA">
      <w:pPr>
        <w:spacing w:line="360" w:lineRule="auto"/>
        <w:ind w:firstLine="549" w:firstLineChars="229"/>
        <w:rPr>
          <w:rFonts w:cs="仿宋_GB2312" w:asciiTheme="minorEastAsia" w:hAnsiTheme="minorEastAsia" w:eastAsiaTheme="minorEastAsia"/>
          <w:color w:val="auto"/>
          <w:sz w:val="24"/>
          <w:highlight w:val="none"/>
        </w:rPr>
      </w:pPr>
    </w:p>
    <w:p w14:paraId="2165FD9A">
      <w:pPr>
        <w:spacing w:line="360" w:lineRule="auto"/>
        <w:ind w:firstLine="549" w:firstLineChars="229"/>
        <w:rPr>
          <w:rFonts w:cs="仿宋_GB2312" w:asciiTheme="minorEastAsia" w:hAnsiTheme="minorEastAsia" w:eastAsiaTheme="minorEastAsia"/>
          <w:color w:val="auto"/>
          <w:sz w:val="24"/>
          <w:highlight w:val="none"/>
        </w:rPr>
      </w:pPr>
    </w:p>
    <w:p w14:paraId="657E2B94">
      <w:pPr>
        <w:spacing w:line="360" w:lineRule="auto"/>
        <w:ind w:firstLine="549" w:firstLineChars="229"/>
        <w:rPr>
          <w:rFonts w:cs="仿宋_GB2312" w:asciiTheme="minorEastAsia" w:hAnsiTheme="minorEastAsia" w:eastAsiaTheme="minorEastAsia"/>
          <w:color w:val="auto"/>
          <w:sz w:val="24"/>
          <w:highlight w:val="none"/>
        </w:rPr>
      </w:pPr>
    </w:p>
    <w:p w14:paraId="23FB74D4">
      <w:pPr>
        <w:spacing w:line="360" w:lineRule="auto"/>
        <w:ind w:firstLine="549" w:firstLineChars="229"/>
        <w:rPr>
          <w:rFonts w:cs="仿宋_GB2312" w:asciiTheme="minorEastAsia" w:hAnsiTheme="minorEastAsia" w:eastAsiaTheme="minorEastAsia"/>
          <w:color w:val="auto"/>
          <w:sz w:val="24"/>
          <w:highlight w:val="none"/>
        </w:rPr>
      </w:pPr>
    </w:p>
    <w:p w14:paraId="43D6F228">
      <w:pPr>
        <w:spacing w:line="360" w:lineRule="auto"/>
        <w:ind w:firstLine="549" w:firstLineChars="229"/>
        <w:rPr>
          <w:rFonts w:cs="仿宋_GB2312" w:asciiTheme="minorEastAsia" w:hAnsiTheme="minorEastAsia" w:eastAsiaTheme="minorEastAsia"/>
          <w:color w:val="auto"/>
          <w:sz w:val="24"/>
          <w:highlight w:val="none"/>
        </w:rPr>
      </w:pPr>
    </w:p>
    <w:p w14:paraId="16920C98">
      <w:pPr>
        <w:spacing w:line="360" w:lineRule="auto"/>
        <w:ind w:firstLine="549" w:firstLineChars="229"/>
        <w:rPr>
          <w:rFonts w:cs="仿宋_GB2312" w:asciiTheme="minorEastAsia" w:hAnsiTheme="minorEastAsia" w:eastAsiaTheme="minorEastAsia"/>
          <w:color w:val="auto"/>
          <w:sz w:val="24"/>
          <w:highlight w:val="none"/>
        </w:rPr>
      </w:pPr>
    </w:p>
    <w:p w14:paraId="66014006">
      <w:pPr>
        <w:spacing w:line="360" w:lineRule="auto"/>
        <w:ind w:firstLine="549" w:firstLineChars="229"/>
        <w:rPr>
          <w:rFonts w:cs="仿宋_GB2312" w:asciiTheme="minorEastAsia" w:hAnsiTheme="minorEastAsia" w:eastAsiaTheme="minorEastAsia"/>
          <w:color w:val="auto"/>
          <w:sz w:val="24"/>
          <w:highlight w:val="none"/>
        </w:rPr>
      </w:pPr>
    </w:p>
    <w:p w14:paraId="5739A609">
      <w:pPr>
        <w:spacing w:line="360" w:lineRule="auto"/>
        <w:rPr>
          <w:rFonts w:cs="仿宋_GB2312" w:asciiTheme="minorEastAsia" w:hAnsiTheme="minorEastAsia" w:eastAsiaTheme="minorEastAsia"/>
          <w:color w:val="auto"/>
          <w:sz w:val="24"/>
          <w:highlight w:val="none"/>
        </w:rPr>
      </w:pPr>
    </w:p>
    <w:p w14:paraId="4BF55063">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2" w:name="第一部分"/>
      <w:r>
        <w:rPr>
          <w:rFonts w:hint="eastAsia" w:cs="仿宋_GB2312" w:asciiTheme="minorEastAsia" w:hAnsiTheme="minorEastAsia" w:eastAsiaTheme="minorEastAsia"/>
          <w:b/>
          <w:color w:val="auto"/>
          <w:sz w:val="36"/>
          <w:szCs w:val="36"/>
          <w:highlight w:val="none"/>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7165E14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58FBA5F0">
      <w:pPr>
        <w:spacing w:line="360" w:lineRule="auto"/>
        <w:rPr>
          <w:rFonts w:asciiTheme="minorEastAsia" w:hAnsiTheme="minorEastAsia" w:eastAsiaTheme="minorEastAsia"/>
          <w:color w:val="auto"/>
          <w:sz w:val="24"/>
          <w:highlight w:val="none"/>
        </w:rPr>
      </w:pPr>
    </w:p>
    <w:p w14:paraId="54870F1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A44860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鄞州经济开发区管委会监控维保项目</w:t>
      </w:r>
      <w:r>
        <w:rPr>
          <w:rFonts w:hint="eastAsia" w:asciiTheme="minorEastAsia" w:hAnsiTheme="minorEastAsia" w:eastAsiaTheme="minorEastAsia"/>
          <w:color w:val="auto"/>
          <w:sz w:val="24"/>
          <w:highlight w:val="none"/>
        </w:rPr>
        <w:t>采购项目的潜在供应商应在政采云平台（https://www.zcygov.cn/）获取（下载）采购文件，并于2025年</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:00（北京时间）前提交（上传）响应文件。</w:t>
      </w:r>
    </w:p>
    <w:p w14:paraId="68220DA3">
      <w:pPr>
        <w:spacing w:line="360" w:lineRule="auto"/>
        <w:rPr>
          <w:rFonts w:asciiTheme="minorEastAsia" w:hAnsiTheme="minorEastAsia" w:eastAsiaTheme="minorEastAsia"/>
          <w:color w:val="auto"/>
          <w:sz w:val="24"/>
          <w:highlight w:val="none"/>
        </w:rPr>
      </w:pPr>
    </w:p>
    <w:p w14:paraId="71E44F0E">
      <w:pPr>
        <w:pStyle w:val="4"/>
        <w:numPr>
          <w:ilvl w:val="0"/>
          <w:numId w:val="0"/>
        </w:numPr>
        <w:ind w:left="432" w:hanging="432"/>
        <w:rPr>
          <w:rFonts w:cs="宋体" w:asciiTheme="minorEastAsia" w:hAnsiTheme="minorEastAsia" w:eastAsiaTheme="minorEastAsia"/>
          <w:color w:val="auto"/>
          <w:sz w:val="24"/>
          <w:szCs w:val="24"/>
          <w:highlight w:val="none"/>
        </w:rPr>
      </w:pPr>
      <w:bookmarkStart w:id="10" w:name="_Toc28359089"/>
      <w:bookmarkStart w:id="11" w:name="_Toc35393798"/>
      <w:bookmarkStart w:id="12" w:name="_Toc35393629"/>
      <w:bookmarkStart w:id="13" w:name="_Toc28359012"/>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1E86184C">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CBNB-20252091G</w:t>
      </w:r>
    </w:p>
    <w:p w14:paraId="4F3D1E40">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鄞州经济开发区管委会监控维保项目</w:t>
      </w:r>
    </w:p>
    <w:p w14:paraId="5EDB6BBD">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4248F3F9">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489,700.00</w:t>
      </w:r>
    </w:p>
    <w:p w14:paraId="40681285">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489,700.00</w:t>
      </w:r>
    </w:p>
    <w:p w14:paraId="70620B0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采购需求：</w:t>
      </w:r>
    </w:p>
    <w:p w14:paraId="10AD8DD4">
      <w:pPr>
        <w:spacing w:line="360" w:lineRule="auto"/>
        <w:ind w:firstLine="480" w:firstLineChars="2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标项名称：</w:t>
      </w:r>
      <w:r>
        <w:rPr>
          <w:rFonts w:hint="eastAsia" w:asciiTheme="minorEastAsia" w:hAnsiTheme="minorEastAsia" w:eastAsiaTheme="minorEastAsia"/>
          <w:color w:val="auto"/>
          <w:sz w:val="24"/>
          <w:highlight w:val="none"/>
          <w:lang w:eastAsia="zh-CN"/>
        </w:rPr>
        <w:t>鄞州经济开发区管委会监控维保</w:t>
      </w:r>
    </w:p>
    <w:p w14:paraId="1E69E557">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数量：1</w:t>
      </w:r>
      <w:r>
        <w:rPr>
          <w:rFonts w:hint="eastAsia" w:asciiTheme="minorEastAsia" w:hAnsiTheme="minorEastAsia" w:eastAsiaTheme="minorEastAsia"/>
          <w:color w:val="auto"/>
          <w:sz w:val="24"/>
          <w:highlight w:val="none"/>
          <w:lang w:val="en-US" w:eastAsia="zh-CN"/>
        </w:rPr>
        <w:t>年</w:t>
      </w:r>
    </w:p>
    <w:p w14:paraId="57E234FA">
      <w:pPr>
        <w:spacing w:line="360" w:lineRule="auto"/>
        <w:ind w:firstLine="480" w:firstLineChars="20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rPr>
        <w:t>预算金额 </w:t>
      </w: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rPr>
        <w:t>元</w:t>
      </w:r>
      <w:r>
        <w:rPr>
          <w:rFonts w:hint="eastAsia" w:asciiTheme="minorEastAsia" w:hAnsiTheme="minorEastAsia" w:eastAsiaTheme="minorEastAsia"/>
          <w:b w:val="0"/>
          <w:bCs w:val="0"/>
          <w:color w:val="auto"/>
          <w:sz w:val="24"/>
          <w:highlight w:val="none"/>
          <w:lang w:eastAsia="zh-CN"/>
        </w:rPr>
        <w:t>）</w:t>
      </w:r>
      <w:r>
        <w:rPr>
          <w:rFonts w:hint="eastAsia" w:asciiTheme="minorEastAsia" w:hAnsiTheme="minorEastAsia" w:eastAsiaTheme="minorEastAsia"/>
          <w:b w:val="0"/>
          <w:bCs w:val="0"/>
          <w:color w:val="auto"/>
          <w:sz w:val="24"/>
          <w:highlight w:val="none"/>
        </w:rPr>
        <w:t>：</w:t>
      </w:r>
      <w:r>
        <w:rPr>
          <w:rFonts w:hint="eastAsia" w:asciiTheme="minorEastAsia" w:hAnsiTheme="minorEastAsia" w:eastAsiaTheme="minorEastAsia"/>
          <w:b w:val="0"/>
          <w:bCs w:val="0"/>
          <w:color w:val="auto"/>
          <w:sz w:val="24"/>
          <w:highlight w:val="none"/>
          <w:lang w:val="en-US" w:eastAsia="zh-CN"/>
        </w:rPr>
        <w:t>489,700.00</w:t>
      </w:r>
    </w:p>
    <w:p w14:paraId="6895A38D">
      <w:pPr>
        <w:spacing w:line="360" w:lineRule="auto"/>
        <w:ind w:firstLine="480" w:firstLineChars="2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简要规格描述：</w:t>
      </w:r>
      <w:r>
        <w:rPr>
          <w:rFonts w:hint="eastAsia" w:hAnsi="宋体" w:cs="宋体"/>
          <w:b w:val="0"/>
          <w:bCs/>
          <w:color w:val="auto"/>
          <w:sz w:val="24"/>
          <w:highlight w:val="none"/>
        </w:rPr>
        <w:t>需要维护单位提供日常运作、服务咨询、巡检保养、主动监测、故障修复、特殊保障和升级优化等服务，从而全方位地做好运维工作</w:t>
      </w:r>
      <w:r>
        <w:rPr>
          <w:rFonts w:hint="eastAsia" w:ascii="宋体" w:hAnsi="宋体" w:eastAsia="宋体" w:cs="宋体"/>
          <w:b w:val="0"/>
          <w:bCs/>
          <w:color w:val="auto"/>
          <w:sz w:val="24"/>
          <w:highlight w:val="none"/>
          <w:lang w:val="en-US" w:eastAsia="zh-CN"/>
        </w:rPr>
        <w:t>。</w:t>
      </w:r>
      <w:r>
        <w:rPr>
          <w:rFonts w:hint="eastAsia" w:asciiTheme="minorEastAsia" w:hAnsiTheme="minorEastAsia" w:eastAsiaTheme="minorEastAsia"/>
          <w:color w:val="auto"/>
          <w:sz w:val="24"/>
          <w:highlight w:val="none"/>
        </w:rPr>
        <w:t>具体见第四部分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p>
    <w:p w14:paraId="41D0585F">
      <w:pPr>
        <w:spacing w:line="360" w:lineRule="auto"/>
        <w:ind w:firstLine="480" w:firstLineChars="200"/>
        <w:rPr>
          <w:rFonts w:hint="default" w:eastAsia="宋体" w:asciiTheme="minorEastAsia" w:hAnsiTheme="minorEastAsia"/>
          <w:color w:val="auto"/>
          <w:sz w:val="24"/>
          <w:highlight w:val="none"/>
          <w:lang w:val="en-US" w:eastAsia="zh-CN"/>
        </w:rPr>
      </w:pPr>
      <w:r>
        <w:rPr>
          <w:rFonts w:hint="eastAsia" w:asciiTheme="minorEastAsia" w:hAnsiTheme="minorEastAsia" w:eastAsiaTheme="minorEastAsia"/>
          <w:color w:val="auto"/>
          <w:sz w:val="24"/>
          <w:highlight w:val="none"/>
        </w:rPr>
        <w:t>备注：以上为1年度的预算金</w:t>
      </w:r>
      <w:bookmarkStart w:id="236" w:name="_GoBack"/>
      <w:bookmarkEnd w:id="236"/>
      <w:r>
        <w:rPr>
          <w:rFonts w:hint="eastAsia" w:asciiTheme="minorEastAsia" w:hAnsiTheme="minorEastAsia" w:eastAsiaTheme="minorEastAsia"/>
          <w:color w:val="auto"/>
          <w:sz w:val="24"/>
          <w:highlight w:val="none"/>
        </w:rPr>
        <w:t>额</w:t>
      </w:r>
      <w:r>
        <w:rPr>
          <w:rFonts w:hint="eastAsia" w:asciiTheme="minorEastAsia" w:hAnsiTheme="minorEastAsia" w:eastAsiaTheme="minorEastAsia"/>
          <w:color w:val="auto"/>
          <w:sz w:val="24"/>
          <w:highlight w:val="none"/>
          <w:lang w:eastAsia="zh-CN"/>
        </w:rPr>
        <w:t>；项目服务期：一招三年，合同一年一签；采购人根据供应商的履约情况决定是否续签下一年度合同</w:t>
      </w:r>
      <w:r>
        <w:rPr>
          <w:rFonts w:hint="eastAsia" w:asciiTheme="minorEastAsia" w:hAnsiTheme="minorEastAsia" w:eastAsiaTheme="minorEastAsia"/>
          <w:color w:val="auto"/>
          <w:sz w:val="24"/>
          <w:highlight w:val="none"/>
        </w:rPr>
        <w:t>。 </w:t>
      </w:r>
    </w:p>
    <w:p w14:paraId="3E7BB09F">
      <w:pPr>
        <w:spacing w:line="360" w:lineRule="auto"/>
        <w:ind w:firstLine="480" w:firstLineChars="200"/>
        <w:rPr>
          <w:rFonts w:hint="default" w:cs="Times New Roman"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合同履行期</w:t>
      </w:r>
      <w:r>
        <w:rPr>
          <w:rFonts w:hint="eastAsia" w:cs="Times New Roman" w:asciiTheme="minorEastAsia" w:hAnsiTheme="minorEastAsia" w:eastAsiaTheme="minorEastAsia"/>
          <w:color w:val="auto"/>
          <w:sz w:val="24"/>
          <w:highlight w:val="none"/>
        </w:rPr>
        <w:t>限：自合同签订生效后开始至双方合同义务完全履行后截止。</w:t>
      </w:r>
    </w:p>
    <w:p w14:paraId="7B043CB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02EB5999">
      <w:pPr>
        <w:spacing w:line="360" w:lineRule="auto"/>
        <w:ind w:firstLine="480" w:firstLineChars="200"/>
        <w:rPr>
          <w:rFonts w:cs="宋体" w:asciiTheme="minorEastAsia" w:hAnsiTheme="minorEastAsia" w:eastAsiaTheme="minorEastAsia"/>
          <w:color w:val="auto"/>
          <w:sz w:val="24"/>
          <w:highlight w:val="none"/>
        </w:rPr>
      </w:pPr>
      <w:bookmarkStart w:id="14" w:name="_Toc28359090"/>
      <w:bookmarkStart w:id="15" w:name="_Toc35393630"/>
      <w:bookmarkStart w:id="16" w:name="_Toc28359013"/>
      <w:bookmarkStart w:id="17" w:name="_Toc35393799"/>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2BEB6169">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、中国政府采购网（www.ccgp.gov.cn）列入失信被执行人、重大税收违法失信主体、政府采购严重违法失信行为记录名单；</w:t>
      </w:r>
    </w:p>
    <w:p w14:paraId="048952DA">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本项目不接受联合体响应或者供应商不以联合体形式响应的，则不需要提供</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 xml:space="preserve"> ；</w:t>
      </w:r>
    </w:p>
    <w:p w14:paraId="518EF85C">
      <w:pPr>
        <w:spacing w:line="360" w:lineRule="auto"/>
        <w:ind w:firstLine="480" w:firstLineChars="200"/>
        <w:rPr>
          <w:rFonts w:hint="eastAsia" w:cs="宋体" w:asciiTheme="minorEastAsia" w:hAnsiTheme="minorEastAsia" w:eastAsiaTheme="minorEastAsia"/>
          <w:snapToGrid w:val="0"/>
          <w:color w:val="auto"/>
          <w:kern w:val="28"/>
          <w:sz w:val="24"/>
          <w:szCs w:val="20"/>
          <w:highlight w:val="none"/>
          <w:lang w:val="en-US" w:eastAsia="zh-CN"/>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r>
        <w:rPr>
          <w:rFonts w:hint="eastAsia" w:cs="宋体" w:asciiTheme="minorEastAsia" w:hAnsiTheme="minorEastAsia" w:eastAsiaTheme="minorEastAsia"/>
          <w:snapToGrid w:val="0"/>
          <w:color w:val="auto"/>
          <w:kern w:val="28"/>
          <w:sz w:val="24"/>
          <w:szCs w:val="20"/>
          <w:highlight w:val="none"/>
          <w:lang w:val="en-US" w:eastAsia="zh-CN"/>
        </w:rPr>
        <w:t>无</w:t>
      </w:r>
    </w:p>
    <w:p w14:paraId="6C02460A">
      <w:pPr>
        <w:numPr>
          <w:ilvl w:val="0"/>
          <w:numId w:val="7"/>
        </w:num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306FDB68">
      <w:pPr>
        <w:numPr>
          <w:ilvl w:val="0"/>
          <w:numId w:val="7"/>
        </w:num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A6F0D1">
      <w:pPr>
        <w:spacing w:line="360" w:lineRule="auto"/>
        <w:ind w:firstLine="480" w:firstLineChars="200"/>
        <w:rPr>
          <w:rFonts w:cs="宋体" w:asciiTheme="minorEastAsia" w:hAnsiTheme="minorEastAsia" w:eastAsiaTheme="minorEastAsia"/>
          <w:color w:val="auto"/>
          <w:sz w:val="24"/>
          <w:highlight w:val="none"/>
        </w:rPr>
      </w:pPr>
      <w:bookmarkStart w:id="18" w:name="_Toc28359014"/>
      <w:bookmarkStart w:id="19" w:name="_Toc35393631"/>
      <w:bookmarkStart w:id="20" w:name="_Toc28359091"/>
      <w:bookmarkStart w:id="21" w:name="_Toc35393800"/>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7163617C">
      <w:pPr>
        <w:spacing w:line="360" w:lineRule="auto"/>
        <w:ind w:firstLine="54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lang w:eastAsia="zh-CN"/>
        </w:rPr>
        <w:t>2025年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lang w:eastAsia="zh-CN"/>
        </w:rPr>
        <w:t>月</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lang w:eastAsia="zh-CN"/>
        </w:rPr>
        <w:t>日至2025年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lang w:eastAsia="zh-CN"/>
        </w:rPr>
        <w:t>月</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lang w:eastAsia="zh-CN"/>
        </w:rPr>
        <w:t>日，每天上午00:00至12:00，下午12:00至23:59（北京时间，线上获取法定节假日均可，线下获取文件法定节假日除外）；</w:t>
      </w:r>
    </w:p>
    <w:p w14:paraId="060CF950">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b/>
          <w:color w:val="auto"/>
          <w:sz w:val="24"/>
          <w:highlight w:val="none"/>
        </w:rPr>
        <w:t>https://www.zcygov.cn/</w:t>
      </w:r>
      <w:r>
        <w:rPr>
          <w:rStyle w:val="71"/>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156F129F">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00577F95">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w:t>
      </w:r>
      <w:r>
        <w:rPr>
          <w:rFonts w:hint="eastAsia" w:cs="仿宋_GB2312" w:asciiTheme="minorEastAsia" w:hAnsiTheme="minorEastAsia" w:eastAsiaTheme="minorEastAsia"/>
          <w:color w:val="auto"/>
          <w:sz w:val="24"/>
          <w:highlight w:val="none"/>
        </w:rPr>
        <w:t>。</w:t>
      </w:r>
    </w:p>
    <w:p w14:paraId="4795CB12">
      <w:pPr>
        <w:pStyle w:val="4"/>
        <w:numPr>
          <w:ilvl w:val="0"/>
          <w:numId w:val="0"/>
        </w:numPr>
        <w:ind w:left="432" w:hanging="432"/>
        <w:rPr>
          <w:rFonts w:cs="宋体" w:asciiTheme="minorEastAsia" w:hAnsiTheme="minorEastAsia" w:eastAsiaTheme="minorEastAsia"/>
          <w:color w:val="auto"/>
          <w:sz w:val="24"/>
          <w:szCs w:val="24"/>
          <w:highlight w:val="none"/>
        </w:rPr>
      </w:pPr>
      <w:bookmarkStart w:id="22" w:name="_Toc28359092"/>
      <w:bookmarkStart w:id="23" w:name="_Toc35393801"/>
      <w:bookmarkStart w:id="24" w:name="_Toc35393632"/>
      <w:bookmarkStart w:id="25" w:name="_Toc28359015"/>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194934E2">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lang w:eastAsia="zh-CN"/>
        </w:rPr>
        <w:t xml:space="preserve">日 </w:t>
      </w:r>
      <w:r>
        <w:rPr>
          <w:rFonts w:hint="eastAsia" w:asciiTheme="minorEastAsia" w:hAnsiTheme="minorEastAsia" w:eastAsiaTheme="minorEastAsia"/>
          <w:color w:val="auto"/>
          <w:sz w:val="24"/>
          <w:highlight w:val="none"/>
          <w:u w:val="single"/>
          <w:lang w:val="en-US" w:eastAsia="zh-CN"/>
        </w:rPr>
        <w:t>9</w:t>
      </w:r>
      <w:r>
        <w:rPr>
          <w:rFonts w:hint="eastAsia" w:asciiTheme="minorEastAsia" w:hAnsiTheme="minorEastAsia" w:eastAsiaTheme="minorEastAsia"/>
          <w:color w:val="auto"/>
          <w:sz w:val="24"/>
          <w:highlight w:val="none"/>
          <w:u w:val="single"/>
          <w:lang w:eastAsia="zh-CN"/>
        </w:rPr>
        <w:t>:00（北京时间）</w:t>
      </w:r>
    </w:p>
    <w:p w14:paraId="3444C0A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
          <w:color w:val="auto"/>
          <w:sz w:val="24"/>
          <w:highlight w:val="none"/>
        </w:rPr>
        <w:t>。</w:t>
      </w:r>
    </w:p>
    <w:p w14:paraId="4B8E566D">
      <w:pPr>
        <w:pStyle w:val="4"/>
        <w:numPr>
          <w:ilvl w:val="0"/>
          <w:numId w:val="0"/>
        </w:numPr>
        <w:ind w:left="432" w:hanging="432"/>
        <w:rPr>
          <w:rFonts w:cs="宋体" w:asciiTheme="minorEastAsia" w:hAnsiTheme="minorEastAsia" w:eastAsiaTheme="minorEastAsia"/>
          <w:color w:val="auto"/>
          <w:sz w:val="24"/>
          <w:szCs w:val="24"/>
          <w:highlight w:val="none"/>
        </w:rPr>
      </w:pPr>
      <w:bookmarkStart w:id="26" w:name="_Toc35393802"/>
      <w:bookmarkStart w:id="27" w:name="_Toc28359093"/>
      <w:bookmarkStart w:id="28" w:name="_Toc35393633"/>
      <w:bookmarkStart w:id="29" w:name="_Toc28359016"/>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20B8AD5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 xml:space="preserve"> 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lang w:eastAsia="zh-CN"/>
        </w:rPr>
        <w:t xml:space="preserve">日 </w:t>
      </w:r>
      <w:r>
        <w:rPr>
          <w:rFonts w:hint="eastAsia" w:asciiTheme="minorEastAsia" w:hAnsiTheme="minorEastAsia" w:eastAsiaTheme="minorEastAsia"/>
          <w:color w:val="auto"/>
          <w:sz w:val="24"/>
          <w:highlight w:val="none"/>
          <w:u w:val="single"/>
          <w:lang w:val="en-US" w:eastAsia="zh-CN"/>
        </w:rPr>
        <w:t>9</w:t>
      </w:r>
      <w:r>
        <w:rPr>
          <w:rFonts w:hint="eastAsia" w:asciiTheme="minorEastAsia" w:hAnsiTheme="minorEastAsia" w:eastAsiaTheme="minorEastAsia"/>
          <w:color w:val="auto"/>
          <w:sz w:val="24"/>
          <w:highlight w:val="none"/>
          <w:u w:val="single"/>
          <w:lang w:eastAsia="zh-CN"/>
        </w:rPr>
        <w:t>:00（北京时间）</w:t>
      </w:r>
    </w:p>
    <w:p w14:paraId="25954C6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7BABD743">
      <w:pPr>
        <w:pStyle w:val="4"/>
        <w:numPr>
          <w:ilvl w:val="0"/>
          <w:numId w:val="0"/>
        </w:numPr>
        <w:ind w:left="432" w:hanging="432"/>
        <w:rPr>
          <w:rFonts w:cs="宋体" w:asciiTheme="minorEastAsia" w:hAnsiTheme="minorEastAsia" w:eastAsiaTheme="minorEastAsia"/>
          <w:color w:val="auto"/>
          <w:sz w:val="24"/>
          <w:szCs w:val="24"/>
          <w:highlight w:val="none"/>
        </w:rPr>
      </w:pPr>
      <w:bookmarkStart w:id="30" w:name="_Toc28359094"/>
      <w:bookmarkStart w:id="31" w:name="_Toc28359017"/>
      <w:bookmarkStart w:id="32" w:name="_Toc35393803"/>
      <w:bookmarkStart w:id="33" w:name="_Toc35393634"/>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437819E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360C3905">
      <w:pPr>
        <w:pStyle w:val="4"/>
        <w:numPr>
          <w:ilvl w:val="0"/>
          <w:numId w:val="0"/>
        </w:numPr>
        <w:ind w:left="432" w:hanging="432"/>
        <w:rPr>
          <w:rFonts w:cs="宋体" w:asciiTheme="minorEastAsia" w:hAnsiTheme="minorEastAsia" w:eastAsiaTheme="minorEastAsia"/>
          <w:color w:val="auto"/>
          <w:sz w:val="24"/>
          <w:szCs w:val="24"/>
          <w:highlight w:val="none"/>
        </w:rPr>
      </w:pPr>
      <w:bookmarkStart w:id="34" w:name="_Toc35393804"/>
      <w:bookmarkStart w:id="35" w:name="_Toc35393635"/>
      <w:r>
        <w:rPr>
          <w:rFonts w:hint="eastAsia" w:cs="宋体" w:asciiTheme="minorEastAsia" w:hAnsiTheme="minorEastAsia" w:eastAsiaTheme="minorEastAsia"/>
          <w:color w:val="auto"/>
          <w:sz w:val="24"/>
          <w:szCs w:val="24"/>
          <w:highlight w:val="none"/>
        </w:rPr>
        <w:t>七、其他补充事宜</w:t>
      </w:r>
      <w:bookmarkEnd w:id="34"/>
      <w:bookmarkEnd w:id="35"/>
    </w:p>
    <w:p w14:paraId="58A6E3B4">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C14F213">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CC728A">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3DEE38">
      <w:pPr>
        <w:spacing w:line="360" w:lineRule="auto"/>
        <w:ind w:firstLine="482" w:firstLineChars="200"/>
        <w:rPr>
          <w:rFonts w:hint="eastAsia" w:cs="宋体" w:asciiTheme="minorEastAsia" w:hAnsiTheme="minorEastAsia" w:eastAsiaTheme="minorEastAsia"/>
          <w:b/>
          <w:color w:val="auto"/>
          <w:kern w:val="0"/>
          <w:sz w:val="24"/>
          <w:highlight w:val="none"/>
        </w:rPr>
      </w:pPr>
      <w:r>
        <w:rPr>
          <w:rFonts w:hint="eastAsia" w:asciiTheme="minorEastAsia" w:hAnsiTheme="minorEastAsia" w:eastAsiaTheme="minorEastAsia"/>
          <w:b/>
          <w:bCs/>
          <w:color w:val="auto"/>
          <w:sz w:val="24"/>
          <w:highlight w:val="none"/>
          <w:lang w:val="en-US" w:eastAsia="zh-CN"/>
        </w:rPr>
        <w:t>4.</w:t>
      </w:r>
      <w:r>
        <w:rPr>
          <w:rFonts w:hint="eastAsia" w:cs="宋体" w:asciiTheme="minorEastAsia" w:hAnsiTheme="minorEastAsia" w:eastAsiaTheme="minorEastAsia"/>
          <w:b/>
          <w:color w:val="auto"/>
          <w:kern w:val="0"/>
          <w:sz w:val="24"/>
          <w:highlight w:val="none"/>
        </w:rPr>
        <w:t>其他事项：</w:t>
      </w:r>
    </w:p>
    <w:p w14:paraId="1ED1E429">
      <w:pPr>
        <w:spacing w:line="360" w:lineRule="auto"/>
        <w:ind w:firstLine="48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sz w:val="24"/>
          <w:highlight w:val="none"/>
          <w:lang w:eastAsia="zh-CN"/>
        </w:rPr>
        <w:t>（</w:t>
      </w:r>
      <w:r>
        <w:rPr>
          <w:rFonts w:hint="eastAsia" w:cs="宋体" w:asciiTheme="minorEastAsia" w:hAnsiTheme="minorEastAsia" w:eastAsiaTheme="minorEastAsia"/>
          <w:b/>
          <w:bCs/>
          <w:color w:val="auto"/>
          <w:sz w:val="24"/>
          <w:highlight w:val="none"/>
          <w:lang w:val="en-US" w:eastAsia="zh-CN"/>
        </w:rPr>
        <w:t>1）</w:t>
      </w:r>
      <w:r>
        <w:rPr>
          <w:rFonts w:hint="eastAsia" w:cs="宋体" w:asciiTheme="minorEastAsia" w:hAnsiTheme="minorEastAsia" w:eastAsiaTheme="minorEastAsia"/>
          <w:b/>
          <w:bCs/>
          <w:color w:val="auto"/>
          <w:kern w:val="0"/>
          <w:sz w:val="24"/>
          <w:highlight w:val="none"/>
        </w:rPr>
        <w:t>需</w:t>
      </w:r>
      <w:r>
        <w:rPr>
          <w:rFonts w:hint="eastAsia" w:cs="宋体" w:asciiTheme="minorEastAsia" w:hAnsiTheme="minorEastAsia" w:eastAsiaTheme="minorEastAsia"/>
          <w:b/>
          <w:color w:val="auto"/>
          <w:kern w:val="0"/>
          <w:sz w:val="24"/>
          <w:highlight w:val="none"/>
        </w:rPr>
        <w:t>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w:t>
      </w:r>
      <w:r>
        <w:rPr>
          <w:rFonts w:hint="eastAsia" w:cs="宋体" w:asciiTheme="minorEastAsia" w:hAnsiTheme="minorEastAsia" w:eastAsiaTheme="minorEastAsia"/>
          <w:color w:val="auto"/>
          <w:kern w:val="0"/>
          <w:sz w:val="24"/>
          <w:highlight w:val="none"/>
          <w:lang w:val="en-US" w:eastAsia="zh-CN"/>
        </w:rPr>
        <w:t>具体</w:t>
      </w:r>
      <w:r>
        <w:rPr>
          <w:rFonts w:hint="eastAsia" w:cs="宋体" w:asciiTheme="minorEastAsia" w:hAnsiTheme="minorEastAsia" w:eastAsiaTheme="minorEastAsia"/>
          <w:color w:val="auto"/>
          <w:kern w:val="0"/>
          <w:sz w:val="24"/>
          <w:highlight w:val="none"/>
        </w:rPr>
        <w:t>见磋商文件第三部分。</w:t>
      </w:r>
    </w:p>
    <w:p w14:paraId="049D5B16">
      <w:pPr>
        <w:spacing w:line="360" w:lineRule="auto"/>
        <w:ind w:firstLine="482" w:firstLineChars="200"/>
        <w:rPr>
          <w:rFonts w:hint="eastAsia"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w:t>
      </w:r>
      <w:r>
        <w:rPr>
          <w:rFonts w:hint="eastAsia" w:cs="宋体" w:asciiTheme="minorEastAsia" w:hAnsiTheme="minorEastAsia" w:eastAsiaTheme="minorEastAsia"/>
          <w:b/>
          <w:color w:val="auto"/>
          <w:kern w:val="0"/>
          <w:sz w:val="24"/>
          <w:szCs w:val="20"/>
          <w:highlight w:val="none"/>
          <w:lang w:val="en-US" w:eastAsia="zh-CN"/>
        </w:rPr>
        <w:t>2</w:t>
      </w:r>
      <w:r>
        <w:rPr>
          <w:rFonts w:hint="eastAsia" w:cs="宋体" w:asciiTheme="minorEastAsia" w:hAnsiTheme="minorEastAsia" w:eastAsiaTheme="minorEastAsia"/>
          <w:b/>
          <w:color w:val="auto"/>
          <w:kern w:val="0"/>
          <w:sz w:val="24"/>
          <w:szCs w:val="20"/>
          <w:highlight w:val="none"/>
        </w:rPr>
        <w:t>）</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 xml:space="preserve"> </w:t>
      </w:r>
    </w:p>
    <w:p w14:paraId="24742C99">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42BE39CD">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w:t>
      </w:r>
      <w:r>
        <w:rPr>
          <w:rFonts w:hint="eastAsia" w:cs="宋体" w:asciiTheme="minorEastAsia" w:hAnsiTheme="minorEastAsia" w:eastAsiaTheme="minorEastAsia"/>
          <w:color w:val="auto"/>
          <w:kern w:val="0"/>
          <w:sz w:val="24"/>
          <w:highlight w:val="none"/>
          <w:lang w:val="en-US" w:eastAsia="zh-CN"/>
        </w:rPr>
        <w:t>具体</w:t>
      </w:r>
      <w:r>
        <w:rPr>
          <w:rFonts w:hint="eastAsia" w:cs="仿宋_GB2312" w:asciiTheme="minorEastAsia" w:hAnsiTheme="minorEastAsia" w:eastAsiaTheme="minorEastAsia"/>
          <w:color w:val="auto"/>
          <w:sz w:val="24"/>
          <w:highlight w:val="none"/>
        </w:rPr>
        <w:t>见“浙江政府采购网-下载专区-电子交易客户端-CA驱动和申领流程”；安装“政采云电子交易客户端”----前往“浙江政府采购网-下载专区-电子交易客户端”进行下载并安装。</w:t>
      </w:r>
    </w:p>
    <w:p w14:paraId="1B1DE163">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0B9B414A">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eastAsia="zh-CN"/>
        </w:rPr>
        <w:t>响应</w:t>
      </w:r>
      <w:r>
        <w:rPr>
          <w:rFonts w:hint="eastAsia" w:cs="仿宋_GB2312" w:asciiTheme="minorEastAsia" w:hAnsiTheme="minorEastAsia" w:eastAsiaTheme="minorEastAsia"/>
          <w:color w:val="auto"/>
          <w:sz w:val="24"/>
          <w:highlight w:val="none"/>
        </w:rPr>
        <w:t>文件”、“标书关联”、“标书检查”、“电子签名”、“生成电子标书”等操作。</w:t>
      </w:r>
    </w:p>
    <w:p w14:paraId="61F1C77C">
      <w:pPr>
        <w:spacing w:line="360" w:lineRule="auto"/>
        <w:ind w:firstLine="482" w:firstLineChars="200"/>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p>
    <w:p w14:paraId="4B5882A2">
      <w:pPr>
        <w:spacing w:line="360" w:lineRule="auto"/>
        <w:ind w:firstLine="482" w:firstLineChars="200"/>
        <w:rPr>
          <w:rFonts w:hint="eastAsia"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6CDF6182">
      <w:pPr>
        <w:spacing w:line="360" w:lineRule="auto"/>
        <w:ind w:firstLine="482" w:firstLineChars="200"/>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269D3075">
      <w:pPr>
        <w:spacing w:line="360" w:lineRule="auto"/>
        <w:ind w:firstLine="482" w:firstLineChars="200"/>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w:t>
      </w:r>
      <w:r>
        <w:rPr>
          <w:rFonts w:hint="eastAsia" w:cs="仿宋_GB2312" w:asciiTheme="minorEastAsia" w:hAnsiTheme="minorEastAsia" w:eastAsiaTheme="minorEastAsia"/>
          <w:color w:val="auto"/>
          <w:sz w:val="24"/>
          <w:highlight w:val="none"/>
          <w:lang w:val="en-US" w:eastAsia="zh-CN"/>
        </w:rPr>
        <w:t>以</w:t>
      </w:r>
      <w:r>
        <w:rPr>
          <w:rFonts w:hint="eastAsia" w:cs="仿宋_GB2312" w:asciiTheme="minorEastAsia" w:hAnsiTheme="minorEastAsia" w:eastAsiaTheme="minorEastAsia"/>
          <w:color w:val="auto"/>
          <w:sz w:val="24"/>
          <w:highlight w:val="none"/>
        </w:rPr>
        <w:t>快递方式提交备份响应文件1份。备份响应文件的制作、存储、密封</w:t>
      </w:r>
      <w:r>
        <w:rPr>
          <w:rFonts w:hint="eastAsia" w:cs="宋体" w:asciiTheme="minorEastAsia" w:hAnsiTheme="minorEastAsia" w:eastAsiaTheme="minorEastAsia"/>
          <w:color w:val="auto"/>
          <w:kern w:val="0"/>
          <w:sz w:val="24"/>
          <w:highlight w:val="none"/>
          <w:lang w:val="en-US" w:eastAsia="zh-CN"/>
        </w:rPr>
        <w:t>具体</w:t>
      </w:r>
      <w:r>
        <w:rPr>
          <w:rFonts w:hint="eastAsia" w:cs="仿宋_GB2312" w:asciiTheme="minorEastAsia" w:hAnsiTheme="minorEastAsia" w:eastAsiaTheme="minorEastAsia"/>
          <w:color w:val="auto"/>
          <w:sz w:val="24"/>
          <w:highlight w:val="none"/>
        </w:rPr>
        <w:t>见磋商文件第三部分 “备份响应文件”；</w:t>
      </w:r>
    </w:p>
    <w:p w14:paraId="00C5F932">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49422D7D">
      <w:pPr>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en-US" w:eastAsia="zh-CN"/>
        </w:rPr>
        <w:t>具体</w:t>
      </w:r>
      <w:r>
        <w:rPr>
          <w:rFonts w:hint="eastAsia" w:cs="仿宋_GB2312" w:asciiTheme="minorEastAsia" w:hAnsiTheme="minorEastAsia" w:eastAsiaTheme="minorEastAsia"/>
          <w:color w:val="auto"/>
          <w:sz w:val="24"/>
          <w:highlight w:val="none"/>
        </w:rPr>
        <w:t>见政采云平台“服务中心-帮助文档-项目采购-操作流程-电子招投标-政府采购项目电子交易管理操作指南-供应商”。</w:t>
      </w:r>
    </w:p>
    <w:p w14:paraId="571911CB">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磋商文件公告期限与磋商公告的公告期限一致。</w:t>
      </w:r>
    </w:p>
    <w:p w14:paraId="5E647B67">
      <w:pPr>
        <w:pStyle w:val="4"/>
        <w:numPr>
          <w:ilvl w:val="0"/>
          <w:numId w:val="0"/>
        </w:numPr>
        <w:ind w:left="432" w:hanging="432"/>
        <w:rPr>
          <w:rFonts w:cs="宋体" w:asciiTheme="minorEastAsia" w:hAnsiTheme="minorEastAsia" w:eastAsiaTheme="minorEastAsia"/>
          <w:color w:val="auto"/>
          <w:sz w:val="24"/>
          <w:szCs w:val="24"/>
          <w:highlight w:val="none"/>
        </w:rPr>
      </w:pPr>
      <w:bookmarkStart w:id="36" w:name="_Toc28359018"/>
      <w:bookmarkStart w:id="37" w:name="_Toc35393636"/>
      <w:bookmarkStart w:id="38" w:name="_Toc28359095"/>
      <w:bookmarkStart w:id="39"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2645DDCB">
      <w:pPr>
        <w:pStyle w:val="4"/>
        <w:numPr>
          <w:ilvl w:val="0"/>
          <w:numId w:val="0"/>
        </w:numPr>
        <w:ind w:left="432" w:hanging="432"/>
        <w:rPr>
          <w:rFonts w:cs="宋体" w:asciiTheme="minorEastAsia" w:hAnsiTheme="minorEastAsia" w:eastAsiaTheme="minorEastAsia"/>
          <w:color w:val="auto"/>
          <w:sz w:val="24"/>
          <w:szCs w:val="24"/>
          <w:highlight w:val="none"/>
        </w:rPr>
      </w:pPr>
      <w:bookmarkStart w:id="40" w:name="_Toc35393806"/>
      <w:bookmarkStart w:id="41" w:name="_Toc28359019"/>
      <w:bookmarkStart w:id="42" w:name="_Toc35393637"/>
      <w:bookmarkStart w:id="43" w:name="_Toc28359096"/>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1AAA190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宁波市鄞州经济开发区管理委员会</w:t>
      </w:r>
    </w:p>
    <w:p w14:paraId="5D3D98B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宋体" w:hAnsi="宋体" w:cs="宋体"/>
          <w:color w:val="auto"/>
          <w:sz w:val="24"/>
          <w:highlight w:val="none"/>
        </w:rPr>
        <w:t>宁波市鄞州区鄞东南路111号</w:t>
      </w:r>
    </w:p>
    <w:p w14:paraId="371E8DA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21A07F25">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w:t>
      </w:r>
      <w:r>
        <w:rPr>
          <w:rFonts w:hint="eastAsia" w:ascii="宋体" w:hAnsi="宋体" w:cs="宋体"/>
          <w:color w:val="auto"/>
          <w:sz w:val="24"/>
          <w:highlight w:val="none"/>
          <w:lang w:val="en-US" w:eastAsia="zh-CN"/>
        </w:rPr>
        <w:t>李</w:t>
      </w:r>
      <w:r>
        <w:rPr>
          <w:rFonts w:hint="eastAsia" w:ascii="宋体" w:hAnsi="宋体" w:cs="宋体"/>
          <w:color w:val="auto"/>
          <w:sz w:val="24"/>
          <w:highlight w:val="none"/>
        </w:rPr>
        <w:t>老师</w:t>
      </w:r>
    </w:p>
    <w:p w14:paraId="6C618D50">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ascii="宋体" w:hAnsi="宋体" w:cs="宋体"/>
          <w:color w:val="auto"/>
          <w:sz w:val="24"/>
          <w:highlight w:val="none"/>
        </w:rPr>
        <w:t>0574-88306513</w:t>
      </w:r>
    </w:p>
    <w:p w14:paraId="3B9A08B2">
      <w:pPr>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郑老师</w:t>
      </w:r>
      <w:r>
        <w:rPr>
          <w:rFonts w:hint="eastAsia" w:asciiTheme="minorEastAsia" w:hAnsiTheme="minorEastAsia" w:eastAsiaTheme="minorEastAsia"/>
          <w:color w:val="auto"/>
          <w:sz w:val="24"/>
          <w:highlight w:val="none"/>
        </w:rPr>
        <w:t xml:space="preserve"> </w:t>
      </w:r>
    </w:p>
    <w:p w14:paraId="6A0F239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w:t>
      </w:r>
      <w:r>
        <w:rPr>
          <w:rFonts w:hint="eastAsia" w:ascii="宋体" w:hAnsi="宋体" w:cs="宋体"/>
          <w:color w:val="auto"/>
          <w:sz w:val="24"/>
          <w:highlight w:val="none"/>
        </w:rPr>
        <w:t>0574-88306513</w:t>
      </w:r>
    </w:p>
    <w:p w14:paraId="5C27937C">
      <w:pPr>
        <w:pStyle w:val="4"/>
        <w:numPr>
          <w:ilvl w:val="0"/>
          <w:numId w:val="0"/>
        </w:numPr>
        <w:ind w:left="432" w:hanging="432"/>
        <w:rPr>
          <w:rFonts w:cs="宋体" w:asciiTheme="minorEastAsia" w:hAnsiTheme="minorEastAsia" w:eastAsiaTheme="minorEastAsia"/>
          <w:color w:val="auto"/>
          <w:sz w:val="24"/>
          <w:highlight w:val="none"/>
        </w:rPr>
      </w:pPr>
      <w:bookmarkStart w:id="44" w:name="_Toc28359020"/>
      <w:bookmarkStart w:id="45" w:name="_Toc35393638"/>
      <w:bookmarkStart w:id="46" w:name="_Toc35393807"/>
      <w:bookmarkStart w:id="47" w:name="_Toc28359097"/>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06FC94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宁波中基国际招标有限公司</w:t>
      </w:r>
      <w:r>
        <w:rPr>
          <w:rFonts w:hint="eastAsia" w:asciiTheme="minorEastAsia" w:hAnsiTheme="minorEastAsia" w:eastAsiaTheme="minorEastAsia"/>
          <w:color w:val="auto"/>
          <w:sz w:val="24"/>
          <w:highlight w:val="none"/>
        </w:rPr>
        <w:t xml:space="preserve">            </w:t>
      </w:r>
    </w:p>
    <w:p w14:paraId="6CF30D2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址：宁波市鄞州区天童南路666号中基大厦19楼</w:t>
      </w:r>
      <w:r>
        <w:rPr>
          <w:rFonts w:asciiTheme="minorEastAsia" w:hAnsiTheme="minorEastAsia" w:eastAsiaTheme="minorEastAsia"/>
          <w:color w:val="auto"/>
          <w:sz w:val="24"/>
          <w:highlight w:val="none"/>
        </w:rPr>
        <w:t xml:space="preserve"> </w:t>
      </w:r>
    </w:p>
    <w:p w14:paraId="4DF25CF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2DAF28D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宋体" w:hAnsi="宋体" w:cs="宋体"/>
          <w:color w:val="auto"/>
          <w:sz w:val="24"/>
          <w:highlight w:val="none"/>
        </w:rPr>
        <w:t>陈冲、沙玉珠</w:t>
      </w:r>
      <w:r>
        <w:rPr>
          <w:rFonts w:hint="eastAsia" w:asciiTheme="minorEastAsia" w:hAnsiTheme="minorEastAsia" w:eastAsiaTheme="minorEastAsia"/>
          <w:color w:val="auto"/>
          <w:sz w:val="24"/>
          <w:highlight w:val="none"/>
        </w:rPr>
        <w:t xml:space="preserve"> </w:t>
      </w:r>
    </w:p>
    <w:p w14:paraId="1C0AD6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宋体" w:hAnsi="宋体" w:cs="宋体"/>
          <w:color w:val="auto"/>
          <w:sz w:val="24"/>
          <w:highlight w:val="none"/>
        </w:rPr>
        <w:t>0574-87425731、87425383</w:t>
      </w:r>
    </w:p>
    <w:p w14:paraId="2DF9DC0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方芸</w:t>
      </w:r>
      <w:r>
        <w:rPr>
          <w:rFonts w:hint="eastAsia" w:asciiTheme="minorEastAsia" w:hAnsiTheme="minorEastAsia" w:eastAsiaTheme="minorEastAsia"/>
          <w:color w:val="auto"/>
          <w:sz w:val="24"/>
          <w:highlight w:val="none"/>
        </w:rPr>
        <w:t xml:space="preserve">           </w:t>
      </w:r>
    </w:p>
    <w:p w14:paraId="477E87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质疑联系方式：0574-8</w:t>
      </w:r>
      <w:r>
        <w:rPr>
          <w:rFonts w:hint="eastAsia" w:asciiTheme="minorEastAsia" w:hAnsiTheme="minorEastAsia" w:eastAsiaTheme="minorEastAsia"/>
          <w:color w:val="auto"/>
          <w:sz w:val="24"/>
          <w:highlight w:val="none"/>
          <w:lang w:val="en-US" w:eastAsia="zh-CN"/>
        </w:rPr>
        <w:t>8090063</w:t>
      </w:r>
    </w:p>
    <w:p w14:paraId="1F5B89A2">
      <w:pPr>
        <w:spacing w:line="360" w:lineRule="auto"/>
        <w:rPr>
          <w:rFonts w:asciiTheme="minorEastAsia" w:hAnsiTheme="minorEastAsia" w:eastAsiaTheme="minorEastAsia"/>
          <w:b/>
          <w:color w:val="auto"/>
          <w:sz w:val="24"/>
          <w:highlight w:val="none"/>
        </w:rPr>
      </w:pPr>
      <w:bookmarkStart w:id="48" w:name="_Toc28359098"/>
      <w:bookmarkStart w:id="49" w:name="_Toc28359021"/>
      <w:bookmarkStart w:id="50" w:name="_Toc35393808"/>
      <w:bookmarkStart w:id="51"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3A73E78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宁波市鄞州区政府采购管理办公室</w:t>
      </w:r>
    </w:p>
    <w:p w14:paraId="6803CE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宁波市鄞州区民惠东路16号</w:t>
      </w:r>
      <w:r>
        <w:rPr>
          <w:rFonts w:hint="eastAsia" w:ascii="宋体" w:hAnsi="宋体" w:cs="宋体"/>
          <w:color w:val="auto"/>
          <w:sz w:val="24"/>
          <w:highlight w:val="none"/>
        </w:rPr>
        <w:t xml:space="preserve"> </w:t>
      </w:r>
    </w:p>
    <w:p w14:paraId="0F506A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5A2DE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：郑老师</w:t>
      </w:r>
    </w:p>
    <w:p w14:paraId="0145B31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监督投诉电话：0574-89295894</w:t>
      </w:r>
    </w:p>
    <w:p w14:paraId="730253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4A444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cs="仿宋_GB2312" w:asciiTheme="minorEastAsia" w:hAnsiTheme="minorEastAsia" w:eastAsiaTheme="minorEastAsia"/>
          <w:b/>
          <w:color w:val="auto"/>
          <w:sz w:val="36"/>
          <w:szCs w:val="20"/>
          <w:highlight w:val="none"/>
        </w:rPr>
        <w:sectPr>
          <w:headerReference r:id="rId4" w:type="first"/>
          <w:footerReference r:id="rId7" w:type="first"/>
          <w:headerReference r:id="rId3" w:type="default"/>
          <w:footerReference r:id="rId5" w:type="default"/>
          <w:footerReference r:id="rId6" w:type="even"/>
          <w:pgSz w:w="11905" w:h="16838"/>
          <w:pgMar w:top="1440" w:right="1440" w:bottom="1440" w:left="1440" w:header="850" w:footer="992" w:gutter="0"/>
          <w:cols w:space="0" w:num="1"/>
          <w:titlePg/>
          <w:rtlGutter w:val="0"/>
          <w:docGrid w:linePitch="312" w:charSpace="0"/>
        </w:sectPr>
      </w:pPr>
      <w:r>
        <w:rPr>
          <w:rFonts w:hint="eastAsia" w:asciiTheme="minorEastAsia" w:hAnsiTheme="minorEastAsia" w:eastAsiaTheme="minorEastAsia"/>
          <w:color w:val="auto"/>
          <w:sz w:val="24"/>
          <w:highlight w:val="none"/>
        </w:rPr>
        <w:t>CA问题联系电话（人工）：汇信CA 400-888-4636；天谷CA 400-087-8198。</w:t>
      </w:r>
    </w:p>
    <w:p w14:paraId="119C5FD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819ABB9">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F03696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73F7FA76">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5F4FD510">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489FC771">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D2E407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A9E27B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9460FD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3B16ED1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64D8D26">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25813C3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481BB42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rFonts w:hint="eastAsia" w:cs="Arial" w:asciiTheme="minorEastAsia" w:hAnsiTheme="minorEastAsia" w:eastAsiaTheme="minorEastAsia"/>
          <w:color w:val="auto"/>
          <w:kern w:val="0"/>
          <w:szCs w:val="24"/>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1"/>
          <w:rFonts w:hint="eastAsia" w:asciiTheme="minorEastAsia" w:hAnsiTheme="minorEastAsia" w:eastAsiaTheme="minorEastAsia"/>
          <w:snapToGrid/>
          <w:color w:val="auto"/>
          <w:sz w:val="24"/>
          <w:szCs w:val="24"/>
          <w:highlight w:val="none"/>
        </w:rPr>
        <w:t>www.creditchina.gov.cn</w:t>
      </w:r>
      <w:r>
        <w:rPr>
          <w:rStyle w:val="71"/>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www.ccgp.gov.cn</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渠道查询供应商响应截止时间当日的信用记录。</w:t>
      </w:r>
    </w:p>
    <w:p w14:paraId="159202B9">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246A505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42ACDA2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25710E33">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0120D2B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36794C07">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0B80A689">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967548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410F027">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D05C0F1">
      <w:pPr>
        <w:pStyle w:val="398"/>
        <w:spacing w:before="0"/>
        <w:ind w:firstLine="480"/>
        <w:rPr>
          <w:color w:val="auto"/>
          <w:highlight w:val="none"/>
        </w:rPr>
      </w:pPr>
      <w:r>
        <w:rPr>
          <w:rFonts w:hint="eastAsia" w:asciiTheme="minorEastAsia" w:hAnsiTheme="minorEastAsia" w:eastAsiaTheme="minorEastAsia"/>
          <w:color w:val="auto"/>
          <w:szCs w:val="24"/>
          <w:highlight w:val="none"/>
        </w:rPr>
        <w:t>3.9</w:t>
      </w:r>
      <w:r>
        <w:rPr>
          <w:rFonts w:hint="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95E2E2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09800A8A">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B170303">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22161699">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2775ADF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930A4C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BE0601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w:t>
      </w:r>
      <w:r>
        <w:rPr>
          <w:rFonts w:hint="eastAsia" w:asciiTheme="minorEastAsia" w:hAnsiTheme="minorEastAsia" w:eastAsiaTheme="minorEastAsia"/>
          <w:color w:val="auto"/>
          <w:szCs w:val="24"/>
          <w:highlight w:val="none"/>
          <w:lang w:val="en-US" w:eastAsia="zh-CN"/>
        </w:rPr>
        <w:t>3</w:t>
      </w:r>
      <w:r>
        <w:rPr>
          <w:rFonts w:hint="eastAsia" w:asciiTheme="minorEastAsia" w:hAnsiTheme="minorEastAsia" w:eastAsiaTheme="minorEastAsia"/>
          <w:color w:val="auto"/>
          <w:szCs w:val="24"/>
          <w:highlight w:val="none"/>
        </w:rPr>
        <w:t>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75EBB5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3BA7EC9E">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433A3F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2E63516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1E95C46">
      <w:pPr>
        <w:pStyle w:val="398"/>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11A9B76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w:t>
      </w:r>
      <w:r>
        <w:rPr>
          <w:rFonts w:hint="eastAsia" w:asciiTheme="minorEastAsia" w:hAnsiTheme="minorEastAsia" w:eastAsiaTheme="minorEastAsia"/>
          <w:color w:val="auto"/>
          <w:szCs w:val="24"/>
          <w:highlight w:val="none"/>
          <w:lang w:val="en-US" w:eastAsia="zh-CN"/>
        </w:rPr>
        <w:t>30</w:t>
      </w:r>
      <w:r>
        <w:rPr>
          <w:rFonts w:hint="eastAsia" w:asciiTheme="minorEastAsia" w:hAnsiTheme="minorEastAsia" w:eastAsiaTheme="minorEastAsia"/>
          <w:color w:val="auto"/>
          <w:szCs w:val="24"/>
          <w:highlight w:val="none"/>
        </w:rPr>
        <w:t>日内签订政府采购合同。</w:t>
      </w:r>
    </w:p>
    <w:p w14:paraId="78155E69">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554C218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09C5D3C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36CA456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321CBBB6">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1425997F">
      <w:pPr>
        <w:pStyle w:val="398"/>
        <w:spacing w:before="0"/>
        <w:ind w:firstLine="0" w:firstLineChars="0"/>
        <w:rPr>
          <w:rFonts w:asciiTheme="minorEastAsia" w:hAnsiTheme="minorEastAsia" w:eastAsiaTheme="minorEastAsia"/>
          <w:b/>
          <w:color w:val="auto"/>
          <w:highlight w:val="none"/>
        </w:rPr>
      </w:pPr>
    </w:p>
    <w:p w14:paraId="695A0ED2">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1A4BCEED">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4525EE">
                            <w:pPr>
                              <w:rPr>
                                <w:rFonts w:asciiTheme="minorEastAsia" w:hAnsiTheme="minorEastAsia" w:eastAsiaTheme="minorEastAsia"/>
                              </w:rPr>
                            </w:pPr>
                            <w:r>
                              <w:rPr>
                                <w:rFonts w:hint="eastAsia" w:asciiTheme="minorEastAsia" w:hAnsiTheme="minorEastAsia" w:eastAsiaTheme="minorEastAsia"/>
                              </w:rPr>
                              <w:t>验收</w:t>
                            </w:r>
                          </w:p>
                          <w:p w14:paraId="01348940">
                            <w:pPr>
                              <w:rPr>
                                <w:rFonts w:ascii="仿宋_GB2312" w:eastAsia="仿宋_GB2312"/>
                              </w:rPr>
                            </w:pPr>
                            <w:r>
                              <w:rPr>
                                <w:rFonts w:hint="eastAsia" w:ascii="仿宋_GB2312" w:eastAsia="仿宋_GB2312"/>
                              </w:rPr>
                              <w:t>立项</w:t>
                            </w:r>
                          </w:p>
                          <w:p w14:paraId="2889FD4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C4525EE">
                      <w:pPr>
                        <w:rPr>
                          <w:rFonts w:asciiTheme="minorEastAsia" w:hAnsiTheme="minorEastAsia" w:eastAsiaTheme="minorEastAsia"/>
                        </w:rPr>
                      </w:pPr>
                      <w:r>
                        <w:rPr>
                          <w:rFonts w:hint="eastAsia" w:asciiTheme="minorEastAsia" w:hAnsiTheme="minorEastAsia" w:eastAsiaTheme="minorEastAsia"/>
                        </w:rPr>
                        <w:t>验收</w:t>
                      </w:r>
                    </w:p>
                    <w:p w14:paraId="01348940">
                      <w:pPr>
                        <w:rPr>
                          <w:rFonts w:ascii="仿宋_GB2312" w:eastAsia="仿宋_GB2312"/>
                        </w:rPr>
                      </w:pPr>
                      <w:r>
                        <w:rPr>
                          <w:rFonts w:hint="eastAsia" w:ascii="仿宋_GB2312" w:eastAsia="仿宋_GB2312"/>
                        </w:rPr>
                        <w:t>立项</w:t>
                      </w:r>
                    </w:p>
                    <w:p w14:paraId="2889FD4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8F5380">
                            <w:pPr>
                              <w:rPr>
                                <w:rFonts w:asciiTheme="minorEastAsia" w:hAnsiTheme="minorEastAsia" w:eastAsiaTheme="minorEastAsia"/>
                              </w:rPr>
                            </w:pPr>
                            <w:r>
                              <w:rPr>
                                <w:rFonts w:hint="eastAsia" w:asciiTheme="minorEastAsia" w:hAnsiTheme="minorEastAsia" w:eastAsiaTheme="minorEastAsia"/>
                              </w:rPr>
                              <w:t>履约</w:t>
                            </w:r>
                          </w:p>
                          <w:p w14:paraId="1B2C972A">
                            <w:pPr>
                              <w:rPr>
                                <w:rFonts w:ascii="仿宋_GB2312" w:eastAsia="仿宋_GB2312"/>
                              </w:rPr>
                            </w:pPr>
                            <w:r>
                              <w:rPr>
                                <w:rFonts w:hint="eastAsia" w:ascii="仿宋_GB2312" w:eastAsia="仿宋_GB2312"/>
                              </w:rPr>
                              <w:t>立项</w:t>
                            </w:r>
                          </w:p>
                          <w:p w14:paraId="5E952B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A8F5380">
                      <w:pPr>
                        <w:rPr>
                          <w:rFonts w:asciiTheme="minorEastAsia" w:hAnsiTheme="minorEastAsia" w:eastAsiaTheme="minorEastAsia"/>
                        </w:rPr>
                      </w:pPr>
                      <w:r>
                        <w:rPr>
                          <w:rFonts w:hint="eastAsia" w:asciiTheme="minorEastAsia" w:hAnsiTheme="minorEastAsia" w:eastAsiaTheme="minorEastAsia"/>
                        </w:rPr>
                        <w:t>履约</w:t>
                      </w:r>
                    </w:p>
                    <w:p w14:paraId="1B2C972A">
                      <w:pPr>
                        <w:rPr>
                          <w:rFonts w:ascii="仿宋_GB2312" w:eastAsia="仿宋_GB2312"/>
                        </w:rPr>
                      </w:pPr>
                      <w:r>
                        <w:rPr>
                          <w:rFonts w:hint="eastAsia" w:ascii="仿宋_GB2312" w:eastAsia="仿宋_GB2312"/>
                        </w:rPr>
                        <w:t>立项</w:t>
                      </w:r>
                    </w:p>
                    <w:p w14:paraId="5E952BB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E4F214">
                            <w:pPr>
                              <w:jc w:val="center"/>
                              <w:rPr>
                                <w:rFonts w:asciiTheme="minorEastAsia" w:hAnsiTheme="minorEastAsia" w:eastAsiaTheme="minorEastAsia"/>
                              </w:rPr>
                            </w:pPr>
                            <w:r>
                              <w:rPr>
                                <w:rFonts w:hint="eastAsia" w:asciiTheme="minorEastAsia" w:hAnsiTheme="minorEastAsia" w:eastAsiaTheme="minorEastAsia"/>
                              </w:rPr>
                              <w:t>签订合同</w:t>
                            </w:r>
                          </w:p>
                          <w:p w14:paraId="08E40E0E">
                            <w:pPr>
                              <w:rPr>
                                <w:rFonts w:ascii="仿宋_GB2312" w:eastAsia="仿宋_GB2312"/>
                              </w:rPr>
                            </w:pPr>
                            <w:r>
                              <w:rPr>
                                <w:rFonts w:hint="eastAsia" w:ascii="仿宋_GB2312" w:eastAsia="仿宋_GB2312"/>
                              </w:rPr>
                              <w:t>立项</w:t>
                            </w:r>
                          </w:p>
                          <w:p w14:paraId="40D7267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2E4F214">
                      <w:pPr>
                        <w:jc w:val="center"/>
                        <w:rPr>
                          <w:rFonts w:asciiTheme="minorEastAsia" w:hAnsiTheme="minorEastAsia" w:eastAsiaTheme="minorEastAsia"/>
                        </w:rPr>
                      </w:pPr>
                      <w:r>
                        <w:rPr>
                          <w:rFonts w:hint="eastAsia" w:asciiTheme="minorEastAsia" w:hAnsiTheme="minorEastAsia" w:eastAsiaTheme="minorEastAsia"/>
                        </w:rPr>
                        <w:t>签订合同</w:t>
                      </w:r>
                    </w:p>
                    <w:p w14:paraId="08E40E0E">
                      <w:pPr>
                        <w:rPr>
                          <w:rFonts w:ascii="仿宋_GB2312" w:eastAsia="仿宋_GB2312"/>
                        </w:rPr>
                      </w:pPr>
                      <w:r>
                        <w:rPr>
                          <w:rFonts w:hint="eastAsia" w:ascii="仿宋_GB2312" w:eastAsia="仿宋_GB2312"/>
                        </w:rPr>
                        <w:t>立项</w:t>
                      </w:r>
                    </w:p>
                    <w:p w14:paraId="40D7267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AC7477">
                            <w:pPr>
                              <w:rPr>
                                <w:rFonts w:asciiTheme="minorEastAsia" w:hAnsiTheme="minorEastAsia" w:eastAsiaTheme="minorEastAsia"/>
                              </w:rPr>
                            </w:pPr>
                            <w:r>
                              <w:rPr>
                                <w:rFonts w:hint="eastAsia" w:asciiTheme="minorEastAsia" w:hAnsiTheme="minorEastAsia" w:eastAsiaTheme="minorEastAsia"/>
                              </w:rPr>
                              <w:t>成交公告；成交通知书</w:t>
                            </w:r>
                          </w:p>
                          <w:p w14:paraId="70A27711">
                            <w:pPr>
                              <w:rPr>
                                <w:rFonts w:ascii="仿宋_GB2312" w:eastAsia="仿宋_GB2312"/>
                              </w:rPr>
                            </w:pPr>
                            <w:r>
                              <w:rPr>
                                <w:rFonts w:hint="eastAsia" w:ascii="仿宋_GB2312" w:eastAsia="仿宋_GB2312"/>
                              </w:rPr>
                              <w:t>立项</w:t>
                            </w:r>
                          </w:p>
                          <w:p w14:paraId="7A7767C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6AC7477">
                      <w:pPr>
                        <w:rPr>
                          <w:rFonts w:asciiTheme="minorEastAsia" w:hAnsiTheme="minorEastAsia" w:eastAsiaTheme="minorEastAsia"/>
                        </w:rPr>
                      </w:pPr>
                      <w:r>
                        <w:rPr>
                          <w:rFonts w:hint="eastAsia" w:asciiTheme="minorEastAsia" w:hAnsiTheme="minorEastAsia" w:eastAsiaTheme="minorEastAsia"/>
                        </w:rPr>
                        <w:t>成交公告；成交通知书</w:t>
                      </w:r>
                    </w:p>
                    <w:p w14:paraId="70A27711">
                      <w:pPr>
                        <w:rPr>
                          <w:rFonts w:ascii="仿宋_GB2312" w:eastAsia="仿宋_GB2312"/>
                        </w:rPr>
                      </w:pPr>
                      <w:r>
                        <w:rPr>
                          <w:rFonts w:hint="eastAsia" w:ascii="仿宋_GB2312" w:eastAsia="仿宋_GB2312"/>
                        </w:rPr>
                        <w:t>立项</w:t>
                      </w:r>
                    </w:p>
                    <w:p w14:paraId="7A7767C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1B006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83C99B5">
                            <w:pPr>
                              <w:rPr>
                                <w:rFonts w:ascii="仿宋_GB2312" w:eastAsia="仿宋_GB2312"/>
                              </w:rPr>
                            </w:pPr>
                            <w:r>
                              <w:rPr>
                                <w:rFonts w:hint="eastAsia" w:ascii="仿宋_GB2312" w:eastAsia="仿宋_GB2312"/>
                              </w:rPr>
                              <w:t>立项</w:t>
                            </w:r>
                          </w:p>
                          <w:p w14:paraId="0485569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41B006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83C99B5">
                      <w:pPr>
                        <w:rPr>
                          <w:rFonts w:ascii="仿宋_GB2312" w:eastAsia="仿宋_GB2312"/>
                        </w:rPr>
                      </w:pPr>
                      <w:r>
                        <w:rPr>
                          <w:rFonts w:hint="eastAsia" w:ascii="仿宋_GB2312" w:eastAsia="仿宋_GB2312"/>
                        </w:rPr>
                        <w:t>立项</w:t>
                      </w:r>
                    </w:p>
                    <w:p w14:paraId="0485569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0C4FBD">
                            <w:pPr>
                              <w:jc w:val="center"/>
                              <w:rPr>
                                <w:rFonts w:asciiTheme="minorEastAsia" w:hAnsiTheme="minorEastAsia" w:eastAsiaTheme="minorEastAsia"/>
                              </w:rPr>
                            </w:pPr>
                            <w:r>
                              <w:rPr>
                                <w:rFonts w:hint="eastAsia" w:asciiTheme="minorEastAsia" w:hAnsiTheme="minorEastAsia" w:eastAsiaTheme="minorEastAsia"/>
                              </w:rPr>
                              <w:t>评审打分</w:t>
                            </w:r>
                          </w:p>
                          <w:p w14:paraId="540138F2">
                            <w:pPr>
                              <w:rPr>
                                <w:rFonts w:ascii="仿宋_GB2312" w:eastAsia="仿宋_GB2312"/>
                              </w:rPr>
                            </w:pPr>
                            <w:r>
                              <w:rPr>
                                <w:rFonts w:hint="eastAsia" w:ascii="仿宋_GB2312" w:eastAsia="仿宋_GB2312"/>
                              </w:rPr>
                              <w:t>立项</w:t>
                            </w:r>
                          </w:p>
                          <w:p w14:paraId="4EBAEB7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F0C4FBD">
                      <w:pPr>
                        <w:jc w:val="center"/>
                        <w:rPr>
                          <w:rFonts w:asciiTheme="minorEastAsia" w:hAnsiTheme="minorEastAsia" w:eastAsiaTheme="minorEastAsia"/>
                        </w:rPr>
                      </w:pPr>
                      <w:r>
                        <w:rPr>
                          <w:rFonts w:hint="eastAsia" w:asciiTheme="minorEastAsia" w:hAnsiTheme="minorEastAsia" w:eastAsiaTheme="minorEastAsia"/>
                        </w:rPr>
                        <w:t>评审打分</w:t>
                      </w:r>
                    </w:p>
                    <w:p w14:paraId="540138F2">
                      <w:pPr>
                        <w:rPr>
                          <w:rFonts w:ascii="仿宋_GB2312" w:eastAsia="仿宋_GB2312"/>
                        </w:rPr>
                      </w:pPr>
                      <w:r>
                        <w:rPr>
                          <w:rFonts w:hint="eastAsia" w:ascii="仿宋_GB2312" w:eastAsia="仿宋_GB2312"/>
                        </w:rPr>
                        <w:t>立项</w:t>
                      </w:r>
                    </w:p>
                    <w:p w14:paraId="4EBAEB7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9339B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CABD05F">
                            <w:pPr>
                              <w:rPr>
                                <w:rFonts w:ascii="仿宋_GB2312" w:eastAsia="仿宋_GB2312"/>
                              </w:rPr>
                            </w:pPr>
                            <w:r>
                              <w:rPr>
                                <w:rFonts w:hint="eastAsia" w:ascii="仿宋_GB2312" w:eastAsia="仿宋_GB2312"/>
                              </w:rPr>
                              <w:t>立项</w:t>
                            </w:r>
                          </w:p>
                          <w:p w14:paraId="5AFADF6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69339B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CABD05F">
                      <w:pPr>
                        <w:rPr>
                          <w:rFonts w:ascii="仿宋_GB2312" w:eastAsia="仿宋_GB2312"/>
                        </w:rPr>
                      </w:pPr>
                      <w:r>
                        <w:rPr>
                          <w:rFonts w:hint="eastAsia" w:ascii="仿宋_GB2312" w:eastAsia="仿宋_GB2312"/>
                        </w:rPr>
                        <w:t>立项</w:t>
                      </w:r>
                    </w:p>
                    <w:p w14:paraId="5AFADF6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6F5F7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26F5F7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2FBC3">
                            <w:pPr>
                              <w:jc w:val="center"/>
                              <w:rPr>
                                <w:rFonts w:asciiTheme="minorEastAsia" w:hAnsiTheme="minorEastAsia" w:eastAsiaTheme="minorEastAsia"/>
                              </w:rPr>
                            </w:pPr>
                            <w:r>
                              <w:rPr>
                                <w:rFonts w:hint="eastAsia" w:asciiTheme="minorEastAsia" w:hAnsiTheme="minorEastAsia" w:eastAsiaTheme="minorEastAsia"/>
                              </w:rPr>
                              <w:t>资格审查</w:t>
                            </w:r>
                          </w:p>
                          <w:p w14:paraId="2CBFE1FE">
                            <w:pPr>
                              <w:jc w:val="center"/>
                              <w:rPr>
                                <w:rFonts w:ascii="仿宋_GB2312" w:eastAsia="仿宋_GB2312"/>
                              </w:rPr>
                            </w:pPr>
                          </w:p>
                          <w:p w14:paraId="262CE92D">
                            <w:pPr>
                              <w:rPr>
                                <w:rFonts w:ascii="仿宋_GB2312" w:eastAsia="仿宋_GB2312"/>
                              </w:rPr>
                            </w:pPr>
                            <w:r>
                              <w:rPr>
                                <w:rFonts w:hint="eastAsia" w:ascii="仿宋_GB2312" w:eastAsia="仿宋_GB2312"/>
                              </w:rPr>
                              <w:t>立项</w:t>
                            </w:r>
                          </w:p>
                          <w:p w14:paraId="3CC5F3F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1B2FBC3">
                      <w:pPr>
                        <w:jc w:val="center"/>
                        <w:rPr>
                          <w:rFonts w:asciiTheme="minorEastAsia" w:hAnsiTheme="minorEastAsia" w:eastAsiaTheme="minorEastAsia"/>
                        </w:rPr>
                      </w:pPr>
                      <w:r>
                        <w:rPr>
                          <w:rFonts w:hint="eastAsia" w:asciiTheme="minorEastAsia" w:hAnsiTheme="minorEastAsia" w:eastAsiaTheme="minorEastAsia"/>
                        </w:rPr>
                        <w:t>资格审查</w:t>
                      </w:r>
                    </w:p>
                    <w:p w14:paraId="2CBFE1FE">
                      <w:pPr>
                        <w:jc w:val="center"/>
                        <w:rPr>
                          <w:rFonts w:ascii="仿宋_GB2312" w:eastAsia="仿宋_GB2312"/>
                        </w:rPr>
                      </w:pPr>
                    </w:p>
                    <w:p w14:paraId="262CE92D">
                      <w:pPr>
                        <w:rPr>
                          <w:rFonts w:ascii="仿宋_GB2312" w:eastAsia="仿宋_GB2312"/>
                        </w:rPr>
                      </w:pPr>
                      <w:r>
                        <w:rPr>
                          <w:rFonts w:hint="eastAsia" w:ascii="仿宋_GB2312" w:eastAsia="仿宋_GB2312"/>
                        </w:rPr>
                        <w:t>立项</w:t>
                      </w:r>
                    </w:p>
                    <w:p w14:paraId="3CC5F3F8">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D8227">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14D8227">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DCAF11">
                            <w:pPr>
                              <w:jc w:val="center"/>
                              <w:rPr>
                                <w:rFonts w:asciiTheme="minorEastAsia" w:hAnsiTheme="minorEastAsia" w:eastAsiaTheme="minorEastAsia"/>
                              </w:rPr>
                            </w:pPr>
                            <w:r>
                              <w:rPr>
                                <w:rFonts w:hint="eastAsia" w:asciiTheme="minorEastAsia" w:hAnsiTheme="minorEastAsia" w:eastAsiaTheme="minorEastAsia"/>
                              </w:rPr>
                              <w:t>开启响应文件</w:t>
                            </w:r>
                          </w:p>
                          <w:p w14:paraId="00CA3BA1">
                            <w:pPr>
                              <w:rPr>
                                <w:rFonts w:ascii="仿宋_GB2312" w:eastAsia="仿宋_GB2312"/>
                              </w:rPr>
                            </w:pPr>
                            <w:r>
                              <w:rPr>
                                <w:rFonts w:hint="eastAsia" w:ascii="仿宋_GB2312" w:eastAsia="仿宋_GB2312"/>
                              </w:rPr>
                              <w:t>立项</w:t>
                            </w:r>
                          </w:p>
                          <w:p w14:paraId="11E1FD1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3DCAF11">
                      <w:pPr>
                        <w:jc w:val="center"/>
                        <w:rPr>
                          <w:rFonts w:asciiTheme="minorEastAsia" w:hAnsiTheme="minorEastAsia" w:eastAsiaTheme="minorEastAsia"/>
                        </w:rPr>
                      </w:pPr>
                      <w:r>
                        <w:rPr>
                          <w:rFonts w:hint="eastAsia" w:asciiTheme="minorEastAsia" w:hAnsiTheme="minorEastAsia" w:eastAsiaTheme="minorEastAsia"/>
                        </w:rPr>
                        <w:t>开启响应文件</w:t>
                      </w:r>
                    </w:p>
                    <w:p w14:paraId="00CA3BA1">
                      <w:pPr>
                        <w:rPr>
                          <w:rFonts w:ascii="仿宋_GB2312" w:eastAsia="仿宋_GB2312"/>
                        </w:rPr>
                      </w:pPr>
                      <w:r>
                        <w:rPr>
                          <w:rFonts w:hint="eastAsia" w:ascii="仿宋_GB2312" w:eastAsia="仿宋_GB2312"/>
                        </w:rPr>
                        <w:t>立项</w:t>
                      </w:r>
                    </w:p>
                    <w:p w14:paraId="11E1FD1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1BB659">
                            <w:pPr>
                              <w:jc w:val="center"/>
                              <w:rPr>
                                <w:rFonts w:asciiTheme="minorEastAsia" w:hAnsiTheme="minorEastAsia" w:eastAsiaTheme="minorEastAsia"/>
                              </w:rPr>
                            </w:pPr>
                            <w:r>
                              <w:rPr>
                                <w:rFonts w:hint="eastAsia" w:asciiTheme="minorEastAsia" w:hAnsiTheme="minorEastAsia" w:eastAsiaTheme="minorEastAsia"/>
                              </w:rPr>
                              <w:t>邀请供应商</w:t>
                            </w:r>
                          </w:p>
                          <w:p w14:paraId="12C5A580">
                            <w:pPr>
                              <w:rPr>
                                <w:rFonts w:ascii="仿宋_GB2312" w:eastAsia="仿宋_GB2312"/>
                              </w:rPr>
                            </w:pPr>
                            <w:r>
                              <w:rPr>
                                <w:rFonts w:hint="eastAsia" w:ascii="仿宋_GB2312" w:eastAsia="仿宋_GB2312"/>
                              </w:rPr>
                              <w:t>立项</w:t>
                            </w:r>
                          </w:p>
                          <w:p w14:paraId="0109295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41BB659">
                      <w:pPr>
                        <w:jc w:val="center"/>
                        <w:rPr>
                          <w:rFonts w:asciiTheme="minorEastAsia" w:hAnsiTheme="minorEastAsia" w:eastAsiaTheme="minorEastAsia"/>
                        </w:rPr>
                      </w:pPr>
                      <w:r>
                        <w:rPr>
                          <w:rFonts w:hint="eastAsia" w:asciiTheme="minorEastAsia" w:hAnsiTheme="minorEastAsia" w:eastAsiaTheme="minorEastAsia"/>
                        </w:rPr>
                        <w:t>邀请供应商</w:t>
                      </w:r>
                    </w:p>
                    <w:p w14:paraId="12C5A580">
                      <w:pPr>
                        <w:rPr>
                          <w:rFonts w:ascii="仿宋_GB2312" w:eastAsia="仿宋_GB2312"/>
                        </w:rPr>
                      </w:pPr>
                      <w:r>
                        <w:rPr>
                          <w:rFonts w:hint="eastAsia" w:ascii="仿宋_GB2312" w:eastAsia="仿宋_GB2312"/>
                        </w:rPr>
                        <w:t>立项</w:t>
                      </w:r>
                    </w:p>
                    <w:p w14:paraId="0109295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4EF0AD1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105E70B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3"/>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083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5B4B9433">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1D622EDE">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337AC699">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6BD89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25E3B4B">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4ADE9D5C">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648AE27D">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2D2E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63FDF83">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3D4BC3EF">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62150E4D">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right="0"/>
              <w:textAlignment w:val="auto"/>
              <w:rPr>
                <w:rFonts w:hint="eastAsia" w:cs="宋体" w:asciiTheme="minorEastAsia" w:hAnsiTheme="minorEastAsia" w:eastAsiaTheme="minorEastAsia"/>
                <w:color w:val="auto"/>
                <w:kern w:val="0"/>
                <w:sz w:val="24"/>
                <w:highlight w:val="none"/>
                <w:lang w:eastAsia="zh-CN"/>
              </w:rPr>
            </w:pPr>
            <w:r>
              <w:rPr>
                <w:rFonts w:hint="eastAsia" w:ascii="宋体" w:hAnsi="宋体" w:cs="宋体"/>
                <w:snapToGrid/>
                <w:color w:val="auto"/>
                <w:kern w:val="0"/>
                <w:sz w:val="24"/>
                <w:szCs w:val="24"/>
                <w:highlight w:val="none"/>
                <w:lang w:val="en-US" w:eastAsia="zh-CN"/>
              </w:rPr>
              <w:t>本项目为非专门面向中小企业项目</w:t>
            </w:r>
            <w:r>
              <w:rPr>
                <w:rFonts w:hint="eastAsia" w:cs="宋体" w:asciiTheme="minorEastAsia" w:hAnsiTheme="minorEastAsia" w:eastAsiaTheme="minorEastAsia"/>
                <w:color w:val="auto"/>
                <w:kern w:val="0"/>
                <w:sz w:val="24"/>
                <w:highlight w:val="none"/>
              </w:rPr>
              <w:t>。</w:t>
            </w:r>
          </w:p>
          <w:p w14:paraId="0411EF69">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right="0"/>
              <w:textAlignment w:val="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鄞州经济开发区管委会监控维</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eastAsia="zh-CN"/>
              </w:rPr>
              <w:t>软件和信息技术服务业</w:t>
            </w:r>
            <w:r>
              <w:rPr>
                <w:rFonts w:hint="eastAsia" w:cs="宋体" w:asciiTheme="minorEastAsia" w:hAnsiTheme="minorEastAsia" w:eastAsiaTheme="minorEastAsia"/>
                <w:color w:val="auto"/>
                <w:kern w:val="0"/>
                <w:sz w:val="24"/>
                <w:highlight w:val="none"/>
                <w:lang w:eastAsia="zh-CN"/>
              </w:rPr>
              <w:t>。</w:t>
            </w:r>
          </w:p>
          <w:p w14:paraId="3B161E61">
            <w:pPr>
              <w:keepNext w:val="0"/>
              <w:keepLines w:val="0"/>
              <w:pageBreakBefore w:val="0"/>
              <w:widowControl w:val="0"/>
              <w:kinsoku/>
              <w:wordWrap/>
              <w:overflowPunct/>
              <w:topLinePunct w:val="0"/>
              <w:autoSpaceDE/>
              <w:autoSpaceDN/>
              <w:bidi w:val="0"/>
              <w:snapToGrid w:val="0"/>
              <w:spacing w:line="360" w:lineRule="auto"/>
              <w:ind w:right="0"/>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备注：《关于印发中小企业划型标准规定的通知》（工信部联企业〔2011〕300）：</w:t>
            </w:r>
          </w:p>
          <w:p w14:paraId="3DC6B143">
            <w:pPr>
              <w:keepNext w:val="0"/>
              <w:keepLines w:val="0"/>
              <w:pageBreakBefore w:val="0"/>
              <w:widowControl w:val="0"/>
              <w:kinsoku/>
              <w:wordWrap/>
              <w:overflowPunct/>
              <w:topLinePunct w:val="0"/>
              <w:autoSpaceDE/>
              <w:autoSpaceDN/>
              <w:bidi w:val="0"/>
              <w:spacing w:line="360" w:lineRule="auto"/>
              <w:ind w:right="0"/>
              <w:textAlignment w:val="auto"/>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color w:val="auto"/>
                <w:sz w:val="24"/>
                <w:highlight w:val="none"/>
                <w:lang w:val="en-US" w:eastAsia="zh-CN"/>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B506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E8F5F0B">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62D36CD7">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05842630">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1B5B73E0">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F9BE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A4DB175">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24C4812A">
            <w:pPr>
              <w:keepNext w:val="0"/>
              <w:keepLines w:val="0"/>
              <w:pageBreakBefore w:val="0"/>
              <w:widowControl w:val="0"/>
              <w:kinsoku/>
              <w:wordWrap/>
              <w:overflowPunct/>
              <w:topLinePunct w:val="0"/>
              <w:autoSpaceDE/>
              <w:autoSpaceDN/>
              <w:bidi w:val="0"/>
              <w:adjustRightInd w:val="0"/>
              <w:snapToGrid w:val="0"/>
              <w:spacing w:line="400" w:lineRule="exact"/>
              <w:ind w:right="0" w:firstLine="482" w:firstLineChars="20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5ED19B6F">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65DE612E">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78177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C4244C7">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5CECC90A">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2AFE0D5E">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C3C1233">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173F6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93122BB">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2A9393D6">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14C754F1">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6A149B4A">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7DD4FA7">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965A3DF">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FE5B843">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w:t>
            </w:r>
            <w:r>
              <w:rPr>
                <w:rFonts w:hint="eastAsia" w:cs="宋体" w:asciiTheme="minorEastAsia" w:hAnsiTheme="minorEastAsia" w:eastAsiaTheme="minorEastAsia"/>
                <w:snapToGrid w:val="0"/>
                <w:color w:val="auto"/>
                <w:kern w:val="28"/>
                <w:sz w:val="24"/>
                <w:highlight w:val="none"/>
                <w:lang w:eastAsia="zh-CN"/>
              </w:rPr>
              <w:t>具体</w:t>
            </w:r>
            <w:r>
              <w:rPr>
                <w:rFonts w:hint="eastAsia" w:cs="宋体" w:asciiTheme="minorEastAsia" w:hAnsiTheme="minorEastAsia" w:eastAsiaTheme="minorEastAsia"/>
                <w:snapToGrid w:val="0"/>
                <w:color w:val="auto"/>
                <w:kern w:val="28"/>
                <w:sz w:val="24"/>
                <w:highlight w:val="none"/>
              </w:rPr>
              <w:t>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0A369EA7">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D548F4A">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BB912BC">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288F3CA8">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F047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5614DBB">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309D0585">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0EAAD646">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C02933C">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B组织。</w:t>
            </w:r>
          </w:p>
          <w:p w14:paraId="246E4E39">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right="0"/>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lang w:val="en-US" w:eastAsia="zh-CN"/>
              </w:rPr>
              <w:t xml:space="preserve"> / </w:t>
            </w:r>
            <w:r>
              <w:rPr>
                <w:rFonts w:hint="eastAsia" w:cs="宋体" w:asciiTheme="minorEastAsia" w:hAnsiTheme="minorEastAsia" w:eastAsiaTheme="minorEastAsia"/>
                <w:color w:val="auto"/>
                <w:kern w:val="0"/>
                <w:sz w:val="24"/>
                <w:highlight w:val="none"/>
              </w:rPr>
              <w:t>分钟，讲解次序以响应文件解密时间先后次序为准。</w:t>
            </w:r>
          </w:p>
          <w:p w14:paraId="64C5A1B4">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right="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方案讲解演示方式：</w:t>
            </w:r>
          </w:p>
          <w:p w14:paraId="4D920292">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录制演示内容。录制的演示内容需以U盘形式单独密封包装，</w:t>
            </w:r>
            <w:r>
              <w:rPr>
                <w:rFonts w:hint="eastAsia" w:cs="宋体" w:asciiTheme="minorEastAsia" w:hAnsiTheme="minorEastAsia" w:eastAsiaTheme="minorEastAsia"/>
                <w:color w:val="auto"/>
                <w:kern w:val="0"/>
                <w:sz w:val="24"/>
                <w:highlight w:val="none"/>
                <w:lang w:val="en-US" w:eastAsia="zh-CN"/>
              </w:rPr>
              <w:t>送达</w:t>
            </w:r>
            <w:r>
              <w:rPr>
                <w:rFonts w:hint="eastAsia" w:cs="宋体" w:asciiTheme="minorEastAsia" w:hAnsiTheme="minorEastAsia" w:eastAsiaTheme="minorEastAsia"/>
                <w:color w:val="auto"/>
                <w:kern w:val="0"/>
                <w:sz w:val="24"/>
                <w:highlight w:val="none"/>
              </w:rPr>
              <w:t>时间及地址同备份响应文件送达</w:t>
            </w:r>
            <w:r>
              <w:rPr>
                <w:rFonts w:hint="eastAsia" w:cs="宋体" w:asciiTheme="minorEastAsia" w:hAnsiTheme="minorEastAsia" w:eastAsiaTheme="minorEastAsia"/>
                <w:color w:val="auto"/>
                <w:kern w:val="0"/>
                <w:sz w:val="24"/>
                <w:highlight w:val="none"/>
                <w:lang w:val="en-US" w:eastAsia="zh-CN"/>
              </w:rPr>
              <w:t>时间和</w:t>
            </w:r>
            <w:r>
              <w:rPr>
                <w:rFonts w:hint="eastAsia" w:cs="宋体" w:asciiTheme="minorEastAsia" w:hAnsiTheme="minorEastAsia" w:eastAsiaTheme="minorEastAsia"/>
                <w:color w:val="auto"/>
                <w:kern w:val="0"/>
                <w:sz w:val="24"/>
                <w:highlight w:val="none"/>
              </w:rPr>
              <w:t>地点。供应商应当确保视频能够打开运行并正常使用，视频未提供或无法打开或未进行演示的不得分。</w:t>
            </w:r>
          </w:p>
        </w:tc>
      </w:tr>
      <w:tr w14:paraId="3DDB7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66236381">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611E8014">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1725B0C8">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磋商</w:t>
            </w:r>
            <w:r>
              <w:rPr>
                <w:rFonts w:hint="eastAsia" w:cs="宋体" w:asciiTheme="minorEastAsia" w:hAnsiTheme="minorEastAsia" w:eastAsiaTheme="minorEastAsia"/>
                <w:color w:val="auto"/>
                <w:sz w:val="24"/>
                <w:highlight w:val="none"/>
              </w:rPr>
              <w:t>文件第三部分“六、响应文件的编制”。</w:t>
            </w:r>
          </w:p>
          <w:p w14:paraId="2019D5A7">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8CB8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6A54F43C">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3A6A48FF">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0285DD06">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6AE7F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562A0B9C">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56F88146">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0C735A36">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66F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532B2C9">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47C215D6">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4D6EB974">
            <w:pPr>
              <w:keepNext w:val="0"/>
              <w:keepLines w:val="0"/>
              <w:pageBreakBefore w:val="0"/>
              <w:widowControl w:val="0"/>
              <w:kinsoku/>
              <w:wordWrap/>
              <w:overflowPunct/>
              <w:topLinePunct w:val="0"/>
              <w:autoSpaceDE/>
              <w:autoSpaceDN/>
              <w:bidi w:val="0"/>
              <w:adjustRightInd w:val="0"/>
              <w:snapToGrid w:val="0"/>
              <w:spacing w:line="400" w:lineRule="exact"/>
              <w:ind w:right="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1AC385AF">
            <w:pPr>
              <w:keepNext w:val="0"/>
              <w:keepLines w:val="0"/>
              <w:pageBreakBefore w:val="0"/>
              <w:widowControl w:val="0"/>
              <w:kinsoku/>
              <w:wordWrap/>
              <w:overflowPunct/>
              <w:topLinePunct w:val="0"/>
              <w:autoSpaceDE/>
              <w:autoSpaceDN/>
              <w:bidi w:val="0"/>
              <w:adjustRightInd w:val="0"/>
              <w:snapToGrid w:val="0"/>
              <w:spacing w:line="400" w:lineRule="exact"/>
              <w:ind w:right="0" w:firstLine="241" w:firstLineChars="10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5120DFD4">
            <w:pPr>
              <w:keepNext w:val="0"/>
              <w:keepLines w:val="0"/>
              <w:pageBreakBefore w:val="0"/>
              <w:widowControl w:val="0"/>
              <w:kinsoku/>
              <w:wordWrap/>
              <w:overflowPunct/>
              <w:topLinePunct w:val="0"/>
              <w:autoSpaceDE/>
              <w:autoSpaceDN/>
              <w:bidi w:val="0"/>
              <w:adjustRightInd w:val="0"/>
              <w:snapToGrid w:val="0"/>
              <w:spacing w:line="400" w:lineRule="exact"/>
              <w:ind w:right="0" w:firstLine="241" w:firstLineChars="10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响应文件出现不是唯一的、有选择性地最后报价的；</w:t>
            </w:r>
          </w:p>
          <w:p w14:paraId="5E0073CB">
            <w:pPr>
              <w:keepNext w:val="0"/>
              <w:keepLines w:val="0"/>
              <w:pageBreakBefore w:val="0"/>
              <w:widowControl w:val="0"/>
              <w:kinsoku/>
              <w:wordWrap/>
              <w:overflowPunct/>
              <w:topLinePunct w:val="0"/>
              <w:autoSpaceDE/>
              <w:autoSpaceDN/>
              <w:bidi w:val="0"/>
              <w:adjustRightInd w:val="0"/>
              <w:snapToGrid w:val="0"/>
              <w:spacing w:line="400" w:lineRule="exact"/>
              <w:ind w:right="0" w:firstLine="241" w:firstLineChars="10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51679843">
            <w:pPr>
              <w:keepNext w:val="0"/>
              <w:keepLines w:val="0"/>
              <w:pageBreakBefore w:val="0"/>
              <w:widowControl w:val="0"/>
              <w:kinsoku/>
              <w:wordWrap/>
              <w:overflowPunct/>
              <w:topLinePunct w:val="0"/>
              <w:autoSpaceDE/>
              <w:autoSpaceDN/>
              <w:bidi w:val="0"/>
              <w:adjustRightInd w:val="0"/>
              <w:spacing w:line="400" w:lineRule="exact"/>
              <w:ind w:right="0" w:firstLine="241" w:firstLineChars="10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kern w:val="0"/>
                <w:sz w:val="24"/>
                <w:highlight w:val="none"/>
                <w:lang w:eastAsia="zh-CN"/>
              </w:rPr>
              <w:t>；</w:t>
            </w:r>
          </w:p>
          <w:p w14:paraId="00D68270">
            <w:pPr>
              <w:keepNext w:val="0"/>
              <w:keepLines w:val="0"/>
              <w:pageBreakBefore w:val="0"/>
              <w:widowControl w:val="0"/>
              <w:kinsoku/>
              <w:wordWrap/>
              <w:overflowPunct/>
              <w:topLinePunct w:val="0"/>
              <w:autoSpaceDE/>
              <w:autoSpaceDN/>
              <w:bidi w:val="0"/>
              <w:adjustRightInd w:val="0"/>
              <w:spacing w:line="400" w:lineRule="exact"/>
              <w:ind w:right="0" w:firstLine="241" w:firstLineChars="1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6DCC5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DC0202F">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079A9245">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1F16C6A8">
            <w:pPr>
              <w:pStyle w:val="32"/>
              <w:keepNext w:val="0"/>
              <w:keepLines w:val="0"/>
              <w:pageBreakBefore w:val="0"/>
              <w:widowControl w:val="0"/>
              <w:kinsoku/>
              <w:wordWrap/>
              <w:overflowPunct/>
              <w:topLinePunct w:val="0"/>
              <w:autoSpaceDE/>
              <w:autoSpaceDN/>
              <w:bidi w:val="0"/>
              <w:adjustRightInd/>
              <w:snapToGrid/>
              <w:spacing w:line="400" w:lineRule="exact"/>
              <w:ind w:right="0"/>
              <w:textAlignment w:val="auto"/>
              <w:outlineLvl w:val="9"/>
              <w:rPr>
                <w:rFonts w:hint="eastAsia" w:ascii="宋体" w:hAnsi="宋体" w:eastAsia="宋体" w:cs="宋体"/>
                <w:b w:val="0"/>
                <w:bCs/>
                <w:snapToGrid/>
                <w:color w:val="auto"/>
                <w:kern w:val="0"/>
                <w:sz w:val="24"/>
                <w:szCs w:val="24"/>
                <w:highlight w:val="none"/>
              </w:rPr>
            </w:pPr>
            <w:r>
              <w:rPr>
                <w:rFonts w:hint="eastAsia" w:ascii="宋体" w:hAnsi="宋体" w:eastAsia="宋体" w:cs="宋体"/>
                <w:b w:val="0"/>
                <w:bCs/>
                <w:snapToGrid/>
                <w:color w:val="auto"/>
                <w:kern w:val="0"/>
                <w:sz w:val="24"/>
                <w:szCs w:val="24"/>
                <w:highlight w:val="none"/>
              </w:rPr>
              <w:t>供应商可以准备U盘存储的备份响应文件1份，备份响应文件应按政府采购云平台要求制作，以用于异常情况处理。供应商递交的备份响应文件送达地点和签收人员如下：</w:t>
            </w:r>
          </w:p>
          <w:p w14:paraId="17B0E182">
            <w:pPr>
              <w:pStyle w:val="32"/>
              <w:keepNext w:val="0"/>
              <w:keepLines w:val="0"/>
              <w:pageBreakBefore w:val="0"/>
              <w:widowControl w:val="0"/>
              <w:kinsoku/>
              <w:wordWrap/>
              <w:overflowPunct/>
              <w:topLinePunct w:val="0"/>
              <w:autoSpaceDE/>
              <w:autoSpaceDN/>
              <w:bidi w:val="0"/>
              <w:adjustRightInd/>
              <w:snapToGrid/>
              <w:spacing w:line="400" w:lineRule="exact"/>
              <w:ind w:right="0"/>
              <w:textAlignment w:val="auto"/>
              <w:outlineLvl w:val="9"/>
              <w:rPr>
                <w:rFonts w:hint="eastAsia" w:ascii="宋体" w:hAnsi="宋体" w:eastAsia="宋体" w:cs="宋体"/>
                <w:b w:val="0"/>
                <w:bCs/>
                <w:snapToGrid/>
                <w:color w:val="auto"/>
                <w:kern w:val="0"/>
                <w:sz w:val="24"/>
                <w:szCs w:val="24"/>
                <w:highlight w:val="none"/>
              </w:rPr>
            </w:pPr>
            <w:r>
              <w:rPr>
                <w:rFonts w:hint="eastAsia" w:ascii="宋体" w:hAnsi="宋体" w:eastAsia="宋体" w:cs="宋体"/>
                <w:b w:val="0"/>
                <w:bCs/>
                <w:snapToGrid/>
                <w:color w:val="auto"/>
                <w:kern w:val="0"/>
                <w:sz w:val="24"/>
                <w:szCs w:val="24"/>
                <w:highlight w:val="none"/>
              </w:rPr>
              <w:t>①采用邮寄（含快递）方式递交备份响应文件的，供应商须在响应文件提交截止时间前一工作日17：00（含）前将备份响应文件邮寄至规定地点，由采购代理机构签收人员进行签收。各供应商自行考虑邮寄在途时间，邮寄过程中无论何种因素导致备份响应文件未按时递交的后果，均由供应商自行负责。备份响应文件递交时间以签收人签收时间为准。迟到的备份响应文件将被拒收。请各供应商确保密封包装在邮寄过程中保持完好，并在邮寄包裹上注明项目名称、项目编号。因邮寄过程的密封破损造成不符合开启要求的，本采购代理机构及采购人概不负责。</w:t>
            </w:r>
          </w:p>
          <w:p w14:paraId="7191F8F5">
            <w:pPr>
              <w:pStyle w:val="32"/>
              <w:keepNext w:val="0"/>
              <w:keepLines w:val="0"/>
              <w:pageBreakBefore w:val="0"/>
              <w:widowControl w:val="0"/>
              <w:kinsoku/>
              <w:wordWrap/>
              <w:overflowPunct/>
              <w:topLinePunct w:val="0"/>
              <w:autoSpaceDE/>
              <w:autoSpaceDN/>
              <w:bidi w:val="0"/>
              <w:adjustRightInd/>
              <w:snapToGrid/>
              <w:spacing w:line="400" w:lineRule="exact"/>
              <w:ind w:right="0"/>
              <w:textAlignment w:val="auto"/>
              <w:outlineLvl w:val="9"/>
              <w:rPr>
                <w:rFonts w:hint="eastAsia" w:ascii="宋体" w:hAnsi="宋体" w:eastAsia="宋体" w:cs="宋体"/>
                <w:b w:val="0"/>
                <w:bCs/>
                <w:snapToGrid/>
                <w:color w:val="auto"/>
                <w:kern w:val="0"/>
                <w:sz w:val="24"/>
                <w:szCs w:val="24"/>
                <w:highlight w:val="none"/>
              </w:rPr>
            </w:pPr>
            <w:r>
              <w:rPr>
                <w:rFonts w:hint="eastAsia" w:ascii="宋体" w:hAnsi="宋体" w:eastAsia="宋体" w:cs="宋体"/>
                <w:b w:val="0"/>
                <w:bCs/>
                <w:snapToGrid/>
                <w:color w:val="auto"/>
                <w:kern w:val="0"/>
                <w:sz w:val="24"/>
                <w:szCs w:val="24"/>
                <w:highlight w:val="none"/>
              </w:rPr>
              <w:t>备份响应文件邮寄地址为：宁波市鄞州区天童南路666号中基大厦19楼。</w:t>
            </w:r>
          </w:p>
          <w:p w14:paraId="31D7127F">
            <w:pPr>
              <w:pStyle w:val="32"/>
              <w:keepNext w:val="0"/>
              <w:keepLines w:val="0"/>
              <w:pageBreakBefore w:val="0"/>
              <w:widowControl w:val="0"/>
              <w:kinsoku/>
              <w:wordWrap/>
              <w:overflowPunct/>
              <w:topLinePunct w:val="0"/>
              <w:autoSpaceDE/>
              <w:autoSpaceDN/>
              <w:bidi w:val="0"/>
              <w:adjustRightInd/>
              <w:snapToGrid/>
              <w:spacing w:line="400" w:lineRule="exact"/>
              <w:ind w:right="0"/>
              <w:textAlignment w:val="auto"/>
              <w:outlineLvl w:val="9"/>
              <w:rPr>
                <w:rFonts w:hint="eastAsia" w:ascii="宋体" w:hAnsi="宋体" w:eastAsia="宋体" w:cs="宋体"/>
                <w:b w:val="0"/>
                <w:bCs/>
                <w:snapToGrid/>
                <w:color w:val="auto"/>
                <w:kern w:val="0"/>
                <w:sz w:val="24"/>
                <w:szCs w:val="24"/>
                <w:highlight w:val="none"/>
              </w:rPr>
            </w:pPr>
            <w:r>
              <w:rPr>
                <w:rFonts w:hint="eastAsia" w:ascii="宋体" w:hAnsi="宋体" w:eastAsia="宋体" w:cs="宋体"/>
                <w:b w:val="0"/>
                <w:bCs/>
                <w:snapToGrid/>
                <w:color w:val="auto"/>
                <w:kern w:val="0"/>
                <w:sz w:val="24"/>
                <w:szCs w:val="24"/>
                <w:highlight w:val="none"/>
              </w:rPr>
              <w:t>签收人：</w:t>
            </w:r>
            <w:r>
              <w:rPr>
                <w:rFonts w:hint="eastAsia" w:hAnsi="宋体" w:cs="宋体"/>
                <w:b w:val="0"/>
                <w:bCs/>
                <w:snapToGrid/>
                <w:color w:val="auto"/>
                <w:kern w:val="0"/>
                <w:sz w:val="24"/>
                <w:szCs w:val="24"/>
                <w:highlight w:val="none"/>
                <w:lang w:val="en-US" w:eastAsia="zh-CN"/>
              </w:rPr>
              <w:t>陈冲</w:t>
            </w:r>
            <w:r>
              <w:rPr>
                <w:rFonts w:hint="eastAsia" w:ascii="宋体" w:hAnsi="宋体" w:eastAsia="宋体" w:cs="宋体"/>
                <w:b w:val="0"/>
                <w:bCs/>
                <w:snapToGrid/>
                <w:color w:val="auto"/>
                <w:kern w:val="0"/>
                <w:sz w:val="24"/>
                <w:szCs w:val="24"/>
                <w:highlight w:val="none"/>
              </w:rPr>
              <w:t>，联系方式：</w:t>
            </w:r>
            <w:r>
              <w:rPr>
                <w:rFonts w:hint="eastAsia" w:hAnsi="宋体" w:cs="宋体"/>
                <w:b w:val="0"/>
                <w:bCs/>
                <w:snapToGrid/>
                <w:color w:val="auto"/>
                <w:kern w:val="0"/>
                <w:sz w:val="24"/>
                <w:szCs w:val="24"/>
                <w:highlight w:val="none"/>
                <w:lang w:val="en-US" w:eastAsia="zh-CN"/>
              </w:rPr>
              <w:t>13081928686</w:t>
            </w:r>
            <w:r>
              <w:rPr>
                <w:rFonts w:hint="eastAsia" w:ascii="宋体" w:hAnsi="宋体" w:eastAsia="宋体" w:cs="宋体"/>
                <w:b w:val="0"/>
                <w:bCs/>
                <w:snapToGrid/>
                <w:color w:val="auto"/>
                <w:kern w:val="0"/>
                <w:sz w:val="24"/>
                <w:szCs w:val="24"/>
                <w:highlight w:val="none"/>
              </w:rPr>
              <w:t>。</w:t>
            </w:r>
          </w:p>
          <w:p w14:paraId="4A56B019">
            <w:pPr>
              <w:pStyle w:val="32"/>
              <w:keepNext w:val="0"/>
              <w:keepLines w:val="0"/>
              <w:pageBreakBefore w:val="0"/>
              <w:widowControl w:val="0"/>
              <w:kinsoku/>
              <w:wordWrap/>
              <w:overflowPunct/>
              <w:topLinePunct w:val="0"/>
              <w:autoSpaceDE/>
              <w:autoSpaceDN/>
              <w:bidi w:val="0"/>
              <w:adjustRightInd/>
              <w:snapToGrid/>
              <w:spacing w:line="400" w:lineRule="exact"/>
              <w:ind w:right="0"/>
              <w:textAlignment w:val="auto"/>
              <w:outlineLvl w:val="9"/>
              <w:rPr>
                <w:rFonts w:hint="eastAsia" w:ascii="宋体" w:hAnsi="宋体" w:eastAsia="宋体" w:cs="宋体"/>
                <w:b w:val="0"/>
                <w:bCs/>
                <w:snapToGrid/>
                <w:color w:val="auto"/>
                <w:kern w:val="0"/>
                <w:sz w:val="24"/>
                <w:szCs w:val="24"/>
                <w:highlight w:val="none"/>
              </w:rPr>
            </w:pPr>
            <w:r>
              <w:rPr>
                <w:rFonts w:hint="eastAsia" w:ascii="宋体" w:hAnsi="宋体" w:eastAsia="宋体" w:cs="宋体"/>
                <w:b w:val="0"/>
                <w:bCs/>
                <w:snapToGrid/>
                <w:color w:val="auto"/>
                <w:kern w:val="0"/>
                <w:sz w:val="24"/>
                <w:szCs w:val="24"/>
                <w:highlight w:val="none"/>
              </w:rPr>
              <w:t>②采用直接提交方式递交备份响应文件的，供应商应在响应文件提交截止时间当天且提交截止时间前将备份响应文件送至</w:t>
            </w:r>
            <w:r>
              <w:rPr>
                <w:rFonts w:hint="eastAsia" w:ascii="宋体" w:hAnsi="宋体" w:cs="宋体"/>
                <w:b/>
                <w:bCs/>
                <w:snapToGrid w:val="0"/>
                <w:kern w:val="28"/>
                <w:sz w:val="24"/>
                <w:highlight w:val="none"/>
                <w:u w:val="single"/>
              </w:rPr>
              <w:t>宁波市鄞州区公共资源交易中心（鄞州区蕙江路567号，鄞州区政务服务中心5楼，具体开标厅室详见大厅大屏幕）开标室</w:t>
            </w:r>
            <w:r>
              <w:rPr>
                <w:rFonts w:hint="eastAsia" w:ascii="宋体" w:hAnsi="宋体" w:eastAsia="宋体" w:cs="宋体"/>
                <w:b w:val="0"/>
                <w:bCs/>
                <w:snapToGrid/>
                <w:color w:val="auto"/>
                <w:kern w:val="0"/>
                <w:sz w:val="24"/>
                <w:szCs w:val="24"/>
                <w:highlight w:val="none"/>
              </w:rPr>
              <w:t>。</w:t>
            </w:r>
          </w:p>
          <w:p w14:paraId="100FCDB0">
            <w:pPr>
              <w:pStyle w:val="21"/>
              <w:keepNext w:val="0"/>
              <w:keepLines w:val="0"/>
              <w:pageBreakBefore w:val="0"/>
              <w:widowControl w:val="0"/>
              <w:kinsoku/>
              <w:wordWrap/>
              <w:overflowPunct/>
              <w:topLinePunct w:val="0"/>
              <w:autoSpaceDE/>
              <w:autoSpaceDN/>
              <w:bidi w:val="0"/>
              <w:adjustRightInd w:val="0"/>
              <w:snapToGrid/>
              <w:spacing w:line="400" w:lineRule="exact"/>
              <w:ind w:right="0"/>
              <w:textAlignment w:val="auto"/>
              <w:rPr>
                <w:color w:val="auto"/>
                <w:highlight w:val="none"/>
              </w:rPr>
            </w:pPr>
            <w:r>
              <w:rPr>
                <w:rFonts w:hint="eastAsia" w:ascii="宋体" w:hAnsi="宋体" w:eastAsia="宋体" w:cs="宋体"/>
                <w:b/>
                <w:bCs w:val="0"/>
                <w:snapToGrid/>
                <w:color w:val="auto"/>
                <w:kern w:val="0"/>
                <w:sz w:val="24"/>
                <w:szCs w:val="24"/>
                <w:highlight w:val="none"/>
              </w:rPr>
              <w:t>备注：采购人、采购代理机构不强制供应商提交备份响应文件</w:t>
            </w:r>
          </w:p>
        </w:tc>
      </w:tr>
      <w:tr w14:paraId="608CE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0DDFD746">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7A881FB3">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31" w:type="dxa"/>
            <w:tcBorders>
              <w:top w:val="single" w:color="auto" w:sz="4" w:space="0"/>
              <w:left w:val="single" w:color="auto" w:sz="4" w:space="0"/>
              <w:bottom w:val="single" w:color="auto" w:sz="4" w:space="0"/>
              <w:right w:val="single" w:color="auto" w:sz="4" w:space="0"/>
            </w:tcBorders>
            <w:vAlign w:val="center"/>
          </w:tcPr>
          <w:p w14:paraId="4DA23758">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24474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0103AE9A">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4E677E3B">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0B6937E1">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0783C936">
            <w:pPr>
              <w:keepNext w:val="0"/>
              <w:keepLines w:val="0"/>
              <w:pageBreakBefore w:val="0"/>
              <w:widowControl w:val="0"/>
              <w:kinsoku/>
              <w:wordWrap/>
              <w:overflowPunct/>
              <w:topLinePunct w:val="0"/>
              <w:autoSpaceDE/>
              <w:autoSpaceDN/>
              <w:bidi w:val="0"/>
              <w:adjustRightInd w:val="0"/>
              <w:spacing w:line="400" w:lineRule="exact"/>
              <w:ind w:right="0"/>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1D3CE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3"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2EB78268">
            <w:pPr>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13</w:t>
            </w:r>
          </w:p>
        </w:tc>
        <w:tc>
          <w:tcPr>
            <w:tcW w:w="2005" w:type="dxa"/>
            <w:tcBorders>
              <w:top w:val="single" w:color="auto" w:sz="4" w:space="0"/>
              <w:left w:val="single" w:color="000000" w:sz="2" w:space="0"/>
              <w:bottom w:val="single" w:color="000000" w:sz="8" w:space="0"/>
              <w:right w:val="single" w:color="000000" w:sz="8" w:space="0"/>
            </w:tcBorders>
            <w:vAlign w:val="center"/>
          </w:tcPr>
          <w:p w14:paraId="2D6F0EC1">
            <w:pPr>
              <w:keepNext w:val="0"/>
              <w:keepLines w:val="0"/>
              <w:pageBreakBefore w:val="0"/>
              <w:widowControl w:val="0"/>
              <w:kinsoku/>
              <w:wordWrap/>
              <w:overflowPunct/>
              <w:topLinePunct w:val="0"/>
              <w:autoSpaceDE/>
              <w:autoSpaceDN/>
              <w:bidi w:val="0"/>
              <w:snapToGrid w:val="0"/>
              <w:spacing w:line="400" w:lineRule="exact"/>
              <w:ind w:right="0"/>
              <w:jc w:val="center"/>
              <w:textAlignment w:val="auto"/>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采购代理服务费</w:t>
            </w:r>
          </w:p>
        </w:tc>
        <w:tc>
          <w:tcPr>
            <w:tcW w:w="6631" w:type="dxa"/>
            <w:tcBorders>
              <w:top w:val="single" w:color="auto" w:sz="4" w:space="0"/>
              <w:left w:val="single" w:color="000000" w:sz="2" w:space="0"/>
              <w:bottom w:val="single" w:color="000000" w:sz="8" w:space="0"/>
              <w:right w:val="single" w:color="000000" w:sz="8" w:space="0"/>
            </w:tcBorders>
            <w:vAlign w:val="center"/>
          </w:tcPr>
          <w:p w14:paraId="3382CCB7">
            <w:pPr>
              <w:keepNext w:val="0"/>
              <w:keepLines w:val="0"/>
              <w:pageBreakBefore w:val="0"/>
              <w:widowControl w:val="0"/>
              <w:kinsoku/>
              <w:wordWrap/>
              <w:overflowPunct/>
              <w:topLinePunct w:val="0"/>
              <w:autoSpaceDE/>
              <w:autoSpaceDN/>
              <w:bidi w:val="0"/>
              <w:spacing w:line="360" w:lineRule="auto"/>
              <w:ind w:right="0"/>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w:t>
            </w:r>
            <w:r>
              <w:rPr>
                <w:rFonts w:hint="eastAsia" w:asciiTheme="minorEastAsia" w:hAnsiTheme="minorEastAsia" w:eastAsiaTheme="minorEastAsia" w:cstheme="minorEastAsia"/>
                <w:snapToGrid w:val="0"/>
                <w:color w:val="auto"/>
                <w:kern w:val="28"/>
                <w:sz w:val="24"/>
                <w:highlight w:val="none"/>
                <w:lang w:val="en-US" w:eastAsia="zh-CN"/>
              </w:rPr>
              <w:t>1</w:t>
            </w:r>
            <w:r>
              <w:rPr>
                <w:rFonts w:hint="eastAsia" w:asciiTheme="minorEastAsia" w:hAnsiTheme="minorEastAsia" w:eastAsiaTheme="minorEastAsia" w:cstheme="minorEastAsia"/>
                <w:snapToGrid w:val="0"/>
                <w:color w:val="auto"/>
                <w:kern w:val="28"/>
                <w:sz w:val="24"/>
                <w:highlight w:val="none"/>
              </w:rPr>
              <w:t>）</w:t>
            </w:r>
            <w:r>
              <w:rPr>
                <w:rFonts w:hint="eastAsia" w:asciiTheme="minorEastAsia" w:hAnsiTheme="minorEastAsia" w:eastAsiaTheme="minorEastAsia" w:cstheme="minorEastAsia"/>
                <w:snapToGrid w:val="0"/>
                <w:color w:val="auto"/>
                <w:kern w:val="28"/>
                <w:sz w:val="24"/>
                <w:highlight w:val="none"/>
                <w:lang w:val="en-US" w:eastAsia="zh-CN"/>
              </w:rPr>
              <w:t>收取方式：成交</w:t>
            </w:r>
            <w:r>
              <w:rPr>
                <w:rFonts w:hint="eastAsia" w:asciiTheme="minorEastAsia" w:hAnsiTheme="minorEastAsia" w:eastAsiaTheme="minorEastAsia" w:cstheme="minorEastAsia"/>
                <w:snapToGrid w:val="0"/>
                <w:color w:val="auto"/>
                <w:kern w:val="28"/>
                <w:sz w:val="24"/>
                <w:highlight w:val="none"/>
              </w:rPr>
              <w:t>供应商应当自结果公告发布之日起5个工作日内一次性向采购代理机构支付代理服务费。</w:t>
            </w:r>
          </w:p>
          <w:p w14:paraId="49FDEED0">
            <w:pPr>
              <w:keepNext w:val="0"/>
              <w:keepLines w:val="0"/>
              <w:pageBreakBefore w:val="0"/>
              <w:widowControl w:val="0"/>
              <w:kinsoku/>
              <w:wordWrap/>
              <w:overflowPunct/>
              <w:topLinePunct w:val="0"/>
              <w:autoSpaceDE/>
              <w:autoSpaceDN/>
              <w:bidi w:val="0"/>
              <w:spacing w:line="360" w:lineRule="auto"/>
              <w:ind w:right="0"/>
              <w:textAlignment w:val="auto"/>
              <w:rPr>
                <w:rFonts w:hint="eastAsia" w:asciiTheme="minorEastAsia" w:hAnsiTheme="minorEastAsia" w:eastAsiaTheme="minorEastAsia" w:cstheme="minorEastAsia"/>
                <w:snapToGrid w:val="0"/>
                <w:color w:val="auto"/>
                <w:kern w:val="28"/>
                <w:sz w:val="24"/>
                <w:highlight w:val="none"/>
                <w:lang w:val="en-US" w:eastAsia="zh-CN"/>
              </w:rPr>
            </w:pPr>
            <w:r>
              <w:rPr>
                <w:rFonts w:hint="eastAsia" w:asciiTheme="minorEastAsia" w:hAnsiTheme="minorEastAsia" w:eastAsiaTheme="minorEastAsia" w:cstheme="minorEastAsia"/>
                <w:snapToGrid w:val="0"/>
                <w:color w:val="auto"/>
                <w:kern w:val="28"/>
                <w:sz w:val="24"/>
                <w:highlight w:val="none"/>
                <w:lang w:val="en-US" w:eastAsia="zh-CN"/>
              </w:rPr>
              <w:t>（2）成交服务费的收取标准：本项目采购代理服务费用￥18752.00，向成交供应商收取代理服务费。</w:t>
            </w:r>
          </w:p>
          <w:p w14:paraId="159047EF">
            <w:pPr>
              <w:keepNext w:val="0"/>
              <w:keepLines w:val="0"/>
              <w:pageBreakBefore w:val="0"/>
              <w:widowControl w:val="0"/>
              <w:kinsoku/>
              <w:wordWrap/>
              <w:overflowPunct/>
              <w:topLinePunct w:val="0"/>
              <w:autoSpaceDE/>
              <w:autoSpaceDN/>
              <w:bidi w:val="0"/>
              <w:spacing w:line="360" w:lineRule="auto"/>
              <w:ind w:right="0"/>
              <w:textAlignment w:val="auto"/>
              <w:rPr>
                <w:rFonts w:hint="eastAsia" w:asciiTheme="minorEastAsia" w:hAnsiTheme="minorEastAsia" w:eastAsiaTheme="minorEastAsia" w:cstheme="minorEastAsia"/>
                <w:snapToGrid w:val="0"/>
                <w:color w:val="auto"/>
                <w:kern w:val="28"/>
                <w:sz w:val="24"/>
                <w:highlight w:val="none"/>
                <w:lang w:val="en-US" w:eastAsia="zh-CN"/>
              </w:rPr>
            </w:pPr>
            <w:r>
              <w:rPr>
                <w:rFonts w:hint="eastAsia" w:asciiTheme="minorEastAsia" w:hAnsiTheme="minorEastAsia" w:eastAsiaTheme="minorEastAsia" w:cstheme="minorEastAsia"/>
                <w:snapToGrid w:val="0"/>
                <w:color w:val="auto"/>
                <w:kern w:val="28"/>
                <w:sz w:val="24"/>
                <w:highlight w:val="none"/>
                <w:lang w:val="en-US" w:eastAsia="zh-CN"/>
              </w:rPr>
              <w:t>备注：成交服务费只收现金、银行票汇款、电汇款。</w:t>
            </w:r>
          </w:p>
          <w:p w14:paraId="52CF057F">
            <w:pPr>
              <w:keepNext w:val="0"/>
              <w:keepLines w:val="0"/>
              <w:pageBreakBefore w:val="0"/>
              <w:widowControl w:val="0"/>
              <w:kinsoku/>
              <w:wordWrap/>
              <w:overflowPunct/>
              <w:topLinePunct w:val="0"/>
              <w:autoSpaceDE/>
              <w:autoSpaceDN/>
              <w:bidi w:val="0"/>
              <w:spacing w:line="360" w:lineRule="auto"/>
              <w:ind w:right="0"/>
              <w:textAlignment w:val="auto"/>
              <w:rPr>
                <w:rFonts w:hint="eastAsia" w:asciiTheme="minorEastAsia" w:hAnsiTheme="minorEastAsia" w:eastAsiaTheme="minorEastAsia" w:cstheme="minorEastAsia"/>
                <w:snapToGrid w:val="0"/>
                <w:color w:val="auto"/>
                <w:kern w:val="28"/>
                <w:sz w:val="24"/>
                <w:highlight w:val="none"/>
                <w:lang w:val="en-US" w:eastAsia="zh-CN"/>
              </w:rPr>
            </w:pPr>
            <w:r>
              <w:rPr>
                <w:rFonts w:hint="eastAsia" w:asciiTheme="minorEastAsia" w:hAnsiTheme="minorEastAsia" w:eastAsiaTheme="minorEastAsia" w:cstheme="minorEastAsia"/>
                <w:snapToGrid w:val="0"/>
                <w:color w:val="auto"/>
                <w:kern w:val="28"/>
                <w:sz w:val="24"/>
                <w:highlight w:val="none"/>
                <w:lang w:val="en-US" w:eastAsia="zh-CN"/>
              </w:rPr>
              <w:t>汇入以下账户：</w:t>
            </w:r>
          </w:p>
          <w:p w14:paraId="3C761A1A">
            <w:pPr>
              <w:keepNext w:val="0"/>
              <w:keepLines w:val="0"/>
              <w:pageBreakBefore w:val="0"/>
              <w:widowControl w:val="0"/>
              <w:kinsoku/>
              <w:wordWrap/>
              <w:overflowPunct/>
              <w:topLinePunct w:val="0"/>
              <w:autoSpaceDE/>
              <w:autoSpaceDN/>
              <w:bidi w:val="0"/>
              <w:spacing w:line="360" w:lineRule="auto"/>
              <w:ind w:right="0"/>
              <w:textAlignment w:val="auto"/>
              <w:rPr>
                <w:rFonts w:hint="eastAsia" w:asciiTheme="minorEastAsia" w:hAnsiTheme="minorEastAsia" w:eastAsiaTheme="minorEastAsia" w:cstheme="minorEastAsia"/>
                <w:snapToGrid w:val="0"/>
                <w:color w:val="auto"/>
                <w:kern w:val="28"/>
                <w:sz w:val="24"/>
                <w:highlight w:val="none"/>
                <w:lang w:val="en-US" w:eastAsia="zh-CN"/>
              </w:rPr>
            </w:pPr>
            <w:r>
              <w:rPr>
                <w:rFonts w:hint="eastAsia" w:asciiTheme="minorEastAsia" w:hAnsiTheme="minorEastAsia" w:eastAsiaTheme="minorEastAsia" w:cstheme="minorEastAsia"/>
                <w:snapToGrid w:val="0"/>
                <w:color w:val="auto"/>
                <w:kern w:val="28"/>
                <w:sz w:val="24"/>
                <w:highlight w:val="none"/>
                <w:lang w:val="en-US" w:eastAsia="zh-CN"/>
              </w:rPr>
              <w:t>开户银行：宁波银行科技支行</w:t>
            </w:r>
          </w:p>
          <w:p w14:paraId="4C57AD26">
            <w:pPr>
              <w:keepNext w:val="0"/>
              <w:keepLines w:val="0"/>
              <w:pageBreakBefore w:val="0"/>
              <w:widowControl w:val="0"/>
              <w:kinsoku/>
              <w:wordWrap/>
              <w:overflowPunct/>
              <w:topLinePunct w:val="0"/>
              <w:autoSpaceDE/>
              <w:autoSpaceDN/>
              <w:bidi w:val="0"/>
              <w:spacing w:line="360" w:lineRule="auto"/>
              <w:ind w:right="0"/>
              <w:textAlignment w:val="auto"/>
              <w:rPr>
                <w:rFonts w:hint="eastAsia" w:asciiTheme="minorEastAsia" w:hAnsiTheme="minorEastAsia" w:eastAsiaTheme="minorEastAsia" w:cstheme="minorEastAsia"/>
                <w:snapToGrid w:val="0"/>
                <w:color w:val="auto"/>
                <w:kern w:val="28"/>
                <w:sz w:val="24"/>
                <w:highlight w:val="none"/>
                <w:lang w:val="en-US" w:eastAsia="zh-CN"/>
              </w:rPr>
            </w:pPr>
            <w:r>
              <w:rPr>
                <w:rFonts w:hint="eastAsia" w:asciiTheme="minorEastAsia" w:hAnsiTheme="minorEastAsia" w:eastAsiaTheme="minorEastAsia" w:cstheme="minorEastAsia"/>
                <w:snapToGrid w:val="0"/>
                <w:color w:val="auto"/>
                <w:kern w:val="28"/>
                <w:sz w:val="24"/>
                <w:highlight w:val="none"/>
                <w:lang w:val="en-US" w:eastAsia="zh-CN"/>
              </w:rPr>
              <w:t>账号：31010122000005488</w:t>
            </w:r>
          </w:p>
          <w:p w14:paraId="7C859118">
            <w:pPr>
              <w:keepNext w:val="0"/>
              <w:keepLines w:val="0"/>
              <w:pageBreakBefore w:val="0"/>
              <w:widowControl w:val="0"/>
              <w:kinsoku/>
              <w:wordWrap/>
              <w:overflowPunct/>
              <w:topLinePunct w:val="0"/>
              <w:autoSpaceDE/>
              <w:autoSpaceDN/>
              <w:bidi w:val="0"/>
              <w:spacing w:line="360" w:lineRule="auto"/>
              <w:ind w:right="0"/>
              <w:textAlignment w:val="auto"/>
              <w:rPr>
                <w:rFonts w:hint="eastAsia" w:asciiTheme="minorEastAsia" w:hAnsiTheme="minorEastAsia" w:eastAsiaTheme="minorEastAsia" w:cstheme="minorEastAsia"/>
                <w:snapToGrid w:val="0"/>
                <w:color w:val="auto"/>
                <w:kern w:val="28"/>
                <w:sz w:val="24"/>
                <w:highlight w:val="none"/>
                <w:lang w:val="en-US" w:eastAsia="zh-CN"/>
              </w:rPr>
            </w:pPr>
            <w:r>
              <w:rPr>
                <w:rFonts w:hint="eastAsia" w:asciiTheme="minorEastAsia" w:hAnsiTheme="minorEastAsia" w:eastAsiaTheme="minorEastAsia" w:cstheme="minorEastAsia"/>
                <w:snapToGrid w:val="0"/>
                <w:color w:val="auto"/>
                <w:kern w:val="28"/>
                <w:sz w:val="24"/>
                <w:highlight w:val="none"/>
                <w:lang w:val="en-US" w:eastAsia="zh-CN"/>
              </w:rPr>
              <w:t>户名：宁波中基国际招标有限公司</w:t>
            </w:r>
          </w:p>
          <w:p w14:paraId="48A9C9A0">
            <w:pPr>
              <w:keepNext w:val="0"/>
              <w:keepLines w:val="0"/>
              <w:pageBreakBefore w:val="0"/>
              <w:widowControl w:val="0"/>
              <w:kinsoku/>
              <w:wordWrap/>
              <w:overflowPunct/>
              <w:topLinePunct w:val="0"/>
              <w:autoSpaceDE/>
              <w:autoSpaceDN/>
              <w:bidi w:val="0"/>
              <w:spacing w:line="360" w:lineRule="auto"/>
              <w:ind w:right="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Theme="minorEastAsia" w:hAnsiTheme="minorEastAsia" w:eastAsiaTheme="minorEastAsia" w:cstheme="minorEastAsia"/>
                <w:snapToGrid w:val="0"/>
                <w:color w:val="auto"/>
                <w:kern w:val="28"/>
                <w:sz w:val="24"/>
                <w:highlight w:val="none"/>
                <w:lang w:val="en-US" w:eastAsia="zh-CN"/>
              </w:rPr>
              <w:t>（3）</w:t>
            </w:r>
            <w:r>
              <w:rPr>
                <w:rFonts w:hint="eastAsia" w:asciiTheme="minorEastAsia" w:hAnsiTheme="minorEastAsia" w:eastAsiaTheme="minorEastAsia" w:cstheme="minorEastAsia"/>
                <w:snapToGrid w:val="0"/>
                <w:color w:val="auto"/>
                <w:kern w:val="28"/>
                <w:sz w:val="24"/>
                <w:highlight w:val="none"/>
              </w:rPr>
              <w:t>支付流程：</w:t>
            </w:r>
            <w:r>
              <w:rPr>
                <w:rFonts w:hint="eastAsia" w:asciiTheme="minorEastAsia" w:hAnsiTheme="minorEastAsia" w:eastAsiaTheme="minorEastAsia" w:cstheme="minorEastAsia"/>
                <w:snapToGrid w:val="0"/>
                <w:color w:val="auto"/>
                <w:kern w:val="28"/>
                <w:sz w:val="24"/>
                <w:highlight w:val="none"/>
                <w:lang w:val="en-US" w:eastAsia="zh-CN"/>
              </w:rPr>
              <w:t>成交</w:t>
            </w:r>
            <w:r>
              <w:rPr>
                <w:rFonts w:hint="eastAsia" w:asciiTheme="minorEastAsia" w:hAnsiTheme="minorEastAsia" w:eastAsiaTheme="minorEastAsia" w:cstheme="minorEastAsia"/>
                <w:snapToGrid w:val="0"/>
                <w:color w:val="auto"/>
                <w:kern w:val="28"/>
                <w:sz w:val="24"/>
                <w:highlight w:val="none"/>
              </w:rPr>
              <w:t>供应商按照结果公告确定金额支付至采购代理机构账户后将汇款底单、开票信息和发票邮寄地址发送至</w:t>
            </w:r>
            <w:r>
              <w:rPr>
                <w:rFonts w:hint="eastAsia" w:asciiTheme="minorEastAsia" w:hAnsiTheme="minorEastAsia" w:eastAsiaTheme="minorEastAsia" w:cstheme="minorEastAsia"/>
                <w:snapToGrid w:val="0"/>
                <w:color w:val="auto"/>
                <w:kern w:val="28"/>
                <w:sz w:val="24"/>
                <w:highlight w:val="none"/>
                <w:u w:val="single"/>
                <w:lang w:val="en-US" w:eastAsia="zh-CN"/>
              </w:rPr>
              <w:t xml:space="preserve"> 719126619@qq.com</w:t>
            </w:r>
            <w:r>
              <w:rPr>
                <w:rFonts w:hint="eastAsia" w:asciiTheme="minorEastAsia" w:hAnsiTheme="minorEastAsia" w:eastAsiaTheme="minorEastAsia" w:cstheme="minorEastAsia"/>
                <w:snapToGrid w:val="0"/>
                <w:color w:val="auto"/>
                <w:kern w:val="28"/>
                <w:sz w:val="24"/>
                <w:highlight w:val="none"/>
              </w:rPr>
              <w:t>，采购代理机构在收到邮件后开具发票。</w:t>
            </w:r>
          </w:p>
        </w:tc>
      </w:tr>
    </w:tbl>
    <w:p w14:paraId="1177BB88">
      <w:pPr>
        <w:snapToGrid w:val="0"/>
        <w:jc w:val="center"/>
        <w:rPr>
          <w:rFonts w:cs="仿宋_GB2312" w:asciiTheme="minorEastAsia" w:hAnsiTheme="minorEastAsia" w:eastAsiaTheme="minorEastAsia"/>
          <w:b/>
          <w:color w:val="auto"/>
          <w:sz w:val="32"/>
          <w:szCs w:val="20"/>
          <w:highlight w:val="none"/>
        </w:rPr>
      </w:pPr>
    </w:p>
    <w:p w14:paraId="0071FB94">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7C721A49">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F0CD110">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874F15C">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3DD2272A">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BA213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6EF9D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5DFCF6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0D5F88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2C899D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56884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6B4EB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Times New Roman" w:asciiTheme="minorEastAsia" w:hAnsiTheme="minorEastAsia" w:eastAsiaTheme="minorEastAsia"/>
          <w:snapToGrid/>
          <w:color w:val="auto"/>
          <w:kern w:val="2"/>
          <w:sz w:val="24"/>
          <w:szCs w:val="24"/>
          <w:highlight w:val="none"/>
        </w:rPr>
        <w:t>https://www.zcygov.cn/</w:t>
      </w:r>
      <w:r>
        <w:rPr>
          <w:rStyle w:val="71"/>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22D5093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A65E1E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45731933">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72A985BF">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E84D348">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361F0B7F">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4B21EC8F">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77E5DB56">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07C1D2B">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54BEA28B">
      <w:pPr>
        <w:spacing w:line="360" w:lineRule="auto"/>
        <w:jc w:val="center"/>
        <w:rPr>
          <w:rFonts w:cs="仿宋_GB2312" w:asciiTheme="minorEastAsia" w:hAnsiTheme="minorEastAsia" w:eastAsiaTheme="minorEastAsia"/>
          <w:b/>
          <w:color w:val="auto"/>
          <w:sz w:val="24"/>
          <w:highlight w:val="none"/>
        </w:rPr>
      </w:pPr>
    </w:p>
    <w:p w14:paraId="7C625E8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3E19637">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1078107">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A6B561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45CDFE71">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w:t>
      </w:r>
      <w:r>
        <w:rPr>
          <w:rFonts w:hint="eastAsia" w:ascii="宋体" w:hAnsi="宋体" w:cs="宋体"/>
          <w:b/>
          <w:bCs w:val="0"/>
          <w:color w:val="auto"/>
          <w:sz w:val="24"/>
          <w:highlight w:val="none"/>
        </w:rPr>
        <w:t>得国家确定的认证机构出具的、处于有效期之内的节能产品认证证书的，响应无效。</w:t>
      </w:r>
      <w:r>
        <w:rPr>
          <w:rFonts w:hint="eastAsia" w:ascii="宋体" w:hAnsi="宋体" w:cs="宋体"/>
          <w:b/>
          <w:bCs w:val="0"/>
          <w:color w:val="auto"/>
          <w:sz w:val="24"/>
          <w:highlight w:val="none"/>
          <w:lang w:val="en-US" w:eastAsia="zh-CN"/>
        </w:rPr>
        <w:t>（</w:t>
      </w:r>
      <w:r>
        <w:rPr>
          <w:rFonts w:ascii="宋体" w:hAnsi="宋体" w:cs="宋体"/>
          <w:b/>
          <w:bCs w:val="0"/>
          <w:color w:val="auto"/>
          <w:sz w:val="24"/>
          <w:highlight w:val="none"/>
        </w:rPr>
        <w:t>《节能产品政府采购品目清单》详见《关于印发节能产品政府采购品目清单的通知(财库[2019]19号)》(如遇调整，按最新清单执行)。</w:t>
      </w:r>
    </w:p>
    <w:p w14:paraId="2D9BDEFB">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5F518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w:t>
      </w:r>
    </w:p>
    <w:p w14:paraId="679A52EB">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1F7D8E8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95021D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582E6303">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ACF683A">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08ABC64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07DA6E8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1C40D89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w:t>
      </w:r>
      <w:r>
        <w:rPr>
          <w:rFonts w:hint="eastAsia" w:cs="宋体" w:asciiTheme="minorEastAsia" w:hAnsiTheme="minorEastAsia" w:eastAsiaTheme="minorEastAsia"/>
          <w:color w:val="auto"/>
          <w:sz w:val="24"/>
          <w:highlight w:val="none"/>
          <w:lang w:eastAsia="zh-CN"/>
        </w:rPr>
        <w:t>〔2014〕68号</w:t>
      </w:r>
      <w:r>
        <w:rPr>
          <w:rFonts w:hint="eastAsia" w:cs="宋体" w:asciiTheme="minorEastAsia" w:hAnsiTheme="minorEastAsia" w:eastAsiaTheme="minorEastAsia"/>
          <w:color w:val="auto"/>
          <w:sz w:val="24"/>
          <w:highlight w:val="none"/>
        </w:rPr>
        <w:t>）规定的监狱企业并提供由省级以上监狱管理局、戒毒管理局（含新疆生产建设兵团）出具的属于监狱企业证明文件的，视同为小型、微型企业。</w:t>
      </w:r>
    </w:p>
    <w:p w14:paraId="3AE013A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437953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F772A58">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243C49C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对省级以上主管部门认定的首台套产品，自纳入《省推广应用指导目录》起三年内参加政府采购活动，视同已具备相应销售业绩，业绩分为满分。</w:t>
      </w:r>
    </w:p>
    <w:p w14:paraId="5257C97E">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94E0FF8">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4049DFE">
      <w:pPr>
        <w:spacing w:line="360" w:lineRule="auto"/>
        <w:ind w:firstLine="480" w:firstLineChars="200"/>
        <w:rPr>
          <w:rFonts w:asciiTheme="minorEastAsia" w:hAnsiTheme="minorEastAsia" w:eastAsiaTheme="minorEastAsia"/>
          <w:color w:val="auto"/>
          <w:sz w:val="24"/>
          <w:highlight w:val="none"/>
        </w:rPr>
      </w:pPr>
    </w:p>
    <w:p w14:paraId="69D7ADA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3241C479">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27453F2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w:t>
      </w:r>
      <w:r>
        <w:rPr>
          <w:rFonts w:hint="eastAsia" w:asciiTheme="minorEastAsia" w:hAnsiTheme="minorEastAsia" w:eastAsiaTheme="minorEastAsia"/>
          <w:color w:val="auto"/>
          <w:sz w:val="24"/>
          <w:highlight w:val="none"/>
          <w:lang w:eastAsia="zh-CN"/>
        </w:rPr>
        <w:t>〔2021〕22号</w:t>
      </w:r>
      <w:r>
        <w:rPr>
          <w:rFonts w:hint="eastAsia" w:asciiTheme="minorEastAsia" w:hAnsiTheme="minorEastAsia" w:eastAsiaTheme="minorEastAsia"/>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w:t>
      </w:r>
    </w:p>
    <w:p w14:paraId="5B27DF8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383AEF9B">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126E8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1684349D">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450739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0C20E1FF">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1F30669F">
      <w:pPr>
        <w:pStyle w:val="8"/>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35B09F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5AED3B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721C22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33F881C6">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5211A3E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w:t>
      </w:r>
      <w:r>
        <w:rPr>
          <w:rFonts w:hint="eastAsia" w:asciiTheme="minorEastAsia" w:hAnsiTheme="minorEastAsia" w:eastAsiaTheme="minorEastAsia"/>
          <w:color w:val="auto"/>
          <w:sz w:val="24"/>
          <w:highlight w:val="none"/>
        </w:rPr>
        <w:t>质疑回复公告</w:t>
      </w:r>
      <w:r>
        <w:rPr>
          <w:rFonts w:asciiTheme="minorEastAsia" w:hAnsiTheme="minorEastAsia" w:eastAsiaTheme="minorEastAsia"/>
          <w:color w:val="auto"/>
          <w:sz w:val="24"/>
          <w:highlight w:val="none"/>
        </w:rPr>
        <w:t>”栏目公开质疑答复，答复内容应当完整。质疑</w:t>
      </w:r>
      <w:r>
        <w:rPr>
          <w:rFonts w:hint="eastAsia" w:asciiTheme="minorEastAsia" w:hAnsiTheme="minorEastAsia" w:eastAsiaTheme="minorEastAsia"/>
          <w:color w:val="auto"/>
          <w:sz w:val="24"/>
          <w:highlight w:val="none"/>
        </w:rPr>
        <w:t>函作为附件上传。</w:t>
      </w:r>
    </w:p>
    <w:p w14:paraId="34E97D1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询问或者质疑事项可能影响采购结果的，采购人应当暂停签订合同，已经签订合同的，应当中止履行合同。</w:t>
      </w:r>
    </w:p>
    <w:p w14:paraId="0E5D20D1">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6D5CD64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68B9B275">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EF281ED">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5B259F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36CA6645">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437914F5">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5BD2E58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F4751B0">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40CFCBC">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3E82D214">
      <w:pPr>
        <w:rPr>
          <w:color w:val="auto"/>
          <w:highlight w:val="none"/>
        </w:rPr>
      </w:pPr>
    </w:p>
    <w:p w14:paraId="4E45290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308DA8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222AF8C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76FC95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5EF5A5A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E577DB0">
      <w:pPr>
        <w:spacing w:line="360" w:lineRule="auto"/>
        <w:ind w:firstLine="480" w:firstLineChars="200"/>
        <w:rPr>
          <w:rFonts w:hint="eastAsia" w:ascii="宋体" w:hAnsi="Courier New"/>
          <w:color w:val="auto"/>
          <w:sz w:val="24"/>
          <w:szCs w:val="24"/>
          <w:highlight w:val="none"/>
        </w:rPr>
      </w:pPr>
      <w:r>
        <w:rPr>
          <w:rFonts w:hint="eastAsia" w:asciiTheme="minorEastAsia" w:hAnsiTheme="minorEastAsia" w:eastAsiaTheme="minorEastAsia"/>
          <w:color w:val="auto"/>
          <w:sz w:val="24"/>
          <w:highlight w:val="none"/>
        </w:rPr>
        <w:t>4.5</w:t>
      </w:r>
      <w:r>
        <w:rPr>
          <w:rFonts w:hint="eastAsia" w:ascii="宋体" w:hAnsi="Courier New"/>
          <w:color w:val="auto"/>
          <w:sz w:val="24"/>
          <w:szCs w:val="24"/>
          <w:highlight w:val="none"/>
        </w:rPr>
        <w:t>政府采购项目投诉材料可寄送至</w:t>
      </w:r>
      <w:r>
        <w:rPr>
          <w:rFonts w:hint="eastAsia"/>
          <w:color w:val="auto"/>
          <w:sz w:val="24"/>
          <w:szCs w:val="24"/>
          <w:highlight w:val="none"/>
          <w:lang w:eastAsia="zh-CN"/>
        </w:rPr>
        <w:t>宁波市鄞州区政府采购管理办公室</w:t>
      </w:r>
      <w:r>
        <w:rPr>
          <w:rFonts w:hint="eastAsia" w:ascii="宋体" w:hAnsi="Courier New"/>
          <w:color w:val="auto"/>
          <w:sz w:val="24"/>
          <w:szCs w:val="24"/>
          <w:highlight w:val="none"/>
        </w:rPr>
        <w:t>，地址：</w:t>
      </w:r>
      <w:r>
        <w:rPr>
          <w:rFonts w:hint="eastAsia" w:ascii="宋体" w:hAnsi="宋体" w:cs="宋体"/>
          <w:color w:val="auto"/>
          <w:sz w:val="24"/>
          <w:highlight w:val="none"/>
          <w:lang w:eastAsia="zh-CN"/>
        </w:rPr>
        <w:t>宁波市鄞州区民惠东路16号</w:t>
      </w:r>
      <w:r>
        <w:rPr>
          <w:rFonts w:hint="eastAsia" w:ascii="宋体" w:hAnsi="Courier New"/>
          <w:color w:val="auto"/>
          <w:sz w:val="24"/>
          <w:szCs w:val="24"/>
          <w:highlight w:val="none"/>
        </w:rPr>
        <w:t>，收件人：郑老师，电话：0574-89295894。</w:t>
      </w:r>
    </w:p>
    <w:p w14:paraId="3355E22F">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65CD4024">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99295D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6534A43F">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78BCB3BC">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1A3C6641">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00124304">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4DCE337">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6DF0636">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70E134B9">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528E6583">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6930E90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24CF8D55">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1B3433A7">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9E67226">
      <w:pPr>
        <w:pStyle w:val="398"/>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54039EB1">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5247358">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52AD64EA">
      <w:pPr>
        <w:pStyle w:val="398"/>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0FE616B">
      <w:pPr>
        <w:pStyle w:val="24"/>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72FF273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0F3A6B94">
      <w:pPr>
        <w:pStyle w:val="32"/>
        <w:rPr>
          <w:rFonts w:hint="default" w:ascii="宋体" w:hAnsi="宋体" w:eastAsia="宋体" w:cs="宋体"/>
          <w:b/>
          <w:color w:val="auto"/>
          <w:kern w:val="28"/>
          <w:sz w:val="24"/>
          <w:szCs w:val="24"/>
          <w:highlight w:val="none"/>
          <w:lang w:val="en-US" w:eastAsia="zh-CN"/>
        </w:rPr>
      </w:pPr>
      <w:r>
        <w:rPr>
          <w:rFonts w:hint="eastAsia" w:asciiTheme="minorEastAsia" w:hAnsiTheme="minorEastAsia" w:eastAsiaTheme="minorEastAsia"/>
          <w:b/>
          <w:color w:val="auto"/>
          <w:sz w:val="24"/>
          <w:highlight w:val="none"/>
        </w:rPr>
        <w:t xml:space="preserve">1. </w:t>
      </w:r>
      <w:r>
        <w:rPr>
          <w:rFonts w:hint="eastAsia" w:ascii="宋体" w:hAnsi="宋体" w:eastAsia="宋体" w:cs="宋体"/>
          <w:b/>
          <w:color w:val="auto"/>
          <w:kern w:val="28"/>
          <w:sz w:val="24"/>
          <w:szCs w:val="24"/>
          <w:highlight w:val="none"/>
        </w:rPr>
        <w:t>关于分公司</w:t>
      </w:r>
      <w:r>
        <w:rPr>
          <w:rFonts w:hint="eastAsia" w:ascii="宋体" w:hAnsi="宋体" w:eastAsia="宋体" w:cs="宋体"/>
          <w:b/>
          <w:color w:val="auto"/>
          <w:kern w:val="28"/>
          <w:sz w:val="24"/>
          <w:szCs w:val="24"/>
          <w:highlight w:val="none"/>
          <w:lang w:val="en-US" w:eastAsia="zh-CN"/>
        </w:rPr>
        <w:t>响应</w:t>
      </w:r>
    </w:p>
    <w:p w14:paraId="0F770461">
      <w:pPr>
        <w:pStyle w:val="8"/>
        <w:ind w:firstLine="470" w:firstLineChars="196"/>
        <w:rPr>
          <w:rFonts w:hint="eastAsia" w:ascii="宋体" w:hAnsi="宋体" w:eastAsia="宋体" w:cs="宋体"/>
          <w:bCs w:val="0"/>
          <w:color w:val="auto"/>
          <w:sz w:val="24"/>
          <w:szCs w:val="20"/>
          <w:highlight w:val="none"/>
        </w:rPr>
      </w:pPr>
      <w:r>
        <w:rPr>
          <w:rFonts w:hint="eastAsia" w:ascii="宋体" w:hAnsi="宋体" w:eastAsia="宋体" w:cs="宋体"/>
          <w:bCs w:val="0"/>
          <w:color w:val="auto"/>
          <w:sz w:val="24"/>
          <w:szCs w:val="20"/>
          <w:highlight w:val="none"/>
        </w:rPr>
        <w:t>除银行、保险、石油石化、电力、电信等行业外，分公司</w:t>
      </w:r>
      <w:r>
        <w:rPr>
          <w:rFonts w:hint="eastAsia" w:ascii="宋体" w:hAnsi="宋体" w:eastAsia="宋体" w:cs="宋体"/>
          <w:bCs w:val="0"/>
          <w:color w:val="auto"/>
          <w:sz w:val="24"/>
          <w:szCs w:val="20"/>
          <w:highlight w:val="none"/>
          <w:lang w:val="en-US" w:eastAsia="zh-CN"/>
        </w:rPr>
        <w:t>响应</w:t>
      </w:r>
      <w:r>
        <w:rPr>
          <w:rFonts w:hint="eastAsia" w:ascii="宋体" w:hAnsi="宋体" w:eastAsia="宋体" w:cs="宋体"/>
          <w:bCs w:val="0"/>
          <w:color w:val="auto"/>
          <w:sz w:val="24"/>
          <w:szCs w:val="20"/>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1B4B3B8B">
      <w:pPr>
        <w:pStyle w:val="32"/>
        <w:numPr>
          <w:ilvl w:val="0"/>
          <w:numId w:val="11"/>
        </w:numPr>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响应文件的语言</w:t>
      </w:r>
    </w:p>
    <w:p w14:paraId="7E5E11CF">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8A42BD0">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3</w:t>
      </w:r>
      <w:r>
        <w:rPr>
          <w:rFonts w:hint="eastAsia" w:asciiTheme="minorEastAsia" w:hAnsiTheme="minorEastAsia" w:eastAsiaTheme="minorEastAsia"/>
          <w:b/>
          <w:color w:val="auto"/>
          <w:sz w:val="24"/>
          <w:highlight w:val="none"/>
        </w:rPr>
        <w:t>. 响应文件的组成</w:t>
      </w:r>
    </w:p>
    <w:p w14:paraId="38FC4BD7">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04DF726">
      <w:pPr>
        <w:pStyle w:val="32"/>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3.1</w:t>
      </w:r>
      <w:r>
        <w:rPr>
          <w:rFonts w:hint="eastAsia" w:asciiTheme="minorEastAsia" w:hAnsiTheme="minorEastAsia" w:eastAsiaTheme="minorEastAsia"/>
          <w:b/>
          <w:bCs/>
          <w:color w:val="auto"/>
          <w:sz w:val="24"/>
          <w:highlight w:val="none"/>
        </w:rPr>
        <w:t>资格文件</w:t>
      </w:r>
    </w:p>
    <w:p w14:paraId="16C1A3C6">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7F31FA85">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提供有效的营业执照副本（或事业法人登记证副本或其他登记证明材料）原件扫描件或者电子营业执照加盖供应商公章；响应供应商如果有名称变更的，应提供由行政主管部门出具的变更证明文件；</w:t>
      </w:r>
    </w:p>
    <w:p w14:paraId="25E24044">
      <w:pPr>
        <w:pStyle w:val="32"/>
        <w:spacing w:line="360" w:lineRule="auto"/>
        <w:ind w:firstLine="480" w:firstLineChars="200"/>
        <w:rPr>
          <w:rFonts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lang w:eastAsia="zh-CN"/>
        </w:rPr>
        <w:t>（</w:t>
      </w:r>
      <w:r>
        <w:rPr>
          <w:rFonts w:hint="eastAsia" w:cs="Arial" w:asciiTheme="minorEastAsia" w:hAnsiTheme="minorEastAsia" w:eastAsiaTheme="minorEastAsia"/>
          <w:color w:val="auto"/>
          <w:sz w:val="24"/>
          <w:highlight w:val="none"/>
          <w:lang w:val="en-US" w:eastAsia="zh-CN"/>
        </w:rPr>
        <w:t>3）</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3D357120">
      <w:pPr>
        <w:pStyle w:val="32"/>
        <w:numPr>
          <w:ilvl w:val="-1"/>
          <w:numId w:val="0"/>
        </w:numPr>
        <w:spacing w:line="360" w:lineRule="auto"/>
        <w:ind w:left="420" w:leftChars="0" w:firstLine="0" w:firstLineChars="0"/>
        <w:rPr>
          <w:rFonts w:hint="default" w:asciiTheme="minorEastAsia" w:hAnsiTheme="minorEastAsia" w:eastAsiaTheme="minorEastAsia"/>
          <w:color w:val="auto"/>
          <w:sz w:val="24"/>
          <w:highlight w:val="none"/>
          <w:lang w:val="en-US"/>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无；</w:t>
      </w:r>
    </w:p>
    <w:p w14:paraId="5911C327">
      <w:pPr>
        <w:pStyle w:val="32"/>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符合特定资格条件的有关证明材料</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如果有）</w:t>
      </w:r>
      <w:r>
        <w:rPr>
          <w:rFonts w:hint="eastAsia" w:asciiTheme="minorEastAsia" w:hAnsiTheme="minorEastAsia" w:eastAsiaTheme="minorEastAsia"/>
          <w:color w:val="auto"/>
          <w:sz w:val="24"/>
          <w:highlight w:val="none"/>
          <w:lang w:eastAsia="zh-CN"/>
        </w:rPr>
        <w:t>。</w:t>
      </w:r>
    </w:p>
    <w:p w14:paraId="1E20779B">
      <w:pPr>
        <w:pStyle w:val="32"/>
        <w:spacing w:line="360" w:lineRule="auto"/>
        <w:ind w:firstLine="482" w:firstLineChars="200"/>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3.2商务技术文件</w:t>
      </w:r>
    </w:p>
    <w:p w14:paraId="3A086DF3">
      <w:pPr>
        <w:pStyle w:val="32"/>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评分索引表（格式见第七部分）；</w:t>
      </w:r>
    </w:p>
    <w:p w14:paraId="24184E6C">
      <w:pPr>
        <w:pStyle w:val="32"/>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响应函</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格式见第七部分）；</w:t>
      </w:r>
    </w:p>
    <w:p w14:paraId="10F72E4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格式见第七部分）</w:t>
      </w:r>
      <w:r>
        <w:rPr>
          <w:rFonts w:hint="eastAsia" w:hAnsi="宋体" w:cs="宋体"/>
          <w:color w:val="auto"/>
          <w:sz w:val="24"/>
          <w:highlight w:val="none"/>
        </w:rPr>
        <w:t>；</w:t>
      </w:r>
    </w:p>
    <w:p w14:paraId="217B384E">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w:t>
      </w:r>
      <w:r>
        <w:rPr>
          <w:rFonts w:hint="eastAsia" w:ascii="宋体" w:hAnsi="宋体" w:cs="宋体"/>
          <w:color w:val="auto"/>
          <w:sz w:val="24"/>
          <w:highlight w:val="none"/>
        </w:rPr>
        <w:t>分包意向协议（如果有)；</w:t>
      </w:r>
    </w:p>
    <w:p w14:paraId="00765A87">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w:t>
      </w:r>
      <w:r>
        <w:rPr>
          <w:rFonts w:hint="eastAsia" w:hAnsi="宋体" w:cs="宋体" w:eastAsiaTheme="minorEastAsia"/>
          <w:color w:val="auto"/>
          <w:sz w:val="24"/>
          <w:highlight w:val="none"/>
        </w:rPr>
        <w:t>供应商</w:t>
      </w:r>
      <w:r>
        <w:rPr>
          <w:rFonts w:hint="eastAsia" w:hAnsi="宋体" w:cs="宋体"/>
          <w:color w:val="auto"/>
          <w:sz w:val="24"/>
          <w:highlight w:val="none"/>
        </w:rPr>
        <w:t>基本情况表（</w:t>
      </w:r>
      <w:r>
        <w:rPr>
          <w:rFonts w:hint="eastAsia" w:cs="Arial" w:asciiTheme="minorEastAsia" w:hAnsiTheme="minorEastAsia" w:eastAsiaTheme="minorEastAsia"/>
          <w:color w:val="auto"/>
          <w:sz w:val="24"/>
          <w:highlight w:val="none"/>
        </w:rPr>
        <w:t>格式见第七部分</w:t>
      </w:r>
      <w:r>
        <w:rPr>
          <w:rFonts w:hint="eastAsia" w:hAnsi="宋体" w:cs="宋体"/>
          <w:color w:val="auto"/>
          <w:sz w:val="24"/>
          <w:highlight w:val="none"/>
        </w:rPr>
        <w:t>）</w:t>
      </w:r>
      <w:r>
        <w:rPr>
          <w:rFonts w:hint="eastAsia" w:cs="仿宋_GB2312" w:asciiTheme="minorEastAsia" w:hAnsiTheme="minorEastAsia" w:eastAsiaTheme="minorEastAsia"/>
          <w:color w:val="auto"/>
          <w:kern w:val="0"/>
          <w:sz w:val="24"/>
          <w:highlight w:val="none"/>
          <w:lang w:val="zh-CN"/>
        </w:rPr>
        <w:t>；</w:t>
      </w:r>
    </w:p>
    <w:p w14:paraId="0DF59AC7">
      <w:pPr>
        <w:pStyle w:val="32"/>
        <w:spacing w:line="360" w:lineRule="auto"/>
        <w:ind w:firstLine="480" w:firstLineChars="200"/>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商务</w:t>
      </w:r>
      <w:r>
        <w:rPr>
          <w:rFonts w:hint="eastAsia" w:asciiTheme="minorEastAsia" w:hAnsiTheme="minorEastAsia" w:eastAsiaTheme="minorEastAsia"/>
          <w:color w:val="auto"/>
          <w:sz w:val="24"/>
          <w:highlight w:val="none"/>
          <w:lang w:val="en-US" w:eastAsia="zh-CN"/>
        </w:rPr>
        <w:t>技术</w:t>
      </w:r>
      <w:r>
        <w:rPr>
          <w:rFonts w:hint="eastAsia" w:asciiTheme="minorEastAsia" w:hAnsiTheme="minorEastAsia" w:eastAsiaTheme="minorEastAsia"/>
          <w:color w:val="auto"/>
          <w:sz w:val="24"/>
          <w:highlight w:val="none"/>
        </w:rPr>
        <w:t>条款响应（偏离）表</w:t>
      </w:r>
      <w:r>
        <w:rPr>
          <w:rFonts w:hint="eastAsia" w:hAnsi="宋体" w:cs="宋体"/>
          <w:color w:val="auto"/>
          <w:sz w:val="24"/>
          <w:highlight w:val="none"/>
        </w:rPr>
        <w:t>（</w:t>
      </w:r>
      <w:r>
        <w:rPr>
          <w:rFonts w:hint="eastAsia" w:cs="Arial" w:asciiTheme="minorEastAsia" w:hAnsiTheme="minorEastAsia" w:eastAsiaTheme="minorEastAsia"/>
          <w:color w:val="auto"/>
          <w:sz w:val="24"/>
          <w:highlight w:val="none"/>
        </w:rPr>
        <w:t>格式见第七部分</w:t>
      </w:r>
      <w:r>
        <w:rPr>
          <w:rFonts w:hint="eastAsia" w:hAnsi="宋体" w:cs="宋体"/>
          <w:color w:val="auto"/>
          <w:sz w:val="24"/>
          <w:highlight w:val="none"/>
        </w:rPr>
        <w:t>）</w:t>
      </w:r>
      <w:r>
        <w:rPr>
          <w:rFonts w:hint="eastAsia" w:hAnsi="宋体" w:cs="宋体"/>
          <w:color w:val="auto"/>
          <w:sz w:val="24"/>
          <w:highlight w:val="none"/>
          <w:lang w:eastAsia="zh-CN"/>
        </w:rPr>
        <w:t>；</w:t>
      </w:r>
    </w:p>
    <w:p w14:paraId="2EAE8F3F">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评审标准相应的商务技术资料；</w:t>
      </w:r>
    </w:p>
    <w:p w14:paraId="7782C163">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w:t>
      </w:r>
      <w:r>
        <w:rPr>
          <w:rFonts w:hint="eastAsia" w:ascii="宋体" w:hAnsi="宋体" w:cs="宋体"/>
          <w:color w:val="auto"/>
          <w:sz w:val="24"/>
          <w:highlight w:val="none"/>
          <w:lang w:val="zh-CN"/>
        </w:rPr>
        <w:t>运维服务方案（格式自拟）；</w:t>
      </w:r>
    </w:p>
    <w:p w14:paraId="0D45BE7D">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7.2）</w:t>
      </w:r>
      <w:r>
        <w:rPr>
          <w:rFonts w:hint="eastAsia" w:ascii="宋体" w:hAnsi="宋体" w:cs="宋体"/>
          <w:color w:val="auto"/>
          <w:sz w:val="24"/>
          <w:highlight w:val="none"/>
          <w:lang w:val="zh-CN"/>
        </w:rPr>
        <w:t>系统保障方案（格式自拟）；</w:t>
      </w:r>
    </w:p>
    <w:p w14:paraId="31BA57EC">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7.3）</w:t>
      </w:r>
      <w:r>
        <w:rPr>
          <w:rFonts w:hint="eastAsia" w:ascii="宋体" w:hAnsi="宋体" w:cs="宋体"/>
          <w:color w:val="auto"/>
          <w:sz w:val="24"/>
          <w:highlight w:val="none"/>
          <w:lang w:val="zh-CN"/>
        </w:rPr>
        <w:t>日常巡检方案（格式自拟）；</w:t>
      </w:r>
    </w:p>
    <w:p w14:paraId="14F5505E">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7.4）</w:t>
      </w:r>
      <w:r>
        <w:rPr>
          <w:rFonts w:hint="eastAsia" w:ascii="宋体" w:hAnsi="宋体" w:cs="宋体"/>
          <w:color w:val="auto"/>
          <w:sz w:val="24"/>
          <w:highlight w:val="none"/>
          <w:lang w:val="zh-CN"/>
        </w:rPr>
        <w:t>故障修复方案（格式自拟）；</w:t>
      </w:r>
    </w:p>
    <w:p w14:paraId="032B1B5D">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7.5）</w:t>
      </w:r>
      <w:r>
        <w:rPr>
          <w:rFonts w:hint="eastAsia" w:ascii="宋体" w:hAnsi="宋体" w:cs="宋体"/>
          <w:color w:val="auto"/>
          <w:sz w:val="24"/>
          <w:highlight w:val="none"/>
          <w:lang w:val="zh-CN"/>
        </w:rPr>
        <w:t>点位迁移方案（格式自拟）；</w:t>
      </w:r>
    </w:p>
    <w:p w14:paraId="4827FA93">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7.6）</w:t>
      </w:r>
      <w:r>
        <w:rPr>
          <w:rFonts w:hint="eastAsia" w:ascii="宋体" w:hAnsi="宋体" w:cs="宋体"/>
          <w:color w:val="auto"/>
          <w:sz w:val="24"/>
          <w:highlight w:val="none"/>
          <w:lang w:val="zh-CN"/>
        </w:rPr>
        <w:t>应急保障方案和重大节假日方案（格式自拟）；</w:t>
      </w:r>
    </w:p>
    <w:p w14:paraId="36C55E8F">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7.7）</w:t>
      </w:r>
      <w:r>
        <w:rPr>
          <w:rFonts w:hint="eastAsia" w:ascii="宋体" w:hAnsi="宋体" w:cs="宋体"/>
          <w:color w:val="auto"/>
          <w:sz w:val="24"/>
          <w:highlight w:val="none"/>
          <w:lang w:val="zh-CN"/>
        </w:rPr>
        <w:t>网络安全方案（格式自拟）；</w:t>
      </w:r>
    </w:p>
    <w:p w14:paraId="424658B8">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7.8）</w:t>
      </w:r>
      <w:r>
        <w:rPr>
          <w:rFonts w:hint="eastAsia" w:ascii="宋体" w:hAnsi="宋体" w:cs="宋体"/>
          <w:color w:val="auto"/>
          <w:sz w:val="24"/>
          <w:highlight w:val="none"/>
          <w:lang w:val="zh-CN"/>
        </w:rPr>
        <w:t>耗材及主要设备更换方案（格式自拟）；</w:t>
      </w:r>
    </w:p>
    <w:p w14:paraId="5BAF8F1B">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7.9）</w:t>
      </w:r>
      <w:r>
        <w:rPr>
          <w:rFonts w:hint="eastAsia" w:ascii="宋体" w:hAnsi="宋体" w:cs="宋体"/>
          <w:color w:val="auto"/>
          <w:sz w:val="24"/>
          <w:highlight w:val="none"/>
          <w:lang w:val="zh-CN"/>
        </w:rPr>
        <w:t>备品备件配备（格式自拟）；</w:t>
      </w:r>
    </w:p>
    <w:p w14:paraId="1A3E85A3">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7.10）</w:t>
      </w:r>
      <w:r>
        <w:rPr>
          <w:rFonts w:hint="eastAsia" w:ascii="宋体" w:hAnsi="宋体" w:cs="宋体"/>
          <w:color w:val="auto"/>
          <w:sz w:val="24"/>
          <w:highlight w:val="none"/>
          <w:lang w:val="zh-CN"/>
        </w:rPr>
        <w:t>服务工器具（格式自拟）；</w:t>
      </w:r>
    </w:p>
    <w:p w14:paraId="39DB51DE">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7.11）</w:t>
      </w:r>
      <w:r>
        <w:rPr>
          <w:rFonts w:hint="eastAsia" w:ascii="宋体" w:hAnsi="宋体" w:cs="宋体"/>
          <w:color w:val="auto"/>
          <w:sz w:val="24"/>
          <w:highlight w:val="none"/>
          <w:lang w:val="zh-CN"/>
        </w:rPr>
        <w:t>人员培训方案（格式自拟）；</w:t>
      </w:r>
    </w:p>
    <w:p w14:paraId="3FA1F8D1">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7.12）</w:t>
      </w:r>
      <w:r>
        <w:rPr>
          <w:rFonts w:hint="eastAsia" w:ascii="宋体" w:hAnsi="宋体" w:cs="宋体"/>
          <w:color w:val="auto"/>
          <w:sz w:val="24"/>
          <w:highlight w:val="none"/>
          <w:lang w:val="zh-CN"/>
        </w:rPr>
        <w:t>重难点分析及解决方案（格式自拟）；</w:t>
      </w:r>
    </w:p>
    <w:p w14:paraId="78F85C84">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7.13）</w:t>
      </w:r>
      <w:r>
        <w:rPr>
          <w:rFonts w:hint="eastAsia" w:ascii="宋体" w:hAnsi="宋体" w:cs="宋体"/>
          <w:color w:val="auto"/>
          <w:sz w:val="24"/>
          <w:highlight w:val="none"/>
          <w:lang w:val="zh-CN"/>
        </w:rPr>
        <w:t>服务方案（格式自拟）；</w:t>
      </w:r>
    </w:p>
    <w:p w14:paraId="4C12AD64">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7.14）</w:t>
      </w:r>
      <w:r>
        <w:rPr>
          <w:rFonts w:hint="eastAsia" w:ascii="宋体" w:hAnsi="宋体" w:cs="宋体"/>
          <w:color w:val="auto"/>
          <w:sz w:val="24"/>
          <w:highlight w:val="none"/>
          <w:lang w:val="zh-CN"/>
        </w:rPr>
        <w:t>服务承诺（格式自拟）；</w:t>
      </w:r>
    </w:p>
    <w:p w14:paraId="1B1EAB1E">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7.15）</w:t>
      </w:r>
      <w:r>
        <w:rPr>
          <w:rFonts w:hint="eastAsia" w:ascii="宋体" w:hAnsi="宋体" w:cs="宋体"/>
          <w:color w:val="auto"/>
          <w:sz w:val="24"/>
          <w:highlight w:val="none"/>
          <w:lang w:val="zh-CN"/>
        </w:rPr>
        <w:t>管理制度（格式自拟）；</w:t>
      </w:r>
    </w:p>
    <w:p w14:paraId="1C049C9F">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7.16）</w:t>
      </w:r>
      <w:r>
        <w:rPr>
          <w:rFonts w:hint="eastAsia" w:ascii="宋体" w:hAnsi="宋体" w:cs="宋体"/>
          <w:color w:val="auto"/>
          <w:sz w:val="24"/>
          <w:highlight w:val="none"/>
          <w:lang w:val="zh-CN"/>
        </w:rPr>
        <w:t>人员配备（格式自拟）；</w:t>
      </w:r>
    </w:p>
    <w:p w14:paraId="1EA9F71F">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7.17）</w:t>
      </w:r>
      <w:r>
        <w:rPr>
          <w:rFonts w:hint="eastAsia" w:ascii="宋体" w:hAnsi="宋体" w:cs="宋体"/>
          <w:color w:val="auto"/>
          <w:sz w:val="24"/>
          <w:highlight w:val="none"/>
          <w:lang w:val="zh-CN"/>
        </w:rPr>
        <w:t>认证证书（如有，请提供）</w:t>
      </w:r>
    </w:p>
    <w:p w14:paraId="5B4545C1">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960" w:firstLineChars="400"/>
        <w:jc w:val="both"/>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7.18）</w:t>
      </w:r>
      <w:r>
        <w:rPr>
          <w:rFonts w:hint="eastAsia" w:ascii="宋体" w:hAnsi="宋体" w:cs="宋体"/>
          <w:color w:val="auto"/>
          <w:sz w:val="24"/>
          <w:highlight w:val="none"/>
          <w:lang w:val="zh-CN"/>
        </w:rPr>
        <w:t>类似业绩（格式见附件）；</w:t>
      </w:r>
    </w:p>
    <w:p w14:paraId="72031453">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（8）评分标准要求提供的其他技术资料及说明；</w:t>
      </w:r>
    </w:p>
    <w:p w14:paraId="2D53E468">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（9）供应商认为有必要提供的或采购文件中要求提供的其他技术资料及说明；</w:t>
      </w:r>
    </w:p>
    <w:p w14:paraId="0511D2F9">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政府采购供应商廉洁自律承诺书。</w:t>
      </w:r>
    </w:p>
    <w:p w14:paraId="32FE91CB">
      <w:pPr>
        <w:pStyle w:val="32"/>
        <w:spacing w:line="360" w:lineRule="auto"/>
        <w:ind w:firstLine="482" w:firstLineChars="200"/>
        <w:rPr>
          <w:rFonts w:hint="eastAsia"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b/>
          <w:color w:val="auto"/>
          <w:sz w:val="24"/>
          <w:szCs w:val="24"/>
          <w:highlight w:val="none"/>
          <w:lang w:val="en-US" w:eastAsia="zh-CN"/>
        </w:rPr>
        <w:t>2.3报价文件</w:t>
      </w:r>
    </w:p>
    <w:p w14:paraId="2CAB9DDC">
      <w:pPr>
        <w:pStyle w:val="32"/>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（1）初次报价一览表；</w:t>
      </w:r>
    </w:p>
    <w:p w14:paraId="2FE680ED">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highlight w:val="none"/>
        </w:rPr>
        <w:t>分项报价表</w:t>
      </w:r>
      <w:r>
        <w:rPr>
          <w:rFonts w:hint="eastAsia" w:ascii="宋体" w:hAnsi="宋体" w:eastAsia="宋体" w:cs="宋体"/>
          <w:color w:val="auto"/>
          <w:sz w:val="24"/>
          <w:highlight w:val="none"/>
          <w:lang w:eastAsia="zh-CN"/>
        </w:rPr>
        <w:t>；</w:t>
      </w:r>
    </w:p>
    <w:p w14:paraId="1D3FF754">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中小企业声明函（如是，请提供，格式见附件）；</w:t>
      </w:r>
    </w:p>
    <w:p w14:paraId="77453B13">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残疾人福利性单位声明函（如是，请提供，格式见附件）；</w:t>
      </w:r>
    </w:p>
    <w:p w14:paraId="30C868B0">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由省级以上监狱管理局、戒毒管理局（含新疆生产建设兵团）出具的属于监狱企业的证明文件（如是，请提供</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p>
    <w:p w14:paraId="4156EDB8">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）其他资料（如有）。</w:t>
      </w:r>
    </w:p>
    <w:p w14:paraId="1489B7B6">
      <w:pPr>
        <w:pStyle w:val="32"/>
        <w:spacing w:line="360" w:lineRule="auto"/>
        <w:ind w:firstLine="480"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注：</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可事先在公开官网查询、核对相关证书和报告内容，确保响应文件资料准确无误。</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应对响应文件中材料的真实性、合法性负责。</w:t>
      </w:r>
    </w:p>
    <w:p w14:paraId="6F6F20FE">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4</w:t>
      </w:r>
      <w:r>
        <w:rPr>
          <w:rFonts w:hint="eastAsia" w:asciiTheme="minorEastAsia" w:hAnsiTheme="minorEastAsia" w:eastAsiaTheme="minorEastAsia"/>
          <w:b/>
          <w:color w:val="auto"/>
          <w:sz w:val="24"/>
          <w:szCs w:val="24"/>
          <w:highlight w:val="none"/>
        </w:rPr>
        <w:t>. 响应文件的编制和签署</w:t>
      </w:r>
    </w:p>
    <w:p w14:paraId="0ECE28F2">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en-US" w:eastAsia="zh-CN"/>
        </w:rPr>
        <w:t>4</w:t>
      </w:r>
      <w:r>
        <w:rPr>
          <w:rFonts w:hint="eastAsia" w:cs="仿宋_GB2312" w:asciiTheme="minorEastAsia" w:hAnsiTheme="minorEastAsia" w:eastAsiaTheme="minorEastAsia"/>
          <w:color w:val="auto"/>
          <w:kern w:val="0"/>
          <w:sz w:val="24"/>
          <w:highlight w:val="none"/>
          <w:lang w:val="zh-CN"/>
        </w:rPr>
        <w:t>.1各供应商在编制响应文件时请按照磋商文件第七部分规定的格式进行，混乱的编排导致响应文件被误读或磋商小组查找不到有效文件是供应商的风险。</w:t>
      </w:r>
    </w:p>
    <w:p w14:paraId="1C8DB0CB">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en-US" w:eastAsia="zh-CN"/>
        </w:rPr>
        <w:t>4</w:t>
      </w:r>
      <w:r>
        <w:rPr>
          <w:rFonts w:hint="eastAsia" w:cs="仿宋_GB2312" w:asciiTheme="minorEastAsia" w:hAnsiTheme="minorEastAsia" w:eastAsiaTheme="minorEastAsia"/>
          <w:color w:val="auto"/>
          <w:kern w:val="0"/>
          <w:sz w:val="24"/>
          <w:highlight w:val="none"/>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73EC82D7">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en-US" w:eastAsia="zh-CN"/>
        </w:rPr>
        <w:t>4</w:t>
      </w:r>
      <w:r>
        <w:rPr>
          <w:rFonts w:hint="eastAsia" w:cs="仿宋_GB2312" w:asciiTheme="minorEastAsia" w:hAnsiTheme="minorEastAsia" w:eastAsiaTheme="minorEastAsia"/>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49FD0441">
      <w:pPr>
        <w:pStyle w:val="398"/>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lang w:val="en-US" w:eastAsia="zh-CN"/>
        </w:rPr>
        <w:t>4</w:t>
      </w:r>
      <w:r>
        <w:rPr>
          <w:rFonts w:hint="eastAsia" w:cs="仿宋_GB2312" w:asciiTheme="minorEastAsia" w:hAnsiTheme="minorEastAsia" w:eastAsiaTheme="minorEastAsia"/>
          <w:color w:val="auto"/>
          <w:szCs w:val="24"/>
          <w:highlight w:val="none"/>
        </w:rPr>
        <w:t>.4响应文件按照磋商文件第七部分格式要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65C9A57F">
      <w:pPr>
        <w:pStyle w:val="398"/>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lang w:val="en-US" w:eastAsia="zh-CN"/>
        </w:rPr>
        <w:t>4</w:t>
      </w:r>
      <w:r>
        <w:rPr>
          <w:rFonts w:hint="eastAsia" w:cs="仿宋_GB2312" w:asciiTheme="minorEastAsia" w:hAnsiTheme="minorEastAsia" w:eastAsiaTheme="minorEastAsia"/>
          <w:color w:val="auto"/>
          <w:szCs w:val="24"/>
          <w:highlight w:val="none"/>
        </w:rPr>
        <w:t>.5为确保网上操作合法、有效和安全，供应商应当在响应截止时间前完成在“政府采购云平台”的身份认证，确保在电子交易过程中能够对相关数据电文进行加密和使用电子签名。</w:t>
      </w:r>
    </w:p>
    <w:p w14:paraId="637084E5">
      <w:pPr>
        <w:pStyle w:val="398"/>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lang w:val="en-US" w:eastAsia="zh-CN"/>
        </w:rPr>
        <w:t>4</w:t>
      </w:r>
      <w:r>
        <w:rPr>
          <w:rFonts w:hint="eastAsia" w:cs="宋体" w:asciiTheme="minorEastAsia" w:hAnsiTheme="minorEastAsia" w:eastAsiaTheme="minorEastAsia"/>
          <w:color w:val="auto"/>
          <w:highlight w:val="none"/>
        </w:rPr>
        <w:t>.6磋商文件对响应文件签署、盖章的要求适用于电子签名。</w:t>
      </w:r>
    </w:p>
    <w:p w14:paraId="27BA8F3A">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78F5904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64B845CA">
      <w:pPr>
        <w:pStyle w:val="398"/>
        <w:spacing w:before="0"/>
        <w:ind w:firstLine="0" w:firstLineChars="0"/>
        <w:rPr>
          <w:rFonts w:cs="仿宋_GB2312" w:asciiTheme="minorEastAsia" w:hAnsiTheme="minorEastAsia" w:eastAsiaTheme="minorEastAsia"/>
          <w:b/>
          <w:color w:val="auto"/>
          <w:szCs w:val="24"/>
          <w:highlight w:val="none"/>
        </w:rPr>
      </w:pPr>
    </w:p>
    <w:p w14:paraId="2B843630">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33BAB25D">
      <w:pPr>
        <w:pStyle w:val="398"/>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C9980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28F3B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40E8E6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40E012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5704ED1A">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0EE702E">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w:t>
      </w:r>
      <w:r>
        <w:rPr>
          <w:rFonts w:hint="eastAsia" w:cs="仿宋_GB2312" w:asciiTheme="minorEastAsia" w:hAnsiTheme="minorEastAsia" w:eastAsiaTheme="minorEastAsia"/>
          <w:color w:val="auto"/>
          <w:sz w:val="24"/>
          <w:szCs w:val="24"/>
          <w:highlight w:val="none"/>
          <w:lang w:val="en-US" w:eastAsia="zh-CN"/>
        </w:rPr>
        <w:t>邮寄</w:t>
      </w:r>
      <w:r>
        <w:rPr>
          <w:rFonts w:hint="eastAsia" w:cs="仿宋_GB2312" w:asciiTheme="minorEastAsia" w:hAnsiTheme="minorEastAsia" w:eastAsiaTheme="minorEastAsia"/>
          <w:color w:val="auto"/>
          <w:sz w:val="24"/>
          <w:szCs w:val="24"/>
          <w:highlight w:val="none"/>
        </w:rPr>
        <w:t>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362D2F46">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w:t>
      </w:r>
      <w:r>
        <w:rPr>
          <w:rFonts w:hint="eastAsia" w:asciiTheme="minorEastAsia" w:hAnsiTheme="minorEastAsia" w:eastAsiaTheme="minorEastAsia"/>
          <w:b/>
          <w:color w:val="auto"/>
          <w:sz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联合体响应的，包装物封面需注明联合体响应，并注明联合体成员各方的名称和联合体协议中约定的牵头人的名称</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E85ACAD">
      <w:pPr>
        <w:pStyle w:val="21"/>
        <w:spacing w:line="360" w:lineRule="auto"/>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w:t>
      </w:r>
      <w:r>
        <w:rPr>
          <w:rFonts w:hint="eastAsia" w:cs="仿宋_GB2312" w:asciiTheme="minorEastAsia" w:hAnsiTheme="minorEastAsia" w:eastAsiaTheme="minorEastAsia"/>
          <w:color w:val="auto"/>
          <w:sz w:val="24"/>
          <w:szCs w:val="24"/>
          <w:highlight w:val="none"/>
          <w:lang w:val="en-US" w:eastAsia="zh-CN"/>
        </w:rPr>
        <w:t>根据</w:t>
      </w:r>
      <w:r>
        <w:rPr>
          <w:rFonts w:hint="eastAsia" w:cs="宋体" w:asciiTheme="minorEastAsia" w:hAnsiTheme="minorEastAsia" w:eastAsiaTheme="minorEastAsia"/>
          <w:color w:val="auto"/>
          <w:sz w:val="24"/>
          <w:szCs w:val="24"/>
          <w:highlight w:val="none"/>
        </w:rPr>
        <w:t>磋商文件第三部分供应商须知前附表规定</w:t>
      </w:r>
      <w:r>
        <w:rPr>
          <w:rFonts w:hint="eastAsia" w:cs="仿宋_GB2312" w:asciiTheme="minorEastAsia" w:hAnsiTheme="minorEastAsia" w:eastAsiaTheme="minorEastAsia"/>
          <w:color w:val="auto"/>
          <w:sz w:val="24"/>
          <w:szCs w:val="24"/>
          <w:highlight w:val="none"/>
        </w:rPr>
        <w:t>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092B237D">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w:t>
      </w:r>
      <w:r>
        <w:rPr>
          <w:rFonts w:hint="eastAsia" w:cs="仿宋_GB2312" w:asciiTheme="minorEastAsia" w:hAnsiTheme="minorEastAsia" w:eastAsiaTheme="minorEastAsia"/>
          <w:color w:val="auto"/>
          <w:sz w:val="24"/>
          <w:szCs w:val="24"/>
          <w:highlight w:val="none"/>
          <w:lang w:val="en-US" w:eastAsia="zh-CN"/>
        </w:rPr>
        <w:t>邮寄</w:t>
      </w:r>
      <w:r>
        <w:rPr>
          <w:rFonts w:hint="eastAsia" w:cs="仿宋_GB2312" w:asciiTheme="minorEastAsia" w:hAnsiTheme="minorEastAsia" w:eastAsiaTheme="minorEastAsia"/>
          <w:color w:val="auto"/>
          <w:sz w:val="24"/>
          <w:szCs w:val="24"/>
          <w:highlight w:val="none"/>
        </w:rPr>
        <w:t>方式递交备份响应文件的，供应商应先将备份响应文件按要求密封和标记，再进行快递包装后邮寄。备份响应文件须在采购文件第三部分供应商须知前附表</w:t>
      </w:r>
      <w:r>
        <w:rPr>
          <w:rFonts w:hint="eastAsia" w:cs="仿宋_GB2312" w:asciiTheme="minorEastAsia" w:hAnsiTheme="minorEastAsia" w:eastAsiaTheme="minorEastAsia"/>
          <w:color w:val="auto"/>
          <w:sz w:val="24"/>
          <w:szCs w:val="24"/>
          <w:highlight w:val="none"/>
          <w:lang w:val="en-US" w:eastAsia="zh-CN"/>
        </w:rPr>
        <w:t>中</w:t>
      </w:r>
      <w:r>
        <w:rPr>
          <w:rFonts w:hint="eastAsia" w:cs="仿宋_GB2312" w:asciiTheme="minorEastAsia" w:hAnsiTheme="minorEastAsia" w:eastAsiaTheme="minorEastAsia"/>
          <w:color w:val="auto"/>
          <w:sz w:val="24"/>
          <w:szCs w:val="24"/>
          <w:highlight w:val="none"/>
        </w:rPr>
        <w:t>载明的截止时间之前送</w:t>
      </w:r>
      <w:r>
        <w:rPr>
          <w:rFonts w:hint="eastAsia" w:cs="仿宋_GB2312" w:asciiTheme="minorEastAsia" w:hAnsiTheme="minorEastAsia" w:eastAsiaTheme="minorEastAsia"/>
          <w:color w:val="auto"/>
          <w:sz w:val="24"/>
          <w:szCs w:val="24"/>
          <w:highlight w:val="none"/>
          <w:lang w:eastAsia="zh-CN"/>
        </w:rPr>
        <w:t>达</w:t>
      </w:r>
      <w:r>
        <w:rPr>
          <w:rFonts w:hint="eastAsia" w:cs="仿宋_GB2312" w:asciiTheme="minorEastAsia" w:hAnsiTheme="minorEastAsia" w:eastAsiaTheme="minorEastAsia"/>
          <w:color w:val="auto"/>
          <w:sz w:val="24"/>
          <w:szCs w:val="24"/>
          <w:highlight w:val="none"/>
        </w:rPr>
        <w:t>规定的地点；送达时间以签收人签收时间为准。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61C754D8">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3AA0B4F7">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D63113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51A9E8EA">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4F130491">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437381F5">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6022E1E3">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9884D33">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4E07A9F2">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rFonts w:hint="eastAsia" w:cs="Arial" w:asciiTheme="minorEastAsia" w:hAnsiTheme="minorEastAsia" w:eastAsiaTheme="minorEastAsia"/>
          <w:color w:val="auto"/>
          <w:kern w:val="0"/>
          <w:szCs w:val="24"/>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1"/>
          <w:rFonts w:hint="eastAsia" w:asciiTheme="minorEastAsia" w:hAnsiTheme="minorEastAsia" w:eastAsiaTheme="minorEastAsia"/>
          <w:snapToGrid/>
          <w:color w:val="auto"/>
          <w:sz w:val="24"/>
          <w:szCs w:val="24"/>
          <w:highlight w:val="none"/>
        </w:rPr>
        <w:t>www.creditchina.gov.cn</w:t>
      </w:r>
      <w:r>
        <w:rPr>
          <w:rStyle w:val="71"/>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www.ccgp.gov.cn</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渠道查询供应商响应截止时间前的信用记录。</w:t>
      </w:r>
    </w:p>
    <w:p w14:paraId="27148AEF">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E97BA3B">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33A5555B">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B93040">
      <w:pPr>
        <w:pStyle w:val="32"/>
        <w:spacing w:line="360" w:lineRule="auto"/>
        <w:rPr>
          <w:rFonts w:cs="仿宋_GB2312" w:asciiTheme="minorEastAsia" w:hAnsiTheme="minorEastAsia" w:eastAsiaTheme="minorEastAsia"/>
          <w:b/>
          <w:color w:val="auto"/>
          <w:sz w:val="24"/>
          <w:szCs w:val="24"/>
          <w:highlight w:val="none"/>
        </w:rPr>
      </w:pPr>
    </w:p>
    <w:p w14:paraId="4E9AFE77">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5338777B">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67163CD8">
      <w:pPr>
        <w:adjustRightInd/>
        <w:spacing w:line="360" w:lineRule="auto"/>
        <w:jc w:val="both"/>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color w:val="auto"/>
          <w:sz w:val="24"/>
          <w:szCs w:val="24"/>
          <w:highlight w:val="none"/>
        </w:rPr>
        <w:t>1.1</w:t>
      </w:r>
      <w:r>
        <w:rPr>
          <w:rFonts w:hint="eastAsia" w:cs="仿宋_GB2312" w:asciiTheme="minorEastAsia" w:hAnsiTheme="minorEastAsia" w:eastAsiaTheme="minorEastAsia"/>
          <w:color w:val="auto"/>
          <w:sz w:val="24"/>
          <w:szCs w:val="24"/>
          <w:highlight w:val="none"/>
          <w:lang w:val="en-US" w:eastAsia="zh-CN"/>
        </w:rPr>
        <w:t>供应商在政采云平台上提交最后报价</w:t>
      </w:r>
      <w:r>
        <w:rPr>
          <w:rFonts w:hint="eastAsia" w:cs="仿宋_GB2312" w:asciiTheme="minorEastAsia" w:hAnsiTheme="minorEastAsia" w:eastAsiaTheme="minorEastAsia"/>
          <w:color w:val="auto"/>
          <w:sz w:val="24"/>
          <w:szCs w:val="24"/>
          <w:highlight w:val="none"/>
        </w:rPr>
        <w:t>。</w:t>
      </w:r>
    </w:p>
    <w:p w14:paraId="760826AC">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7756FB0C">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5102C15">
      <w:pPr>
        <w:pStyle w:val="398"/>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5DB884A">
      <w:pPr>
        <w:pStyle w:val="398"/>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7C241C7C">
      <w:pPr>
        <w:pStyle w:val="398"/>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lang w:eastAsia="zh-CN"/>
        </w:rPr>
        <w:t>具体</w:t>
      </w:r>
      <w:r>
        <w:rPr>
          <w:rFonts w:hint="eastAsia" w:cs="仿宋_GB2312" w:asciiTheme="minorEastAsia" w:hAnsiTheme="minorEastAsia" w:eastAsiaTheme="minorEastAsia"/>
          <w:color w:val="auto"/>
          <w:highlight w:val="none"/>
        </w:rPr>
        <w:t>见磋商文件第五部分“评审方法及评审标准”。</w:t>
      </w:r>
    </w:p>
    <w:p w14:paraId="70FBFECF">
      <w:pPr>
        <w:adjustRightInd/>
        <w:spacing w:line="360" w:lineRule="auto"/>
        <w:jc w:val="center"/>
        <w:outlineLvl w:val="0"/>
        <w:rPr>
          <w:rFonts w:cs="仿宋_GB2312" w:asciiTheme="minorEastAsia" w:hAnsiTheme="minorEastAsia" w:eastAsiaTheme="minorEastAsia"/>
          <w:color w:val="auto"/>
          <w:sz w:val="24"/>
          <w:highlight w:val="none"/>
        </w:rPr>
      </w:pPr>
    </w:p>
    <w:p w14:paraId="078A58B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7B4DD72A">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EF9BD3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49089E2">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04E171E2">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p>
    <w:p w14:paraId="133FF144">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2425080C">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6C97B470">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名称、地址和成交金额，主要中标</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成交）</w:t>
      </w:r>
      <w:r>
        <w:rPr>
          <w:rFonts w:hint="eastAsia" w:cs="宋体" w:asciiTheme="minorEastAsia" w:hAnsiTheme="minorEastAsia" w:eastAsiaTheme="minorEastAsia"/>
          <w:color w:val="auto"/>
          <w:sz w:val="24"/>
          <w:highlight w:val="none"/>
        </w:rPr>
        <w:t>标的的名称、</w:t>
      </w:r>
      <w:r>
        <w:rPr>
          <w:rFonts w:hint="eastAsia" w:cs="宋体" w:asciiTheme="minorEastAsia" w:hAnsiTheme="minorEastAsia" w:eastAsiaTheme="minorEastAsia"/>
          <w:i w:val="0"/>
          <w:iCs w:val="0"/>
          <w:caps w:val="0"/>
          <w:color w:val="auto"/>
          <w:spacing w:val="0"/>
          <w:sz w:val="24"/>
          <w:szCs w:val="24"/>
          <w:highlight w:val="none"/>
        </w:rPr>
        <w:t>服务范围</w:t>
      </w:r>
      <w:r>
        <w:rPr>
          <w:rFonts w:hint="eastAsia" w:cs="宋体" w:asciiTheme="minorEastAsia" w:hAnsiTheme="minorEastAsia" w:eastAsiaTheme="minorEastAsia"/>
          <w:color w:val="auto"/>
          <w:sz w:val="24"/>
          <w:highlight w:val="none"/>
        </w:rPr>
        <w:t>、服务要求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服务时间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服务标准，开标记录、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成交公告期限以及评审专家名单、评分汇总。</w:t>
      </w:r>
    </w:p>
    <w:p w14:paraId="39A19B8B">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5CC7294">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164DFB2A">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7F1EC28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lang w:eastAsia="zh-CN"/>
        </w:rPr>
        <w:t>具体</w:t>
      </w:r>
      <w:r>
        <w:rPr>
          <w:rFonts w:hint="eastAsia" w:asciiTheme="minorEastAsia" w:hAnsiTheme="minorEastAsia" w:eastAsiaTheme="minorEastAsia"/>
          <w:color w:val="auto"/>
          <w:sz w:val="24"/>
          <w:highlight w:val="none"/>
        </w:rPr>
        <w:t>见“第六部分拟签订的合同文本”。</w:t>
      </w:r>
    </w:p>
    <w:p w14:paraId="120B655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E877CCF">
      <w:pPr>
        <w:widowControl/>
        <w:shd w:val="clear" w:color="auto"/>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30日</w:t>
      </w:r>
      <w:r>
        <w:rPr>
          <w:rFonts w:hint="eastAsia" w:cs="宋体" w:asciiTheme="minorEastAsia" w:hAnsiTheme="minorEastAsia" w:eastAsiaTheme="minorEastAsia"/>
          <w:color w:val="auto"/>
          <w:kern w:val="0"/>
          <w:sz w:val="24"/>
          <w:highlight w:val="none"/>
        </w:rPr>
        <w:t>内，与成交供应商按照磋商文件确定的事项签订政府采购合同，并在签订之日起2个工作日内将政府采购合同在浙江政府采购网上公告。</w:t>
      </w:r>
    </w:p>
    <w:p w14:paraId="7A4719A2">
      <w:pPr>
        <w:pStyle w:val="398"/>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54B0FC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82F66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BCDEA1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542EF1A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459FC1E3">
      <w:pPr>
        <w:tabs>
          <w:tab w:val="left" w:pos="0"/>
        </w:tabs>
        <w:spacing w:line="360" w:lineRule="auto"/>
        <w:ind w:firstLine="482"/>
        <w:rPr>
          <w:rFonts w:hint="eastAsia" w:eastAsia="宋体" w:cs="宋体" w:asciiTheme="minorEastAsia" w:hAnsiTheme="minorEastAsia"/>
          <w:snapToGrid w:val="0"/>
          <w:color w:val="auto"/>
          <w:kern w:val="28"/>
          <w:sz w:val="24"/>
          <w:highlight w:val="none"/>
          <w:lang w:eastAsia="zh-CN"/>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w:t>
      </w:r>
      <w:r>
        <w:rPr>
          <w:rFonts w:hint="eastAsia" w:cs="宋体" w:asciiTheme="minorEastAsia" w:hAnsiTheme="minorEastAsia" w:eastAsiaTheme="minorEastAsia"/>
          <w:color w:val="auto"/>
          <w:sz w:val="24"/>
          <w:highlight w:val="none"/>
          <w:lang w:val="en-US" w:eastAsia="zh-CN"/>
        </w:rPr>
        <w:t>为</w:t>
      </w:r>
      <w:r>
        <w:rPr>
          <w:rFonts w:hint="eastAsia" w:cs="宋体" w:asciiTheme="minorEastAsia" w:hAnsiTheme="minorEastAsia" w:eastAsiaTheme="minorEastAsia"/>
          <w:color w:val="auto"/>
          <w:sz w:val="24"/>
          <w:highlight w:val="none"/>
        </w:rPr>
        <w:t>政府采购合同金额的1%</w:t>
      </w:r>
      <w:r>
        <w:rPr>
          <w:rFonts w:hint="eastAsia" w:ascii="宋体" w:hAnsi="宋体" w:cs="宋体"/>
          <w:color w:val="auto"/>
          <w:sz w:val="24"/>
          <w:highlight w:val="none"/>
          <w:lang w:eastAsia="zh-CN"/>
        </w:rPr>
        <w:t>。</w:t>
      </w:r>
    </w:p>
    <w:p w14:paraId="593F4102">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14:paraId="27808585">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2A60A53">
      <w:pPr>
        <w:pStyle w:val="2"/>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4F3EE6C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4425A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1E47057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9D786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50370A94">
      <w:pPr>
        <w:snapToGrid w:val="0"/>
        <w:spacing w:line="360" w:lineRule="auto"/>
        <w:jc w:val="center"/>
        <w:rPr>
          <w:rFonts w:cs="仿宋_GB2312" w:asciiTheme="minorEastAsia" w:hAnsiTheme="minorEastAsia" w:eastAsiaTheme="minorEastAsia"/>
          <w:b/>
          <w:color w:val="auto"/>
          <w:sz w:val="36"/>
          <w:szCs w:val="36"/>
          <w:highlight w:val="none"/>
        </w:rPr>
      </w:pPr>
    </w:p>
    <w:p w14:paraId="489F6F38">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0360ADA8">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7A989C8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6960886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1456FE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91B7DA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2CEB00F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848E75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0E45B15E">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5236101"/>
      <w:bookmarkEnd w:id="53"/>
      <w:bookmarkStart w:id="54" w:name="_Hlt74714665"/>
      <w:bookmarkEnd w:id="54"/>
      <w:bookmarkStart w:id="55" w:name="_Hlt68057669"/>
      <w:bookmarkEnd w:id="55"/>
      <w:bookmarkStart w:id="56" w:name="_Hlt75236290"/>
      <w:bookmarkEnd w:id="56"/>
      <w:bookmarkStart w:id="57" w:name="_Hlt74730295"/>
      <w:bookmarkEnd w:id="57"/>
      <w:bookmarkStart w:id="58" w:name="_Hlt74707468"/>
      <w:bookmarkEnd w:id="58"/>
      <w:bookmarkStart w:id="59" w:name="_Hlt74729768"/>
      <w:bookmarkEnd w:id="59"/>
      <w:bookmarkStart w:id="60" w:name="_Hlt68072990"/>
      <w:bookmarkEnd w:id="60"/>
      <w:bookmarkStart w:id="61" w:name="_Hlt75236011"/>
      <w:bookmarkEnd w:id="61"/>
      <w:bookmarkStart w:id="62" w:name="第三部分"/>
      <w:bookmarkStart w:id="63" w:name="_Toc164416483"/>
      <w:r>
        <w:rPr>
          <w:rFonts w:cs="仿宋_GB2312" w:asciiTheme="minorEastAsia" w:hAnsiTheme="minorEastAsia" w:eastAsiaTheme="minorEastAsia"/>
          <w:b/>
          <w:color w:val="auto"/>
          <w:sz w:val="36"/>
          <w:szCs w:val="36"/>
          <w:highlight w:val="none"/>
        </w:rPr>
        <w:br w:type="page"/>
      </w:r>
    </w:p>
    <w:p w14:paraId="42062F4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7B49F060">
      <w:pPr>
        <w:pStyle w:val="77"/>
        <w:rPr>
          <w:rFonts w:hint="default"/>
          <w:color w:val="auto"/>
          <w:highlight w:val="none"/>
          <w:lang w:val="en-US" w:eastAsia="zh-CN"/>
        </w:rPr>
      </w:pPr>
    </w:p>
    <w:p w14:paraId="40D37BB8">
      <w:pPr>
        <w:pStyle w:val="4"/>
        <w:pageBreakBefore w:val="0"/>
        <w:numPr>
          <w:ilvl w:val="0"/>
          <w:numId w:val="0"/>
        </w:numPr>
        <w:tabs>
          <w:tab w:val="left" w:pos="578"/>
          <w:tab w:val="clear" w:pos="432"/>
        </w:tabs>
        <w:kinsoku/>
        <w:wordWrap/>
        <w:overflowPunct/>
        <w:topLinePunct w:val="0"/>
        <w:autoSpaceDE/>
        <w:autoSpaceDN/>
        <w:bidi w:val="0"/>
        <w:snapToGrid/>
        <w:spacing w:line="360" w:lineRule="auto"/>
        <w:ind w:leftChars="-75" w:right="0" w:rightChars="0"/>
        <w:rPr>
          <w:rFonts w:hint="eastAsia" w:ascii="宋体" w:hAnsi="宋体" w:eastAsia="宋体" w:cs="宋体"/>
          <w:b/>
          <w:sz w:val="21"/>
          <w:szCs w:val="21"/>
        </w:rPr>
      </w:pPr>
      <w:bookmarkStart w:id="64" w:name="_Toc8048"/>
      <w:r>
        <w:rPr>
          <w:rFonts w:hint="eastAsia" w:ascii="宋体" w:hAnsi="宋体" w:eastAsia="宋体" w:cs="宋体"/>
          <w:b/>
          <w:sz w:val="21"/>
          <w:szCs w:val="21"/>
        </w:rPr>
        <w:t>一、项目背景</w:t>
      </w:r>
      <w:bookmarkEnd w:id="64"/>
    </w:p>
    <w:p w14:paraId="2B7E6357">
      <w:pPr>
        <w:pageBreakBefore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鄞州经济开发区视频监控系统共计276套摄像机、152台人脸抓拍枪机、60台枪机、56台高清球机、5台高空球机、3套人脸识别系统；为保障鄞州经济开发区视频监控系统的安全可靠运行，是新形势下维护国家安全和社会稳定、预防和打击暴力恐怖犯罪的重要手段，对于提升城乡管理水平、创新社会治理体制具有重要意义。</w:t>
      </w:r>
      <w:r>
        <w:rPr>
          <w:rFonts w:hint="eastAsia" w:ascii="宋体" w:hAnsi="宋体" w:eastAsia="宋体" w:cs="宋体"/>
          <w:color w:val="auto"/>
          <w:sz w:val="21"/>
          <w:szCs w:val="21"/>
          <w:lang w:val="en-US" w:eastAsia="zh-CN"/>
        </w:rPr>
        <w:t>随着平安城市建设的不断深化，城市公共安全和社会治安已经成为衡量一个城市核心竞争力的重要组成部分，对鄞州经济开发区来说能够有一个安全稳定的社会环境是符合当前结构化经济改革需求，更是鄞州经济开发区经济蓬勃发展社会和谐的重要一环。</w:t>
      </w:r>
    </w:p>
    <w:p w14:paraId="367EE71F">
      <w:pPr>
        <w:pStyle w:val="4"/>
        <w:pageBreakBefore w:val="0"/>
        <w:numPr>
          <w:ilvl w:val="0"/>
          <w:numId w:val="0"/>
        </w:numPr>
        <w:tabs>
          <w:tab w:val="left" w:pos="578"/>
          <w:tab w:val="clear" w:pos="432"/>
        </w:tabs>
        <w:kinsoku/>
        <w:wordWrap/>
        <w:overflowPunct/>
        <w:topLinePunct w:val="0"/>
        <w:autoSpaceDE/>
        <w:autoSpaceDN/>
        <w:bidi w:val="0"/>
        <w:snapToGrid/>
        <w:spacing w:line="360" w:lineRule="auto"/>
        <w:ind w:leftChars="-75" w:right="0" w:rightChars="0"/>
        <w:rPr>
          <w:rFonts w:hint="eastAsia" w:ascii="宋体" w:hAnsi="宋体" w:eastAsia="宋体" w:cs="宋体"/>
          <w:b/>
          <w:sz w:val="21"/>
          <w:szCs w:val="21"/>
        </w:rPr>
      </w:pPr>
      <w:bookmarkStart w:id="65" w:name="_Toc21569"/>
      <w:r>
        <w:rPr>
          <w:rFonts w:hint="eastAsia" w:ascii="宋体" w:hAnsi="宋体" w:eastAsia="宋体" w:cs="宋体"/>
          <w:b/>
          <w:sz w:val="21"/>
          <w:szCs w:val="21"/>
        </w:rPr>
        <w:t>二、运维服务主要内容</w:t>
      </w:r>
      <w:bookmarkEnd w:id="65"/>
    </w:p>
    <w:p w14:paraId="59F27E5C">
      <w:pPr>
        <w:pageBreakBefore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运维工作是项目运行的重要保证，根据系统的组成结构和维护的日常要求，需要维护单位提供日常运作、服务咨询、巡检保养、主动监测、故障修复、特殊保障和升级优化等服务，从而全方位地做好运维工作。</w:t>
      </w:r>
    </w:p>
    <w:p w14:paraId="1FC20249">
      <w:pPr>
        <w:pStyle w:val="4"/>
        <w:pageBreakBefore w:val="0"/>
        <w:numPr>
          <w:ilvl w:val="0"/>
          <w:numId w:val="0"/>
        </w:numPr>
        <w:tabs>
          <w:tab w:val="left" w:pos="578"/>
          <w:tab w:val="clear" w:pos="432"/>
        </w:tabs>
        <w:kinsoku/>
        <w:wordWrap/>
        <w:overflowPunct/>
        <w:topLinePunct w:val="0"/>
        <w:autoSpaceDE/>
        <w:autoSpaceDN/>
        <w:bidi w:val="0"/>
        <w:snapToGrid/>
        <w:spacing w:line="360" w:lineRule="auto"/>
        <w:ind w:leftChars="-75" w:right="0" w:rightChars="0"/>
        <w:rPr>
          <w:rFonts w:hint="eastAsia" w:ascii="宋体" w:hAnsi="宋体" w:eastAsia="宋体" w:cs="宋体"/>
          <w:b/>
          <w:sz w:val="21"/>
          <w:szCs w:val="21"/>
          <w:lang w:val="en-US" w:eastAsia="zh-CN"/>
        </w:rPr>
      </w:pPr>
      <w:bookmarkStart w:id="66" w:name="_Toc1618"/>
      <w:r>
        <w:rPr>
          <w:rFonts w:hint="eastAsia" w:ascii="宋体" w:hAnsi="宋体" w:eastAsia="宋体" w:cs="宋体"/>
          <w:b/>
          <w:sz w:val="21"/>
          <w:szCs w:val="21"/>
          <w:lang w:val="en-US" w:eastAsia="zh-CN"/>
        </w:rPr>
        <w:t>三、运维范围</w:t>
      </w:r>
      <w:bookmarkEnd w:id="66"/>
    </w:p>
    <w:p w14:paraId="1B8486F2">
      <w:pPr>
        <w:pageBreakBefore w:val="0"/>
        <w:widowControl w:val="0"/>
        <w:numPr>
          <w:ilvl w:val="0"/>
          <w:numId w:val="12"/>
        </w:numPr>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前端点位范围：涉及</w:t>
      </w:r>
      <w:r>
        <w:rPr>
          <w:rFonts w:hint="eastAsia" w:ascii="宋体" w:hAnsi="宋体" w:eastAsia="宋体" w:cs="宋体"/>
          <w:color w:val="auto"/>
          <w:kern w:val="2"/>
          <w:sz w:val="21"/>
          <w:szCs w:val="21"/>
          <w:lang w:val="en-US" w:eastAsia="zh-CN" w:bidi="ar-SA"/>
        </w:rPr>
        <w:t>经济开发区域内</w:t>
      </w:r>
      <w:r>
        <w:rPr>
          <w:rFonts w:hint="eastAsia" w:ascii="宋体" w:hAnsi="宋体" w:eastAsia="宋体" w:cs="宋体"/>
          <w:sz w:val="21"/>
          <w:szCs w:val="21"/>
          <w:lang w:val="en-US" w:eastAsia="zh-CN"/>
        </w:rPr>
        <w:t>重点点位，涉及重要路口、学校、银行、商场、工厂和小区等。</w:t>
      </w:r>
    </w:p>
    <w:p w14:paraId="566F8F1D">
      <w:pPr>
        <w:pageBreakBefore w:val="0"/>
        <w:widowControl w:val="0"/>
        <w:numPr>
          <w:ilvl w:val="0"/>
          <w:numId w:val="12"/>
        </w:numPr>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设备系统范围</w:t>
      </w:r>
    </w:p>
    <w:p w14:paraId="3F6C5C19">
      <w:pPr>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前端设</w:t>
      </w:r>
      <w:r>
        <w:rPr>
          <w:rFonts w:hint="eastAsia" w:ascii="宋体" w:hAnsi="宋体" w:eastAsia="宋体" w:cs="宋体"/>
          <w:sz w:val="21"/>
          <w:szCs w:val="21"/>
          <w:lang w:val="en-US" w:eastAsia="zh-CN"/>
        </w:rPr>
        <w:t>备：包括摄像机、镜头、杆件、防护罩、云台、光纤收发器、机箱、光纤链路等。</w:t>
      </w:r>
    </w:p>
    <w:p w14:paraId="1EB966B4">
      <w:pPr>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后端设备：相关存储设备、服务器、网络设备、监控后端设备等。</w:t>
      </w:r>
    </w:p>
    <w:p w14:paraId="017F35BC">
      <w:pPr>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后端系统：鄞州公安分局系统互联。</w:t>
      </w:r>
    </w:p>
    <w:p w14:paraId="46D7BD14">
      <w:pPr>
        <w:pStyle w:val="4"/>
        <w:pageBreakBefore w:val="0"/>
        <w:numPr>
          <w:ilvl w:val="0"/>
          <w:numId w:val="0"/>
        </w:numPr>
        <w:tabs>
          <w:tab w:val="left" w:pos="578"/>
          <w:tab w:val="clear" w:pos="432"/>
        </w:tabs>
        <w:kinsoku/>
        <w:wordWrap/>
        <w:overflowPunct/>
        <w:topLinePunct w:val="0"/>
        <w:autoSpaceDE/>
        <w:autoSpaceDN/>
        <w:bidi w:val="0"/>
        <w:snapToGrid/>
        <w:spacing w:line="360" w:lineRule="auto"/>
        <w:ind w:leftChars="-75" w:right="0" w:rightChars="0"/>
        <w:rPr>
          <w:rFonts w:hint="eastAsia" w:ascii="宋体" w:hAnsi="宋体" w:eastAsia="宋体" w:cs="宋体"/>
          <w:b/>
          <w:sz w:val="21"/>
          <w:szCs w:val="21"/>
        </w:rPr>
      </w:pPr>
      <w:bookmarkStart w:id="67" w:name="_Toc31168"/>
      <w:r>
        <w:rPr>
          <w:rFonts w:hint="eastAsia" w:ascii="宋体" w:hAnsi="宋体" w:eastAsia="宋体" w:cs="宋体"/>
          <w:b/>
          <w:sz w:val="21"/>
          <w:szCs w:val="21"/>
          <w:lang w:val="en-US" w:eastAsia="zh-CN"/>
        </w:rPr>
        <w:t>四</w:t>
      </w:r>
      <w:r>
        <w:rPr>
          <w:rFonts w:hint="eastAsia" w:ascii="宋体" w:hAnsi="宋体" w:eastAsia="宋体" w:cs="宋体"/>
          <w:b/>
          <w:sz w:val="21"/>
          <w:szCs w:val="21"/>
        </w:rPr>
        <w:t>、运维清单及运维要求</w:t>
      </w:r>
      <w:bookmarkEnd w:id="67"/>
    </w:p>
    <w:p w14:paraId="4CD0B0DC">
      <w:pPr>
        <w:pageBreakBefore w:val="0"/>
        <w:kinsoku/>
        <w:wordWrap/>
        <w:overflowPunct/>
        <w:topLinePunct w:val="0"/>
        <w:autoSpaceDE/>
        <w:autoSpaceDN/>
        <w:bidi w:val="0"/>
        <w:snapToGrid/>
        <w:spacing w:line="360" w:lineRule="auto"/>
        <w:ind w:left="0" w:leftChars="0" w:right="0" w:firstLine="422" w:firstLineChars="200"/>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运维清单</w:t>
      </w:r>
    </w:p>
    <w:tbl>
      <w:tblPr>
        <w:tblStyle w:val="63"/>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10"/>
        <w:gridCol w:w="5565"/>
        <w:gridCol w:w="810"/>
        <w:gridCol w:w="1178"/>
      </w:tblGrid>
      <w:tr w14:paraId="4021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4" w:type="dxa"/>
            <w:shd w:val="clear" w:color="000000" w:fill="FFFFFF"/>
            <w:noWrap w:val="0"/>
            <w:vAlign w:val="center"/>
          </w:tcPr>
          <w:p w14:paraId="2758B55A">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序号</w:t>
            </w:r>
          </w:p>
        </w:tc>
        <w:tc>
          <w:tcPr>
            <w:tcW w:w="1110" w:type="dxa"/>
            <w:noWrap w:val="0"/>
            <w:vAlign w:val="center"/>
          </w:tcPr>
          <w:p w14:paraId="2A06F7B1">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项目类别</w:t>
            </w:r>
          </w:p>
        </w:tc>
        <w:tc>
          <w:tcPr>
            <w:tcW w:w="5565" w:type="dxa"/>
            <w:noWrap w:val="0"/>
            <w:vAlign w:val="center"/>
          </w:tcPr>
          <w:p w14:paraId="353E7209">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项目说明</w:t>
            </w:r>
          </w:p>
        </w:tc>
        <w:tc>
          <w:tcPr>
            <w:tcW w:w="810" w:type="dxa"/>
            <w:noWrap w:val="0"/>
            <w:vAlign w:val="center"/>
          </w:tcPr>
          <w:p w14:paraId="2AF2C461">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单位</w:t>
            </w:r>
          </w:p>
        </w:tc>
        <w:tc>
          <w:tcPr>
            <w:tcW w:w="1178" w:type="dxa"/>
            <w:noWrap w:val="0"/>
            <w:vAlign w:val="center"/>
          </w:tcPr>
          <w:p w14:paraId="4C2049E2">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数量（处）</w:t>
            </w:r>
          </w:p>
        </w:tc>
      </w:tr>
      <w:tr w14:paraId="35CD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54" w:type="dxa"/>
            <w:shd w:val="clear" w:color="000000" w:fill="FFFFFF"/>
            <w:noWrap w:val="0"/>
            <w:vAlign w:val="center"/>
          </w:tcPr>
          <w:p w14:paraId="2EACA387">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110" w:type="dxa"/>
            <w:shd w:val="clear" w:color="auto" w:fill="auto"/>
            <w:noWrap w:val="0"/>
            <w:vAlign w:val="center"/>
          </w:tcPr>
          <w:p w14:paraId="40426EB1">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前端监控运维</w:t>
            </w:r>
          </w:p>
        </w:tc>
        <w:tc>
          <w:tcPr>
            <w:tcW w:w="5565" w:type="dxa"/>
            <w:shd w:val="clear" w:color="000000" w:fill="FFFFFF"/>
            <w:noWrap w:val="0"/>
            <w:vAlign w:val="center"/>
          </w:tcPr>
          <w:p w14:paraId="4A8B2E00">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271路前端摄像机进行运行维护。设备维护：包括摄像机、镜头、杆件、防护罩、云台、机箱等的完好，摄像机清晰率及图像质量完好。后端运行维护：后台设备完好、视频网络完好、软件平台完好、视频数据存储完整。 服务报告：巡检报告、监测报告、预警报告、应急事件报告、预案启动报告、运行维修报告。维修保养时间考核：前端摄像机和镜头等设备至少每季度一次、传输网络至少每个月一次、后端设备至少每个月一次。</w:t>
            </w:r>
          </w:p>
        </w:tc>
        <w:tc>
          <w:tcPr>
            <w:tcW w:w="810" w:type="dxa"/>
            <w:shd w:val="clear" w:color="000000" w:fill="FFFFFF"/>
            <w:noWrap w:val="0"/>
            <w:vAlign w:val="center"/>
          </w:tcPr>
          <w:p w14:paraId="46C9C2FD">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项/年</w:t>
            </w:r>
          </w:p>
        </w:tc>
        <w:tc>
          <w:tcPr>
            <w:tcW w:w="1178" w:type="dxa"/>
            <w:noWrap w:val="0"/>
            <w:vAlign w:val="center"/>
          </w:tcPr>
          <w:p w14:paraId="5E2EF23F">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271</w:t>
            </w:r>
          </w:p>
        </w:tc>
      </w:tr>
      <w:tr w14:paraId="7FC9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4" w:type="dxa"/>
            <w:shd w:val="clear" w:color="auto" w:fill="auto"/>
            <w:noWrap w:val="0"/>
            <w:vAlign w:val="center"/>
          </w:tcPr>
          <w:p w14:paraId="038C2D38">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110" w:type="dxa"/>
            <w:shd w:val="clear" w:color="auto" w:fill="auto"/>
            <w:noWrap w:val="0"/>
            <w:vAlign w:val="center"/>
          </w:tcPr>
          <w:p w14:paraId="116896B5">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高空点位运维</w:t>
            </w:r>
          </w:p>
        </w:tc>
        <w:tc>
          <w:tcPr>
            <w:tcW w:w="5565" w:type="dxa"/>
            <w:shd w:val="clear" w:color="000000" w:fill="FFFFFF"/>
            <w:noWrap w:val="0"/>
            <w:vAlign w:val="center"/>
          </w:tcPr>
          <w:p w14:paraId="6906E70E">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月度日常巡检、上塔清理、紧急抢修、故障设备更换等，不含塔租赁。</w:t>
            </w:r>
          </w:p>
        </w:tc>
        <w:tc>
          <w:tcPr>
            <w:tcW w:w="810" w:type="dxa"/>
            <w:shd w:val="clear" w:color="000000" w:fill="FFFFFF"/>
            <w:noWrap w:val="0"/>
            <w:vAlign w:val="center"/>
          </w:tcPr>
          <w:p w14:paraId="4C85B229">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项/年</w:t>
            </w:r>
          </w:p>
        </w:tc>
        <w:tc>
          <w:tcPr>
            <w:tcW w:w="1178" w:type="dxa"/>
            <w:noWrap w:val="0"/>
            <w:vAlign w:val="center"/>
          </w:tcPr>
          <w:p w14:paraId="20C149C4">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w:t>
            </w:r>
          </w:p>
        </w:tc>
      </w:tr>
      <w:tr w14:paraId="5706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54" w:type="dxa"/>
            <w:shd w:val="clear" w:color="auto" w:fill="auto"/>
            <w:noWrap w:val="0"/>
            <w:vAlign w:val="center"/>
          </w:tcPr>
          <w:p w14:paraId="0338E711">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110" w:type="dxa"/>
            <w:shd w:val="clear" w:color="auto" w:fill="auto"/>
            <w:noWrap w:val="0"/>
            <w:vAlign w:val="center"/>
          </w:tcPr>
          <w:p w14:paraId="08BD771E">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裸光纤链路租赁</w:t>
            </w:r>
          </w:p>
        </w:tc>
        <w:tc>
          <w:tcPr>
            <w:tcW w:w="5565" w:type="dxa"/>
            <w:shd w:val="clear" w:color="000000" w:fill="FFFFFF"/>
            <w:noWrap w:val="0"/>
            <w:vAlign w:val="center"/>
          </w:tcPr>
          <w:p w14:paraId="54AEAEB7">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裸光纤链路租赁1年，前端至派出所。</w:t>
            </w:r>
          </w:p>
        </w:tc>
        <w:tc>
          <w:tcPr>
            <w:tcW w:w="810" w:type="dxa"/>
            <w:shd w:val="clear" w:color="000000" w:fill="FFFFFF"/>
            <w:noWrap w:val="0"/>
            <w:vAlign w:val="center"/>
          </w:tcPr>
          <w:p w14:paraId="48F2B1DA">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Style w:val="639"/>
                <w:rFonts w:hint="eastAsia" w:ascii="宋体" w:hAnsi="宋体" w:eastAsia="宋体" w:cs="宋体"/>
                <w:sz w:val="21"/>
                <w:szCs w:val="21"/>
                <w:lang w:val="en-US" w:eastAsia="zh-CN" w:bidi="ar"/>
              </w:rPr>
              <w:t>项</w:t>
            </w:r>
            <w:r>
              <w:rPr>
                <w:rStyle w:val="640"/>
                <w:rFonts w:hint="eastAsia" w:ascii="宋体" w:hAnsi="宋体" w:eastAsia="宋体" w:cs="宋体"/>
                <w:sz w:val="21"/>
                <w:szCs w:val="21"/>
                <w:lang w:val="en-US" w:eastAsia="zh-CN" w:bidi="ar"/>
              </w:rPr>
              <w:t>/</w:t>
            </w:r>
            <w:r>
              <w:rPr>
                <w:rStyle w:val="639"/>
                <w:rFonts w:hint="eastAsia" w:ascii="宋体" w:hAnsi="宋体" w:eastAsia="宋体" w:cs="宋体"/>
                <w:sz w:val="21"/>
                <w:szCs w:val="21"/>
                <w:lang w:val="en-US" w:eastAsia="zh-CN" w:bidi="ar"/>
              </w:rPr>
              <w:t>年</w:t>
            </w:r>
          </w:p>
        </w:tc>
        <w:tc>
          <w:tcPr>
            <w:tcW w:w="1178" w:type="dxa"/>
            <w:noWrap w:val="0"/>
            <w:vAlign w:val="center"/>
          </w:tcPr>
          <w:p w14:paraId="067FB614">
            <w:pPr>
              <w:keepNext w:val="0"/>
              <w:keepLines w:val="0"/>
              <w:pageBreakBefore w:val="0"/>
              <w:widowControl/>
              <w:suppressLineNumbers w:val="0"/>
              <w:kinsoku/>
              <w:wordWrap/>
              <w:overflowPunct/>
              <w:topLinePunct w:val="0"/>
              <w:autoSpaceDE/>
              <w:autoSpaceDN/>
              <w:bidi w:val="0"/>
              <w:adjustRightInd w:val="0"/>
              <w:snapToGrid/>
              <w:spacing w:line="360" w:lineRule="exact"/>
              <w:ind w:left="0" w:leftChars="0" w:right="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110</w:t>
            </w:r>
          </w:p>
        </w:tc>
      </w:tr>
    </w:tbl>
    <w:p w14:paraId="1D4D5CAF">
      <w:pPr>
        <w:pageBreakBefore w:val="0"/>
        <w:widowControl w:val="0"/>
        <w:kinsoku/>
        <w:wordWrap/>
        <w:overflowPunct/>
        <w:topLinePunct w:val="0"/>
        <w:autoSpaceDE/>
        <w:autoSpaceDN/>
        <w:bidi w:val="0"/>
        <w:snapToGrid/>
        <w:spacing w:line="360" w:lineRule="auto"/>
        <w:ind w:left="0" w:leftChars="0" w:right="0" w:firstLine="422" w:firstLineChars="200"/>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监控系统运维服务要求</w:t>
      </w:r>
    </w:p>
    <w:p w14:paraId="70DE7E85">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2.1简要技术需求</w:t>
      </w:r>
    </w:p>
    <w:p w14:paraId="06BE09DE">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1）系统保障</w:t>
      </w:r>
    </w:p>
    <w:p w14:paraId="29FE8881">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7×24小时对前端设备运作情况，进行实时监控，获取各类告警、故障信息，实时响应并及时恢复、解决。需落实具体的技术服务人员，并要求专车专人进行设备维护工作。</w:t>
      </w:r>
    </w:p>
    <w:p w14:paraId="462C6DA6">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2）日常巡检</w:t>
      </w:r>
    </w:p>
    <w:p w14:paraId="38AB2D14">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每季度对每个点进行巡查一次。检查设备是否完好，设备外观是否完好、设备外线路是否完好等，并做好相关记录。</w:t>
      </w:r>
    </w:p>
    <w:p w14:paraId="26577922">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3）点位迁移</w:t>
      </w:r>
    </w:p>
    <w:p w14:paraId="4B4EB78B">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为了适应运维期间辖区内环境变化和道路改造施工</w:t>
      </w:r>
      <w:r>
        <w:rPr>
          <w:rFonts w:hint="eastAsia" w:ascii="宋体" w:hAnsi="宋体" w:eastAsia="宋体" w:cs="宋体"/>
          <w:sz w:val="21"/>
          <w:szCs w:val="21"/>
          <w:highlight w:val="none"/>
        </w:rPr>
        <w:t>，运维单位应提供二类点各不少于</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个的点位免费移位及原点恢复服务，若实际二类点位免费移位及原点恢复服务超过</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个的，超出部分单独计费，具体数量以采购人联系单为准，单价按本项目供应商报价为准。免费移位和原点恢复服务包括前端点位设备、配套立杆、机箱与用电的迁移和原点恢复安装。如此</w:t>
      </w:r>
      <w:r>
        <w:rPr>
          <w:rFonts w:hint="eastAsia" w:ascii="宋体" w:hAnsi="宋体" w:eastAsia="宋体" w:cs="宋体"/>
          <w:sz w:val="21"/>
          <w:szCs w:val="21"/>
        </w:rPr>
        <w:t>过程中产生更新材料及设备，单独计费。</w:t>
      </w:r>
    </w:p>
    <w:p w14:paraId="65CDDE08">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4）应急保障</w:t>
      </w:r>
    </w:p>
    <w:p w14:paraId="5FA584BA">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当有重要节假日、大型活动期间或是重大事项需要应急处置时，运维单位需要提供相应的技术和人员保障，包括特定巡检、维修、维护、清洁、保养等。</w:t>
      </w:r>
    </w:p>
    <w:p w14:paraId="4CA3B157">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2.2运维原则</w:t>
      </w:r>
    </w:p>
    <w:p w14:paraId="32239C44">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1）运维单位应采取适当措施，确保按服务协议提供长期、持续地满足需求的优质服务，保持服务对象符合可用性要求。</w:t>
      </w:r>
    </w:p>
    <w:p w14:paraId="55E7D187">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2）服务的供、需双方应采取各种安全手段或措施，有效控制视频监控系统运维服务的各个环节，保护视频监控系统运维服务中的物理安全、网络安全、系统安全、应用安全和数据安全。</w:t>
      </w:r>
    </w:p>
    <w:p w14:paraId="18D55D63">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3）运维服务单位应采取适当的手段确保提供满足时间指标要求的运维服务。</w:t>
      </w:r>
    </w:p>
    <w:p w14:paraId="091EE72D">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4）运维服务单位应建立适当的服务管理流程、服务活动指导文件或实施规则，以保证服务过程的规范运作。</w:t>
      </w:r>
    </w:p>
    <w:p w14:paraId="133D54DA">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2.3运维目标</w:t>
      </w:r>
    </w:p>
    <w:p w14:paraId="3F612FB2">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通过运维服务，在延长现有设施设备的使用周期与使用效率的前提下，进一步发挥视频监控在服务民生、维护治安、打击犯罪、城市管理、抗洪救灾等领域的作用。</w:t>
      </w:r>
    </w:p>
    <w:p w14:paraId="765A4729">
      <w:pPr>
        <w:pStyle w:val="6"/>
        <w:pageBreakBefore w:val="0"/>
        <w:widowControl w:val="0"/>
        <w:numPr>
          <w:ilvl w:val="3"/>
          <w:numId w:val="0"/>
        </w:numPr>
        <w:kinsoku/>
        <w:wordWrap/>
        <w:overflowPunct/>
        <w:topLinePunct w:val="0"/>
        <w:autoSpaceDE/>
        <w:autoSpaceDN/>
        <w:bidi w:val="0"/>
        <w:snapToGrid/>
        <w:spacing w:before="0" w:after="0" w:line="360" w:lineRule="auto"/>
        <w:ind w:left="0" w:leftChars="0" w:right="0" w:rightChars="0" w:firstLine="422" w:firstLineChars="200"/>
        <w:rPr>
          <w:rFonts w:hint="eastAsia" w:ascii="宋体" w:hAnsi="宋体" w:eastAsia="宋体" w:cs="宋体"/>
          <w:b/>
          <w:bCs/>
          <w:sz w:val="21"/>
          <w:szCs w:val="21"/>
        </w:rPr>
      </w:pPr>
      <w:bookmarkStart w:id="68" w:name="_Toc29253"/>
      <w:bookmarkStart w:id="69" w:name="_Toc200"/>
      <w:bookmarkStart w:id="70" w:name="_Toc30094"/>
      <w:bookmarkStart w:id="71" w:name="_Toc532289194"/>
      <w:bookmarkStart w:id="72" w:name="_Toc31702"/>
      <w:bookmarkStart w:id="73" w:name="_Toc26080"/>
      <w:bookmarkStart w:id="74" w:name="_Toc16520"/>
      <w:bookmarkStart w:id="75" w:name="_Toc14820"/>
      <w:bookmarkStart w:id="76" w:name="_Toc6163"/>
      <w:bookmarkStart w:id="77" w:name="_Toc23887"/>
      <w:bookmarkStart w:id="78" w:name="_Toc170"/>
      <w:r>
        <w:rPr>
          <w:rFonts w:hint="eastAsia" w:ascii="宋体" w:hAnsi="宋体" w:eastAsia="宋体" w:cs="宋体"/>
          <w:b/>
          <w:bCs/>
          <w:sz w:val="21"/>
          <w:szCs w:val="21"/>
        </w:rPr>
        <w:t>前端设备运维标准</w:t>
      </w:r>
      <w:bookmarkEnd w:id="68"/>
      <w:bookmarkEnd w:id="69"/>
      <w:bookmarkEnd w:id="70"/>
      <w:bookmarkEnd w:id="71"/>
      <w:bookmarkEnd w:id="72"/>
      <w:bookmarkEnd w:id="73"/>
      <w:bookmarkEnd w:id="74"/>
      <w:bookmarkEnd w:id="75"/>
      <w:bookmarkEnd w:id="76"/>
      <w:bookmarkEnd w:id="77"/>
      <w:bookmarkEnd w:id="78"/>
    </w:p>
    <w:p w14:paraId="400E8714">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color w:val="000000"/>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调研评估服务</w:t>
      </w:r>
    </w:p>
    <w:p w14:paraId="517A99BB">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运维单位需要对前端设备的运行状况、运行环境进行现状调研、系统分析和评估并提出相应的建议和服务方案，以明确并制定每年运维及改造的详细计划。</w:t>
      </w:r>
    </w:p>
    <w:p w14:paraId="646AD1CE">
      <w:pPr>
        <w:pStyle w:val="641"/>
        <w:pageBreakBefore w:val="0"/>
        <w:widowControl w:val="0"/>
        <w:tabs>
          <w:tab w:val="left" w:pos="425"/>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（2）例行维护服务</w:t>
      </w:r>
    </w:p>
    <w:p w14:paraId="0E552679">
      <w:pPr>
        <w:pStyle w:val="641"/>
        <w:pageBreakBefore w:val="0"/>
        <w:widowControl w:val="0"/>
        <w:numPr>
          <w:ilvl w:val="0"/>
          <w:numId w:val="13"/>
        </w:numPr>
        <w:tabs>
          <w:tab w:val="left" w:pos="425"/>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系统监控</w:t>
      </w:r>
    </w:p>
    <w:p w14:paraId="568B0318">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lang w:val="zh-CN"/>
        </w:rPr>
        <w:t>对前端设备的系统监控</w:t>
      </w:r>
      <w:r>
        <w:rPr>
          <w:rFonts w:hint="eastAsia" w:ascii="宋体" w:hAnsi="宋体" w:eastAsia="宋体" w:cs="宋体"/>
          <w:sz w:val="21"/>
          <w:szCs w:val="21"/>
        </w:rPr>
        <w:t>服务指通过运维管理平台7</w:t>
      </w:r>
      <w:r>
        <w:rPr>
          <w:rFonts w:hint="eastAsia" w:ascii="宋体" w:hAnsi="宋体" w:eastAsia="宋体" w:cs="宋体"/>
          <w:sz w:val="21"/>
          <w:szCs w:val="21"/>
          <w:lang w:val="zh-CN"/>
        </w:rPr>
        <w:t>×</w:t>
      </w:r>
      <w:r>
        <w:rPr>
          <w:rFonts w:hint="eastAsia" w:ascii="宋体" w:hAnsi="宋体" w:eastAsia="宋体" w:cs="宋体"/>
          <w:sz w:val="21"/>
          <w:szCs w:val="21"/>
        </w:rPr>
        <w:t>24小时对前端设备运作情况（比如图像清晰度，监控方位等），进行实时监控，获取各类告警、故障信息，实时响应并及时恢复、解决。</w:t>
      </w:r>
    </w:p>
    <w:p w14:paraId="424537FD">
      <w:pPr>
        <w:pStyle w:val="641"/>
        <w:pageBreakBefore w:val="0"/>
        <w:widowControl w:val="0"/>
        <w:numPr>
          <w:ilvl w:val="0"/>
          <w:numId w:val="13"/>
        </w:numPr>
        <w:tabs>
          <w:tab w:val="left" w:pos="425"/>
          <w:tab w:val="left" w:pos="1134"/>
          <w:tab w:val="left" w:pos="1418"/>
          <w:tab w:val="left" w:pos="1560"/>
          <w:tab w:val="left" w:pos="2694"/>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日常巡检</w:t>
      </w:r>
    </w:p>
    <w:p w14:paraId="2C171F02">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1）前端摄像机的镜头清理、设备除尘、位置调整、设备维修及更换、故障排除等；</w:t>
      </w:r>
    </w:p>
    <w:p w14:paraId="3060DBD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2）球机外罩是否清洁、除尘；</w:t>
      </w:r>
    </w:p>
    <w:p w14:paraId="67F38E30">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3）检查杆件是否存在、损坏和有障碍物；</w:t>
      </w:r>
    </w:p>
    <w:p w14:paraId="1AC646A8">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4）检查支架、护罩、控制箱是否存在、损坏；</w:t>
      </w:r>
    </w:p>
    <w:p w14:paraId="11817A2A">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5）立杆定期清除小广告；</w:t>
      </w:r>
    </w:p>
    <w:p w14:paraId="2FA920E6">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6）检查周边的树木、建筑物及电缆是否遮挡镜头；</w:t>
      </w:r>
    </w:p>
    <w:p w14:paraId="26799234">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7）对立杆、设备箱等设施的损坏和自然锈迹在必要时进行修复和表面翻新；</w:t>
      </w:r>
    </w:p>
    <w:p w14:paraId="75B341C0">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前端摄像机点位每天巡检一次，摄像机和镜头每半月擦拭维护一次，清晰率需月均达到96%以上，立杆每年刷漆一次，根据需要定期剪枝。</w:t>
      </w:r>
      <w:r>
        <w:rPr>
          <w:rFonts w:hint="eastAsia" w:ascii="宋体" w:hAnsi="宋体" w:cs="宋体"/>
          <w:sz w:val="21"/>
          <w:szCs w:val="21"/>
          <w:lang w:eastAsia="zh-CN"/>
        </w:rPr>
        <w:t>其他设备</w:t>
      </w:r>
      <w:r>
        <w:rPr>
          <w:rFonts w:hint="eastAsia" w:ascii="宋体" w:hAnsi="宋体" w:eastAsia="宋体" w:cs="宋体"/>
          <w:sz w:val="21"/>
          <w:szCs w:val="21"/>
        </w:rPr>
        <w:t>每季度测试检查一遍，确保完好。</w:t>
      </w:r>
    </w:p>
    <w:p w14:paraId="4123716D">
      <w:pPr>
        <w:pStyle w:val="641"/>
        <w:pageBreakBefore w:val="0"/>
        <w:widowControl w:val="0"/>
        <w:tabs>
          <w:tab w:val="left" w:pos="425"/>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（3）故障响应服务</w:t>
      </w:r>
    </w:p>
    <w:p w14:paraId="71B99E1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运维单位需提供7×24小时响应服务，具体响应方式及响应时间具体内容如下：</w:t>
      </w:r>
    </w:p>
    <w:tbl>
      <w:tblPr>
        <w:tblStyle w:val="63"/>
        <w:tblW w:w="93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3"/>
        <w:gridCol w:w="3492"/>
        <w:gridCol w:w="3974"/>
      </w:tblGrid>
      <w:tr w14:paraId="2AC08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913" w:type="dxa"/>
            <w:tcBorders>
              <w:top w:val="single" w:color="auto" w:sz="4" w:space="0"/>
              <w:left w:val="single" w:color="auto" w:sz="4" w:space="0"/>
              <w:bottom w:val="single" w:color="auto" w:sz="4" w:space="0"/>
              <w:right w:val="single" w:color="auto" w:sz="4" w:space="0"/>
            </w:tcBorders>
            <w:noWrap w:val="0"/>
            <w:vAlign w:val="center"/>
          </w:tcPr>
          <w:p w14:paraId="146525B7">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故障类型</w:t>
            </w:r>
          </w:p>
        </w:tc>
        <w:tc>
          <w:tcPr>
            <w:tcW w:w="3492" w:type="dxa"/>
            <w:tcBorders>
              <w:top w:val="single" w:color="auto" w:sz="4" w:space="0"/>
              <w:left w:val="single" w:color="auto" w:sz="4" w:space="0"/>
              <w:bottom w:val="single" w:color="auto" w:sz="4" w:space="0"/>
              <w:right w:val="single" w:color="auto" w:sz="4" w:space="0"/>
            </w:tcBorders>
            <w:noWrap w:val="0"/>
            <w:vAlign w:val="center"/>
          </w:tcPr>
          <w:p w14:paraId="2A43EE55">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故障内容</w:t>
            </w:r>
          </w:p>
        </w:tc>
        <w:tc>
          <w:tcPr>
            <w:tcW w:w="3974" w:type="dxa"/>
            <w:tcBorders>
              <w:top w:val="single" w:color="auto" w:sz="4" w:space="0"/>
              <w:left w:val="single" w:color="auto" w:sz="4" w:space="0"/>
              <w:bottom w:val="single" w:color="auto" w:sz="4" w:space="0"/>
              <w:right w:val="single" w:color="auto" w:sz="4" w:space="0"/>
            </w:tcBorders>
            <w:noWrap w:val="0"/>
            <w:vAlign w:val="center"/>
          </w:tcPr>
          <w:p w14:paraId="3BF00D32">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响应时间</w:t>
            </w:r>
          </w:p>
        </w:tc>
      </w:tr>
      <w:tr w14:paraId="20235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913" w:type="dxa"/>
            <w:tcBorders>
              <w:top w:val="single" w:color="auto" w:sz="4" w:space="0"/>
              <w:left w:val="single" w:color="auto" w:sz="4" w:space="0"/>
              <w:bottom w:val="single" w:color="auto" w:sz="4" w:space="0"/>
              <w:right w:val="single" w:color="auto" w:sz="4" w:space="0"/>
            </w:tcBorders>
            <w:noWrap w:val="0"/>
            <w:vAlign w:val="center"/>
          </w:tcPr>
          <w:p w14:paraId="0360F259">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故障驱动响应</w:t>
            </w:r>
          </w:p>
        </w:tc>
        <w:tc>
          <w:tcPr>
            <w:tcW w:w="3492" w:type="dxa"/>
            <w:tcBorders>
              <w:top w:val="single" w:color="auto" w:sz="4" w:space="0"/>
              <w:left w:val="single" w:color="auto" w:sz="4" w:space="0"/>
              <w:bottom w:val="single" w:color="auto" w:sz="4" w:space="0"/>
              <w:right w:val="single" w:color="auto" w:sz="4" w:space="0"/>
            </w:tcBorders>
            <w:noWrap w:val="0"/>
            <w:vAlign w:val="center"/>
          </w:tcPr>
          <w:p w14:paraId="21D8C561">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前端设备出现警告，不影响系统运行</w:t>
            </w:r>
          </w:p>
        </w:tc>
        <w:tc>
          <w:tcPr>
            <w:tcW w:w="3974" w:type="dxa"/>
            <w:tcBorders>
              <w:top w:val="single" w:color="auto" w:sz="4" w:space="0"/>
              <w:left w:val="single" w:color="auto" w:sz="4" w:space="0"/>
              <w:bottom w:val="single" w:color="auto" w:sz="4" w:space="0"/>
              <w:right w:val="single" w:color="auto" w:sz="4" w:space="0"/>
            </w:tcBorders>
            <w:noWrap w:val="0"/>
            <w:vAlign w:val="center"/>
          </w:tcPr>
          <w:p w14:paraId="67795B67">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7×24小时电话咨询，8小时内到达现场</w:t>
            </w:r>
          </w:p>
        </w:tc>
      </w:tr>
      <w:tr w14:paraId="5004E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913" w:type="dxa"/>
            <w:tcBorders>
              <w:top w:val="single" w:color="auto" w:sz="4" w:space="0"/>
              <w:left w:val="single" w:color="auto" w:sz="4" w:space="0"/>
              <w:bottom w:val="single" w:color="auto" w:sz="4" w:space="0"/>
              <w:right w:val="single" w:color="auto" w:sz="4" w:space="0"/>
            </w:tcBorders>
            <w:noWrap w:val="0"/>
            <w:vAlign w:val="center"/>
          </w:tcPr>
          <w:p w14:paraId="7E8E2FF3">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服务请求响应</w:t>
            </w:r>
          </w:p>
        </w:tc>
        <w:tc>
          <w:tcPr>
            <w:tcW w:w="3492" w:type="dxa"/>
            <w:tcBorders>
              <w:top w:val="single" w:color="auto" w:sz="4" w:space="0"/>
              <w:left w:val="single" w:color="auto" w:sz="4" w:space="0"/>
              <w:bottom w:val="single" w:color="auto" w:sz="4" w:space="0"/>
              <w:right w:val="single" w:color="auto" w:sz="4" w:space="0"/>
            </w:tcBorders>
            <w:noWrap w:val="0"/>
            <w:vAlign w:val="center"/>
          </w:tcPr>
          <w:p w14:paraId="120AF61A">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前端部分设备损坏，但系统正常运行</w:t>
            </w:r>
          </w:p>
        </w:tc>
        <w:tc>
          <w:tcPr>
            <w:tcW w:w="3974" w:type="dxa"/>
            <w:tcBorders>
              <w:top w:val="single" w:color="auto" w:sz="4" w:space="0"/>
              <w:left w:val="single" w:color="auto" w:sz="4" w:space="0"/>
              <w:bottom w:val="single" w:color="auto" w:sz="4" w:space="0"/>
              <w:right w:val="single" w:color="auto" w:sz="4" w:space="0"/>
            </w:tcBorders>
            <w:noWrap w:val="0"/>
            <w:vAlign w:val="center"/>
          </w:tcPr>
          <w:p w14:paraId="071F1C40">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7×24小时电话咨询，4小时内到达现场</w:t>
            </w:r>
          </w:p>
        </w:tc>
      </w:tr>
      <w:tr w14:paraId="41B39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913" w:type="dxa"/>
            <w:tcBorders>
              <w:top w:val="single" w:color="auto" w:sz="4" w:space="0"/>
              <w:left w:val="single" w:color="auto" w:sz="4" w:space="0"/>
              <w:bottom w:val="single" w:color="auto" w:sz="4" w:space="0"/>
              <w:right w:val="single" w:color="auto" w:sz="4" w:space="0"/>
            </w:tcBorders>
            <w:noWrap w:val="0"/>
            <w:vAlign w:val="center"/>
          </w:tcPr>
          <w:p w14:paraId="4EC449B4">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应急响应</w:t>
            </w:r>
          </w:p>
        </w:tc>
        <w:tc>
          <w:tcPr>
            <w:tcW w:w="3492" w:type="dxa"/>
            <w:tcBorders>
              <w:top w:val="single" w:color="auto" w:sz="4" w:space="0"/>
              <w:left w:val="single" w:color="auto" w:sz="4" w:space="0"/>
              <w:bottom w:val="single" w:color="auto" w:sz="4" w:space="0"/>
              <w:right w:val="single" w:color="auto" w:sz="4" w:space="0"/>
            </w:tcBorders>
            <w:noWrap w:val="0"/>
            <w:vAlign w:val="center"/>
          </w:tcPr>
          <w:p w14:paraId="24E92087">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前端设备故障</w:t>
            </w:r>
          </w:p>
        </w:tc>
        <w:tc>
          <w:tcPr>
            <w:tcW w:w="3974" w:type="dxa"/>
            <w:tcBorders>
              <w:top w:val="single" w:color="auto" w:sz="4" w:space="0"/>
              <w:left w:val="single" w:color="auto" w:sz="4" w:space="0"/>
              <w:bottom w:val="single" w:color="auto" w:sz="4" w:space="0"/>
              <w:right w:val="single" w:color="auto" w:sz="4" w:space="0"/>
            </w:tcBorders>
            <w:noWrap w:val="0"/>
            <w:vAlign w:val="center"/>
          </w:tcPr>
          <w:p w14:paraId="631229A5">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7×24小时电话咨询，2小时内到达现场。</w:t>
            </w:r>
          </w:p>
        </w:tc>
      </w:tr>
    </w:tbl>
    <w:p w14:paraId="4560A1F4">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到达现场后，前端设备需8小时内修复，不能修复需要更换设备的，运维单位需要免费更换故障设备，故障修复时间均以业主单位申报开始计时，若有特殊情况须经业主单位书面同意方可延长故障排除时间。</w:t>
      </w:r>
    </w:p>
    <w:p w14:paraId="435B80F4">
      <w:pPr>
        <w:pageBreakBefore w:val="0"/>
        <w:widowControl w:val="0"/>
        <w:tabs>
          <w:tab w:val="left" w:pos="425"/>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（4）优化完善服务</w:t>
      </w:r>
    </w:p>
    <w:p w14:paraId="3DBF1008">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color w:val="000000"/>
          <w:sz w:val="21"/>
          <w:szCs w:val="21"/>
          <w:lang w:val="zh-CN"/>
        </w:rPr>
      </w:pPr>
      <w:r>
        <w:rPr>
          <w:rFonts w:hint="eastAsia" w:ascii="宋体" w:hAnsi="宋体" w:eastAsia="宋体" w:cs="宋体"/>
          <w:sz w:val="21"/>
          <w:szCs w:val="21"/>
          <w:lang w:val="zh-CN"/>
        </w:rPr>
        <w:t>移位点位由业主提出，运维方负责勘测、施工、并保障整体系统正常运行不中断，点位完成移位的时间不应超过一周，若有特殊情况须经业主单位书面同意方可延长故障排除时间。</w:t>
      </w:r>
    </w:p>
    <w:p w14:paraId="2A3623D7">
      <w:pPr>
        <w:pStyle w:val="6"/>
        <w:pageBreakBefore w:val="0"/>
        <w:widowControl w:val="0"/>
        <w:numPr>
          <w:ilvl w:val="3"/>
          <w:numId w:val="0"/>
        </w:numPr>
        <w:kinsoku/>
        <w:wordWrap/>
        <w:overflowPunct/>
        <w:topLinePunct w:val="0"/>
        <w:autoSpaceDE/>
        <w:autoSpaceDN/>
        <w:bidi w:val="0"/>
        <w:snapToGrid/>
        <w:spacing w:before="0" w:after="0" w:line="360" w:lineRule="auto"/>
        <w:ind w:left="0" w:leftChars="0" w:right="0" w:rightChars="0" w:firstLine="422" w:firstLineChars="200"/>
        <w:rPr>
          <w:rFonts w:hint="eastAsia" w:ascii="宋体" w:hAnsi="宋体" w:eastAsia="宋体" w:cs="宋体"/>
          <w:b/>
          <w:bCs/>
          <w:sz w:val="21"/>
          <w:szCs w:val="21"/>
        </w:rPr>
      </w:pPr>
      <w:bookmarkStart w:id="79" w:name="_Toc10166"/>
      <w:bookmarkStart w:id="80" w:name="_Toc4346"/>
      <w:bookmarkStart w:id="81" w:name="_Toc532289195"/>
      <w:bookmarkStart w:id="82" w:name="_Toc9190"/>
      <w:bookmarkStart w:id="83" w:name="_Toc20464"/>
      <w:bookmarkStart w:id="84" w:name="_Toc10609"/>
      <w:bookmarkStart w:id="85" w:name="_Toc13215"/>
      <w:bookmarkStart w:id="86" w:name="_Toc20523"/>
      <w:bookmarkStart w:id="87" w:name="_Toc24233"/>
      <w:bookmarkStart w:id="88" w:name="_Toc5453"/>
      <w:bookmarkStart w:id="89" w:name="_Toc24885"/>
      <w:r>
        <w:rPr>
          <w:rFonts w:hint="eastAsia" w:ascii="宋体" w:hAnsi="宋体" w:eastAsia="宋体" w:cs="宋体"/>
          <w:b/>
          <w:bCs/>
          <w:sz w:val="21"/>
          <w:szCs w:val="21"/>
        </w:rPr>
        <w:t>传输网络运维标准</w:t>
      </w:r>
      <w:bookmarkEnd w:id="79"/>
      <w:bookmarkEnd w:id="80"/>
      <w:bookmarkEnd w:id="81"/>
      <w:bookmarkEnd w:id="82"/>
      <w:bookmarkEnd w:id="83"/>
      <w:bookmarkEnd w:id="84"/>
      <w:bookmarkEnd w:id="85"/>
      <w:bookmarkEnd w:id="86"/>
      <w:bookmarkEnd w:id="87"/>
      <w:bookmarkEnd w:id="88"/>
      <w:bookmarkEnd w:id="89"/>
    </w:p>
    <w:p w14:paraId="38F8E9DA">
      <w:pPr>
        <w:pStyle w:val="641"/>
        <w:pageBreakBefore w:val="0"/>
        <w:widowControl w:val="0"/>
        <w:tabs>
          <w:tab w:val="left" w:pos="425"/>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（1）</w:t>
      </w:r>
      <w:r>
        <w:rPr>
          <w:rFonts w:hint="eastAsia" w:ascii="宋体" w:hAnsi="宋体" w:eastAsia="宋体" w:cs="宋体"/>
          <w:sz w:val="21"/>
          <w:szCs w:val="21"/>
        </w:rPr>
        <w:t>调研评估服务</w:t>
      </w:r>
    </w:p>
    <w:p w14:paraId="594542B5">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本项目传输网络架构保持不变，运维单位需要对系统内传输网络的运行状况、运行环境进行现状调研、系统分析和评估并提出相应的建议和服务方案。</w:t>
      </w:r>
    </w:p>
    <w:p w14:paraId="4AEC663A">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传输网络调研评估服务包括但不限于：</w:t>
      </w:r>
    </w:p>
    <w:p w14:paraId="00F8E7B4">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1)（整体或局部）网络实际负荷与承载能力分析；</w:t>
      </w:r>
    </w:p>
    <w:p w14:paraId="08C71B92">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2)（整体或局部）网络预期负荷与承载能力分析与建议；</w:t>
      </w:r>
    </w:p>
    <w:p w14:paraId="400FE38B">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3)（整体或局部）网络架构分析与建议；</w:t>
      </w:r>
    </w:p>
    <w:p w14:paraId="24B0573F">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4)（整体或局部）网络路由策略分析与建议；</w:t>
      </w:r>
    </w:p>
    <w:p w14:paraId="4AD2DA72">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5)（整体或局部）网络安全策略分析与建议；</w:t>
      </w:r>
    </w:p>
    <w:p w14:paraId="392F69D6">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6)（整体或局部）网络配置调优分析与建议等。</w:t>
      </w:r>
    </w:p>
    <w:p w14:paraId="6B2D7002">
      <w:pPr>
        <w:pStyle w:val="641"/>
        <w:pageBreakBefore w:val="0"/>
        <w:widowControl w:val="0"/>
        <w:tabs>
          <w:tab w:val="left" w:pos="425"/>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（2）例行维护服务</w:t>
      </w:r>
    </w:p>
    <w:p w14:paraId="02DF2D13">
      <w:pPr>
        <w:pStyle w:val="641"/>
        <w:pageBreakBefore w:val="0"/>
        <w:widowControl w:val="0"/>
        <w:numPr>
          <w:ilvl w:val="0"/>
          <w:numId w:val="14"/>
        </w:numPr>
        <w:tabs>
          <w:tab w:val="left" w:pos="425"/>
          <w:tab w:val="left" w:pos="1134"/>
          <w:tab w:val="left" w:pos="1418"/>
          <w:tab w:val="left" w:pos="1560"/>
          <w:tab w:val="left" w:pos="2694"/>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系统监控</w:t>
      </w:r>
    </w:p>
    <w:p w14:paraId="1D15B5F2">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对传输网络的系统监控服务指通过运维管理平台7</w:t>
      </w:r>
      <w:r>
        <w:rPr>
          <w:rFonts w:hint="eastAsia" w:ascii="宋体" w:hAnsi="宋体" w:eastAsia="宋体" w:cs="宋体"/>
          <w:sz w:val="21"/>
          <w:szCs w:val="21"/>
          <w:lang w:val="zh-CN"/>
        </w:rPr>
        <w:t>×</w:t>
      </w:r>
      <w:r>
        <w:rPr>
          <w:rFonts w:hint="eastAsia" w:ascii="宋体" w:hAnsi="宋体" w:eastAsia="宋体" w:cs="宋体"/>
          <w:sz w:val="21"/>
          <w:szCs w:val="21"/>
        </w:rPr>
        <w:t>24小时对传输线路的性能、通断情况进行实时监控，获取各类告警、故障信息，实时响应并及时恢复、解决。</w:t>
      </w:r>
    </w:p>
    <w:p w14:paraId="7C39C5AA">
      <w:pPr>
        <w:pStyle w:val="641"/>
        <w:pageBreakBefore w:val="0"/>
        <w:widowControl w:val="0"/>
        <w:numPr>
          <w:ilvl w:val="0"/>
          <w:numId w:val="14"/>
        </w:numPr>
        <w:tabs>
          <w:tab w:val="left" w:pos="425"/>
          <w:tab w:val="left" w:pos="1134"/>
          <w:tab w:val="left" w:pos="1418"/>
          <w:tab w:val="left" w:pos="1560"/>
          <w:tab w:val="left" w:pos="2694"/>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日常巡检</w:t>
      </w:r>
    </w:p>
    <w:p w14:paraId="7F8E2522">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光纤链路、摄像机控制线路的检测、故障排除、隐患排查；</w:t>
      </w:r>
    </w:p>
    <w:p w14:paraId="6007B5A0">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电缆和光缆线路是否裸露、破损；</w:t>
      </w:r>
    </w:p>
    <w:p w14:paraId="566EDB89">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所有接口、线路接口的检测；</w:t>
      </w:r>
    </w:p>
    <w:p w14:paraId="3141773B">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传输设备如光纤收发器，交换机等是否损坏。</w:t>
      </w:r>
    </w:p>
    <w:p w14:paraId="76A32997">
      <w:pPr>
        <w:pStyle w:val="641"/>
        <w:pageBreakBefore w:val="0"/>
        <w:widowControl w:val="0"/>
        <w:tabs>
          <w:tab w:val="left" w:pos="425"/>
          <w:tab w:val="left" w:pos="1134"/>
          <w:tab w:val="left" w:pos="1418"/>
          <w:tab w:val="left" w:pos="1560"/>
          <w:tab w:val="left" w:pos="2694"/>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（3）故障响应服务</w:t>
      </w:r>
    </w:p>
    <w:p w14:paraId="794F9F8F">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运维单位需提供7×24小时响应服务，具体响应方式及响应时间根据故障类型而定，其具体内容如下：</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3647"/>
        <w:gridCol w:w="3918"/>
      </w:tblGrid>
      <w:tr w14:paraId="1988B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554" w:type="dxa"/>
            <w:tcBorders>
              <w:top w:val="single" w:color="auto" w:sz="4" w:space="0"/>
              <w:left w:val="single" w:color="auto" w:sz="4" w:space="0"/>
              <w:bottom w:val="single" w:color="auto" w:sz="4" w:space="0"/>
              <w:right w:val="single" w:color="auto" w:sz="4" w:space="0"/>
            </w:tcBorders>
            <w:noWrap w:val="0"/>
            <w:vAlign w:val="center"/>
          </w:tcPr>
          <w:p w14:paraId="3DEC38DD">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故障类型</w:t>
            </w:r>
          </w:p>
        </w:tc>
        <w:tc>
          <w:tcPr>
            <w:tcW w:w="3647" w:type="dxa"/>
            <w:tcBorders>
              <w:top w:val="single" w:color="auto" w:sz="4" w:space="0"/>
              <w:left w:val="single" w:color="auto" w:sz="4" w:space="0"/>
              <w:bottom w:val="single" w:color="auto" w:sz="4" w:space="0"/>
              <w:right w:val="single" w:color="auto" w:sz="4" w:space="0"/>
            </w:tcBorders>
            <w:noWrap w:val="0"/>
            <w:vAlign w:val="center"/>
          </w:tcPr>
          <w:p w14:paraId="09665532">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故障内容</w:t>
            </w:r>
          </w:p>
        </w:tc>
        <w:tc>
          <w:tcPr>
            <w:tcW w:w="3918" w:type="dxa"/>
            <w:tcBorders>
              <w:top w:val="single" w:color="auto" w:sz="4" w:space="0"/>
              <w:left w:val="single" w:color="auto" w:sz="4" w:space="0"/>
              <w:bottom w:val="single" w:color="auto" w:sz="4" w:space="0"/>
              <w:right w:val="single" w:color="auto" w:sz="4" w:space="0"/>
            </w:tcBorders>
            <w:noWrap w:val="0"/>
            <w:vAlign w:val="center"/>
          </w:tcPr>
          <w:p w14:paraId="4E42B0BC">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响应时间</w:t>
            </w:r>
          </w:p>
        </w:tc>
      </w:tr>
      <w:tr w14:paraId="48985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554" w:type="dxa"/>
            <w:tcBorders>
              <w:top w:val="single" w:color="auto" w:sz="4" w:space="0"/>
              <w:left w:val="single" w:color="auto" w:sz="4" w:space="0"/>
              <w:bottom w:val="single" w:color="auto" w:sz="4" w:space="0"/>
              <w:right w:val="single" w:color="auto" w:sz="4" w:space="0"/>
            </w:tcBorders>
            <w:noWrap w:val="0"/>
            <w:vAlign w:val="center"/>
          </w:tcPr>
          <w:p w14:paraId="1F5FF7C3">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故障驱动响应</w:t>
            </w:r>
          </w:p>
        </w:tc>
        <w:tc>
          <w:tcPr>
            <w:tcW w:w="3647" w:type="dxa"/>
            <w:tcBorders>
              <w:top w:val="single" w:color="auto" w:sz="4" w:space="0"/>
              <w:left w:val="single" w:color="auto" w:sz="4" w:space="0"/>
              <w:bottom w:val="single" w:color="auto" w:sz="4" w:space="0"/>
              <w:right w:val="single" w:color="auto" w:sz="4" w:space="0"/>
            </w:tcBorders>
            <w:noWrap w:val="0"/>
            <w:vAlign w:val="center"/>
          </w:tcPr>
          <w:p w14:paraId="50A9B68D">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传输网络出现警告，不影响系统运行</w:t>
            </w:r>
          </w:p>
        </w:tc>
        <w:tc>
          <w:tcPr>
            <w:tcW w:w="3918" w:type="dxa"/>
            <w:tcBorders>
              <w:top w:val="single" w:color="auto" w:sz="4" w:space="0"/>
              <w:left w:val="single" w:color="auto" w:sz="4" w:space="0"/>
              <w:bottom w:val="single" w:color="auto" w:sz="4" w:space="0"/>
              <w:right w:val="single" w:color="auto" w:sz="4" w:space="0"/>
            </w:tcBorders>
            <w:noWrap w:val="0"/>
            <w:vAlign w:val="center"/>
          </w:tcPr>
          <w:p w14:paraId="73DF7832">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7×24小时电话咨询，8小时内到达现场</w:t>
            </w:r>
          </w:p>
        </w:tc>
      </w:tr>
      <w:tr w14:paraId="2B05F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554" w:type="dxa"/>
            <w:tcBorders>
              <w:top w:val="single" w:color="auto" w:sz="4" w:space="0"/>
              <w:left w:val="single" w:color="auto" w:sz="4" w:space="0"/>
              <w:bottom w:val="single" w:color="auto" w:sz="4" w:space="0"/>
              <w:right w:val="single" w:color="auto" w:sz="4" w:space="0"/>
            </w:tcBorders>
            <w:noWrap w:val="0"/>
            <w:vAlign w:val="center"/>
          </w:tcPr>
          <w:p w14:paraId="4A47D55A">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服务请求响应</w:t>
            </w:r>
          </w:p>
        </w:tc>
        <w:tc>
          <w:tcPr>
            <w:tcW w:w="3647" w:type="dxa"/>
            <w:tcBorders>
              <w:top w:val="single" w:color="auto" w:sz="4" w:space="0"/>
              <w:left w:val="single" w:color="auto" w:sz="4" w:space="0"/>
              <w:bottom w:val="single" w:color="auto" w:sz="4" w:space="0"/>
              <w:right w:val="single" w:color="auto" w:sz="4" w:space="0"/>
            </w:tcBorders>
            <w:noWrap w:val="0"/>
            <w:vAlign w:val="center"/>
          </w:tcPr>
          <w:p w14:paraId="7965EA0E">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传输网络部分损坏，但系统正常运行</w:t>
            </w:r>
          </w:p>
        </w:tc>
        <w:tc>
          <w:tcPr>
            <w:tcW w:w="3918" w:type="dxa"/>
            <w:tcBorders>
              <w:top w:val="single" w:color="auto" w:sz="4" w:space="0"/>
              <w:left w:val="single" w:color="auto" w:sz="4" w:space="0"/>
              <w:bottom w:val="single" w:color="auto" w:sz="4" w:space="0"/>
              <w:right w:val="single" w:color="auto" w:sz="4" w:space="0"/>
            </w:tcBorders>
            <w:noWrap w:val="0"/>
            <w:vAlign w:val="center"/>
          </w:tcPr>
          <w:p w14:paraId="01ED0492">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7×24小时电话咨询，4小时内到达现场</w:t>
            </w:r>
          </w:p>
        </w:tc>
      </w:tr>
      <w:tr w14:paraId="437AA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554" w:type="dxa"/>
            <w:tcBorders>
              <w:top w:val="single" w:color="auto" w:sz="4" w:space="0"/>
              <w:left w:val="single" w:color="auto" w:sz="4" w:space="0"/>
              <w:bottom w:val="single" w:color="auto" w:sz="4" w:space="0"/>
              <w:right w:val="single" w:color="auto" w:sz="4" w:space="0"/>
            </w:tcBorders>
            <w:noWrap w:val="0"/>
            <w:vAlign w:val="center"/>
          </w:tcPr>
          <w:p w14:paraId="4C6E490C">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应急响应</w:t>
            </w:r>
          </w:p>
        </w:tc>
        <w:tc>
          <w:tcPr>
            <w:tcW w:w="3647" w:type="dxa"/>
            <w:tcBorders>
              <w:top w:val="single" w:color="auto" w:sz="4" w:space="0"/>
              <w:left w:val="single" w:color="auto" w:sz="4" w:space="0"/>
              <w:bottom w:val="single" w:color="auto" w:sz="4" w:space="0"/>
              <w:right w:val="single" w:color="auto" w:sz="4" w:space="0"/>
            </w:tcBorders>
            <w:noWrap w:val="0"/>
            <w:vAlign w:val="center"/>
          </w:tcPr>
          <w:p w14:paraId="0FB19015">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传输网络故障</w:t>
            </w:r>
          </w:p>
        </w:tc>
        <w:tc>
          <w:tcPr>
            <w:tcW w:w="3918" w:type="dxa"/>
            <w:tcBorders>
              <w:top w:val="single" w:color="auto" w:sz="4" w:space="0"/>
              <w:left w:val="single" w:color="auto" w:sz="4" w:space="0"/>
              <w:bottom w:val="single" w:color="auto" w:sz="4" w:space="0"/>
              <w:right w:val="single" w:color="auto" w:sz="4" w:space="0"/>
            </w:tcBorders>
            <w:noWrap w:val="0"/>
            <w:vAlign w:val="center"/>
          </w:tcPr>
          <w:p w14:paraId="47968C76">
            <w:pPr>
              <w:pStyle w:val="641"/>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7×24小时电话咨询，2小时内到达现场。</w:t>
            </w:r>
          </w:p>
        </w:tc>
      </w:tr>
    </w:tbl>
    <w:p w14:paraId="19E90254">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响应时间：</w:t>
      </w:r>
    </w:p>
    <w:p w14:paraId="68D5069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到达现场后，需8小时内修复，不能修复的，运维单位需要负责免费更换。故障修复时间均以业主单位申报开始计时，若有特殊情况须经业主单位书面同意方可延长故障排除时间。</w:t>
      </w:r>
    </w:p>
    <w:p w14:paraId="5C92F0B9">
      <w:pPr>
        <w:pStyle w:val="641"/>
        <w:pageBreakBefore w:val="0"/>
        <w:widowControl w:val="0"/>
        <w:tabs>
          <w:tab w:val="left" w:pos="425"/>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（4）优化完善服务</w:t>
      </w:r>
    </w:p>
    <w:p w14:paraId="6FE3C594">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每月对视频监控系统的升级、补丁并保障系统不间断工作。</w:t>
      </w:r>
      <w:bookmarkStart w:id="90" w:name="_Toc427583161"/>
      <w:r>
        <w:rPr>
          <w:rFonts w:hint="eastAsia" w:ascii="宋体" w:hAnsi="宋体" w:eastAsia="宋体" w:cs="宋体"/>
          <w:sz w:val="21"/>
          <w:szCs w:val="21"/>
        </w:rPr>
        <w:t>增强视频监控系统的安全性、可用性和可靠性设备运维标准</w:t>
      </w:r>
      <w:bookmarkEnd w:id="90"/>
      <w:r>
        <w:rPr>
          <w:rFonts w:hint="eastAsia" w:ascii="宋体" w:hAnsi="宋体" w:eastAsia="宋体" w:cs="宋体"/>
          <w:sz w:val="21"/>
          <w:szCs w:val="21"/>
        </w:rPr>
        <w:t>。</w:t>
      </w:r>
    </w:p>
    <w:p w14:paraId="4275E263">
      <w:pPr>
        <w:pStyle w:val="6"/>
        <w:pageBreakBefore w:val="0"/>
        <w:widowControl w:val="0"/>
        <w:numPr>
          <w:ilvl w:val="3"/>
          <w:numId w:val="0"/>
        </w:numPr>
        <w:kinsoku/>
        <w:wordWrap/>
        <w:overflowPunct/>
        <w:topLinePunct w:val="0"/>
        <w:autoSpaceDE/>
        <w:autoSpaceDN/>
        <w:bidi w:val="0"/>
        <w:snapToGrid/>
        <w:spacing w:before="0" w:after="0" w:line="360" w:lineRule="auto"/>
        <w:ind w:left="0" w:leftChars="0" w:right="0" w:rightChars="0" w:firstLine="422" w:firstLineChars="200"/>
        <w:rPr>
          <w:rFonts w:hint="eastAsia" w:ascii="宋体" w:hAnsi="宋体" w:eastAsia="宋体" w:cs="宋体"/>
          <w:b/>
          <w:bCs/>
          <w:sz w:val="21"/>
          <w:szCs w:val="21"/>
        </w:rPr>
      </w:pPr>
      <w:bookmarkStart w:id="91" w:name="_Toc20951"/>
      <w:bookmarkStart w:id="92" w:name="_Toc24320"/>
      <w:bookmarkStart w:id="93" w:name="_Toc22412"/>
      <w:bookmarkStart w:id="94" w:name="_Toc26903"/>
      <w:bookmarkStart w:id="95" w:name="_Toc10342"/>
      <w:bookmarkStart w:id="96" w:name="_Toc11702"/>
      <w:bookmarkStart w:id="97" w:name="_Toc18053"/>
      <w:bookmarkStart w:id="98" w:name="_Toc30800"/>
      <w:bookmarkStart w:id="99" w:name="_Toc16388"/>
      <w:bookmarkStart w:id="100" w:name="_Toc21406"/>
      <w:bookmarkStart w:id="101" w:name="_Toc532289196"/>
      <w:r>
        <w:rPr>
          <w:rFonts w:hint="eastAsia" w:ascii="宋体" w:hAnsi="宋体" w:eastAsia="宋体" w:cs="宋体"/>
          <w:b/>
          <w:bCs/>
          <w:sz w:val="21"/>
          <w:szCs w:val="21"/>
        </w:rPr>
        <w:t>后端设备运维标准</w:t>
      </w:r>
      <w:bookmarkEnd w:id="91"/>
      <w:bookmarkEnd w:id="92"/>
      <w:bookmarkEnd w:id="93"/>
      <w:bookmarkEnd w:id="94"/>
      <w:bookmarkEnd w:id="95"/>
      <w:bookmarkEnd w:id="96"/>
      <w:bookmarkEnd w:id="97"/>
      <w:bookmarkEnd w:id="98"/>
      <w:bookmarkEnd w:id="99"/>
      <w:bookmarkEnd w:id="100"/>
      <w:bookmarkEnd w:id="101"/>
    </w:p>
    <w:p w14:paraId="753074E5">
      <w:pPr>
        <w:pageBreakBefore w:val="0"/>
        <w:widowControl w:val="0"/>
        <w:tabs>
          <w:tab w:val="left" w:pos="425"/>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（1）调研评估服务</w:t>
      </w:r>
    </w:p>
    <w:p w14:paraId="133DDA09">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本项目需要运维单位对后端总体的运行状况、运行环境进行现状调研、系统分析和评估并提出相应的建议和服务方案。</w:t>
      </w:r>
    </w:p>
    <w:p w14:paraId="661F38A7">
      <w:pPr>
        <w:pageBreakBefore w:val="0"/>
        <w:widowControl w:val="0"/>
        <w:numPr>
          <w:ilvl w:val="0"/>
          <w:numId w:val="15"/>
        </w:numPr>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服务器调研评估：</w:t>
      </w:r>
    </w:p>
    <w:p w14:paraId="35A9A2B5">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根据需方、供方或应用系统运行的需求，提供服务器的调研评估服务，并提出处理或改进的建议和方案，调研评估服务包括但不限于：</w:t>
      </w:r>
    </w:p>
    <w:p w14:paraId="44F88A1F">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 服务器负载情况分析；</w:t>
      </w:r>
    </w:p>
    <w:p w14:paraId="16E5DC97">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 服务器安全策略分析；</w:t>
      </w:r>
    </w:p>
    <w:p w14:paraId="2EAC2DEC">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 服务器的高可用性分析；</w:t>
      </w:r>
    </w:p>
    <w:p w14:paraId="746B320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 服务器性能分析及调整建议。</w:t>
      </w:r>
    </w:p>
    <w:p w14:paraId="53DAD434">
      <w:pPr>
        <w:pageBreakBefore w:val="0"/>
        <w:widowControl w:val="0"/>
        <w:numPr>
          <w:ilvl w:val="0"/>
          <w:numId w:val="15"/>
        </w:numPr>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存储调研评估：</w:t>
      </w:r>
    </w:p>
    <w:p w14:paraId="567DCF0C">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通过对存储设备的运行记录、运行趋势进行分析，根据应用系统的特点和运行需求，提出处理或改进的建议和方案，调研评估服务包括但不限于：</w:t>
      </w:r>
    </w:p>
    <w:p w14:paraId="5CDFA25A">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 存储的负载情况分析；</w:t>
      </w:r>
    </w:p>
    <w:p w14:paraId="516D88F2">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 存储的空间使用分析；</w:t>
      </w:r>
    </w:p>
    <w:p w14:paraId="6282BE80">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 存储的性能及调整建议；</w:t>
      </w:r>
    </w:p>
    <w:p w14:paraId="6F88FA96">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 存储的链路连接分析；</w:t>
      </w:r>
    </w:p>
    <w:p w14:paraId="78321CF2">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 存储的高可用性分析。</w:t>
      </w:r>
    </w:p>
    <w:p w14:paraId="38734D1B">
      <w:pPr>
        <w:pageBreakBefore w:val="0"/>
        <w:widowControl w:val="0"/>
        <w:tabs>
          <w:tab w:val="left" w:pos="425"/>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（2）例行维护服务</w:t>
      </w:r>
    </w:p>
    <w:p w14:paraId="4422FDA3">
      <w:pPr>
        <w:pageBreakBefore w:val="0"/>
        <w:widowControl w:val="0"/>
        <w:tabs>
          <w:tab w:val="left" w:pos="0"/>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1）系统监控</w:t>
      </w:r>
    </w:p>
    <w:tbl>
      <w:tblPr>
        <w:tblStyle w:val="63"/>
        <w:tblW w:w="8782" w:type="dxa"/>
        <w:jc w:val="center"/>
        <w:tblLayout w:type="fixed"/>
        <w:tblCellMar>
          <w:top w:w="0" w:type="dxa"/>
          <w:left w:w="108" w:type="dxa"/>
          <w:bottom w:w="0" w:type="dxa"/>
          <w:right w:w="108" w:type="dxa"/>
        </w:tblCellMar>
      </w:tblPr>
      <w:tblGrid>
        <w:gridCol w:w="1711"/>
        <w:gridCol w:w="7071"/>
      </w:tblGrid>
      <w:tr w14:paraId="0E5686B0">
        <w:tblPrEx>
          <w:tblCellMar>
            <w:top w:w="0" w:type="dxa"/>
            <w:left w:w="108" w:type="dxa"/>
            <w:bottom w:w="0" w:type="dxa"/>
            <w:right w:w="108" w:type="dxa"/>
          </w:tblCellMar>
        </w:tblPrEx>
        <w:trPr>
          <w:trHeight w:val="90" w:hRule="atLeast"/>
          <w:tblHeader/>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64D5B14E">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服务对象</w:t>
            </w:r>
          </w:p>
        </w:tc>
        <w:tc>
          <w:tcPr>
            <w:tcW w:w="7071" w:type="dxa"/>
            <w:tcBorders>
              <w:top w:val="single" w:color="auto" w:sz="4" w:space="0"/>
              <w:left w:val="nil"/>
              <w:bottom w:val="single" w:color="auto" w:sz="4" w:space="0"/>
              <w:right w:val="single" w:color="auto" w:sz="4" w:space="0"/>
            </w:tcBorders>
            <w:noWrap w:val="0"/>
            <w:vAlign w:val="center"/>
          </w:tcPr>
          <w:p w14:paraId="2008DFDF">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监控内容</w:t>
            </w:r>
          </w:p>
        </w:tc>
      </w:tr>
      <w:tr w14:paraId="4B3489DE">
        <w:tblPrEx>
          <w:tblCellMar>
            <w:top w:w="0" w:type="dxa"/>
            <w:left w:w="108" w:type="dxa"/>
            <w:bottom w:w="0" w:type="dxa"/>
            <w:right w:w="108" w:type="dxa"/>
          </w:tblCellMar>
        </w:tblPrEx>
        <w:trPr>
          <w:trHeight w:val="2700"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3E36304F">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网络及网络设备</w:t>
            </w:r>
          </w:p>
        </w:tc>
        <w:tc>
          <w:tcPr>
            <w:tcW w:w="7071" w:type="dxa"/>
            <w:tcBorders>
              <w:top w:val="single" w:color="auto" w:sz="4" w:space="0"/>
              <w:left w:val="single" w:color="auto" w:sz="4" w:space="0"/>
              <w:bottom w:val="single" w:color="auto" w:sz="4" w:space="0"/>
              <w:right w:val="single" w:color="auto" w:sz="4" w:space="0"/>
            </w:tcBorders>
            <w:noWrap w:val="0"/>
            <w:vAlign w:val="center"/>
          </w:tcPr>
          <w:p w14:paraId="758A32C9">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网络设备的健康状况、整体运行状态、各项硬件资源开销状况</w:t>
            </w:r>
          </w:p>
          <w:p w14:paraId="2B16941E">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链路健康状况如端到端时延变化、链路端口工作稳定性、链路负载百分比、部署路由策略情况下端到端选路变化、路由条目变化</w:t>
            </w:r>
          </w:p>
          <w:p w14:paraId="350ECDA4">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管理权限用户的行为审计</w:t>
            </w:r>
          </w:p>
          <w:p w14:paraId="3D3604AC">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设备软件配置变动审计</w:t>
            </w:r>
          </w:p>
          <w:p w14:paraId="2E3A20A6">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设备日志审计</w:t>
            </w:r>
          </w:p>
          <w:p w14:paraId="7316ABAC">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安全事件审计</w:t>
            </w:r>
          </w:p>
        </w:tc>
      </w:tr>
      <w:tr w14:paraId="38BF5699">
        <w:tblPrEx>
          <w:tblCellMar>
            <w:top w:w="0" w:type="dxa"/>
            <w:left w:w="108" w:type="dxa"/>
            <w:bottom w:w="0" w:type="dxa"/>
            <w:right w:w="108" w:type="dxa"/>
          </w:tblCellMar>
        </w:tblPrEx>
        <w:trPr>
          <w:trHeight w:val="1023"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1E05D1A5">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服务器</w:t>
            </w:r>
          </w:p>
        </w:tc>
        <w:tc>
          <w:tcPr>
            <w:tcW w:w="7071" w:type="dxa"/>
            <w:tcBorders>
              <w:top w:val="single" w:color="auto" w:sz="4" w:space="0"/>
              <w:left w:val="single" w:color="auto" w:sz="4" w:space="0"/>
              <w:bottom w:val="single" w:color="auto" w:sz="4" w:space="0"/>
              <w:right w:val="single" w:color="auto" w:sz="4" w:space="0"/>
            </w:tcBorders>
            <w:noWrap w:val="0"/>
            <w:vAlign w:val="center"/>
          </w:tcPr>
          <w:p w14:paraId="06D89796">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服务器LED 面板运行错误码和指示灯服务器电源工作状态指示灯</w:t>
            </w:r>
          </w:p>
          <w:p w14:paraId="636C2BAF">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服务器硬盘工作状态指示灯</w:t>
            </w:r>
          </w:p>
          <w:p w14:paraId="004D579C">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服务器CPU 工作状态指示灯</w:t>
            </w:r>
          </w:p>
          <w:p w14:paraId="3D8B7144">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服务器内存工作状态指示灯</w:t>
            </w:r>
          </w:p>
          <w:p w14:paraId="212CECFE">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服务器PCI 卡工作状态指示灯</w:t>
            </w:r>
          </w:p>
        </w:tc>
      </w:tr>
      <w:tr w14:paraId="4B77B97E">
        <w:tblPrEx>
          <w:tblCellMar>
            <w:top w:w="0" w:type="dxa"/>
            <w:left w:w="108" w:type="dxa"/>
            <w:bottom w:w="0" w:type="dxa"/>
            <w:right w:w="108" w:type="dxa"/>
          </w:tblCellMar>
        </w:tblPrEx>
        <w:trPr>
          <w:trHeight w:val="2160" w:hRule="atLeast"/>
          <w:jc w:val="center"/>
        </w:trPr>
        <w:tc>
          <w:tcPr>
            <w:tcW w:w="1711" w:type="dxa"/>
            <w:tcBorders>
              <w:top w:val="single" w:color="auto" w:sz="4" w:space="0"/>
              <w:left w:val="single" w:color="auto" w:sz="4" w:space="0"/>
              <w:bottom w:val="single" w:color="auto" w:sz="4" w:space="0"/>
              <w:right w:val="single" w:color="auto" w:sz="4" w:space="0"/>
            </w:tcBorders>
            <w:noWrap w:val="0"/>
            <w:vAlign w:val="center"/>
          </w:tcPr>
          <w:p w14:paraId="7DFCEA7B">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存储</w:t>
            </w:r>
          </w:p>
        </w:tc>
        <w:tc>
          <w:tcPr>
            <w:tcW w:w="7071" w:type="dxa"/>
            <w:tcBorders>
              <w:top w:val="single" w:color="auto" w:sz="4" w:space="0"/>
              <w:left w:val="single" w:color="auto" w:sz="4" w:space="0"/>
              <w:bottom w:val="single" w:color="auto" w:sz="4" w:space="0"/>
              <w:right w:val="single" w:color="auto" w:sz="4" w:space="0"/>
            </w:tcBorders>
            <w:noWrap w:val="0"/>
            <w:vAlign w:val="center"/>
          </w:tcPr>
          <w:p w14:paraId="0537CAF2">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存储设备控制器工作状态指示灯</w:t>
            </w:r>
          </w:p>
          <w:p w14:paraId="128E9586">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存储设备电源工作状态指示灯</w:t>
            </w:r>
          </w:p>
          <w:p w14:paraId="106ED9A9">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存储设备数据存储介质工作状态指示灯</w:t>
            </w:r>
          </w:p>
          <w:p w14:paraId="23281593">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存储设备接口卡工作状态指示灯</w:t>
            </w:r>
          </w:p>
          <w:p w14:paraId="38E73E4A">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存储设备数据存储介质空间使用情况</w:t>
            </w:r>
          </w:p>
          <w:p w14:paraId="5973864D">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存储设备读写速率情况</w:t>
            </w:r>
          </w:p>
          <w:p w14:paraId="1E79CAC7">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存储设备读写命中率情况</w:t>
            </w:r>
          </w:p>
        </w:tc>
      </w:tr>
    </w:tbl>
    <w:p w14:paraId="1A9E4DC5">
      <w:pPr>
        <w:pageBreakBefore w:val="0"/>
        <w:widowControl w:val="0"/>
        <w:tabs>
          <w:tab w:val="left" w:pos="0"/>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p>
    <w:p w14:paraId="1397D3BE">
      <w:pPr>
        <w:pageBreakBefore w:val="0"/>
        <w:widowControl w:val="0"/>
        <w:tabs>
          <w:tab w:val="left" w:pos="0"/>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2）日常巡检</w:t>
      </w:r>
    </w:p>
    <w:tbl>
      <w:tblPr>
        <w:tblStyle w:val="63"/>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4155"/>
        <w:gridCol w:w="3297"/>
      </w:tblGrid>
      <w:tr w14:paraId="434D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323" w:type="dxa"/>
            <w:noWrap w:val="0"/>
            <w:vAlign w:val="center"/>
          </w:tcPr>
          <w:p w14:paraId="333E4216">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服务对象</w:t>
            </w:r>
          </w:p>
        </w:tc>
        <w:tc>
          <w:tcPr>
            <w:tcW w:w="4155" w:type="dxa"/>
            <w:noWrap w:val="0"/>
            <w:vAlign w:val="center"/>
          </w:tcPr>
          <w:p w14:paraId="52C2D68F">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性能检查内容</w:t>
            </w:r>
          </w:p>
        </w:tc>
        <w:tc>
          <w:tcPr>
            <w:tcW w:w="3297" w:type="dxa"/>
            <w:noWrap w:val="0"/>
            <w:vAlign w:val="center"/>
          </w:tcPr>
          <w:p w14:paraId="22747AEC">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脆弱性检查内容</w:t>
            </w:r>
          </w:p>
        </w:tc>
      </w:tr>
      <w:tr w14:paraId="341E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323" w:type="dxa"/>
            <w:noWrap w:val="0"/>
            <w:vAlign w:val="center"/>
          </w:tcPr>
          <w:p w14:paraId="6FC5B29C">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网络及网络设备</w:t>
            </w:r>
          </w:p>
        </w:tc>
        <w:tc>
          <w:tcPr>
            <w:tcW w:w="4155" w:type="dxa"/>
            <w:noWrap w:val="0"/>
            <w:vAlign w:val="center"/>
          </w:tcPr>
          <w:p w14:paraId="230CDDF0">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网络设备非业务繁忙期CPU使用峰值情况网络设备非业务繁忙期内存使用峰值情况</w:t>
            </w:r>
          </w:p>
          <w:p w14:paraId="4DD4ADDE">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设备板卡或模块状态使用情况，设备机身工作使用情况，主要端口的利用率，链路的健康状态，包括IP包传输时延、IP包丢失率、IP包误差率、无效IP包（包括攻击性IP包、欺骗性IP包、垃圾IP包等）检查其他的关键指标项，例如各类关键表项、会话连接数等</w:t>
            </w:r>
          </w:p>
        </w:tc>
        <w:tc>
          <w:tcPr>
            <w:tcW w:w="3297" w:type="dxa"/>
            <w:noWrap w:val="0"/>
            <w:vAlign w:val="center"/>
          </w:tcPr>
          <w:p w14:paraId="0E7DDA28">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是否需要升级系统微码</w:t>
            </w:r>
          </w:p>
          <w:p w14:paraId="55459B06">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设备链路的冗余度要求</w:t>
            </w:r>
          </w:p>
          <w:p w14:paraId="5218C3D6">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安全事件周期性整理分析</w:t>
            </w:r>
          </w:p>
          <w:p w14:paraId="1D140334">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设备生命周期性整理分析</w:t>
            </w:r>
          </w:p>
          <w:p w14:paraId="5882A445">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设备生命周期评估备件可用性周期检查</w:t>
            </w:r>
          </w:p>
        </w:tc>
      </w:tr>
      <w:tr w14:paraId="5D6F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noWrap w:val="0"/>
            <w:vAlign w:val="center"/>
          </w:tcPr>
          <w:p w14:paraId="27BEEA0F">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服务器</w:t>
            </w:r>
          </w:p>
        </w:tc>
        <w:tc>
          <w:tcPr>
            <w:tcW w:w="4155" w:type="dxa"/>
            <w:noWrap w:val="0"/>
            <w:vAlign w:val="center"/>
          </w:tcPr>
          <w:p w14:paraId="374262CE">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服务器CPU扩展性</w:t>
            </w:r>
          </w:p>
          <w:p w14:paraId="1A8853CF">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服务器内存扩展性</w:t>
            </w:r>
          </w:p>
          <w:p w14:paraId="35A90D44">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服务器硬盘扩展性</w:t>
            </w:r>
          </w:p>
          <w:p w14:paraId="7CAD6804">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服务器PCI卡扩展性</w:t>
            </w:r>
          </w:p>
          <w:p w14:paraId="48E189EC">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服务器电源扩展性</w:t>
            </w:r>
          </w:p>
          <w:p w14:paraId="21F40BA2">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服务器关键设备是否支持在线更换</w:t>
            </w:r>
          </w:p>
        </w:tc>
        <w:tc>
          <w:tcPr>
            <w:tcW w:w="3297" w:type="dxa"/>
            <w:noWrap w:val="0"/>
            <w:vAlign w:val="center"/>
          </w:tcPr>
          <w:p w14:paraId="2250D96A">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服务器关键部件是否满足运行冗余度要求</w:t>
            </w:r>
          </w:p>
          <w:p w14:paraId="68616771">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服务器关键部件的微码版本是否需要升级</w:t>
            </w:r>
          </w:p>
          <w:p w14:paraId="2B585590">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服务器关键部件链路的冗余度要求</w:t>
            </w:r>
          </w:p>
          <w:p w14:paraId="46F20F5D">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服务器硬盘是否RAID保护</w:t>
            </w:r>
          </w:p>
        </w:tc>
      </w:tr>
      <w:tr w14:paraId="1610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323" w:type="dxa"/>
            <w:noWrap w:val="0"/>
            <w:vAlign w:val="center"/>
          </w:tcPr>
          <w:p w14:paraId="78C52521">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存储</w:t>
            </w:r>
          </w:p>
        </w:tc>
        <w:tc>
          <w:tcPr>
            <w:tcW w:w="4155" w:type="dxa"/>
            <w:noWrap w:val="0"/>
            <w:vAlign w:val="center"/>
          </w:tcPr>
          <w:p w14:paraId="61C0F157">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IO读写速率情况</w:t>
            </w:r>
          </w:p>
          <w:p w14:paraId="5893EDF7">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读、写缓存分配比例情况</w:t>
            </w:r>
          </w:p>
          <w:p w14:paraId="58A1A3B5">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数据读、写命中率情况</w:t>
            </w:r>
          </w:p>
          <w:p w14:paraId="27717066">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存储硬盘空间使用情况存储RAID级别情况</w:t>
            </w:r>
          </w:p>
          <w:p w14:paraId="6896A0AA">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存储日志情况</w:t>
            </w:r>
          </w:p>
          <w:p w14:paraId="22912029">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存储所有连接主机信息</w:t>
            </w:r>
          </w:p>
          <w:p w14:paraId="465D2497">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磁带读取和写入速率情况</w:t>
            </w:r>
          </w:p>
          <w:p w14:paraId="7D944BAF">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磁带池使用情况</w:t>
            </w:r>
          </w:p>
        </w:tc>
        <w:tc>
          <w:tcPr>
            <w:tcW w:w="3297" w:type="dxa"/>
            <w:noWrap w:val="0"/>
            <w:vAlign w:val="center"/>
          </w:tcPr>
          <w:p w14:paraId="5144DA27">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存储关键硬件部件是否满足运行冗余度要求</w:t>
            </w:r>
          </w:p>
          <w:p w14:paraId="3DE054C1">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当前微码版本是否需要升级</w:t>
            </w:r>
          </w:p>
          <w:p w14:paraId="1ECE717F">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存储配置备份机制是否完善</w:t>
            </w:r>
          </w:p>
          <w:p w14:paraId="2C7A24BA">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存储管理软件是否需要升级或打补丁</w:t>
            </w:r>
          </w:p>
          <w:p w14:paraId="3A21540A">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存储空间使用比例是否达到预定警告阈值</w:t>
            </w:r>
          </w:p>
          <w:p w14:paraId="54AE6162">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存储设备的离线记录检查</w:t>
            </w:r>
          </w:p>
          <w:p w14:paraId="6D2F570A">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存储介质的坏块记录检查</w:t>
            </w:r>
          </w:p>
        </w:tc>
      </w:tr>
    </w:tbl>
    <w:p w14:paraId="5D79B2E3">
      <w:pPr>
        <w:pageBreakBefore w:val="0"/>
        <w:kinsoku/>
        <w:wordWrap/>
        <w:overflowPunct/>
        <w:topLinePunct w:val="0"/>
        <w:autoSpaceDE/>
        <w:autoSpaceDN/>
        <w:bidi w:val="0"/>
        <w:snapToGrid/>
        <w:spacing w:line="360" w:lineRule="auto"/>
        <w:ind w:left="0" w:leftChars="0" w:right="0"/>
        <w:rPr>
          <w:rFonts w:hint="eastAsia" w:ascii="宋体" w:hAnsi="宋体" w:eastAsia="宋体" w:cs="宋体"/>
          <w:sz w:val="21"/>
          <w:szCs w:val="21"/>
        </w:rPr>
      </w:pPr>
    </w:p>
    <w:p w14:paraId="6E1D92E7">
      <w:pPr>
        <w:pageBreakBefore w:val="0"/>
        <w:kinsoku/>
        <w:wordWrap/>
        <w:overflowPunct/>
        <w:topLinePunct w:val="0"/>
        <w:autoSpaceDE/>
        <w:autoSpaceDN/>
        <w:bidi w:val="0"/>
        <w:snapToGrid/>
        <w:spacing w:line="360" w:lineRule="auto"/>
        <w:ind w:left="0" w:leftChars="0" w:right="0"/>
        <w:rPr>
          <w:rFonts w:hint="eastAsia" w:ascii="宋体" w:hAnsi="宋体" w:eastAsia="宋体" w:cs="宋体"/>
          <w:sz w:val="21"/>
          <w:szCs w:val="21"/>
        </w:rPr>
        <w:sectPr>
          <w:headerReference r:id="rId8" w:type="default"/>
          <w:footerReference r:id="rId9" w:type="default"/>
          <w:pgSz w:w="11905" w:h="16838"/>
          <w:pgMar w:top="1440" w:right="1440" w:bottom="1440" w:left="1440" w:header="850" w:footer="992" w:gutter="0"/>
          <w:cols w:space="0" w:num="1"/>
          <w:titlePg/>
          <w:rtlGutter w:val="0"/>
          <w:docGrid w:linePitch="312" w:charSpace="0"/>
        </w:sectPr>
      </w:pPr>
    </w:p>
    <w:p w14:paraId="1D287C50">
      <w:pPr>
        <w:pageBreakBefore w:val="0"/>
        <w:kinsoku/>
        <w:wordWrap/>
        <w:overflowPunct/>
        <w:topLinePunct w:val="0"/>
        <w:autoSpaceDE/>
        <w:autoSpaceDN/>
        <w:bidi w:val="0"/>
        <w:snapToGrid/>
        <w:spacing w:line="360" w:lineRule="auto"/>
        <w:ind w:left="0" w:leftChars="0" w:right="0"/>
        <w:rPr>
          <w:rFonts w:hint="eastAsia" w:ascii="宋体" w:hAnsi="宋体" w:eastAsia="宋体" w:cs="宋体"/>
          <w:sz w:val="21"/>
          <w:szCs w:val="21"/>
        </w:rPr>
      </w:pPr>
      <w:r>
        <w:rPr>
          <w:rFonts w:hint="eastAsia" w:ascii="宋体" w:hAnsi="宋体" w:eastAsia="宋体" w:cs="宋体"/>
          <w:sz w:val="21"/>
          <w:szCs w:val="21"/>
        </w:rPr>
        <w:t>3）常规作业</w:t>
      </w:r>
    </w:p>
    <w:tbl>
      <w:tblPr>
        <w:tblStyle w:val="63"/>
        <w:tblW w:w="8793" w:type="dxa"/>
        <w:jc w:val="center"/>
        <w:tblLayout w:type="fixed"/>
        <w:tblCellMar>
          <w:top w:w="0" w:type="dxa"/>
          <w:left w:w="108" w:type="dxa"/>
          <w:bottom w:w="0" w:type="dxa"/>
          <w:right w:w="108" w:type="dxa"/>
        </w:tblCellMar>
      </w:tblPr>
      <w:tblGrid>
        <w:gridCol w:w="1797"/>
        <w:gridCol w:w="6996"/>
      </w:tblGrid>
      <w:tr w14:paraId="7C47DF87">
        <w:tblPrEx>
          <w:tblCellMar>
            <w:top w:w="0" w:type="dxa"/>
            <w:left w:w="108" w:type="dxa"/>
            <w:bottom w:w="0" w:type="dxa"/>
            <w:right w:w="108" w:type="dxa"/>
          </w:tblCellMar>
        </w:tblPrEx>
        <w:trPr>
          <w:trHeight w:val="278" w:hRule="atLeast"/>
          <w:jc w:val="center"/>
        </w:trPr>
        <w:tc>
          <w:tcPr>
            <w:tcW w:w="1797" w:type="dxa"/>
            <w:tcBorders>
              <w:top w:val="single" w:color="auto" w:sz="4" w:space="0"/>
              <w:left w:val="single" w:color="auto" w:sz="4" w:space="0"/>
              <w:bottom w:val="single" w:color="auto" w:sz="4" w:space="0"/>
              <w:right w:val="single" w:color="auto" w:sz="4" w:space="0"/>
            </w:tcBorders>
            <w:noWrap w:val="0"/>
            <w:vAlign w:val="center"/>
          </w:tcPr>
          <w:p w14:paraId="42815151">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服务对象</w:t>
            </w:r>
          </w:p>
        </w:tc>
        <w:tc>
          <w:tcPr>
            <w:tcW w:w="6996" w:type="dxa"/>
            <w:tcBorders>
              <w:top w:val="single" w:color="auto" w:sz="4" w:space="0"/>
              <w:left w:val="nil"/>
              <w:bottom w:val="single" w:color="auto" w:sz="4" w:space="0"/>
              <w:right w:val="single" w:color="auto" w:sz="4" w:space="0"/>
            </w:tcBorders>
            <w:noWrap w:val="0"/>
            <w:vAlign w:val="center"/>
          </w:tcPr>
          <w:p w14:paraId="641F4A90">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常规作业内容</w:t>
            </w:r>
          </w:p>
        </w:tc>
      </w:tr>
      <w:tr w14:paraId="3AFDC33C">
        <w:tblPrEx>
          <w:tblCellMar>
            <w:top w:w="0" w:type="dxa"/>
            <w:left w:w="108" w:type="dxa"/>
            <w:bottom w:w="0" w:type="dxa"/>
            <w:right w:w="108" w:type="dxa"/>
          </w:tblCellMar>
        </w:tblPrEx>
        <w:trPr>
          <w:trHeight w:val="2171" w:hRule="atLeast"/>
          <w:jc w:val="center"/>
        </w:trPr>
        <w:tc>
          <w:tcPr>
            <w:tcW w:w="1797" w:type="dxa"/>
            <w:tcBorders>
              <w:top w:val="nil"/>
              <w:left w:val="single" w:color="auto" w:sz="4" w:space="0"/>
              <w:bottom w:val="single" w:color="auto" w:sz="4" w:space="0"/>
              <w:right w:val="single" w:color="auto" w:sz="4" w:space="0"/>
            </w:tcBorders>
            <w:noWrap w:val="0"/>
            <w:vAlign w:val="center"/>
          </w:tcPr>
          <w:p w14:paraId="36AF0E41">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网络及网络设备</w:t>
            </w:r>
          </w:p>
        </w:tc>
        <w:tc>
          <w:tcPr>
            <w:tcW w:w="6996" w:type="dxa"/>
            <w:tcBorders>
              <w:top w:val="nil"/>
              <w:left w:val="nil"/>
              <w:bottom w:val="single" w:color="auto" w:sz="4" w:space="0"/>
              <w:right w:val="single" w:color="auto" w:sz="4" w:space="0"/>
            </w:tcBorders>
            <w:noWrap w:val="0"/>
            <w:vAlign w:val="center"/>
          </w:tcPr>
          <w:p w14:paraId="203BB218">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设备操作系统软件备份及存档</w:t>
            </w:r>
          </w:p>
          <w:p w14:paraId="44D23616">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系统微码升级</w:t>
            </w:r>
          </w:p>
          <w:p w14:paraId="5C4057E3">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设备软件配置备份及存档</w:t>
            </w:r>
          </w:p>
          <w:p w14:paraId="37413834">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监控系统日志备份及存档</w:t>
            </w:r>
          </w:p>
          <w:p w14:paraId="3A311733">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监控系统日志数据分析与报告生成</w:t>
            </w:r>
          </w:p>
          <w:p w14:paraId="580E4F0D">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网络配置变更文件的审核</w:t>
            </w:r>
          </w:p>
          <w:p w14:paraId="52F3CA29">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网络配置变更的操作</w:t>
            </w:r>
          </w:p>
          <w:p w14:paraId="1F5E59E1">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网络配置变更的记录</w:t>
            </w:r>
          </w:p>
        </w:tc>
      </w:tr>
      <w:tr w14:paraId="2704D8E6">
        <w:tblPrEx>
          <w:tblCellMar>
            <w:top w:w="0" w:type="dxa"/>
            <w:left w:w="108" w:type="dxa"/>
            <w:bottom w:w="0" w:type="dxa"/>
            <w:right w:w="108" w:type="dxa"/>
          </w:tblCellMar>
        </w:tblPrEx>
        <w:trPr>
          <w:trHeight w:val="1360" w:hRule="atLeast"/>
          <w:jc w:val="center"/>
        </w:trPr>
        <w:tc>
          <w:tcPr>
            <w:tcW w:w="1797" w:type="dxa"/>
            <w:tcBorders>
              <w:top w:val="nil"/>
              <w:left w:val="single" w:color="auto" w:sz="4" w:space="0"/>
              <w:bottom w:val="single" w:color="auto" w:sz="4" w:space="0"/>
              <w:right w:val="single" w:color="auto" w:sz="4" w:space="0"/>
            </w:tcBorders>
            <w:noWrap w:val="0"/>
            <w:vAlign w:val="center"/>
          </w:tcPr>
          <w:p w14:paraId="6AFD86A5">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服务器</w:t>
            </w:r>
          </w:p>
        </w:tc>
        <w:tc>
          <w:tcPr>
            <w:tcW w:w="6996" w:type="dxa"/>
            <w:tcBorders>
              <w:top w:val="nil"/>
              <w:left w:val="nil"/>
              <w:bottom w:val="single" w:color="auto" w:sz="4" w:space="0"/>
              <w:right w:val="single" w:color="auto" w:sz="4" w:space="0"/>
            </w:tcBorders>
            <w:noWrap w:val="0"/>
            <w:vAlign w:val="center"/>
          </w:tcPr>
          <w:p w14:paraId="6CCFCA07">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服务器关键部件微码升级</w:t>
            </w:r>
          </w:p>
          <w:p w14:paraId="04F3B2BE">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服务器设备清洁</w:t>
            </w:r>
          </w:p>
          <w:p w14:paraId="061E9FDD">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服务器输入、输出电压检测</w:t>
            </w:r>
          </w:p>
          <w:p w14:paraId="276A0A6A">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服务器关键部件指示灯检查</w:t>
            </w:r>
          </w:p>
          <w:p w14:paraId="474E700F">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服务器硬盘RAID 配置检查</w:t>
            </w:r>
          </w:p>
        </w:tc>
      </w:tr>
      <w:tr w14:paraId="08D7FD95">
        <w:tblPrEx>
          <w:tblCellMar>
            <w:top w:w="0" w:type="dxa"/>
            <w:left w:w="108" w:type="dxa"/>
            <w:bottom w:w="0" w:type="dxa"/>
            <w:right w:w="108" w:type="dxa"/>
          </w:tblCellMar>
        </w:tblPrEx>
        <w:trPr>
          <w:trHeight w:val="2178" w:hRule="atLeast"/>
          <w:jc w:val="center"/>
        </w:trPr>
        <w:tc>
          <w:tcPr>
            <w:tcW w:w="1797" w:type="dxa"/>
            <w:tcBorders>
              <w:top w:val="nil"/>
              <w:left w:val="single" w:color="auto" w:sz="4" w:space="0"/>
              <w:bottom w:val="single" w:color="auto" w:sz="4" w:space="0"/>
              <w:right w:val="single" w:color="auto" w:sz="4" w:space="0"/>
            </w:tcBorders>
            <w:noWrap w:val="0"/>
            <w:vAlign w:val="center"/>
          </w:tcPr>
          <w:p w14:paraId="5522BCBB">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存储</w:t>
            </w:r>
          </w:p>
        </w:tc>
        <w:tc>
          <w:tcPr>
            <w:tcW w:w="6996" w:type="dxa"/>
            <w:tcBorders>
              <w:top w:val="nil"/>
              <w:left w:val="nil"/>
              <w:bottom w:val="single" w:color="auto" w:sz="4" w:space="0"/>
              <w:right w:val="single" w:color="auto" w:sz="4" w:space="0"/>
            </w:tcBorders>
            <w:noWrap w:val="0"/>
            <w:vAlign w:val="center"/>
          </w:tcPr>
          <w:p w14:paraId="164FBE96">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系统微码升级</w:t>
            </w:r>
          </w:p>
          <w:p w14:paraId="118B444A">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更换控制器电池</w:t>
            </w:r>
          </w:p>
          <w:p w14:paraId="70185181">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输入、输出电压检测</w:t>
            </w:r>
          </w:p>
          <w:p w14:paraId="7C980FAB">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磁盘读、写正常性测试</w:t>
            </w:r>
          </w:p>
          <w:p w14:paraId="449B7C0C">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配置文件备份</w:t>
            </w:r>
          </w:p>
          <w:p w14:paraId="58C50D97">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过期运行日志清理</w:t>
            </w:r>
          </w:p>
          <w:p w14:paraId="47D2F5FC">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与连接主机通信正常性测试</w:t>
            </w:r>
          </w:p>
          <w:p w14:paraId="026D6D6D">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端口访问测试</w:t>
            </w:r>
          </w:p>
        </w:tc>
      </w:tr>
    </w:tbl>
    <w:p w14:paraId="20466811">
      <w:pPr>
        <w:pageBreakBefore w:val="0"/>
        <w:widowControl w:val="0"/>
        <w:tabs>
          <w:tab w:val="left" w:pos="425"/>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（3）故障响应服务</w:t>
      </w:r>
    </w:p>
    <w:p w14:paraId="50E39FBA">
      <w:pPr>
        <w:pageBreakBefore w:val="0"/>
        <w:widowControl w:val="0"/>
        <w:numPr>
          <w:ilvl w:val="0"/>
          <w:numId w:val="15"/>
        </w:numPr>
        <w:tabs>
          <w:tab w:val="left" w:pos="425"/>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故障驱动响应</w:t>
      </w:r>
    </w:p>
    <w:p w14:paraId="78C0A1AC">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a) 网络故障驱动响应</w:t>
      </w:r>
    </w:p>
    <w:p w14:paraId="38F149F8">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针对网络设备的软、硬件故障引起的业务中断或运行效率无法满足正常运行要求，而进行的响应服务，包括但不限于：</w:t>
      </w:r>
    </w:p>
    <w:p w14:paraId="55DD8B0F">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 故障定位；</w:t>
      </w:r>
    </w:p>
    <w:p w14:paraId="6B6C035F">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 停止、启动进程；</w:t>
      </w:r>
    </w:p>
    <w:p w14:paraId="3DE4AD0D">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 中断、连通网络连接；</w:t>
      </w:r>
    </w:p>
    <w:p w14:paraId="13757306">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 关闭、启动端口；</w:t>
      </w:r>
    </w:p>
    <w:p w14:paraId="020ECC2B">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 网络备件更换；</w:t>
      </w:r>
    </w:p>
    <w:p w14:paraId="70786704">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 更改、恢复配置。</w:t>
      </w:r>
    </w:p>
    <w:p w14:paraId="3DDB0CAC">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b) 服务器故障驱动响应</w:t>
      </w:r>
    </w:p>
    <w:p w14:paraId="45CC0FCA">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针对服务器设备的硬件故障引起的业务中断或运行效率无法满足正常运行要求，而进行的响应服务，例如：</w:t>
      </w:r>
    </w:p>
    <w:p w14:paraId="55D0827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 服务器重启；</w:t>
      </w:r>
    </w:p>
    <w:p w14:paraId="0359C94F">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 更换故障部件，包括主板、电源、CPU、内存、硬盘等；</w:t>
      </w:r>
    </w:p>
    <w:p w14:paraId="668A18E5">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 服务器关键部件微码升级；</w:t>
      </w:r>
    </w:p>
    <w:p w14:paraId="13B97145">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 服务器硬盘RIAD 配置修复。</w:t>
      </w:r>
    </w:p>
    <w:p w14:paraId="1C881AE0">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c) 存储故障驱动响应</w:t>
      </w:r>
    </w:p>
    <w:p w14:paraId="3D039149">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针对存储设备的软、硬件故障引起的业务中断或运行效率无法满足正常运行要求，而进行的响应服务，包括但不限于：</w:t>
      </w:r>
    </w:p>
    <w:p w14:paraId="69768A61">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 存储重启；</w:t>
      </w:r>
    </w:p>
    <w:p w14:paraId="4339DB25">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 配置文件恢复；</w:t>
      </w:r>
    </w:p>
    <w:p w14:paraId="2016041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 更换故障部件，包括电源、硬盘等；</w:t>
      </w:r>
    </w:p>
    <w:p w14:paraId="312F898D">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 微码升级；</w:t>
      </w:r>
    </w:p>
    <w:p w14:paraId="499BE04B">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 存储管理软件补丁安装；</w:t>
      </w:r>
    </w:p>
    <w:p w14:paraId="6C8E78F9">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 数据修复。</w:t>
      </w:r>
    </w:p>
    <w:p w14:paraId="00491743">
      <w:pPr>
        <w:pageBreakBefore w:val="0"/>
        <w:widowControl w:val="0"/>
        <w:numPr>
          <w:ilvl w:val="0"/>
          <w:numId w:val="15"/>
        </w:numPr>
        <w:tabs>
          <w:tab w:val="left" w:pos="425"/>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服务请求响应</w:t>
      </w:r>
    </w:p>
    <w:p w14:paraId="1B67FD89">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a) 网络服务请求响应</w:t>
      </w:r>
    </w:p>
    <w:p w14:paraId="626E5CA7">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根据应用系统运行需要或需方、供方的请求，而进行的网络响应服务，包括但不限于：</w:t>
      </w:r>
    </w:p>
    <w:p w14:paraId="7D9DD5C4">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 增加、降低网络接入的数量或速度；</w:t>
      </w:r>
    </w:p>
    <w:p w14:paraId="2C58A72F">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 更改网络设备配置；</w:t>
      </w:r>
    </w:p>
    <w:p w14:paraId="5C5404BA">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 启动、关闭端口或服务；</w:t>
      </w:r>
    </w:p>
    <w:p w14:paraId="28AFDA9D">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 更换、更新或升级设备硬件或软件。</w:t>
      </w:r>
    </w:p>
    <w:p w14:paraId="27E76FED">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b) 服务器服务请求响应</w:t>
      </w:r>
    </w:p>
    <w:p w14:paraId="6CE589D8">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根据应用系统运行需要或需方、供方的请求，而进行的服务器响应服务，例如：</w:t>
      </w:r>
    </w:p>
    <w:p w14:paraId="036D090A">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 服务器设备搬迁；</w:t>
      </w:r>
    </w:p>
    <w:p w14:paraId="160FB626">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 服务器设备停机演练；</w:t>
      </w:r>
    </w:p>
    <w:p w14:paraId="137B0067">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 服务器设备清洁维护等。</w:t>
      </w:r>
    </w:p>
    <w:p w14:paraId="11CD546D">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c) 存储服务请求响应</w:t>
      </w:r>
    </w:p>
    <w:p w14:paraId="485D7287">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根据应用系统运行需要或需方、供方的请求，而进行的存储响应服务，包括但不限于：</w:t>
      </w:r>
    </w:p>
    <w:p w14:paraId="02B14FF5">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 存储设备搬迁；</w:t>
      </w:r>
    </w:p>
    <w:p w14:paraId="58B3A3C4">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 存储设备停机演练；</w:t>
      </w:r>
    </w:p>
    <w:p w14:paraId="7D0E3531">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 存储设备清洁维护；</w:t>
      </w:r>
    </w:p>
    <w:p w14:paraId="484866BC">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 存储硬盘空间扩容；</w:t>
      </w:r>
    </w:p>
    <w:p w14:paraId="5FBE53C1">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 存储结构调整；</w:t>
      </w:r>
    </w:p>
    <w:p w14:paraId="146EAE6C">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 新增主机分配存储空间；</w:t>
      </w:r>
    </w:p>
    <w:p w14:paraId="4D91F76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b/>
          <w:kern w:val="0"/>
          <w:sz w:val="21"/>
          <w:szCs w:val="21"/>
        </w:rPr>
      </w:pPr>
      <w:r>
        <w:rPr>
          <w:rFonts w:hint="eastAsia" w:ascii="宋体" w:hAnsi="宋体" w:eastAsia="宋体" w:cs="宋体"/>
          <w:sz w:val="21"/>
          <w:szCs w:val="21"/>
          <w:lang w:val="zh-CN"/>
        </w:rPr>
        <w:t>7) 主机端多路径软件的安装配置。</w:t>
      </w:r>
    </w:p>
    <w:tbl>
      <w:tblPr>
        <w:tblStyle w:val="63"/>
        <w:tblW w:w="9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9"/>
        <w:gridCol w:w="3626"/>
        <w:gridCol w:w="3896"/>
      </w:tblGrid>
      <w:tr w14:paraId="407E9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829" w:type="dxa"/>
            <w:tcBorders>
              <w:top w:val="single" w:color="auto" w:sz="4" w:space="0"/>
              <w:left w:val="single" w:color="auto" w:sz="4" w:space="0"/>
              <w:bottom w:val="single" w:color="auto" w:sz="4" w:space="0"/>
              <w:right w:val="single" w:color="auto" w:sz="4" w:space="0"/>
            </w:tcBorders>
            <w:noWrap w:val="0"/>
            <w:vAlign w:val="center"/>
          </w:tcPr>
          <w:p w14:paraId="4C36AF8A">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center"/>
              <w:textAlignment w:val="baseline"/>
              <w:rPr>
                <w:rFonts w:hint="eastAsia" w:ascii="宋体" w:hAnsi="宋体" w:eastAsia="宋体" w:cs="宋体"/>
                <w:b/>
                <w:sz w:val="21"/>
                <w:szCs w:val="21"/>
              </w:rPr>
            </w:pPr>
            <w:r>
              <w:rPr>
                <w:rFonts w:hint="eastAsia" w:ascii="宋体" w:hAnsi="宋体" w:eastAsia="宋体" w:cs="宋体"/>
                <w:b/>
                <w:sz w:val="21"/>
                <w:szCs w:val="21"/>
              </w:rPr>
              <w:t>故障类型</w:t>
            </w:r>
          </w:p>
        </w:tc>
        <w:tc>
          <w:tcPr>
            <w:tcW w:w="3626" w:type="dxa"/>
            <w:tcBorders>
              <w:top w:val="single" w:color="auto" w:sz="4" w:space="0"/>
              <w:left w:val="single" w:color="auto" w:sz="4" w:space="0"/>
              <w:bottom w:val="single" w:color="auto" w:sz="4" w:space="0"/>
              <w:right w:val="single" w:color="auto" w:sz="4" w:space="0"/>
            </w:tcBorders>
            <w:noWrap w:val="0"/>
            <w:vAlign w:val="center"/>
          </w:tcPr>
          <w:p w14:paraId="2342792D">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center"/>
              <w:textAlignment w:val="baseline"/>
              <w:rPr>
                <w:rFonts w:hint="eastAsia" w:ascii="宋体" w:hAnsi="宋体" w:eastAsia="宋体" w:cs="宋体"/>
                <w:b/>
                <w:sz w:val="21"/>
                <w:szCs w:val="21"/>
              </w:rPr>
            </w:pPr>
            <w:r>
              <w:rPr>
                <w:rFonts w:hint="eastAsia" w:ascii="宋体" w:hAnsi="宋体" w:eastAsia="宋体" w:cs="宋体"/>
                <w:b/>
                <w:sz w:val="21"/>
                <w:szCs w:val="21"/>
              </w:rPr>
              <w:t>故障内容</w:t>
            </w:r>
          </w:p>
        </w:tc>
        <w:tc>
          <w:tcPr>
            <w:tcW w:w="3896" w:type="dxa"/>
            <w:tcBorders>
              <w:top w:val="single" w:color="auto" w:sz="4" w:space="0"/>
              <w:left w:val="single" w:color="auto" w:sz="4" w:space="0"/>
              <w:bottom w:val="single" w:color="auto" w:sz="4" w:space="0"/>
              <w:right w:val="single" w:color="auto" w:sz="4" w:space="0"/>
            </w:tcBorders>
            <w:noWrap w:val="0"/>
            <w:vAlign w:val="center"/>
          </w:tcPr>
          <w:p w14:paraId="7154F7D0">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center"/>
              <w:textAlignment w:val="baseline"/>
              <w:rPr>
                <w:rFonts w:hint="eastAsia" w:ascii="宋体" w:hAnsi="宋体" w:eastAsia="宋体" w:cs="宋体"/>
                <w:b/>
                <w:sz w:val="21"/>
                <w:szCs w:val="21"/>
              </w:rPr>
            </w:pPr>
            <w:r>
              <w:rPr>
                <w:rFonts w:hint="eastAsia" w:ascii="宋体" w:hAnsi="宋体" w:eastAsia="宋体" w:cs="宋体"/>
                <w:b/>
                <w:sz w:val="21"/>
                <w:szCs w:val="21"/>
              </w:rPr>
              <w:t>响应时间</w:t>
            </w:r>
          </w:p>
        </w:tc>
      </w:tr>
      <w:tr w14:paraId="679B4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29" w:type="dxa"/>
            <w:tcBorders>
              <w:top w:val="single" w:color="auto" w:sz="4" w:space="0"/>
              <w:left w:val="single" w:color="auto" w:sz="4" w:space="0"/>
              <w:bottom w:val="single" w:color="auto" w:sz="4" w:space="0"/>
              <w:right w:val="single" w:color="auto" w:sz="4" w:space="0"/>
            </w:tcBorders>
            <w:noWrap w:val="0"/>
            <w:vAlign w:val="center"/>
          </w:tcPr>
          <w:p w14:paraId="3D4B416B">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故障驱动响应</w:t>
            </w:r>
          </w:p>
        </w:tc>
        <w:tc>
          <w:tcPr>
            <w:tcW w:w="3626" w:type="dxa"/>
            <w:tcBorders>
              <w:top w:val="single" w:color="auto" w:sz="4" w:space="0"/>
              <w:left w:val="single" w:color="auto" w:sz="4" w:space="0"/>
              <w:bottom w:val="single" w:color="auto" w:sz="4" w:space="0"/>
              <w:right w:val="single" w:color="auto" w:sz="4" w:space="0"/>
            </w:tcBorders>
            <w:noWrap w:val="0"/>
            <w:vAlign w:val="center"/>
          </w:tcPr>
          <w:p w14:paraId="7DA153FC">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后端出现警告，不影响系统运行</w:t>
            </w:r>
          </w:p>
        </w:tc>
        <w:tc>
          <w:tcPr>
            <w:tcW w:w="3896" w:type="dxa"/>
            <w:tcBorders>
              <w:top w:val="single" w:color="auto" w:sz="4" w:space="0"/>
              <w:left w:val="single" w:color="auto" w:sz="4" w:space="0"/>
              <w:bottom w:val="single" w:color="auto" w:sz="4" w:space="0"/>
              <w:right w:val="single" w:color="auto" w:sz="4" w:space="0"/>
            </w:tcBorders>
            <w:noWrap w:val="0"/>
            <w:vAlign w:val="center"/>
          </w:tcPr>
          <w:p w14:paraId="7E4FF16D">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7×24小时电话咨询，8小时内到达现场</w:t>
            </w:r>
          </w:p>
        </w:tc>
      </w:tr>
      <w:tr w14:paraId="00980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29" w:type="dxa"/>
            <w:tcBorders>
              <w:top w:val="single" w:color="auto" w:sz="4" w:space="0"/>
              <w:left w:val="single" w:color="auto" w:sz="4" w:space="0"/>
              <w:bottom w:val="single" w:color="auto" w:sz="4" w:space="0"/>
              <w:right w:val="single" w:color="auto" w:sz="4" w:space="0"/>
            </w:tcBorders>
            <w:noWrap w:val="0"/>
            <w:vAlign w:val="center"/>
          </w:tcPr>
          <w:p w14:paraId="72435EF5">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服务请求响应</w:t>
            </w:r>
          </w:p>
        </w:tc>
        <w:tc>
          <w:tcPr>
            <w:tcW w:w="3626" w:type="dxa"/>
            <w:tcBorders>
              <w:top w:val="single" w:color="auto" w:sz="4" w:space="0"/>
              <w:left w:val="single" w:color="auto" w:sz="4" w:space="0"/>
              <w:bottom w:val="single" w:color="auto" w:sz="4" w:space="0"/>
              <w:right w:val="single" w:color="auto" w:sz="4" w:space="0"/>
            </w:tcBorders>
            <w:noWrap w:val="0"/>
            <w:vAlign w:val="center"/>
          </w:tcPr>
          <w:p w14:paraId="4161940B">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后端设备部分损坏，但系统正常运行</w:t>
            </w:r>
          </w:p>
        </w:tc>
        <w:tc>
          <w:tcPr>
            <w:tcW w:w="3896" w:type="dxa"/>
            <w:tcBorders>
              <w:top w:val="single" w:color="auto" w:sz="4" w:space="0"/>
              <w:left w:val="single" w:color="auto" w:sz="4" w:space="0"/>
              <w:bottom w:val="single" w:color="auto" w:sz="4" w:space="0"/>
              <w:right w:val="single" w:color="auto" w:sz="4" w:space="0"/>
            </w:tcBorders>
            <w:noWrap w:val="0"/>
            <w:vAlign w:val="center"/>
          </w:tcPr>
          <w:p w14:paraId="30B8BE0D">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7×24小时电话咨询，4小时内到达现场</w:t>
            </w:r>
          </w:p>
        </w:tc>
      </w:tr>
      <w:tr w14:paraId="5F85B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29" w:type="dxa"/>
            <w:tcBorders>
              <w:top w:val="single" w:color="auto" w:sz="4" w:space="0"/>
              <w:left w:val="single" w:color="auto" w:sz="4" w:space="0"/>
              <w:bottom w:val="single" w:color="auto" w:sz="4" w:space="0"/>
              <w:right w:val="single" w:color="auto" w:sz="4" w:space="0"/>
            </w:tcBorders>
            <w:noWrap w:val="0"/>
            <w:vAlign w:val="center"/>
          </w:tcPr>
          <w:p w14:paraId="767E3F9B">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应急响应</w:t>
            </w:r>
          </w:p>
        </w:tc>
        <w:tc>
          <w:tcPr>
            <w:tcW w:w="3626" w:type="dxa"/>
            <w:tcBorders>
              <w:top w:val="single" w:color="auto" w:sz="4" w:space="0"/>
              <w:left w:val="single" w:color="auto" w:sz="4" w:space="0"/>
              <w:bottom w:val="single" w:color="auto" w:sz="4" w:space="0"/>
              <w:right w:val="single" w:color="auto" w:sz="4" w:space="0"/>
            </w:tcBorders>
            <w:noWrap w:val="0"/>
            <w:vAlign w:val="center"/>
          </w:tcPr>
          <w:p w14:paraId="3F42043B">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后端故障</w:t>
            </w:r>
          </w:p>
        </w:tc>
        <w:tc>
          <w:tcPr>
            <w:tcW w:w="3896" w:type="dxa"/>
            <w:tcBorders>
              <w:top w:val="single" w:color="auto" w:sz="4" w:space="0"/>
              <w:left w:val="single" w:color="auto" w:sz="4" w:space="0"/>
              <w:bottom w:val="single" w:color="auto" w:sz="4" w:space="0"/>
              <w:right w:val="single" w:color="auto" w:sz="4" w:space="0"/>
            </w:tcBorders>
            <w:noWrap w:val="0"/>
            <w:vAlign w:val="center"/>
          </w:tcPr>
          <w:p w14:paraId="4328766A">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7×24小时电话咨询，2小时内到达现场。</w:t>
            </w:r>
          </w:p>
        </w:tc>
      </w:tr>
    </w:tbl>
    <w:p w14:paraId="64E6386C">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到达现场后，后端设备8小时内修复，不能修复的，运维单位需要负责免费更换。故障修复时间均以业主单位申报开始计时，若有特殊情况须经业主单位书面同意方可延长故障排除时间。</w:t>
      </w:r>
    </w:p>
    <w:p w14:paraId="7A5899FC">
      <w:pPr>
        <w:pageBreakBefore w:val="0"/>
        <w:widowControl w:val="0"/>
        <w:tabs>
          <w:tab w:val="left" w:pos="425"/>
          <w:tab w:val="left" w:pos="1134"/>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（4）优化完善服务</w:t>
      </w:r>
    </w:p>
    <w:p w14:paraId="704DCDD5">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lang w:val="zh-CN"/>
        </w:rPr>
        <w:t>每月运维方须对后端设备的健康状况进行检测，硬盘损耗、网络丢包等进行评估，及时排查系统潜在问题和缺陷。系统运行过程中由运维单位向业主单位提供后端设备故障件更换、返修服务，以保证后端设备持续可用。</w:t>
      </w:r>
    </w:p>
    <w:p w14:paraId="62BCF978">
      <w:pPr>
        <w:pStyle w:val="6"/>
        <w:pageBreakBefore w:val="0"/>
        <w:widowControl w:val="0"/>
        <w:numPr>
          <w:ilvl w:val="3"/>
          <w:numId w:val="0"/>
        </w:numPr>
        <w:kinsoku/>
        <w:wordWrap/>
        <w:overflowPunct/>
        <w:topLinePunct w:val="0"/>
        <w:autoSpaceDE/>
        <w:autoSpaceDN/>
        <w:bidi w:val="0"/>
        <w:snapToGrid/>
        <w:spacing w:before="0" w:after="0" w:line="360" w:lineRule="auto"/>
        <w:ind w:left="0" w:leftChars="0" w:right="0" w:rightChars="0" w:firstLine="422" w:firstLineChars="200"/>
        <w:rPr>
          <w:rFonts w:hint="eastAsia" w:ascii="宋体" w:hAnsi="宋体" w:eastAsia="宋体" w:cs="宋体"/>
          <w:b/>
          <w:bCs/>
          <w:sz w:val="21"/>
          <w:szCs w:val="21"/>
        </w:rPr>
      </w:pPr>
      <w:bookmarkStart w:id="102" w:name="_Toc26011"/>
      <w:bookmarkStart w:id="103" w:name="_Toc9912"/>
      <w:bookmarkStart w:id="104" w:name="_Toc5954"/>
      <w:bookmarkStart w:id="105" w:name="_Toc27980"/>
      <w:bookmarkStart w:id="106" w:name="_Toc1526"/>
      <w:bookmarkStart w:id="107" w:name="_Toc31213"/>
      <w:bookmarkStart w:id="108" w:name="_Toc532289197"/>
      <w:bookmarkStart w:id="109" w:name="_Toc28194"/>
      <w:bookmarkStart w:id="110" w:name="_Toc28353"/>
      <w:bookmarkStart w:id="111" w:name="_Toc9597"/>
      <w:bookmarkStart w:id="112" w:name="_Toc28057"/>
      <w:r>
        <w:rPr>
          <w:rFonts w:hint="eastAsia" w:ascii="宋体" w:hAnsi="宋体" w:eastAsia="宋体" w:cs="宋体"/>
          <w:b/>
          <w:bCs/>
          <w:sz w:val="21"/>
          <w:szCs w:val="21"/>
        </w:rPr>
        <w:t>应用平台运维标准</w:t>
      </w:r>
      <w:bookmarkEnd w:id="102"/>
      <w:bookmarkEnd w:id="103"/>
      <w:bookmarkEnd w:id="104"/>
      <w:bookmarkEnd w:id="105"/>
      <w:bookmarkEnd w:id="106"/>
      <w:bookmarkEnd w:id="107"/>
      <w:bookmarkEnd w:id="108"/>
      <w:bookmarkEnd w:id="109"/>
      <w:bookmarkEnd w:id="110"/>
      <w:bookmarkEnd w:id="111"/>
      <w:bookmarkEnd w:id="112"/>
    </w:p>
    <w:p w14:paraId="1680BA48">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（1）系统软件检测、软件升级、软件维护、数据备份、故障排除等。</w:t>
      </w:r>
    </w:p>
    <w:p w14:paraId="4E468021">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lang w:val="zh-CN"/>
        </w:rPr>
        <w:t>（2）系统软件故障排除及恢复、病毒防范及消除、硬盘垃圾清理、外设安装调试、系统安装调试与维护、应急、系统恢复及日常维护等。</w:t>
      </w:r>
    </w:p>
    <w:p w14:paraId="65610111">
      <w:pPr>
        <w:pStyle w:val="6"/>
        <w:pageBreakBefore w:val="0"/>
        <w:widowControl w:val="0"/>
        <w:numPr>
          <w:ilvl w:val="3"/>
          <w:numId w:val="0"/>
        </w:numPr>
        <w:kinsoku/>
        <w:wordWrap/>
        <w:overflowPunct/>
        <w:topLinePunct w:val="0"/>
        <w:autoSpaceDE/>
        <w:autoSpaceDN/>
        <w:bidi w:val="0"/>
        <w:snapToGrid/>
        <w:spacing w:before="0" w:after="0" w:line="360" w:lineRule="auto"/>
        <w:ind w:left="0" w:leftChars="0" w:right="0" w:rightChars="0" w:firstLine="420" w:firstLineChars="200"/>
        <w:rPr>
          <w:rFonts w:hint="eastAsia" w:ascii="宋体" w:hAnsi="宋体" w:eastAsia="宋体" w:cs="宋体"/>
          <w:b w:val="0"/>
          <w:bCs w:val="0"/>
          <w:sz w:val="21"/>
          <w:szCs w:val="21"/>
        </w:rPr>
      </w:pPr>
      <w:bookmarkStart w:id="113" w:name="_Toc532289198"/>
      <w:bookmarkStart w:id="114" w:name="_Toc12431"/>
      <w:bookmarkStart w:id="115" w:name="_Toc29500"/>
      <w:bookmarkStart w:id="116" w:name="_Toc28695"/>
      <w:bookmarkStart w:id="117" w:name="_Toc30820"/>
      <w:bookmarkStart w:id="118" w:name="_Toc21051"/>
      <w:bookmarkStart w:id="119" w:name="_Toc27951"/>
      <w:bookmarkStart w:id="120" w:name="_Toc26329"/>
      <w:bookmarkStart w:id="121" w:name="_Toc21502"/>
      <w:bookmarkStart w:id="122" w:name="_Toc5058"/>
      <w:bookmarkStart w:id="123" w:name="_Toc14473"/>
      <w:bookmarkStart w:id="124" w:name="_Toc6543"/>
      <w:r>
        <w:rPr>
          <w:rFonts w:hint="eastAsia" w:ascii="宋体" w:hAnsi="宋体" w:eastAsia="宋体" w:cs="宋体"/>
          <w:b w:val="0"/>
          <w:bCs w:val="0"/>
          <w:sz w:val="21"/>
          <w:szCs w:val="21"/>
        </w:rPr>
        <w:t>运维服务内容</w:t>
      </w:r>
      <w:bookmarkEnd w:id="113"/>
      <w:bookmarkEnd w:id="114"/>
      <w:bookmarkEnd w:id="115"/>
      <w:bookmarkEnd w:id="116"/>
      <w:bookmarkEnd w:id="117"/>
      <w:bookmarkEnd w:id="118"/>
      <w:bookmarkEnd w:id="119"/>
      <w:bookmarkEnd w:id="120"/>
      <w:bookmarkEnd w:id="121"/>
      <w:bookmarkEnd w:id="122"/>
      <w:bookmarkEnd w:id="123"/>
      <w:bookmarkEnd w:id="124"/>
    </w:p>
    <w:p w14:paraId="68DF1ABB">
      <w:pPr>
        <w:pStyle w:val="6"/>
        <w:pageBreakBefore w:val="0"/>
        <w:widowControl w:val="0"/>
        <w:numPr>
          <w:ilvl w:val="3"/>
          <w:numId w:val="0"/>
        </w:numPr>
        <w:kinsoku/>
        <w:wordWrap/>
        <w:overflowPunct/>
        <w:topLinePunct w:val="0"/>
        <w:autoSpaceDE/>
        <w:autoSpaceDN/>
        <w:bidi w:val="0"/>
        <w:snapToGrid/>
        <w:spacing w:before="0" w:after="0" w:line="360" w:lineRule="auto"/>
        <w:ind w:left="0" w:leftChars="0" w:right="0" w:rightChars="0" w:firstLine="420" w:firstLineChars="200"/>
        <w:rPr>
          <w:rFonts w:hint="eastAsia" w:ascii="宋体" w:hAnsi="宋体" w:eastAsia="宋体" w:cs="宋体"/>
          <w:b w:val="0"/>
          <w:bCs w:val="0"/>
          <w:sz w:val="21"/>
          <w:szCs w:val="21"/>
        </w:rPr>
      </w:pPr>
      <w:bookmarkStart w:id="125" w:name="_Toc9318"/>
      <w:bookmarkStart w:id="126" w:name="_Toc9669"/>
      <w:bookmarkStart w:id="127" w:name="_Toc15894"/>
      <w:bookmarkStart w:id="128" w:name="_Toc13035"/>
      <w:bookmarkStart w:id="129" w:name="_Toc16045"/>
      <w:bookmarkStart w:id="130" w:name="_Toc532289199"/>
      <w:bookmarkStart w:id="131" w:name="_Toc14124"/>
      <w:bookmarkStart w:id="132" w:name="_Toc12714"/>
      <w:bookmarkStart w:id="133" w:name="_Toc21159"/>
      <w:bookmarkStart w:id="134" w:name="_Toc4110"/>
      <w:bookmarkStart w:id="135" w:name="_Toc31481"/>
      <w:r>
        <w:rPr>
          <w:rFonts w:hint="eastAsia" w:ascii="宋体" w:hAnsi="宋体" w:eastAsia="宋体" w:cs="宋体"/>
          <w:b w:val="0"/>
          <w:bCs w:val="0"/>
          <w:sz w:val="21"/>
          <w:szCs w:val="21"/>
        </w:rPr>
        <w:t>服务报告</w:t>
      </w:r>
      <w:bookmarkEnd w:id="125"/>
      <w:bookmarkEnd w:id="126"/>
      <w:bookmarkEnd w:id="127"/>
      <w:bookmarkEnd w:id="128"/>
      <w:bookmarkEnd w:id="129"/>
      <w:bookmarkEnd w:id="130"/>
      <w:bookmarkEnd w:id="131"/>
      <w:bookmarkEnd w:id="132"/>
      <w:bookmarkEnd w:id="133"/>
      <w:bookmarkEnd w:id="134"/>
      <w:bookmarkEnd w:id="135"/>
    </w:p>
    <w:p w14:paraId="1EEF024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运维单位应通过及时、准确、可靠的报告与用户方建立有效的信息沟通，为双方管理层提供决策支持。通过日报表，月报表等建立系统设备及软件维修和</w:t>
      </w:r>
      <w:r>
        <w:rPr>
          <w:rFonts w:hint="eastAsia" w:ascii="宋体" w:hAnsi="宋体" w:cs="宋体"/>
          <w:sz w:val="21"/>
          <w:szCs w:val="21"/>
          <w:lang w:val="zh-CN"/>
        </w:rPr>
        <w:t>更新台账</w:t>
      </w:r>
      <w:r>
        <w:rPr>
          <w:rFonts w:hint="eastAsia" w:ascii="宋体" w:hAnsi="宋体" w:eastAsia="宋体" w:cs="宋体"/>
          <w:sz w:val="21"/>
          <w:szCs w:val="21"/>
          <w:lang w:val="zh-CN"/>
        </w:rPr>
        <w:t>。提供的服务报告包括但不限于以下文档，包括巡检记录、评估报告、故障维修报告、日报表、月报表等相关文档。</w:t>
      </w:r>
    </w:p>
    <w:p w14:paraId="56996E46">
      <w:pPr>
        <w:pStyle w:val="6"/>
        <w:pageBreakBefore w:val="0"/>
        <w:widowControl w:val="0"/>
        <w:numPr>
          <w:ilvl w:val="3"/>
          <w:numId w:val="0"/>
        </w:numPr>
        <w:kinsoku/>
        <w:wordWrap/>
        <w:overflowPunct/>
        <w:topLinePunct w:val="0"/>
        <w:autoSpaceDE/>
        <w:autoSpaceDN/>
        <w:bidi w:val="0"/>
        <w:snapToGrid/>
        <w:spacing w:before="0" w:after="0" w:line="360" w:lineRule="auto"/>
        <w:ind w:left="0" w:leftChars="0" w:right="0" w:rightChars="0" w:firstLine="420" w:firstLineChars="200"/>
        <w:rPr>
          <w:rFonts w:hint="eastAsia" w:ascii="宋体" w:hAnsi="宋体" w:eastAsia="宋体" w:cs="宋体"/>
          <w:b w:val="0"/>
          <w:bCs w:val="0"/>
          <w:sz w:val="21"/>
          <w:szCs w:val="21"/>
        </w:rPr>
      </w:pPr>
      <w:bookmarkStart w:id="136" w:name="_Toc12370"/>
      <w:bookmarkStart w:id="137" w:name="_Toc10197"/>
      <w:bookmarkStart w:id="138" w:name="_Toc24409"/>
      <w:bookmarkStart w:id="139" w:name="_Toc7419"/>
      <w:bookmarkStart w:id="140" w:name="_Toc2757"/>
      <w:bookmarkStart w:id="141" w:name="_Toc31919"/>
      <w:bookmarkStart w:id="142" w:name="_Toc532289200"/>
      <w:bookmarkStart w:id="143" w:name="_Toc26220"/>
      <w:bookmarkStart w:id="144" w:name="_Toc17083"/>
      <w:bookmarkStart w:id="145" w:name="_Toc30702"/>
      <w:r>
        <w:rPr>
          <w:rFonts w:hint="eastAsia" w:ascii="宋体" w:hAnsi="宋体" w:eastAsia="宋体" w:cs="宋体"/>
          <w:b w:val="0"/>
          <w:bCs w:val="0"/>
          <w:sz w:val="21"/>
          <w:szCs w:val="21"/>
        </w:rPr>
        <w:t>事件管理</w:t>
      </w:r>
      <w:bookmarkEnd w:id="136"/>
      <w:bookmarkEnd w:id="137"/>
      <w:bookmarkEnd w:id="138"/>
      <w:bookmarkEnd w:id="139"/>
      <w:bookmarkEnd w:id="140"/>
      <w:bookmarkEnd w:id="141"/>
      <w:bookmarkEnd w:id="142"/>
      <w:bookmarkEnd w:id="143"/>
      <w:bookmarkEnd w:id="144"/>
      <w:bookmarkEnd w:id="145"/>
    </w:p>
    <w:p w14:paraId="04ABAC61">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本项目事件管理中，事件是指发生的对某一环节运行造成影响的事件，包括设备故障、系统崩溃、软件故障等任何影响业务操作和系统正常运作的故障</w:t>
      </w:r>
      <w:r>
        <w:rPr>
          <w:rFonts w:hint="eastAsia" w:ascii="宋体" w:hAnsi="宋体" w:cs="宋体"/>
          <w:sz w:val="21"/>
          <w:szCs w:val="21"/>
          <w:lang w:val="zh-CN"/>
        </w:rPr>
        <w:t>，以及</w:t>
      </w:r>
      <w:r>
        <w:rPr>
          <w:rFonts w:hint="eastAsia" w:ascii="宋体" w:hAnsi="宋体" w:eastAsia="宋体" w:cs="宋体"/>
          <w:sz w:val="21"/>
          <w:szCs w:val="21"/>
          <w:lang w:val="zh-CN"/>
        </w:rPr>
        <w:t>影响业务流程的情况。做到对历史事件的可查阅。</w:t>
      </w:r>
    </w:p>
    <w:p w14:paraId="4AFEC425">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对</w:t>
      </w:r>
      <w:r>
        <w:rPr>
          <w:rFonts w:hint="eastAsia" w:ascii="宋体" w:hAnsi="宋体" w:cs="宋体"/>
          <w:sz w:val="21"/>
          <w:szCs w:val="21"/>
          <w:lang w:val="zh-CN"/>
        </w:rPr>
        <w:t>日常</w:t>
      </w:r>
      <w:r>
        <w:rPr>
          <w:rFonts w:hint="eastAsia" w:ascii="宋体" w:hAnsi="宋体" w:eastAsia="宋体" w:cs="宋体"/>
          <w:sz w:val="21"/>
          <w:szCs w:val="21"/>
          <w:lang w:val="zh-CN"/>
        </w:rPr>
        <w:t>运维工作中出现的突发事件（即日常运行维护管理平台自动发现并产生的告警事件）和由用户/维护人员报告的事件管理主要包括：</w:t>
      </w:r>
    </w:p>
    <w:p w14:paraId="0FAA2DCF">
      <w:pPr>
        <w:pStyle w:val="641"/>
        <w:pageBreakBefore w:val="0"/>
        <w:widowControl w:val="0"/>
        <w:numPr>
          <w:ilvl w:val="0"/>
          <w:numId w:val="16"/>
        </w:numPr>
        <w:kinsoku/>
        <w:wordWrap/>
        <w:overflowPunct/>
        <w:topLinePunct w:val="0"/>
        <w:autoSpaceDE/>
        <w:autoSpaceDN/>
        <w:bidi w:val="0"/>
        <w:snapToGrid/>
        <w:spacing w:line="360" w:lineRule="auto"/>
        <w:ind w:left="0" w:leftChars="0" w:right="0"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事件的发起</w:t>
      </w:r>
    </w:p>
    <w:p w14:paraId="024E10E7">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这是事件管理流程的起点，在事件发生时快速准确地发现，并记录所需信息，以协助事件的诊断和解决并通知运维人员。</w:t>
      </w:r>
    </w:p>
    <w:p w14:paraId="3CDCA140">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业主单位在日常使用过程中发现的问题，提供维修工单向运维单位</w:t>
      </w:r>
      <w:r>
        <w:rPr>
          <w:rFonts w:hint="eastAsia" w:ascii="宋体" w:hAnsi="宋体" w:cs="宋体"/>
          <w:sz w:val="21"/>
          <w:szCs w:val="21"/>
          <w:lang w:val="zh-CN"/>
        </w:rPr>
        <w:t>报修</w:t>
      </w:r>
      <w:r>
        <w:rPr>
          <w:rFonts w:hint="eastAsia" w:ascii="宋体" w:hAnsi="宋体" w:eastAsia="宋体" w:cs="宋体"/>
          <w:sz w:val="21"/>
          <w:szCs w:val="21"/>
          <w:lang w:val="zh-CN"/>
        </w:rPr>
        <w:t>，运维工单根据工单进行维修。</w:t>
      </w:r>
    </w:p>
    <w:p w14:paraId="4F38E330">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由各运维单位巡检发现的问题，可以向业主单位发起运维情况报告，报告设备故障、原因、修复等情况。</w:t>
      </w:r>
    </w:p>
    <w:p w14:paraId="49B228D4">
      <w:pPr>
        <w:pStyle w:val="641"/>
        <w:pageBreakBefore w:val="0"/>
        <w:widowControl w:val="0"/>
        <w:numPr>
          <w:ilvl w:val="0"/>
          <w:numId w:val="16"/>
        </w:numPr>
        <w:kinsoku/>
        <w:wordWrap/>
        <w:overflowPunct/>
        <w:topLinePunct w:val="0"/>
        <w:autoSpaceDE/>
        <w:autoSpaceDN/>
        <w:bidi w:val="0"/>
        <w:snapToGrid/>
        <w:spacing w:line="360" w:lineRule="auto"/>
        <w:ind w:left="0" w:leftChars="0" w:right="0"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事件审核</w:t>
      </w:r>
    </w:p>
    <w:p w14:paraId="27B9CCB2">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接到事件后，运维人员应进行审核和分析，事件可以是申告、故障、告警、咨询，对于每个事件，需要确立优先级和分类，若没有现成的解决方案或临时解决措施，则需要进一步分配给合适的运维人员对此进行调查。</w:t>
      </w:r>
    </w:p>
    <w:p w14:paraId="6FFE14FF">
      <w:pPr>
        <w:pStyle w:val="641"/>
        <w:pageBreakBefore w:val="0"/>
        <w:widowControl w:val="0"/>
        <w:numPr>
          <w:ilvl w:val="0"/>
          <w:numId w:val="16"/>
        </w:numPr>
        <w:tabs>
          <w:tab w:val="left" w:pos="0"/>
        </w:tabs>
        <w:kinsoku/>
        <w:wordWrap/>
        <w:overflowPunct/>
        <w:topLinePunct w:val="0"/>
        <w:autoSpaceDE/>
        <w:autoSpaceDN/>
        <w:bidi w:val="0"/>
        <w:snapToGrid/>
        <w:spacing w:line="360" w:lineRule="auto"/>
        <w:ind w:left="0" w:leftChars="0" w:right="0"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调查和诊断</w:t>
      </w:r>
    </w:p>
    <w:p w14:paraId="38E243AC">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运维人员对事件进行调查，提出解决方案。诊断后无法解决，需采取</w:t>
      </w:r>
      <w:r>
        <w:rPr>
          <w:rFonts w:hint="eastAsia" w:ascii="宋体" w:hAnsi="宋体" w:cs="宋体"/>
          <w:sz w:val="21"/>
          <w:szCs w:val="21"/>
          <w:lang w:val="zh-CN"/>
        </w:rPr>
        <w:t>其他</w:t>
      </w:r>
      <w:r>
        <w:rPr>
          <w:rFonts w:hint="eastAsia" w:ascii="宋体" w:hAnsi="宋体" w:eastAsia="宋体" w:cs="宋体"/>
          <w:sz w:val="21"/>
          <w:szCs w:val="21"/>
          <w:lang w:val="zh-CN"/>
        </w:rPr>
        <w:t>深入的措施以解决。</w:t>
      </w:r>
    </w:p>
    <w:p w14:paraId="4945983A">
      <w:pPr>
        <w:pStyle w:val="641"/>
        <w:pageBreakBefore w:val="0"/>
        <w:widowControl w:val="0"/>
        <w:numPr>
          <w:ilvl w:val="0"/>
          <w:numId w:val="16"/>
        </w:numPr>
        <w:kinsoku/>
        <w:wordWrap/>
        <w:overflowPunct/>
        <w:topLinePunct w:val="0"/>
        <w:autoSpaceDE/>
        <w:autoSpaceDN/>
        <w:bidi w:val="0"/>
        <w:snapToGrid/>
        <w:spacing w:line="360" w:lineRule="auto"/>
        <w:ind w:left="0" w:leftChars="0" w:right="0"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解决及反馈</w:t>
      </w:r>
    </w:p>
    <w:p w14:paraId="23A603F4">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运维人员实施解决方案，并通过书面形式向业主单位反馈解决的结果，得到业主单位确认。</w:t>
      </w:r>
    </w:p>
    <w:p w14:paraId="49CA3599">
      <w:pPr>
        <w:pStyle w:val="641"/>
        <w:pageBreakBefore w:val="0"/>
        <w:widowControl w:val="0"/>
        <w:numPr>
          <w:ilvl w:val="0"/>
          <w:numId w:val="16"/>
        </w:numPr>
        <w:tabs>
          <w:tab w:val="left" w:pos="0"/>
        </w:tabs>
        <w:kinsoku/>
        <w:wordWrap/>
        <w:overflowPunct/>
        <w:topLinePunct w:val="0"/>
        <w:autoSpaceDE/>
        <w:autoSpaceDN/>
        <w:bidi w:val="0"/>
        <w:snapToGrid/>
        <w:spacing w:line="360" w:lineRule="auto"/>
        <w:ind w:left="0" w:leftChars="0" w:right="0"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结束事件</w:t>
      </w:r>
    </w:p>
    <w:p w14:paraId="599F9358">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当业主单位书面确认事件解决后，可结束该事件。</w:t>
      </w:r>
    </w:p>
    <w:p w14:paraId="4BE18991">
      <w:pPr>
        <w:pStyle w:val="6"/>
        <w:pageBreakBefore w:val="0"/>
        <w:widowControl w:val="0"/>
        <w:numPr>
          <w:ilvl w:val="3"/>
          <w:numId w:val="0"/>
        </w:numPr>
        <w:kinsoku/>
        <w:wordWrap/>
        <w:overflowPunct/>
        <w:topLinePunct w:val="0"/>
        <w:autoSpaceDE/>
        <w:autoSpaceDN/>
        <w:bidi w:val="0"/>
        <w:snapToGrid/>
        <w:spacing w:before="0" w:after="0" w:line="360" w:lineRule="auto"/>
        <w:ind w:left="0" w:leftChars="0" w:right="0" w:rightChars="0" w:firstLine="420" w:firstLineChars="200"/>
        <w:rPr>
          <w:rFonts w:hint="eastAsia" w:ascii="宋体" w:hAnsi="宋体" w:eastAsia="宋体" w:cs="宋体"/>
          <w:b w:val="0"/>
          <w:bCs w:val="0"/>
          <w:sz w:val="21"/>
          <w:szCs w:val="21"/>
        </w:rPr>
      </w:pPr>
      <w:bookmarkStart w:id="146" w:name="_Toc26009"/>
      <w:bookmarkStart w:id="147" w:name="_Toc14810"/>
      <w:bookmarkStart w:id="148" w:name="_Toc6216"/>
      <w:bookmarkStart w:id="149" w:name="_Toc532289201"/>
      <w:bookmarkStart w:id="150" w:name="_Toc18861"/>
      <w:bookmarkStart w:id="151" w:name="_Toc20542"/>
      <w:bookmarkStart w:id="152" w:name="_Toc7034"/>
      <w:bookmarkStart w:id="153" w:name="_Toc6067"/>
      <w:bookmarkStart w:id="154" w:name="_Toc24849"/>
      <w:bookmarkStart w:id="155" w:name="_Toc29421"/>
      <w:bookmarkStart w:id="156" w:name="_Toc62"/>
      <w:r>
        <w:rPr>
          <w:rFonts w:hint="eastAsia" w:ascii="宋体" w:hAnsi="宋体" w:eastAsia="宋体" w:cs="宋体"/>
          <w:b w:val="0"/>
          <w:bCs w:val="0"/>
          <w:sz w:val="21"/>
          <w:szCs w:val="21"/>
        </w:rPr>
        <w:t>监测与预警</w:t>
      </w:r>
      <w:bookmarkEnd w:id="146"/>
      <w:bookmarkEnd w:id="147"/>
      <w:bookmarkEnd w:id="148"/>
      <w:bookmarkEnd w:id="149"/>
      <w:bookmarkEnd w:id="150"/>
      <w:bookmarkEnd w:id="151"/>
      <w:bookmarkEnd w:id="152"/>
      <w:bookmarkEnd w:id="153"/>
      <w:bookmarkEnd w:id="154"/>
      <w:bookmarkEnd w:id="155"/>
      <w:bookmarkEnd w:id="156"/>
    </w:p>
    <w:p w14:paraId="37AA61C1">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1、日常监测与预警</w:t>
      </w:r>
    </w:p>
    <w:p w14:paraId="76CC4415">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组织应该对运行维护服务对象的运行情况进行监测与预警，以跟踪和判别以下对象的容量、可用性和连续性：</w:t>
      </w:r>
    </w:p>
    <w:p w14:paraId="6F2E3445">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1）前端设备；</w:t>
      </w:r>
    </w:p>
    <w:p w14:paraId="308785EB">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2）传输网络；</w:t>
      </w:r>
    </w:p>
    <w:p w14:paraId="3D0F336F">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3）后端设备；</w:t>
      </w:r>
    </w:p>
    <w:p w14:paraId="6F159CE8">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4）软件平台；</w:t>
      </w:r>
    </w:p>
    <w:p w14:paraId="4885CE2C">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2、机房巡检流程</w:t>
      </w:r>
    </w:p>
    <w:p w14:paraId="7F4D9B80">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在进入机房时，首先清理身上的明显灰尘，清理完毕后，穿鞋套进入</w:t>
      </w:r>
      <w:r>
        <w:rPr>
          <w:rFonts w:hint="eastAsia" w:ascii="宋体" w:hAnsi="宋体" w:cs="宋体"/>
          <w:sz w:val="21"/>
          <w:szCs w:val="21"/>
          <w:lang w:val="zh-CN"/>
        </w:rPr>
        <w:t>。</w:t>
      </w:r>
    </w:p>
    <w:p w14:paraId="07C2CA76">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具体流程如下图：</w:t>
      </w:r>
    </w:p>
    <w:p w14:paraId="45F35739">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949825" cy="2770505"/>
            <wp:effectExtent l="0" t="0" r="317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8"/>
                    <a:stretch>
                      <a:fillRect/>
                    </a:stretch>
                  </pic:blipFill>
                  <pic:spPr>
                    <a:xfrm>
                      <a:off x="0" y="0"/>
                      <a:ext cx="4949825" cy="2770505"/>
                    </a:xfrm>
                    <a:prstGeom prst="rect">
                      <a:avLst/>
                    </a:prstGeom>
                    <a:noFill/>
                    <a:ln>
                      <a:noFill/>
                    </a:ln>
                  </pic:spPr>
                </pic:pic>
              </a:graphicData>
            </a:graphic>
          </wp:inline>
        </w:drawing>
      </w:r>
    </w:p>
    <w:p w14:paraId="36AF1AF7">
      <w:pPr>
        <w:pageBreakBefore w:val="0"/>
        <w:widowControl w:val="0"/>
        <w:kinsoku/>
        <w:wordWrap/>
        <w:overflowPunct/>
        <w:topLinePunct w:val="0"/>
        <w:autoSpaceDE/>
        <w:autoSpaceDN/>
        <w:bidi w:val="0"/>
        <w:snapToGrid/>
        <w:spacing w:line="360" w:lineRule="auto"/>
        <w:ind w:left="0" w:leftChars="0" w:right="0" w:firstLine="420" w:firstLineChars="200"/>
        <w:jc w:val="center"/>
        <w:rPr>
          <w:rFonts w:hint="eastAsia" w:ascii="宋体" w:hAnsi="宋体" w:eastAsia="宋体" w:cs="宋体"/>
          <w:sz w:val="21"/>
          <w:szCs w:val="21"/>
        </w:rPr>
      </w:pPr>
      <w:r>
        <w:rPr>
          <w:rFonts w:hint="eastAsia" w:ascii="宋体" w:hAnsi="宋体" w:eastAsia="宋体" w:cs="宋体"/>
          <w:sz w:val="21"/>
          <w:szCs w:val="21"/>
        </w:rPr>
        <w:t>图 机房巡检步骤</w:t>
      </w:r>
    </w:p>
    <w:p w14:paraId="2A256377">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3、前端巡检流程</w:t>
      </w:r>
    </w:p>
    <w:p w14:paraId="779334DD">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1）查看杆件外观有无变形、基础是否松动、油漆是否脱落；</w:t>
      </w:r>
    </w:p>
    <w:p w14:paraId="74306C10">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2）查看机箱外观有无变形、基础是否松动、油漆是否脱落、编号是否清楚；</w:t>
      </w:r>
    </w:p>
    <w:p w14:paraId="5E5E2164">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3）各类设备如摄像机、机箱内设备外观是否完好，运行是否正常；</w:t>
      </w:r>
    </w:p>
    <w:p w14:paraId="2E41DFD4">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4）链路是否整齐美观；</w:t>
      </w:r>
    </w:p>
    <w:p w14:paraId="03122181">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5）环境卫生包括杆件外观、机箱内外、摄像机、机箱设备、线路等是否需要清洗。</w:t>
      </w:r>
    </w:p>
    <w:p w14:paraId="2AA61E02">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具体流程如下图：</w:t>
      </w:r>
    </w:p>
    <w:p w14:paraId="4A8670DC">
      <w:pPr>
        <w:pageBreakBefore w:val="0"/>
        <w:widowControl w:val="0"/>
        <w:kinsoku/>
        <w:wordWrap/>
        <w:overflowPunct/>
        <w:topLinePunct w:val="0"/>
        <w:autoSpaceDE/>
        <w:autoSpaceDN/>
        <w:bidi w:val="0"/>
        <w:snapToGrid/>
        <w:spacing w:line="360" w:lineRule="auto"/>
        <w:ind w:left="0" w:leftChars="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859020" cy="3325495"/>
            <wp:effectExtent l="0" t="0" r="17780" b="762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29"/>
                    <a:stretch>
                      <a:fillRect/>
                    </a:stretch>
                  </pic:blipFill>
                  <pic:spPr>
                    <a:xfrm>
                      <a:off x="0" y="0"/>
                      <a:ext cx="4859020" cy="3325495"/>
                    </a:xfrm>
                    <a:prstGeom prst="rect">
                      <a:avLst/>
                    </a:prstGeom>
                    <a:noFill/>
                    <a:ln>
                      <a:noFill/>
                    </a:ln>
                  </pic:spPr>
                </pic:pic>
              </a:graphicData>
            </a:graphic>
          </wp:inline>
        </w:drawing>
      </w:r>
    </w:p>
    <w:p w14:paraId="0D0D2004">
      <w:pPr>
        <w:pageBreakBefore w:val="0"/>
        <w:widowControl w:val="0"/>
        <w:kinsoku/>
        <w:wordWrap/>
        <w:overflowPunct/>
        <w:topLinePunct w:val="0"/>
        <w:autoSpaceDE/>
        <w:autoSpaceDN/>
        <w:bidi w:val="0"/>
        <w:snapToGrid/>
        <w:spacing w:line="360" w:lineRule="auto"/>
        <w:ind w:left="0" w:leftChars="0" w:right="0" w:firstLine="420" w:firstLineChars="200"/>
        <w:jc w:val="center"/>
        <w:rPr>
          <w:rFonts w:hint="eastAsia" w:ascii="宋体" w:hAnsi="宋体" w:eastAsia="宋体" w:cs="宋体"/>
          <w:sz w:val="21"/>
          <w:szCs w:val="21"/>
        </w:rPr>
      </w:pPr>
      <w:r>
        <w:rPr>
          <w:rFonts w:hint="eastAsia" w:ascii="宋体" w:hAnsi="宋体" w:eastAsia="宋体" w:cs="宋体"/>
          <w:sz w:val="21"/>
          <w:szCs w:val="21"/>
        </w:rPr>
        <w:t>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前端设备流程图</w:t>
      </w:r>
    </w:p>
    <w:p w14:paraId="6A6FC54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4、记录与报告</w:t>
      </w:r>
    </w:p>
    <w:p w14:paraId="16A13A2D">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组织应建立监测、预警的记录和报告制度，并按照约定的形式和时间间隔上报现场负责人。</w:t>
      </w:r>
    </w:p>
    <w:p w14:paraId="03ACCBA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发现应急事件时，值班人员应提交报告，报告内容应包括：</w:t>
      </w:r>
    </w:p>
    <w:p w14:paraId="7D83593A">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1）应急事件发生及发现的时间、位置；</w:t>
      </w:r>
    </w:p>
    <w:p w14:paraId="4C2A2601">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2）现象描述；</w:t>
      </w:r>
    </w:p>
    <w:p w14:paraId="03937B9E">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3）影响的范围；</w:t>
      </w:r>
    </w:p>
    <w:p w14:paraId="3F54789E">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4）初步原因分析；</w:t>
      </w:r>
    </w:p>
    <w:p w14:paraId="0F09317F">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5）报告人。</w:t>
      </w:r>
    </w:p>
    <w:p w14:paraId="095DE94B">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报告应及时提交给现场负责人。报告方式包括电话、邮件、传真或书面文件等，并确认对方收到报告。值班人员应采取必要措施，开展应急事件的先期处置，以提高应急响应效率，避免次生、衍生事件的发生。应该对应急事件保持持续性跟踪。</w:t>
      </w:r>
    </w:p>
    <w:p w14:paraId="4D915A05">
      <w:pPr>
        <w:pStyle w:val="6"/>
        <w:pageBreakBefore w:val="0"/>
        <w:widowControl w:val="0"/>
        <w:numPr>
          <w:ilvl w:val="3"/>
          <w:numId w:val="0"/>
        </w:numPr>
        <w:kinsoku/>
        <w:wordWrap/>
        <w:overflowPunct/>
        <w:topLinePunct w:val="0"/>
        <w:autoSpaceDE/>
        <w:autoSpaceDN/>
        <w:bidi w:val="0"/>
        <w:snapToGrid/>
        <w:spacing w:before="0" w:after="0" w:line="360" w:lineRule="auto"/>
        <w:ind w:left="0" w:leftChars="0" w:right="0" w:rightChars="0" w:firstLine="420" w:firstLineChars="200"/>
        <w:rPr>
          <w:rFonts w:hint="eastAsia" w:ascii="宋体" w:hAnsi="宋体" w:eastAsia="宋体" w:cs="宋体"/>
          <w:b w:val="0"/>
          <w:bCs w:val="0"/>
          <w:sz w:val="21"/>
          <w:szCs w:val="21"/>
        </w:rPr>
      </w:pPr>
      <w:bookmarkStart w:id="157" w:name="_Toc6117"/>
      <w:bookmarkStart w:id="158" w:name="_Toc20627"/>
      <w:bookmarkStart w:id="159" w:name="_Toc16122"/>
      <w:bookmarkStart w:id="160" w:name="_Toc31801"/>
      <w:bookmarkStart w:id="161" w:name="_Toc13311"/>
      <w:bookmarkStart w:id="162" w:name="_Toc14852"/>
      <w:bookmarkStart w:id="163" w:name="_Toc532289202"/>
      <w:bookmarkStart w:id="164" w:name="_Toc9446"/>
      <w:bookmarkStart w:id="165" w:name="_Toc3403"/>
      <w:bookmarkStart w:id="166" w:name="_Toc20237"/>
      <w:bookmarkStart w:id="167" w:name="_Toc6780"/>
      <w:r>
        <w:rPr>
          <w:rFonts w:hint="eastAsia" w:ascii="宋体" w:hAnsi="宋体" w:eastAsia="宋体" w:cs="宋体"/>
          <w:b w:val="0"/>
          <w:bCs w:val="0"/>
          <w:sz w:val="21"/>
          <w:szCs w:val="21"/>
        </w:rPr>
        <w:t>故障处置</w:t>
      </w:r>
      <w:bookmarkEnd w:id="157"/>
      <w:bookmarkEnd w:id="158"/>
      <w:bookmarkEnd w:id="159"/>
      <w:bookmarkEnd w:id="160"/>
      <w:bookmarkEnd w:id="161"/>
      <w:bookmarkEnd w:id="162"/>
      <w:bookmarkEnd w:id="163"/>
      <w:bookmarkEnd w:id="164"/>
      <w:bookmarkEnd w:id="165"/>
      <w:bookmarkEnd w:id="166"/>
      <w:bookmarkEnd w:id="167"/>
    </w:p>
    <w:p w14:paraId="13BFAAB2">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1、分类</w:t>
      </w:r>
      <w:bookmarkStart w:id="168" w:name="_Hlk477960984"/>
      <w:r>
        <w:rPr>
          <w:rFonts w:hint="eastAsia" w:ascii="宋体" w:hAnsi="宋体" w:eastAsia="宋体" w:cs="宋体"/>
          <w:sz w:val="21"/>
          <w:szCs w:val="21"/>
          <w:lang w:val="zh-CN"/>
        </w:rPr>
        <w:t>故障处理</w:t>
      </w:r>
      <w:bookmarkEnd w:id="168"/>
      <w:r>
        <w:rPr>
          <w:rFonts w:hint="eastAsia" w:ascii="宋体" w:hAnsi="宋体" w:eastAsia="宋体" w:cs="宋体"/>
          <w:sz w:val="21"/>
          <w:szCs w:val="21"/>
          <w:lang w:val="zh-CN"/>
        </w:rPr>
        <w:t>：</w:t>
      </w:r>
    </w:p>
    <w:p w14:paraId="3E018A74">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紧急抢修。运维单位应当承担合同期内系统发生任何故障的抢修任务；</w:t>
      </w:r>
    </w:p>
    <w:p w14:paraId="5B23A3A2">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备用方案。如特殊原因造成系统无法正常使用（如光纤切断），运维单位应协调业主单位一起提供备用方案和措施确保系统运行正常；</w:t>
      </w:r>
    </w:p>
    <w:p w14:paraId="7D38580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现场技术支持：对于通过电话支持服务和远程技术支持服务都不能解决的设备故障，运维单位须迅速提供现场支持服务，安排经验丰富的维护工程师赴现场分析故障原因，制定故障解决方案，并最终排除故障；</w:t>
      </w:r>
    </w:p>
    <w:p w14:paraId="581A092C">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主动故障处理：针对日常维护性远程巡检结果和记录，主动制定设备排障计划、设备清洗计划和维护整改计划，确保设备高质量运行；</w:t>
      </w:r>
    </w:p>
    <w:p w14:paraId="341B9B1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故障处理反馈：指针对影响客户业务正常使用的故障，从使用单位提出故障申告时起，按照相应的要求向用户反馈故障处理过程。</w:t>
      </w:r>
    </w:p>
    <w:p w14:paraId="389B7214">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2、维修记录：</w:t>
      </w:r>
    </w:p>
    <w:p w14:paraId="1967302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维修工作必须每次都有记录，并应有现场维修人员签字和业主单位人员签字确认；维修记录应填写2份，分别由业主单位和维保单位各保存1份，系统服务年限结束时为止。</w:t>
      </w:r>
    </w:p>
    <w:p w14:paraId="6A882739">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3、故障修复流程：</w:t>
      </w:r>
    </w:p>
    <w:p w14:paraId="5EC7F3B5">
      <w:pPr>
        <w:pageBreakBefore w:val="0"/>
        <w:widowControl w:val="0"/>
        <w:kinsoku/>
        <w:wordWrap/>
        <w:overflowPunct/>
        <w:topLinePunct w:val="0"/>
        <w:autoSpaceDE/>
        <w:autoSpaceDN/>
        <w:bidi w:val="0"/>
        <w:snapToGrid/>
        <w:spacing w:line="360" w:lineRule="auto"/>
        <w:ind w:left="0" w:leftChars="0" w:right="0" w:firstLine="420" w:firstLineChars="20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386455" cy="4142740"/>
            <wp:effectExtent l="0" t="0" r="0" b="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30"/>
                    <a:stretch>
                      <a:fillRect/>
                    </a:stretch>
                  </pic:blipFill>
                  <pic:spPr>
                    <a:xfrm>
                      <a:off x="0" y="0"/>
                      <a:ext cx="3386455" cy="4142740"/>
                    </a:xfrm>
                    <a:prstGeom prst="rect">
                      <a:avLst/>
                    </a:prstGeom>
                    <a:noFill/>
                    <a:ln>
                      <a:noFill/>
                    </a:ln>
                  </pic:spPr>
                </pic:pic>
              </a:graphicData>
            </a:graphic>
          </wp:inline>
        </w:drawing>
      </w:r>
    </w:p>
    <w:p w14:paraId="3BF05AFC">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一般故障处理如下：</w:t>
      </w:r>
    </w:p>
    <w:p w14:paraId="7ACE3328">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1）故障发现一般包括设备告警、用户反馈或维护人员在定期维护中发现；</w:t>
      </w:r>
    </w:p>
    <w:p w14:paraId="7B285282">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2）故障发现后运维单位应在30分钟内做出响应对故障进行受理；</w:t>
      </w:r>
    </w:p>
    <w:p w14:paraId="7E70A4DD">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3）到达现场后，运维单位技术人员对故障的性质和范围进行分析定位，主要分系统设备故障和线路故障，并立即告知用户故障类型给出修复建议与预计修复时效。</w:t>
      </w:r>
    </w:p>
    <w:p w14:paraId="13AD9637">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4）系统设备故障包括软件问题和硬件问题，如是软件问题，则维护人员进行调试，消除故障并进行正常运行测试；如是硬件问题，维护人员则从备件库中直接更换。</w:t>
      </w:r>
    </w:p>
    <w:p w14:paraId="43072F50">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5）如遇系统严重故障，一时无法修复的，则先启动应急方案，在不影响用户使用的情况下，再对系统故障进行分析解决。</w:t>
      </w:r>
    </w:p>
    <w:p w14:paraId="1ED7F4BC">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6）每次故障处理完毕，运维单位都应及时把故障类型、处理方式、责任认定、故障证明等信息反馈给用户方，并做好故障处理记录。</w:t>
      </w:r>
    </w:p>
    <w:p w14:paraId="0D05F9EB">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7）故障若为第三方产生（如交通事故造成的前端立杆基础或摄像机损坏），将由运维方修复故障后，依法向第三方追究责任并定价赔偿。</w:t>
      </w:r>
    </w:p>
    <w:p w14:paraId="118E1268">
      <w:pPr>
        <w:pStyle w:val="6"/>
        <w:pageBreakBefore w:val="0"/>
        <w:widowControl w:val="0"/>
        <w:numPr>
          <w:ilvl w:val="3"/>
          <w:numId w:val="0"/>
        </w:numPr>
        <w:kinsoku/>
        <w:wordWrap/>
        <w:overflowPunct/>
        <w:topLinePunct w:val="0"/>
        <w:autoSpaceDE/>
        <w:autoSpaceDN/>
        <w:bidi w:val="0"/>
        <w:snapToGrid/>
        <w:spacing w:before="0" w:after="0" w:line="360" w:lineRule="auto"/>
        <w:ind w:left="0" w:leftChars="0" w:right="0" w:rightChars="0" w:firstLine="420" w:firstLineChars="200"/>
        <w:rPr>
          <w:rFonts w:hint="eastAsia" w:ascii="宋体" w:hAnsi="宋体" w:eastAsia="宋体" w:cs="宋体"/>
          <w:b w:val="0"/>
          <w:bCs w:val="0"/>
          <w:sz w:val="21"/>
          <w:szCs w:val="21"/>
        </w:rPr>
      </w:pPr>
      <w:bookmarkStart w:id="169" w:name="_Toc14286"/>
      <w:bookmarkStart w:id="170" w:name="_Toc8119"/>
      <w:bookmarkStart w:id="171" w:name="_Toc532289203"/>
      <w:bookmarkStart w:id="172" w:name="_Toc29439"/>
      <w:bookmarkStart w:id="173" w:name="_Toc10990"/>
      <w:bookmarkStart w:id="174" w:name="_Toc5305"/>
      <w:bookmarkStart w:id="175" w:name="_Toc10915"/>
      <w:bookmarkStart w:id="176" w:name="_Toc20905"/>
      <w:bookmarkStart w:id="177" w:name="_Toc10645"/>
      <w:bookmarkStart w:id="178" w:name="_Toc32270"/>
      <w:bookmarkStart w:id="179" w:name="_Toc30711"/>
      <w:r>
        <w:rPr>
          <w:rFonts w:hint="eastAsia" w:ascii="宋体" w:hAnsi="宋体" w:eastAsia="宋体" w:cs="宋体"/>
          <w:b w:val="0"/>
          <w:bCs w:val="0"/>
          <w:sz w:val="21"/>
          <w:szCs w:val="21"/>
        </w:rPr>
        <w:t>安全管理</w:t>
      </w:r>
      <w:bookmarkEnd w:id="169"/>
      <w:bookmarkEnd w:id="170"/>
      <w:bookmarkEnd w:id="171"/>
      <w:bookmarkEnd w:id="172"/>
      <w:bookmarkEnd w:id="173"/>
      <w:bookmarkEnd w:id="174"/>
      <w:bookmarkEnd w:id="175"/>
      <w:bookmarkEnd w:id="176"/>
      <w:bookmarkEnd w:id="177"/>
      <w:bookmarkEnd w:id="178"/>
      <w:bookmarkEnd w:id="179"/>
    </w:p>
    <w:p w14:paraId="689A23E9">
      <w:pPr>
        <w:pStyle w:val="641"/>
        <w:pageBreakBefore w:val="0"/>
        <w:widowControl w:val="0"/>
        <w:tabs>
          <w:tab w:val="left" w:pos="425"/>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现场运维人员必须佩戴维保单位的标识，在现场运维时，需要做好安全警示</w:t>
      </w:r>
      <w:r>
        <w:rPr>
          <w:rFonts w:hint="eastAsia" w:ascii="宋体" w:hAnsi="宋体" w:cs="宋体"/>
          <w:sz w:val="21"/>
          <w:szCs w:val="21"/>
          <w:lang w:val="zh-CN"/>
        </w:rPr>
        <w:t>标识</w:t>
      </w:r>
      <w:r>
        <w:rPr>
          <w:rFonts w:hint="eastAsia" w:ascii="宋体" w:hAnsi="宋体" w:eastAsia="宋体" w:cs="宋体"/>
          <w:sz w:val="21"/>
          <w:szCs w:val="21"/>
          <w:lang w:val="zh-CN"/>
        </w:rPr>
        <w:t>。作业中应落实现场安全防护措施，保证作业安全、人身安全，运维作业中，现场作业人员不得少于2人。</w:t>
      </w:r>
    </w:p>
    <w:p w14:paraId="5AE03563">
      <w:pPr>
        <w:pStyle w:val="641"/>
        <w:pageBreakBefore w:val="0"/>
        <w:widowControl w:val="0"/>
        <w:tabs>
          <w:tab w:val="left" w:pos="425"/>
          <w:tab w:val="left" w:pos="1418"/>
          <w:tab w:val="left" w:pos="1560"/>
        </w:tabs>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运维人员应遵守安全保密工作规定，</w:t>
      </w:r>
      <w:r>
        <w:rPr>
          <w:rFonts w:hint="eastAsia" w:ascii="宋体" w:hAnsi="宋体" w:cs="宋体"/>
          <w:sz w:val="21"/>
          <w:szCs w:val="21"/>
          <w:lang w:val="en-US" w:eastAsia="zh-CN"/>
        </w:rPr>
        <w:t>成交</w:t>
      </w:r>
      <w:r>
        <w:rPr>
          <w:rFonts w:hint="eastAsia" w:ascii="宋体" w:hAnsi="宋体" w:eastAsia="宋体" w:cs="宋体"/>
          <w:sz w:val="21"/>
          <w:szCs w:val="21"/>
          <w:lang w:val="zh-CN"/>
        </w:rPr>
        <w:t>单位应与运维人员签订保密协议，在运维系统核心部位时，应有业主单位人员在场情况下进行。</w:t>
      </w:r>
    </w:p>
    <w:p w14:paraId="2DED05BA">
      <w:pPr>
        <w:pStyle w:val="6"/>
        <w:pageBreakBefore w:val="0"/>
        <w:widowControl w:val="0"/>
        <w:numPr>
          <w:ilvl w:val="3"/>
          <w:numId w:val="0"/>
        </w:numPr>
        <w:kinsoku/>
        <w:wordWrap/>
        <w:overflowPunct/>
        <w:topLinePunct w:val="0"/>
        <w:autoSpaceDE/>
        <w:autoSpaceDN/>
        <w:bidi w:val="0"/>
        <w:snapToGrid/>
        <w:spacing w:before="0" w:after="0" w:line="360" w:lineRule="auto"/>
        <w:ind w:left="0" w:leftChars="0" w:right="0" w:rightChars="0" w:firstLine="420" w:firstLineChars="200"/>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在运维工作过程中因现场运维人员不遵守安全管理规定造成的损失由运维单位负责。</w:t>
      </w:r>
    </w:p>
    <w:p w14:paraId="4384DAF9">
      <w:pPr>
        <w:pStyle w:val="6"/>
        <w:pageBreakBefore w:val="0"/>
        <w:widowControl w:val="0"/>
        <w:numPr>
          <w:ilvl w:val="3"/>
          <w:numId w:val="0"/>
        </w:numPr>
        <w:kinsoku/>
        <w:wordWrap/>
        <w:overflowPunct/>
        <w:topLinePunct w:val="0"/>
        <w:autoSpaceDE/>
        <w:autoSpaceDN/>
        <w:bidi w:val="0"/>
        <w:snapToGrid/>
        <w:spacing w:before="0" w:after="0" w:line="360" w:lineRule="auto"/>
        <w:ind w:left="0" w:leftChars="0" w:right="0" w:rightChars="0" w:firstLine="420" w:firstLineChars="200"/>
        <w:rPr>
          <w:rFonts w:hint="eastAsia" w:ascii="宋体" w:hAnsi="宋体" w:eastAsia="宋体" w:cs="宋体"/>
          <w:b w:val="0"/>
          <w:bCs w:val="0"/>
          <w:sz w:val="21"/>
          <w:szCs w:val="21"/>
        </w:rPr>
      </w:pPr>
      <w:bookmarkStart w:id="180" w:name="_Toc24008"/>
      <w:bookmarkStart w:id="181" w:name="_Toc4757"/>
      <w:bookmarkStart w:id="182" w:name="_Toc8983"/>
      <w:bookmarkStart w:id="183" w:name="_Toc8537"/>
      <w:bookmarkStart w:id="184" w:name="_Toc24089"/>
      <w:bookmarkStart w:id="185" w:name="_Toc24830"/>
      <w:bookmarkStart w:id="186" w:name="_Toc27236"/>
      <w:bookmarkStart w:id="187" w:name="_Toc26626"/>
      <w:bookmarkStart w:id="188" w:name="_Toc3578"/>
      <w:bookmarkStart w:id="189" w:name="_Toc532289204"/>
      <w:bookmarkStart w:id="190" w:name="_Toc21134"/>
      <w:r>
        <w:rPr>
          <w:rFonts w:hint="eastAsia" w:ascii="宋体" w:hAnsi="宋体" w:eastAsia="宋体" w:cs="宋体"/>
          <w:b w:val="0"/>
          <w:bCs w:val="0"/>
          <w:sz w:val="21"/>
          <w:szCs w:val="21"/>
        </w:rPr>
        <w:t>运维管理方案</w:t>
      </w:r>
      <w:bookmarkEnd w:id="180"/>
      <w:bookmarkEnd w:id="181"/>
      <w:bookmarkEnd w:id="182"/>
      <w:bookmarkEnd w:id="183"/>
      <w:bookmarkEnd w:id="184"/>
      <w:bookmarkEnd w:id="185"/>
      <w:bookmarkEnd w:id="186"/>
      <w:bookmarkEnd w:id="187"/>
      <w:bookmarkEnd w:id="188"/>
      <w:bookmarkEnd w:id="189"/>
      <w:bookmarkEnd w:id="190"/>
    </w:p>
    <w:p w14:paraId="77F98B1B">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为保证视频运维管理流程的规范化，运维单位需要制订全过程的《运维管理方案》，统一规</w:t>
      </w:r>
      <w:r>
        <w:rPr>
          <w:rFonts w:hint="eastAsia" w:ascii="宋体" w:hAnsi="宋体" w:cs="宋体"/>
          <w:sz w:val="21"/>
          <w:szCs w:val="21"/>
          <w:lang w:val="zh-CN"/>
        </w:rPr>
        <w:t>范运</w:t>
      </w:r>
      <w:r>
        <w:rPr>
          <w:rFonts w:hint="eastAsia" w:ascii="宋体" w:hAnsi="宋体" w:eastAsia="宋体" w:cs="宋体"/>
          <w:sz w:val="21"/>
          <w:szCs w:val="21"/>
          <w:lang w:val="zh-CN"/>
        </w:rPr>
        <w:t>维管理工作，包括运维管理模式、归口管理、组织结构与职责、人员岗位与职责、运维管理工作规划与执行、运维成果等内容。</w:t>
      </w:r>
    </w:p>
    <w:p w14:paraId="131D8075">
      <w:pPr>
        <w:pStyle w:val="4"/>
        <w:pageBreakBefore w:val="0"/>
        <w:widowControl w:val="0"/>
        <w:numPr>
          <w:ilvl w:val="0"/>
          <w:numId w:val="0"/>
        </w:numPr>
        <w:tabs>
          <w:tab w:val="left" w:pos="578"/>
          <w:tab w:val="clear" w:pos="432"/>
        </w:tabs>
        <w:kinsoku/>
        <w:wordWrap/>
        <w:overflowPunct/>
        <w:topLinePunct w:val="0"/>
        <w:autoSpaceDE/>
        <w:autoSpaceDN/>
        <w:bidi w:val="0"/>
        <w:snapToGrid/>
        <w:spacing w:line="360" w:lineRule="auto"/>
        <w:ind w:left="0" w:leftChars="0" w:right="0" w:rightChars="0" w:firstLine="422" w:firstLineChars="200"/>
        <w:rPr>
          <w:rFonts w:hint="eastAsia" w:ascii="宋体" w:hAnsi="宋体" w:eastAsia="宋体" w:cs="宋体"/>
          <w:sz w:val="21"/>
          <w:szCs w:val="21"/>
        </w:rPr>
      </w:pPr>
      <w:bookmarkStart w:id="191" w:name="_Toc2531"/>
      <w:bookmarkStart w:id="192" w:name="_Toc20739"/>
      <w:r>
        <w:rPr>
          <w:rFonts w:hint="eastAsia" w:ascii="宋体" w:hAnsi="宋体" w:eastAsia="宋体" w:cs="宋体"/>
          <w:sz w:val="21"/>
          <w:szCs w:val="21"/>
        </w:rPr>
        <w:t>一机一档户籍化管理</w:t>
      </w:r>
      <w:bookmarkEnd w:id="191"/>
      <w:bookmarkEnd w:id="192"/>
    </w:p>
    <w:p w14:paraId="31C76943">
      <w:pPr>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对设备信息进行建档入库，包括设备名称、设备类型、网络运营商、用户名及密码、视频输入点位数、设备状态、所属分局、设备IP、设备厂商等等。对点位信息进行建档入库，包括摄像机ID号、点位名称、摄像机类型、录像保存的天数、经纬度信息、摄像机位置类型、安装朝向等。</w:t>
      </w:r>
    </w:p>
    <w:p w14:paraId="58EB15DB">
      <w:pPr>
        <w:pStyle w:val="4"/>
        <w:pageBreakBefore w:val="0"/>
        <w:widowControl w:val="0"/>
        <w:numPr>
          <w:ilvl w:val="0"/>
          <w:numId w:val="0"/>
        </w:numPr>
        <w:tabs>
          <w:tab w:val="left" w:pos="578"/>
          <w:tab w:val="clear" w:pos="432"/>
        </w:tabs>
        <w:kinsoku/>
        <w:wordWrap/>
        <w:overflowPunct/>
        <w:topLinePunct w:val="0"/>
        <w:autoSpaceDE/>
        <w:autoSpaceDN/>
        <w:bidi w:val="0"/>
        <w:snapToGrid/>
        <w:spacing w:line="360" w:lineRule="auto"/>
        <w:ind w:left="0" w:leftChars="0" w:right="0" w:rightChars="0" w:firstLine="422" w:firstLineChars="200"/>
        <w:rPr>
          <w:rFonts w:hint="eastAsia" w:ascii="宋体" w:hAnsi="宋体" w:eastAsia="宋体" w:cs="宋体"/>
          <w:sz w:val="21"/>
          <w:szCs w:val="21"/>
        </w:rPr>
      </w:pPr>
      <w:bookmarkStart w:id="193" w:name="_Toc7172"/>
      <w:bookmarkStart w:id="194" w:name="_Toc1926"/>
      <w:bookmarkStart w:id="195" w:name="_Toc19924"/>
      <w:bookmarkStart w:id="196" w:name="_Toc532289210"/>
      <w:bookmarkStart w:id="197" w:name="_Toc19590"/>
      <w:bookmarkStart w:id="198" w:name="_Toc2883"/>
      <w:bookmarkStart w:id="199" w:name="_Toc16855"/>
      <w:bookmarkStart w:id="200" w:name="_Toc30143"/>
      <w:bookmarkStart w:id="201" w:name="_Toc23790"/>
      <w:bookmarkStart w:id="202" w:name="_Toc12285"/>
      <w:bookmarkStart w:id="203" w:name="_Toc15785"/>
      <w:bookmarkStart w:id="204" w:name="_Toc18447"/>
      <w:bookmarkStart w:id="205" w:name="_Toc4343"/>
      <w:bookmarkStart w:id="206" w:name="_Toc21780"/>
      <w:bookmarkStart w:id="207" w:name="_Toc27691"/>
      <w:bookmarkStart w:id="208" w:name="_Toc22425"/>
      <w:bookmarkStart w:id="209" w:name="_Toc20963"/>
      <w:bookmarkStart w:id="210" w:name="_Toc10306"/>
      <w:bookmarkStart w:id="211" w:name="_Toc27674"/>
      <w:bookmarkStart w:id="212" w:name="_Toc18212"/>
      <w:bookmarkStart w:id="213" w:name="_Toc2880"/>
      <w:bookmarkStart w:id="214" w:name="_Toc8114"/>
      <w:bookmarkStart w:id="215" w:name="_Toc12945"/>
      <w:r>
        <w:rPr>
          <w:rFonts w:hint="eastAsia" w:ascii="宋体" w:hAnsi="宋体" w:eastAsia="宋体" w:cs="宋体"/>
          <w:sz w:val="21"/>
          <w:szCs w:val="21"/>
        </w:rPr>
        <w:t>人员培训方案</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7CD62E6">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培训的内容分两部分：业务培训和技术培训。</w:t>
      </w:r>
    </w:p>
    <w:p w14:paraId="3292B068">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业务培训内容包括系统业务知识、操作流程、使用技巧、系统运行问题汇总解答等内容。培训对象是普通的操作人员、系统维护人员，使他们能够熟练</w:t>
      </w:r>
      <w:r>
        <w:rPr>
          <w:rFonts w:hint="eastAsia" w:ascii="宋体" w:hAnsi="宋体" w:cs="宋体"/>
          <w:sz w:val="21"/>
          <w:szCs w:val="21"/>
          <w:lang w:eastAsia="zh-CN"/>
        </w:rPr>
        <w:t>地</w:t>
      </w:r>
      <w:r>
        <w:rPr>
          <w:rFonts w:hint="eastAsia" w:ascii="宋体" w:hAnsi="宋体" w:eastAsia="宋体" w:cs="宋体"/>
          <w:sz w:val="21"/>
          <w:szCs w:val="21"/>
        </w:rPr>
        <w:t>使用系统。</w:t>
      </w:r>
    </w:p>
    <w:p w14:paraId="13C5E1F3">
      <w:pPr>
        <w:pStyle w:val="641"/>
        <w:pageBreakBefore w:val="0"/>
        <w:widowControl w:val="0"/>
        <w:kinsoku/>
        <w:wordWrap/>
        <w:overflowPunct/>
        <w:topLinePunct w:val="0"/>
        <w:autoSpaceDE/>
        <w:autoSpaceDN/>
        <w:bidi w:val="0"/>
        <w:snapToGri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技术培训内容包括软件系统维护、系统设置、高级使用技巧、系统维护问题汇总解答等内容。培训对象是系统管理人员。</w:t>
      </w:r>
    </w:p>
    <w:p w14:paraId="489BA21D">
      <w:pPr>
        <w:pStyle w:val="8"/>
        <w:adjustRightInd/>
        <w:spacing w:line="360" w:lineRule="auto"/>
        <w:ind w:firstLine="0"/>
        <w:jc w:val="left"/>
        <w:rPr>
          <w:rFonts w:hint="eastAsia" w:hAnsi="宋体" w:cs="宋体"/>
          <w:b/>
          <w:bCs/>
          <w:color w:val="auto"/>
          <w:sz w:val="21"/>
          <w:szCs w:val="21"/>
          <w:lang w:val="en-US" w:eastAsia="zh-CN"/>
        </w:rPr>
        <w:sectPr>
          <w:pgSz w:w="11905" w:h="16838"/>
          <w:pgMar w:top="1440" w:right="1440" w:bottom="1440" w:left="1440" w:header="850" w:footer="992" w:gutter="0"/>
          <w:cols w:space="0" w:num="1"/>
          <w:titlePg/>
          <w:rtlGutter w:val="0"/>
          <w:docGrid w:linePitch="312" w:charSpace="0"/>
        </w:sectPr>
      </w:pPr>
    </w:p>
    <w:p w14:paraId="6BA03B64">
      <w:pPr>
        <w:pStyle w:val="8"/>
        <w:adjustRightInd/>
        <w:spacing w:line="360" w:lineRule="auto"/>
        <w:ind w:firstLine="0"/>
        <w:jc w:val="left"/>
        <w:rPr>
          <w:rFonts w:hAnsi="宋体" w:cs="宋体"/>
          <w:b/>
          <w:bCs/>
          <w:color w:val="auto"/>
          <w:sz w:val="21"/>
          <w:szCs w:val="21"/>
        </w:rPr>
      </w:pPr>
      <w:r>
        <w:rPr>
          <w:rFonts w:hint="eastAsia" w:hAnsi="宋体" w:cs="宋体"/>
          <w:b/>
          <w:bCs/>
          <w:color w:val="auto"/>
          <w:sz w:val="21"/>
          <w:szCs w:val="21"/>
          <w:lang w:val="en-US" w:eastAsia="zh-CN"/>
        </w:rPr>
        <w:t>五、</w:t>
      </w:r>
      <w:r>
        <w:rPr>
          <w:rFonts w:hint="eastAsia" w:hAnsi="宋体" w:cs="宋体"/>
          <w:b/>
          <w:bCs/>
          <w:color w:val="auto"/>
          <w:sz w:val="21"/>
          <w:szCs w:val="21"/>
        </w:rPr>
        <w:t xml:space="preserve">商务要求表  </w:t>
      </w:r>
    </w:p>
    <w:tbl>
      <w:tblPr>
        <w:tblStyle w:val="63"/>
        <w:tblW w:w="92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8565"/>
      </w:tblGrid>
      <w:tr w14:paraId="0D91A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9" w:hRule="atLeast"/>
          <w:tblHeader/>
          <w:jc w:val="center"/>
        </w:trPr>
        <w:tc>
          <w:tcPr>
            <w:tcW w:w="656" w:type="dxa"/>
            <w:tcBorders>
              <w:tl2br w:val="nil"/>
              <w:tr2bl w:val="nil"/>
            </w:tcBorders>
            <w:noWrap w:val="0"/>
            <w:vAlign w:val="center"/>
          </w:tcPr>
          <w:p w14:paraId="24B10283">
            <w:pPr>
              <w:autoSpaceDE w:val="0"/>
              <w:autoSpaceDN w:val="0"/>
              <w:adjustRightInd w:val="0"/>
              <w:spacing w:line="320" w:lineRule="exact"/>
              <w:jc w:val="center"/>
              <w:rPr>
                <w:rFonts w:hint="eastAsia" w:ascii="宋体" w:cs="宋体"/>
                <w:b/>
                <w:bCs/>
                <w:szCs w:val="21"/>
              </w:rPr>
            </w:pPr>
            <w:r>
              <w:rPr>
                <w:rFonts w:hint="eastAsia" w:ascii="宋体" w:cs="宋体"/>
                <w:b/>
                <w:bCs/>
                <w:szCs w:val="21"/>
              </w:rPr>
              <w:t>序号</w:t>
            </w:r>
          </w:p>
        </w:tc>
        <w:tc>
          <w:tcPr>
            <w:tcW w:w="8565" w:type="dxa"/>
            <w:tcBorders>
              <w:tl2br w:val="nil"/>
              <w:tr2bl w:val="nil"/>
            </w:tcBorders>
            <w:noWrap w:val="0"/>
            <w:vAlign w:val="center"/>
          </w:tcPr>
          <w:p w14:paraId="4E9FDE6C">
            <w:pPr>
              <w:autoSpaceDE w:val="0"/>
              <w:autoSpaceDN w:val="0"/>
              <w:adjustRightInd w:val="0"/>
              <w:spacing w:line="320" w:lineRule="exact"/>
              <w:jc w:val="center"/>
              <w:rPr>
                <w:rFonts w:hint="eastAsia" w:ascii="宋体" w:cs="宋体"/>
                <w:b/>
                <w:bCs/>
                <w:szCs w:val="21"/>
              </w:rPr>
            </w:pPr>
            <w:r>
              <w:rPr>
                <w:rFonts w:hint="eastAsia" w:ascii="宋体" w:cs="宋体"/>
                <w:b/>
                <w:bCs/>
                <w:szCs w:val="21"/>
              </w:rPr>
              <w:t>内      容</w:t>
            </w:r>
          </w:p>
        </w:tc>
      </w:tr>
      <w:tr w14:paraId="75625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56" w:type="dxa"/>
            <w:tcBorders>
              <w:tl2br w:val="nil"/>
              <w:tr2bl w:val="nil"/>
            </w:tcBorders>
            <w:noWrap w:val="0"/>
            <w:vAlign w:val="center"/>
          </w:tcPr>
          <w:p w14:paraId="25DDDA7E">
            <w:pPr>
              <w:autoSpaceDE w:val="0"/>
              <w:autoSpaceDN w:val="0"/>
              <w:adjustRightInd w:val="0"/>
              <w:spacing w:line="400" w:lineRule="exact"/>
              <w:jc w:val="center"/>
              <w:rPr>
                <w:rFonts w:hint="eastAsia" w:ascii="宋体"/>
                <w:bCs/>
                <w:szCs w:val="21"/>
              </w:rPr>
            </w:pPr>
            <w:r>
              <w:rPr>
                <w:rFonts w:hint="eastAsia" w:ascii="宋体"/>
                <w:bCs/>
                <w:szCs w:val="21"/>
              </w:rPr>
              <w:t>1</w:t>
            </w:r>
          </w:p>
        </w:tc>
        <w:tc>
          <w:tcPr>
            <w:tcW w:w="8565" w:type="dxa"/>
            <w:tcBorders>
              <w:tl2br w:val="nil"/>
              <w:tr2bl w:val="nil"/>
            </w:tcBorders>
            <w:noWrap w:val="0"/>
            <w:vAlign w:val="center"/>
          </w:tcPr>
          <w:p w14:paraId="32B30D33">
            <w:pPr>
              <w:spacing w:line="400" w:lineRule="exact"/>
              <w:rPr>
                <w:rFonts w:hint="eastAsia" w:ascii="宋体" w:cs="宋体"/>
                <w:szCs w:val="21"/>
              </w:rPr>
            </w:pPr>
            <w:r>
              <w:rPr>
                <w:rFonts w:hint="eastAsia"/>
                <w:szCs w:val="21"/>
              </w:rPr>
              <w:t>项目地点：</w:t>
            </w:r>
            <w:r>
              <w:rPr>
                <w:rFonts w:hint="eastAsia" w:ascii="宋体" w:hAnsi="宋体" w:cs="宋体"/>
                <w:szCs w:val="21"/>
              </w:rPr>
              <w:t>采购人指定地点</w:t>
            </w:r>
            <w:r>
              <w:rPr>
                <w:rFonts w:hint="eastAsia"/>
                <w:szCs w:val="21"/>
              </w:rPr>
              <w:t xml:space="preserve"> </w:t>
            </w:r>
          </w:p>
        </w:tc>
      </w:tr>
      <w:tr w14:paraId="68246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56" w:type="dxa"/>
            <w:tcBorders>
              <w:tl2br w:val="nil"/>
              <w:tr2bl w:val="nil"/>
            </w:tcBorders>
            <w:noWrap w:val="0"/>
            <w:vAlign w:val="center"/>
          </w:tcPr>
          <w:p w14:paraId="5E5C8AC0">
            <w:pPr>
              <w:autoSpaceDE w:val="0"/>
              <w:autoSpaceDN w:val="0"/>
              <w:adjustRightInd w:val="0"/>
              <w:spacing w:line="400" w:lineRule="exact"/>
              <w:jc w:val="center"/>
              <w:rPr>
                <w:rFonts w:hint="eastAsia" w:ascii="宋体"/>
                <w:bCs/>
                <w:szCs w:val="21"/>
                <w:highlight w:val="none"/>
              </w:rPr>
            </w:pPr>
            <w:r>
              <w:rPr>
                <w:rFonts w:hint="eastAsia" w:ascii="宋体"/>
                <w:bCs/>
                <w:szCs w:val="21"/>
                <w:highlight w:val="none"/>
              </w:rPr>
              <w:t>2</w:t>
            </w:r>
          </w:p>
        </w:tc>
        <w:tc>
          <w:tcPr>
            <w:tcW w:w="8565" w:type="dxa"/>
            <w:tcBorders>
              <w:tl2br w:val="nil"/>
              <w:tr2bl w:val="nil"/>
            </w:tcBorders>
            <w:noWrap w:val="0"/>
            <w:vAlign w:val="center"/>
          </w:tcPr>
          <w:p w14:paraId="7AC61FC0">
            <w:pPr>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项目服务期：</w:t>
            </w:r>
            <w:r>
              <w:rPr>
                <w:rFonts w:hint="eastAsia" w:ascii="宋体" w:hAnsi="宋体" w:cs="宋体"/>
                <w:szCs w:val="21"/>
                <w:highlight w:val="none"/>
                <w:lang w:val="en-US" w:eastAsia="zh-CN"/>
              </w:rPr>
              <w:t>一招三年，合同一年一签；采购人根据供应商的履约情况决定是否续签下一年度合同。</w:t>
            </w:r>
          </w:p>
        </w:tc>
      </w:tr>
      <w:tr w14:paraId="01DFA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6" w:type="dxa"/>
            <w:tcBorders>
              <w:tl2br w:val="nil"/>
              <w:tr2bl w:val="nil"/>
            </w:tcBorders>
            <w:noWrap w:val="0"/>
            <w:vAlign w:val="center"/>
          </w:tcPr>
          <w:p w14:paraId="63C5DB15">
            <w:pPr>
              <w:autoSpaceDE w:val="0"/>
              <w:autoSpaceDN w:val="0"/>
              <w:adjustRightInd w:val="0"/>
              <w:spacing w:line="400" w:lineRule="exact"/>
              <w:jc w:val="center"/>
              <w:rPr>
                <w:rFonts w:hint="eastAsia" w:ascii="宋体" w:cs="Arial"/>
                <w:szCs w:val="21"/>
                <w:highlight w:val="none"/>
              </w:rPr>
            </w:pPr>
            <w:r>
              <w:rPr>
                <w:rFonts w:hint="eastAsia" w:ascii="宋体" w:cs="Arial"/>
                <w:szCs w:val="21"/>
                <w:highlight w:val="none"/>
              </w:rPr>
              <w:t>3</w:t>
            </w:r>
          </w:p>
        </w:tc>
        <w:tc>
          <w:tcPr>
            <w:tcW w:w="8565" w:type="dxa"/>
            <w:tcBorders>
              <w:tl2br w:val="nil"/>
              <w:tr2bl w:val="nil"/>
            </w:tcBorders>
            <w:noWrap w:val="0"/>
            <w:vAlign w:val="center"/>
          </w:tcPr>
          <w:p w14:paraId="7B65A6AD">
            <w:pPr>
              <w:spacing w:line="400" w:lineRule="exact"/>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付款方式：</w:t>
            </w:r>
          </w:p>
          <w:p w14:paraId="0D7E7E9A">
            <w:pPr>
              <w:spacing w:line="400" w:lineRule="exact"/>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合同生效</w:t>
            </w:r>
            <w:r>
              <w:rPr>
                <w:rFonts w:hint="eastAsia" w:ascii="宋体" w:hAnsi="宋体" w:eastAsia="宋体" w:cs="宋体"/>
                <w:szCs w:val="21"/>
                <w:highlight w:val="none"/>
                <w:lang w:val="en-US" w:eastAsia="zh-CN"/>
              </w:rPr>
              <w:t>以及</w:t>
            </w:r>
            <w:r>
              <w:rPr>
                <w:rFonts w:hint="eastAsia" w:ascii="宋体" w:hAnsi="宋体" w:eastAsia="宋体" w:cs="宋体"/>
                <w:szCs w:val="21"/>
                <w:highlight w:val="none"/>
              </w:rPr>
              <w:t>项目具备实施条件后</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个工作日内支付合同金额的40%作为预付款。</w:t>
            </w:r>
            <w:r>
              <w:rPr>
                <w:rFonts w:hint="eastAsia" w:ascii="宋体" w:hAnsi="宋体" w:cs="宋体"/>
                <w:szCs w:val="21"/>
                <w:highlight w:val="none"/>
                <w:lang w:val="en-US" w:eastAsia="zh-CN"/>
              </w:rPr>
              <w:t>成交</w:t>
            </w:r>
            <w:r>
              <w:rPr>
                <w:rFonts w:hint="eastAsia" w:ascii="宋体" w:hAnsi="宋体" w:eastAsia="宋体" w:cs="宋体"/>
                <w:szCs w:val="21"/>
                <w:highlight w:val="none"/>
              </w:rPr>
              <w:t>人</w:t>
            </w:r>
            <w:r>
              <w:rPr>
                <w:rFonts w:hint="eastAsia" w:ascii="宋体" w:hAnsi="宋体" w:eastAsia="宋体" w:cs="宋体"/>
                <w:szCs w:val="21"/>
                <w:highlight w:val="none"/>
                <w:lang w:val="en-US" w:eastAsia="zh-CN"/>
              </w:rPr>
              <w:t>于合同签订前明确表示无需预付款或主动要求降低预付款支付比例的，可不适用本条款且具体支付方式由双方在合同中自行约定；</w:t>
            </w:r>
          </w:p>
          <w:p w14:paraId="4DA6323E">
            <w:pPr>
              <w:spacing w:line="400" w:lineRule="exact"/>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2.运维费用按月计算（月运维费用=成交金额÷12），每季度结算一次，在次季度的首月起7个工作日内支付结算金额；支付前预先抵扣已支付的40%预付款。</w:t>
            </w:r>
          </w:p>
          <w:p w14:paraId="206E1314">
            <w:pPr>
              <w:spacing w:line="400" w:lineRule="exact"/>
              <w:jc w:val="left"/>
              <w:rPr>
                <w:rFonts w:hint="default"/>
                <w:lang w:val="en-US" w:eastAsia="zh-CN"/>
              </w:rPr>
            </w:pPr>
            <w:r>
              <w:rPr>
                <w:rFonts w:hint="eastAsia" w:ascii="宋体" w:hAnsi="宋体" w:eastAsia="宋体" w:cs="宋体"/>
                <w:szCs w:val="21"/>
                <w:highlight w:val="none"/>
                <w:lang w:val="en-US" w:eastAsia="zh-CN"/>
              </w:rPr>
              <w:t>3.每次支付前成交人需向采购人提供相应金额的增值税普通发票。</w:t>
            </w:r>
          </w:p>
        </w:tc>
      </w:tr>
      <w:tr w14:paraId="0F7AD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656" w:type="dxa"/>
            <w:tcBorders>
              <w:tl2br w:val="nil"/>
              <w:tr2bl w:val="nil"/>
            </w:tcBorders>
            <w:noWrap w:val="0"/>
            <w:vAlign w:val="center"/>
          </w:tcPr>
          <w:p w14:paraId="6D027B80">
            <w:pPr>
              <w:autoSpaceDE w:val="0"/>
              <w:autoSpaceDN w:val="0"/>
              <w:adjustRightInd w:val="0"/>
              <w:spacing w:line="400" w:lineRule="exact"/>
              <w:jc w:val="center"/>
              <w:rPr>
                <w:rFonts w:hint="eastAsia" w:ascii="宋体" w:cs="Arial"/>
                <w:szCs w:val="21"/>
              </w:rPr>
            </w:pPr>
            <w:r>
              <w:rPr>
                <w:rFonts w:hint="eastAsia" w:ascii="宋体"/>
                <w:szCs w:val="21"/>
              </w:rPr>
              <w:t>4</w:t>
            </w:r>
          </w:p>
        </w:tc>
        <w:tc>
          <w:tcPr>
            <w:tcW w:w="8565" w:type="dxa"/>
            <w:tcBorders>
              <w:tl2br w:val="nil"/>
              <w:tr2bl w:val="nil"/>
            </w:tcBorders>
            <w:noWrap w:val="0"/>
            <w:vAlign w:val="center"/>
          </w:tcPr>
          <w:p w14:paraId="1C1D0A96">
            <w:pPr>
              <w:spacing w:line="400" w:lineRule="exact"/>
              <w:jc w:val="left"/>
              <w:rPr>
                <w:rFonts w:hint="eastAsia" w:ascii="宋体" w:cs="宋体"/>
                <w:szCs w:val="21"/>
              </w:rPr>
            </w:pPr>
            <w:r>
              <w:rPr>
                <w:rFonts w:hint="eastAsia" w:ascii="宋体" w:cs="宋体"/>
                <w:szCs w:val="21"/>
              </w:rPr>
              <w:t>履约保证金：</w:t>
            </w:r>
          </w:p>
          <w:p w14:paraId="4E8CE888">
            <w:pPr>
              <w:spacing w:line="400" w:lineRule="exact"/>
              <w:jc w:val="left"/>
              <w:rPr>
                <w:rFonts w:hint="eastAsia" w:ascii="宋体"/>
                <w:szCs w:val="21"/>
              </w:rPr>
            </w:pPr>
            <w:r>
              <w:rPr>
                <w:rFonts w:hint="eastAsia" w:ascii="宋体"/>
                <w:szCs w:val="21"/>
              </w:rPr>
              <w:t>1、履约保证金金额：合同总金额的1%；</w:t>
            </w:r>
          </w:p>
          <w:p w14:paraId="17569FE5">
            <w:pPr>
              <w:spacing w:line="400" w:lineRule="exact"/>
              <w:jc w:val="left"/>
              <w:rPr>
                <w:rFonts w:hint="eastAsia" w:ascii="宋体"/>
                <w:szCs w:val="21"/>
              </w:rPr>
            </w:pPr>
            <w:r>
              <w:rPr>
                <w:rFonts w:hint="eastAsia" w:ascii="宋体"/>
                <w:szCs w:val="21"/>
              </w:rPr>
              <w:t>2、履约保证金形式：银行转账（电汇）、银行保函、保险保单等其他非现金形式；</w:t>
            </w:r>
          </w:p>
          <w:p w14:paraId="4CFC91A7">
            <w:pPr>
              <w:spacing w:line="400" w:lineRule="exact"/>
              <w:jc w:val="left"/>
              <w:rPr>
                <w:rFonts w:hint="eastAsia" w:ascii="宋体"/>
                <w:szCs w:val="21"/>
              </w:rPr>
            </w:pPr>
            <w:r>
              <w:rPr>
                <w:rFonts w:hint="eastAsia" w:ascii="宋体"/>
                <w:szCs w:val="21"/>
              </w:rPr>
              <w:t>3、履约保证金的退取：在</w:t>
            </w:r>
            <w:r>
              <w:rPr>
                <w:rFonts w:hint="eastAsia" w:ascii="宋体"/>
                <w:szCs w:val="21"/>
                <w:lang w:val="en-US" w:eastAsia="zh-CN"/>
              </w:rPr>
              <w:t>成交</w:t>
            </w:r>
            <w:r>
              <w:rPr>
                <w:rFonts w:hint="eastAsia" w:ascii="宋体"/>
                <w:szCs w:val="21"/>
              </w:rPr>
              <w:t>人履行完采购合同约定义务事项后及时退还。（如</w:t>
            </w:r>
            <w:r>
              <w:rPr>
                <w:rFonts w:hint="eastAsia" w:ascii="宋体"/>
                <w:szCs w:val="21"/>
                <w:lang w:val="en-US" w:eastAsia="zh-CN"/>
              </w:rPr>
              <w:t>成交</w:t>
            </w:r>
            <w:r>
              <w:rPr>
                <w:rFonts w:hint="eastAsia" w:ascii="宋体"/>
                <w:szCs w:val="21"/>
              </w:rPr>
              <w:t>人未能履行合同规定的任何义务，采购人有权从履约保证金中优先扣除应由</w:t>
            </w:r>
            <w:r>
              <w:rPr>
                <w:rFonts w:hint="eastAsia" w:ascii="宋体"/>
                <w:szCs w:val="21"/>
                <w:lang w:val="en-US" w:eastAsia="zh-CN"/>
              </w:rPr>
              <w:t>成交</w:t>
            </w:r>
            <w:r>
              <w:rPr>
                <w:rFonts w:hint="eastAsia" w:ascii="宋体"/>
                <w:szCs w:val="21"/>
              </w:rPr>
              <w:t>人承担的违约金、赔偿金以及所有与合同履行相关的费用，履约保证金扣除后，</w:t>
            </w:r>
            <w:r>
              <w:rPr>
                <w:rFonts w:hint="eastAsia" w:ascii="宋体"/>
                <w:szCs w:val="21"/>
                <w:lang w:val="en-US" w:eastAsia="zh-CN"/>
              </w:rPr>
              <w:t>成交</w:t>
            </w:r>
            <w:r>
              <w:rPr>
                <w:rFonts w:hint="eastAsia" w:ascii="宋体"/>
                <w:szCs w:val="21"/>
              </w:rPr>
              <w:t>人应于三日内补足）。</w:t>
            </w:r>
          </w:p>
        </w:tc>
      </w:tr>
      <w:tr w14:paraId="499F3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56" w:type="dxa"/>
            <w:tcBorders>
              <w:tl2br w:val="nil"/>
              <w:tr2bl w:val="nil"/>
            </w:tcBorders>
            <w:noWrap w:val="0"/>
            <w:vAlign w:val="center"/>
          </w:tcPr>
          <w:p w14:paraId="1A850238">
            <w:pPr>
              <w:autoSpaceDE w:val="0"/>
              <w:autoSpaceDN w:val="0"/>
              <w:adjustRightInd w:val="0"/>
              <w:spacing w:line="400" w:lineRule="exact"/>
              <w:jc w:val="center"/>
              <w:rPr>
                <w:rFonts w:hint="eastAsia" w:ascii="宋体" w:eastAsia="宋体"/>
                <w:szCs w:val="21"/>
                <w:lang w:eastAsia="zh-CN"/>
              </w:rPr>
            </w:pPr>
            <w:r>
              <w:rPr>
                <w:rFonts w:hint="eastAsia" w:ascii="宋体"/>
                <w:szCs w:val="21"/>
                <w:lang w:val="en-US" w:eastAsia="zh-CN"/>
              </w:rPr>
              <w:t>5</w:t>
            </w:r>
          </w:p>
        </w:tc>
        <w:tc>
          <w:tcPr>
            <w:tcW w:w="8565" w:type="dxa"/>
            <w:tcBorders>
              <w:tl2br w:val="nil"/>
              <w:tr2bl w:val="nil"/>
            </w:tcBorders>
            <w:noWrap w:val="0"/>
            <w:vAlign w:val="center"/>
          </w:tcPr>
          <w:p w14:paraId="16DB95AD">
            <w:pPr>
              <w:spacing w:line="400" w:lineRule="exact"/>
              <w:jc w:val="left"/>
              <w:rPr>
                <w:rFonts w:hint="eastAsia" w:ascii="宋体" w:hAnsi="宋体" w:cs="宋体"/>
                <w:bCs/>
                <w:kern w:val="0"/>
                <w:szCs w:val="21"/>
              </w:rPr>
            </w:pPr>
            <w:r>
              <w:rPr>
                <w:rFonts w:hint="eastAsia" w:ascii="宋体" w:hAnsi="宋体" w:cs="宋体"/>
                <w:szCs w:val="21"/>
              </w:rPr>
              <w:t>培训要求：</w:t>
            </w:r>
            <w:r>
              <w:rPr>
                <w:rFonts w:hint="eastAsia" w:ascii="宋体"/>
                <w:szCs w:val="21"/>
                <w:lang w:val="en-US" w:eastAsia="zh-CN"/>
              </w:rPr>
              <w:t>成交</w:t>
            </w:r>
            <w:r>
              <w:rPr>
                <w:rFonts w:hint="eastAsia" w:ascii="宋体" w:hAnsi="宋体" w:cs="宋体"/>
                <w:szCs w:val="21"/>
              </w:rPr>
              <w:t>人应详细制定人员培训方案，包括培训目的、</w:t>
            </w:r>
            <w:r>
              <w:rPr>
                <w:rFonts w:hint="eastAsia" w:ascii="宋体" w:hAnsi="宋体" w:cs="宋体"/>
                <w:kern w:val="0"/>
                <w:szCs w:val="21"/>
              </w:rPr>
              <w:t>培训课程、培训人</w:t>
            </w:r>
            <w:r>
              <w:rPr>
                <w:rFonts w:hint="eastAsia" w:ascii="宋体" w:hAnsi="宋体" w:cs="宋体"/>
                <w:kern w:val="0"/>
                <w:szCs w:val="21"/>
                <w:lang w:eastAsia="zh-CN"/>
              </w:rPr>
              <w:t>数</w:t>
            </w:r>
            <w:r>
              <w:rPr>
                <w:rFonts w:hint="eastAsia" w:ascii="宋体" w:hAnsi="宋体" w:cs="宋体"/>
                <w:kern w:val="0"/>
                <w:szCs w:val="21"/>
              </w:rPr>
              <w:t>、培训地点、培训实施时间和计划</w:t>
            </w:r>
            <w:r>
              <w:rPr>
                <w:rFonts w:hint="eastAsia" w:ascii="宋体" w:hAnsi="宋体" w:cs="宋体"/>
                <w:szCs w:val="21"/>
              </w:rPr>
              <w:t>等。培训费用包括在报价中。</w:t>
            </w:r>
          </w:p>
        </w:tc>
      </w:tr>
      <w:tr w14:paraId="47AF7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56" w:type="dxa"/>
            <w:tcBorders>
              <w:tl2br w:val="nil"/>
              <w:tr2bl w:val="nil"/>
            </w:tcBorders>
            <w:noWrap w:val="0"/>
            <w:vAlign w:val="center"/>
          </w:tcPr>
          <w:p w14:paraId="428D517A">
            <w:pPr>
              <w:autoSpaceDE w:val="0"/>
              <w:autoSpaceDN w:val="0"/>
              <w:adjustRightInd w:val="0"/>
              <w:spacing w:line="400" w:lineRule="exact"/>
              <w:jc w:val="center"/>
              <w:rPr>
                <w:rFonts w:hint="eastAsia" w:ascii="宋体" w:eastAsia="宋体"/>
                <w:szCs w:val="21"/>
                <w:lang w:eastAsia="zh-CN"/>
              </w:rPr>
            </w:pPr>
            <w:r>
              <w:rPr>
                <w:rFonts w:hint="eastAsia" w:ascii="宋体"/>
                <w:szCs w:val="21"/>
                <w:lang w:val="en-US" w:eastAsia="zh-CN"/>
              </w:rPr>
              <w:t>6</w:t>
            </w:r>
          </w:p>
        </w:tc>
        <w:tc>
          <w:tcPr>
            <w:tcW w:w="8565" w:type="dxa"/>
            <w:tcBorders>
              <w:tl2br w:val="nil"/>
              <w:tr2bl w:val="nil"/>
            </w:tcBorders>
            <w:noWrap w:val="0"/>
            <w:vAlign w:val="center"/>
          </w:tcPr>
          <w:p w14:paraId="274A5680">
            <w:pPr>
              <w:spacing w:line="400" w:lineRule="exact"/>
              <w:jc w:val="left"/>
              <w:rPr>
                <w:rFonts w:hint="eastAsia" w:ascii="宋体" w:hAnsi="宋体" w:cs="宋体"/>
                <w:szCs w:val="21"/>
              </w:rPr>
            </w:pPr>
            <w:r>
              <w:rPr>
                <w:rFonts w:hint="eastAsia" w:ascii="宋体" w:hAnsi="宋体" w:cs="宋体"/>
                <w:szCs w:val="21"/>
              </w:rPr>
              <w:t>技术支持和售后服务要求：</w:t>
            </w:r>
          </w:p>
          <w:p w14:paraId="0B697C16">
            <w:pPr>
              <w:spacing w:line="360" w:lineRule="auto"/>
              <w:jc w:val="left"/>
              <w:rPr>
                <w:rFonts w:ascii="宋体" w:hAnsi="宋体" w:cs="宋体"/>
                <w:szCs w:val="21"/>
              </w:rPr>
            </w:pPr>
            <w:r>
              <w:rPr>
                <w:rFonts w:hint="eastAsia" w:ascii="宋体" w:hAnsi="宋体" w:cs="宋体"/>
                <w:szCs w:val="21"/>
              </w:rPr>
              <w:t>（1）供应商应根据采购人的需求，对所提供的系统保证全面、有效、及时的技术支持和运营维护服务。</w:t>
            </w:r>
          </w:p>
          <w:p w14:paraId="1911884D">
            <w:pPr>
              <w:spacing w:line="360" w:lineRule="auto"/>
              <w:jc w:val="left"/>
              <w:rPr>
                <w:rFonts w:ascii="宋体" w:hAnsi="宋体" w:cs="宋体"/>
                <w:szCs w:val="21"/>
              </w:rPr>
            </w:pPr>
            <w:r>
              <w:rPr>
                <w:rFonts w:hint="eastAsia" w:ascii="宋体" w:hAnsi="宋体" w:cs="宋体"/>
                <w:szCs w:val="21"/>
              </w:rPr>
              <w:t>（2）应提供的伴随服务：培训、服务期内系统的运行及维护保养等一切服务。供应商应在</w:t>
            </w:r>
            <w:r>
              <w:rPr>
                <w:rFonts w:hint="eastAsia" w:ascii="宋体" w:hAnsi="宋体" w:cs="宋体"/>
                <w:szCs w:val="21"/>
                <w:lang w:val="en-US" w:eastAsia="zh-CN"/>
              </w:rPr>
              <w:t>响应</w:t>
            </w:r>
            <w:r>
              <w:rPr>
                <w:rFonts w:hint="eastAsia" w:ascii="宋体" w:hAnsi="宋体" w:cs="宋体"/>
                <w:szCs w:val="21"/>
              </w:rPr>
              <w:t>文件中详细说明技术服务的范围和程序。</w:t>
            </w:r>
          </w:p>
          <w:p w14:paraId="4B57CE18">
            <w:pPr>
              <w:spacing w:line="360" w:lineRule="auto"/>
              <w:jc w:val="left"/>
              <w:rPr>
                <w:rFonts w:hint="eastAsia" w:ascii="宋体" w:hAnsi="宋体" w:cs="宋体"/>
                <w:szCs w:val="21"/>
              </w:rPr>
            </w:pPr>
            <w:r>
              <w:rPr>
                <w:rFonts w:hint="eastAsia" w:ascii="宋体" w:hAnsi="宋体" w:cs="宋体"/>
                <w:szCs w:val="21"/>
              </w:rPr>
              <w:t>（3）</w:t>
            </w:r>
            <w:r>
              <w:rPr>
                <w:rFonts w:hint="eastAsia" w:ascii="宋体"/>
                <w:szCs w:val="21"/>
                <w:lang w:val="en-US" w:eastAsia="zh-CN"/>
              </w:rPr>
              <w:t>成交</w:t>
            </w:r>
            <w:r>
              <w:rPr>
                <w:rFonts w:hint="eastAsia" w:ascii="宋体" w:hAnsi="宋体" w:cs="宋体"/>
                <w:szCs w:val="21"/>
              </w:rPr>
              <w:t>人应对提交的系统提供运维服务期限内的系统升级及维护服务。</w:t>
            </w:r>
          </w:p>
          <w:p w14:paraId="4A5C31CD">
            <w:pPr>
              <w:spacing w:line="360" w:lineRule="auto"/>
              <w:jc w:val="left"/>
              <w:rPr>
                <w:rFonts w:ascii="宋体" w:hAnsi="宋体" w:cs="宋体"/>
                <w:szCs w:val="21"/>
              </w:rPr>
            </w:pPr>
            <w:r>
              <w:rPr>
                <w:rFonts w:hint="eastAsia" w:ascii="宋体" w:hAnsi="宋体" w:cs="宋体"/>
                <w:szCs w:val="21"/>
              </w:rPr>
              <w:t>（4）响应及解决时间要求：</w:t>
            </w:r>
          </w:p>
          <w:tbl>
            <w:tblPr>
              <w:tblStyle w:val="63"/>
              <w:tblW w:w="8156" w:type="dxa"/>
              <w:tblInd w:w="0" w:type="dxa"/>
              <w:tblLayout w:type="fixed"/>
              <w:tblCellMar>
                <w:top w:w="0" w:type="dxa"/>
                <w:left w:w="108" w:type="dxa"/>
                <w:bottom w:w="0" w:type="dxa"/>
                <w:right w:w="108" w:type="dxa"/>
              </w:tblCellMar>
            </w:tblPr>
            <w:tblGrid>
              <w:gridCol w:w="500"/>
              <w:gridCol w:w="808"/>
              <w:gridCol w:w="2029"/>
              <w:gridCol w:w="1051"/>
              <w:gridCol w:w="1198"/>
              <w:gridCol w:w="1420"/>
              <w:gridCol w:w="1150"/>
            </w:tblGrid>
            <w:tr w14:paraId="631FE01B">
              <w:tblPrEx>
                <w:tblCellMar>
                  <w:top w:w="0" w:type="dxa"/>
                  <w:left w:w="108" w:type="dxa"/>
                  <w:bottom w:w="0" w:type="dxa"/>
                  <w:right w:w="108" w:type="dxa"/>
                </w:tblCellMar>
              </w:tblPrEx>
              <w:trPr>
                <w:trHeight w:val="457"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14:paraId="486C17F4">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0F9323D">
                  <w:pPr>
                    <w:widowControl/>
                    <w:jc w:val="center"/>
                    <w:textAlignment w:val="center"/>
                    <w:rPr>
                      <w:rFonts w:ascii="宋体" w:hAnsi="宋体" w:cs="宋体"/>
                      <w:szCs w:val="21"/>
                    </w:rPr>
                  </w:pPr>
                  <w:r>
                    <w:rPr>
                      <w:rFonts w:hint="eastAsia" w:ascii="宋体" w:hAnsi="宋体" w:cs="宋体"/>
                      <w:kern w:val="0"/>
                      <w:szCs w:val="21"/>
                      <w:lang w:bidi="ar"/>
                    </w:rPr>
                    <w:t>故障等级</w:t>
                  </w:r>
                </w:p>
              </w:tc>
              <w:tc>
                <w:tcPr>
                  <w:tcW w:w="2029" w:type="dxa"/>
                  <w:tcBorders>
                    <w:top w:val="single" w:color="000000" w:sz="4" w:space="0"/>
                    <w:left w:val="single" w:color="000000" w:sz="4" w:space="0"/>
                    <w:bottom w:val="single" w:color="000000" w:sz="4" w:space="0"/>
                    <w:right w:val="single" w:color="000000" w:sz="4" w:space="0"/>
                  </w:tcBorders>
                  <w:noWrap/>
                  <w:vAlign w:val="center"/>
                </w:tcPr>
                <w:p w14:paraId="5CEE28C4">
                  <w:pPr>
                    <w:widowControl/>
                    <w:jc w:val="center"/>
                    <w:textAlignment w:val="center"/>
                    <w:rPr>
                      <w:rFonts w:ascii="宋体" w:hAnsi="宋体" w:cs="宋体"/>
                      <w:szCs w:val="21"/>
                    </w:rPr>
                  </w:pPr>
                  <w:r>
                    <w:rPr>
                      <w:rFonts w:hint="eastAsia" w:ascii="宋体" w:hAnsi="宋体" w:cs="宋体"/>
                      <w:kern w:val="0"/>
                      <w:szCs w:val="21"/>
                      <w:lang w:bidi="ar"/>
                    </w:rPr>
                    <w:t>故障现象</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7211D17">
                  <w:pPr>
                    <w:widowControl/>
                    <w:jc w:val="center"/>
                    <w:textAlignment w:val="center"/>
                    <w:rPr>
                      <w:rFonts w:ascii="宋体" w:hAnsi="宋体" w:cs="宋体"/>
                      <w:szCs w:val="21"/>
                    </w:rPr>
                  </w:pPr>
                  <w:r>
                    <w:rPr>
                      <w:rFonts w:hint="eastAsia" w:ascii="宋体" w:hAnsi="宋体" w:cs="宋体"/>
                      <w:kern w:val="0"/>
                      <w:szCs w:val="21"/>
                      <w:lang w:bidi="ar"/>
                    </w:rPr>
                    <w:t>到场时间</w:t>
                  </w:r>
                </w:p>
              </w:tc>
              <w:tc>
                <w:tcPr>
                  <w:tcW w:w="1198" w:type="dxa"/>
                  <w:tcBorders>
                    <w:top w:val="single" w:color="000000" w:sz="4" w:space="0"/>
                    <w:left w:val="single" w:color="000000" w:sz="4" w:space="0"/>
                    <w:bottom w:val="single" w:color="000000" w:sz="4" w:space="0"/>
                    <w:right w:val="single" w:color="000000" w:sz="4" w:space="0"/>
                  </w:tcBorders>
                  <w:noWrap/>
                  <w:vAlign w:val="center"/>
                </w:tcPr>
                <w:p w14:paraId="2C60D039">
                  <w:pPr>
                    <w:widowControl/>
                    <w:jc w:val="center"/>
                    <w:textAlignment w:val="center"/>
                    <w:rPr>
                      <w:rFonts w:ascii="宋体" w:hAnsi="宋体" w:cs="宋体"/>
                      <w:szCs w:val="21"/>
                    </w:rPr>
                  </w:pPr>
                  <w:r>
                    <w:rPr>
                      <w:rFonts w:hint="eastAsia" w:ascii="宋体" w:hAnsi="宋体" w:cs="宋体"/>
                      <w:kern w:val="0"/>
                      <w:szCs w:val="21"/>
                      <w:lang w:bidi="ar"/>
                    </w:rPr>
                    <w:t>提出解决方案</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5E74306A">
                  <w:pPr>
                    <w:widowControl/>
                    <w:jc w:val="center"/>
                    <w:textAlignment w:val="center"/>
                    <w:rPr>
                      <w:rFonts w:ascii="宋体" w:hAnsi="宋体" w:cs="宋体"/>
                      <w:szCs w:val="21"/>
                    </w:rPr>
                  </w:pPr>
                  <w:r>
                    <w:rPr>
                      <w:rFonts w:hint="eastAsia" w:ascii="宋体" w:hAnsi="宋体" w:cs="宋体"/>
                      <w:kern w:val="0"/>
                      <w:szCs w:val="21"/>
                      <w:lang w:bidi="ar"/>
                    </w:rPr>
                    <w:t>备品到场时间</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51E9B4A">
                  <w:pPr>
                    <w:widowControl/>
                    <w:jc w:val="center"/>
                    <w:textAlignment w:val="center"/>
                    <w:rPr>
                      <w:rFonts w:ascii="宋体" w:hAnsi="宋体" w:cs="宋体"/>
                      <w:szCs w:val="21"/>
                    </w:rPr>
                  </w:pPr>
                  <w:r>
                    <w:rPr>
                      <w:rFonts w:hint="eastAsia" w:ascii="宋体" w:hAnsi="宋体" w:cs="宋体"/>
                      <w:kern w:val="0"/>
                      <w:szCs w:val="21"/>
                      <w:lang w:bidi="ar"/>
                    </w:rPr>
                    <w:t>解决问题</w:t>
                  </w:r>
                </w:p>
              </w:tc>
            </w:tr>
            <w:tr w14:paraId="3FDB26B9">
              <w:tblPrEx>
                <w:tblCellMar>
                  <w:top w:w="0" w:type="dxa"/>
                  <w:left w:w="108" w:type="dxa"/>
                  <w:bottom w:w="0" w:type="dxa"/>
                  <w:right w:w="108" w:type="dxa"/>
                </w:tblCellMar>
              </w:tblPrEx>
              <w:trPr>
                <w:trHeight w:val="135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14:paraId="4B76A965">
                  <w:pPr>
                    <w:widowControl/>
                    <w:jc w:val="center"/>
                    <w:textAlignment w:val="center"/>
                    <w:rPr>
                      <w:rFonts w:ascii="宋体" w:hAnsi="宋体" w:cs="宋体"/>
                      <w:szCs w:val="21"/>
                    </w:rPr>
                  </w:pPr>
                  <w:r>
                    <w:rPr>
                      <w:rFonts w:hint="eastAsia" w:ascii="宋体" w:hAnsi="宋体" w:cs="宋体"/>
                      <w:kern w:val="0"/>
                      <w:szCs w:val="21"/>
                      <w:lang w:bidi="ar"/>
                    </w:rPr>
                    <w:t>1</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2C13195">
                  <w:pPr>
                    <w:widowControl/>
                    <w:jc w:val="center"/>
                    <w:textAlignment w:val="center"/>
                    <w:rPr>
                      <w:rFonts w:ascii="宋体" w:hAnsi="宋体" w:cs="宋体"/>
                      <w:szCs w:val="21"/>
                    </w:rPr>
                  </w:pPr>
                  <w:r>
                    <w:rPr>
                      <w:rFonts w:hint="eastAsia" w:ascii="宋体" w:hAnsi="宋体" w:cs="宋体"/>
                      <w:kern w:val="0"/>
                      <w:szCs w:val="21"/>
                      <w:lang w:bidi="ar"/>
                    </w:rPr>
                    <w:t>Ⅰ</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675C1FD9">
                  <w:pPr>
                    <w:widowControl/>
                    <w:jc w:val="center"/>
                    <w:textAlignment w:val="center"/>
                    <w:rPr>
                      <w:rFonts w:ascii="宋体" w:hAnsi="宋体" w:cs="宋体"/>
                      <w:szCs w:val="21"/>
                    </w:rPr>
                  </w:pPr>
                  <w:r>
                    <w:rPr>
                      <w:rFonts w:hint="eastAsia" w:ascii="宋体" w:hAnsi="宋体" w:cs="宋体"/>
                      <w:kern w:val="0"/>
                      <w:szCs w:val="21"/>
                      <w:lang w:bidi="ar"/>
                    </w:rPr>
                    <w:t>属于重特大故障；典型现象为视频监控平台、存储平台瘫痪，视频专网纵向上级主干网络系统中断</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2CA7141">
                  <w:pPr>
                    <w:widowControl/>
                    <w:jc w:val="center"/>
                    <w:textAlignment w:val="center"/>
                    <w:rPr>
                      <w:rFonts w:ascii="宋体" w:hAnsi="宋体" w:cs="宋体"/>
                      <w:szCs w:val="21"/>
                    </w:rPr>
                  </w:pPr>
                  <w:r>
                    <w:rPr>
                      <w:rFonts w:hint="eastAsia" w:ascii="宋体" w:hAnsi="宋体" w:cs="宋体"/>
                      <w:kern w:val="0"/>
                      <w:szCs w:val="21"/>
                      <w:lang w:bidi="ar"/>
                    </w:rPr>
                    <w:t>1小时内到达现场</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299A5FFC">
                  <w:pPr>
                    <w:widowControl/>
                    <w:jc w:val="center"/>
                    <w:textAlignment w:val="center"/>
                    <w:rPr>
                      <w:rFonts w:ascii="宋体" w:hAnsi="宋体" w:cs="宋体"/>
                      <w:szCs w:val="21"/>
                    </w:rPr>
                  </w:pPr>
                  <w:r>
                    <w:rPr>
                      <w:rFonts w:hint="eastAsia" w:ascii="宋体" w:hAnsi="宋体" w:cs="宋体"/>
                      <w:kern w:val="0"/>
                      <w:szCs w:val="21"/>
                      <w:lang w:bidi="ar"/>
                    </w:rPr>
                    <w:t>到达现场1小时以内提交解决方案</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4DBA317">
                  <w:pPr>
                    <w:widowControl/>
                    <w:jc w:val="center"/>
                    <w:textAlignment w:val="center"/>
                    <w:rPr>
                      <w:rFonts w:ascii="宋体" w:hAnsi="宋体" w:cs="宋体"/>
                      <w:szCs w:val="21"/>
                    </w:rPr>
                  </w:pPr>
                  <w:r>
                    <w:rPr>
                      <w:rFonts w:hint="eastAsia" w:ascii="宋体" w:hAnsi="宋体" w:cs="宋体"/>
                      <w:kern w:val="0"/>
                      <w:szCs w:val="21"/>
                      <w:lang w:bidi="ar"/>
                    </w:rPr>
                    <w:t>启动应急响应预案或提出解决方案后4小时</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51BB22D">
                  <w:pPr>
                    <w:widowControl/>
                    <w:jc w:val="center"/>
                    <w:textAlignment w:val="center"/>
                    <w:rPr>
                      <w:rFonts w:ascii="宋体" w:hAnsi="宋体" w:cs="宋体"/>
                      <w:szCs w:val="21"/>
                    </w:rPr>
                  </w:pPr>
                  <w:r>
                    <w:rPr>
                      <w:rFonts w:hint="eastAsia" w:ascii="宋体" w:hAnsi="宋体" w:cs="宋体"/>
                      <w:kern w:val="0"/>
                      <w:szCs w:val="21"/>
                      <w:lang w:bidi="ar"/>
                    </w:rPr>
                    <w:t>24小时内</w:t>
                  </w:r>
                </w:p>
              </w:tc>
            </w:tr>
            <w:tr w14:paraId="10EF2082">
              <w:tblPrEx>
                <w:tblCellMar>
                  <w:top w:w="0" w:type="dxa"/>
                  <w:left w:w="108" w:type="dxa"/>
                  <w:bottom w:w="0" w:type="dxa"/>
                  <w:right w:w="108" w:type="dxa"/>
                </w:tblCellMar>
              </w:tblPrEx>
              <w:trPr>
                <w:trHeight w:val="906"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14:paraId="333904B1">
                  <w:pPr>
                    <w:widowControl/>
                    <w:jc w:val="center"/>
                    <w:textAlignment w:val="center"/>
                    <w:rPr>
                      <w:rFonts w:ascii="宋体" w:hAnsi="宋体" w:cs="宋体"/>
                      <w:szCs w:val="21"/>
                    </w:rPr>
                  </w:pPr>
                  <w:r>
                    <w:rPr>
                      <w:rFonts w:hint="eastAsia" w:ascii="宋体" w:hAnsi="宋体" w:cs="宋体"/>
                      <w:kern w:val="0"/>
                      <w:szCs w:val="21"/>
                      <w:lang w:bidi="ar"/>
                    </w:rPr>
                    <w:t>2</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59EC7921">
                  <w:pPr>
                    <w:widowControl/>
                    <w:jc w:val="center"/>
                    <w:textAlignment w:val="center"/>
                    <w:rPr>
                      <w:rFonts w:ascii="宋体" w:hAnsi="宋体" w:cs="宋体"/>
                      <w:szCs w:val="21"/>
                    </w:rPr>
                  </w:pPr>
                  <w:r>
                    <w:rPr>
                      <w:rFonts w:hint="eastAsia" w:ascii="宋体" w:hAnsi="宋体" w:cs="宋体"/>
                      <w:kern w:val="0"/>
                      <w:szCs w:val="21"/>
                      <w:lang w:bidi="ar"/>
                    </w:rPr>
                    <w:t>Ⅱ</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7E76086B">
                  <w:pPr>
                    <w:widowControl/>
                    <w:jc w:val="center"/>
                    <w:textAlignment w:val="center"/>
                    <w:rPr>
                      <w:rFonts w:ascii="宋体" w:hAnsi="宋体" w:cs="宋体"/>
                      <w:szCs w:val="21"/>
                    </w:rPr>
                  </w:pPr>
                  <w:r>
                    <w:rPr>
                      <w:rFonts w:hint="eastAsia" w:ascii="宋体" w:hAnsi="宋体" w:cs="宋体"/>
                      <w:kern w:val="0"/>
                      <w:szCs w:val="21"/>
                      <w:lang w:bidi="ar"/>
                    </w:rPr>
                    <w:t>属于严重故障问题；典型现象为：视频专网横向主干网络系统中断</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A9534CF">
                  <w:pPr>
                    <w:widowControl/>
                    <w:jc w:val="center"/>
                    <w:textAlignment w:val="center"/>
                    <w:rPr>
                      <w:rFonts w:ascii="宋体" w:hAnsi="宋体" w:cs="宋体"/>
                      <w:szCs w:val="21"/>
                    </w:rPr>
                  </w:pPr>
                  <w:r>
                    <w:rPr>
                      <w:rFonts w:hint="eastAsia" w:ascii="宋体" w:hAnsi="宋体" w:cs="宋体"/>
                      <w:kern w:val="0"/>
                      <w:szCs w:val="21"/>
                      <w:lang w:bidi="ar"/>
                    </w:rPr>
                    <w:t>1小时内到达现场</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0584C50C">
                  <w:pPr>
                    <w:widowControl/>
                    <w:jc w:val="center"/>
                    <w:textAlignment w:val="center"/>
                    <w:rPr>
                      <w:rFonts w:ascii="宋体" w:hAnsi="宋体" w:cs="宋体"/>
                      <w:szCs w:val="21"/>
                    </w:rPr>
                  </w:pPr>
                  <w:r>
                    <w:rPr>
                      <w:rFonts w:hint="eastAsia" w:ascii="宋体" w:hAnsi="宋体" w:cs="宋体"/>
                      <w:kern w:val="0"/>
                      <w:szCs w:val="21"/>
                      <w:lang w:bidi="ar"/>
                    </w:rPr>
                    <w:t>到达现场1小时以内提交解决方案</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011E14C">
                  <w:pPr>
                    <w:widowControl/>
                    <w:jc w:val="center"/>
                    <w:textAlignment w:val="center"/>
                    <w:rPr>
                      <w:rFonts w:ascii="宋体" w:hAnsi="宋体" w:cs="宋体"/>
                      <w:szCs w:val="21"/>
                    </w:rPr>
                  </w:pPr>
                  <w:r>
                    <w:rPr>
                      <w:rFonts w:hint="eastAsia" w:ascii="宋体" w:hAnsi="宋体" w:cs="宋体"/>
                      <w:kern w:val="0"/>
                      <w:szCs w:val="21"/>
                      <w:lang w:bidi="ar"/>
                    </w:rPr>
                    <w:t>提出解决方案后2小时</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D6AAA81">
                  <w:pPr>
                    <w:widowControl/>
                    <w:jc w:val="center"/>
                    <w:textAlignment w:val="center"/>
                    <w:rPr>
                      <w:rFonts w:ascii="宋体" w:hAnsi="宋体" w:cs="宋体"/>
                      <w:szCs w:val="21"/>
                    </w:rPr>
                  </w:pPr>
                  <w:r>
                    <w:rPr>
                      <w:rFonts w:hint="eastAsia" w:ascii="宋体" w:hAnsi="宋体" w:cs="宋体"/>
                      <w:kern w:val="0"/>
                      <w:szCs w:val="21"/>
                      <w:lang w:bidi="ar"/>
                    </w:rPr>
                    <w:t>12小时内</w:t>
                  </w:r>
                </w:p>
              </w:tc>
            </w:tr>
            <w:tr w14:paraId="40AED324">
              <w:tblPrEx>
                <w:tblCellMar>
                  <w:top w:w="0" w:type="dxa"/>
                  <w:left w:w="108" w:type="dxa"/>
                  <w:bottom w:w="0" w:type="dxa"/>
                  <w:right w:w="108" w:type="dxa"/>
                </w:tblCellMar>
              </w:tblPrEx>
              <w:trPr>
                <w:trHeight w:val="906"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14:paraId="6A842D0B">
                  <w:pPr>
                    <w:widowControl/>
                    <w:jc w:val="center"/>
                    <w:textAlignment w:val="center"/>
                    <w:rPr>
                      <w:rFonts w:ascii="宋体" w:hAnsi="宋体" w:cs="宋体"/>
                      <w:szCs w:val="21"/>
                    </w:rPr>
                  </w:pPr>
                  <w:r>
                    <w:rPr>
                      <w:rFonts w:hint="eastAsia" w:ascii="宋体" w:hAnsi="宋体" w:cs="宋体"/>
                      <w:kern w:val="0"/>
                      <w:szCs w:val="21"/>
                      <w:lang w:bidi="ar"/>
                    </w:rPr>
                    <w:t>3</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7528E2F6">
                  <w:pPr>
                    <w:widowControl/>
                    <w:jc w:val="center"/>
                    <w:textAlignment w:val="center"/>
                    <w:rPr>
                      <w:rFonts w:ascii="宋体" w:hAnsi="宋体" w:cs="宋体"/>
                      <w:szCs w:val="21"/>
                    </w:rPr>
                  </w:pPr>
                  <w:r>
                    <w:rPr>
                      <w:rFonts w:hint="eastAsia" w:ascii="宋体" w:hAnsi="宋体" w:cs="宋体"/>
                      <w:kern w:val="0"/>
                      <w:szCs w:val="21"/>
                      <w:lang w:bidi="ar"/>
                    </w:rPr>
                    <w:t>Ⅲ</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56F8CD47">
                  <w:pPr>
                    <w:widowControl/>
                    <w:jc w:val="center"/>
                    <w:textAlignment w:val="center"/>
                    <w:rPr>
                      <w:rFonts w:ascii="宋体" w:hAnsi="宋体" w:cs="宋体"/>
                      <w:szCs w:val="21"/>
                    </w:rPr>
                  </w:pPr>
                  <w:r>
                    <w:rPr>
                      <w:rFonts w:hint="eastAsia" w:ascii="宋体" w:hAnsi="宋体" w:cs="宋体"/>
                      <w:kern w:val="0"/>
                      <w:szCs w:val="21"/>
                      <w:lang w:bidi="ar"/>
                    </w:rPr>
                    <w:t>属于较严重问题；典型现象为：多路前端设备同时离线</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60F9E5AE">
                  <w:pPr>
                    <w:widowControl/>
                    <w:jc w:val="center"/>
                    <w:textAlignment w:val="center"/>
                    <w:rPr>
                      <w:rFonts w:ascii="宋体" w:hAnsi="宋体" w:cs="宋体"/>
                      <w:szCs w:val="21"/>
                    </w:rPr>
                  </w:pPr>
                  <w:r>
                    <w:rPr>
                      <w:rFonts w:hint="eastAsia" w:ascii="宋体" w:hAnsi="宋体" w:cs="宋体"/>
                      <w:kern w:val="0"/>
                      <w:szCs w:val="21"/>
                      <w:lang w:bidi="ar"/>
                    </w:rPr>
                    <w:t>4小时内到达现场</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53D1A52D">
                  <w:pPr>
                    <w:widowControl/>
                    <w:jc w:val="center"/>
                    <w:textAlignment w:val="center"/>
                    <w:rPr>
                      <w:rFonts w:ascii="宋体" w:hAnsi="宋体" w:cs="宋体"/>
                      <w:szCs w:val="21"/>
                    </w:rPr>
                  </w:pPr>
                  <w:r>
                    <w:rPr>
                      <w:rFonts w:hint="eastAsia" w:ascii="宋体" w:hAnsi="宋体" w:cs="宋体"/>
                      <w:kern w:val="0"/>
                      <w:szCs w:val="21"/>
                      <w:lang w:bidi="ar"/>
                    </w:rPr>
                    <w:t>到达现场1小时以内提交解决方案</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6262C2D">
                  <w:pPr>
                    <w:widowControl/>
                    <w:jc w:val="center"/>
                    <w:textAlignment w:val="center"/>
                    <w:rPr>
                      <w:rFonts w:ascii="宋体" w:hAnsi="宋体" w:cs="宋体"/>
                      <w:szCs w:val="21"/>
                    </w:rPr>
                  </w:pPr>
                  <w:r>
                    <w:rPr>
                      <w:rFonts w:hint="eastAsia" w:ascii="宋体" w:hAnsi="宋体" w:cs="宋体"/>
                      <w:kern w:val="0"/>
                      <w:szCs w:val="21"/>
                      <w:lang w:bidi="ar"/>
                    </w:rPr>
                    <w:t>提出解决方案后2小时</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318E6C6">
                  <w:pPr>
                    <w:widowControl/>
                    <w:jc w:val="center"/>
                    <w:textAlignment w:val="center"/>
                    <w:rPr>
                      <w:rFonts w:ascii="宋体" w:hAnsi="宋体" w:cs="宋体"/>
                      <w:szCs w:val="21"/>
                    </w:rPr>
                  </w:pPr>
                  <w:r>
                    <w:rPr>
                      <w:rFonts w:hint="eastAsia" w:ascii="宋体" w:hAnsi="宋体" w:cs="宋体"/>
                      <w:kern w:val="0"/>
                      <w:szCs w:val="21"/>
                      <w:lang w:bidi="ar"/>
                    </w:rPr>
                    <w:t>24小时内</w:t>
                  </w:r>
                </w:p>
              </w:tc>
            </w:tr>
            <w:tr w14:paraId="708AD4E0">
              <w:tblPrEx>
                <w:tblCellMar>
                  <w:top w:w="0" w:type="dxa"/>
                  <w:left w:w="108" w:type="dxa"/>
                  <w:bottom w:w="0" w:type="dxa"/>
                  <w:right w:w="108" w:type="dxa"/>
                </w:tblCellMar>
              </w:tblPrEx>
              <w:trPr>
                <w:trHeight w:val="277"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14:paraId="0DB5A2DE">
                  <w:pPr>
                    <w:widowControl/>
                    <w:jc w:val="center"/>
                    <w:textAlignment w:val="center"/>
                    <w:rPr>
                      <w:rFonts w:ascii="宋体" w:hAnsi="宋体" w:cs="宋体"/>
                      <w:szCs w:val="21"/>
                    </w:rPr>
                  </w:pPr>
                  <w:r>
                    <w:rPr>
                      <w:rFonts w:hint="eastAsia" w:ascii="宋体" w:hAnsi="宋体" w:cs="宋体"/>
                      <w:kern w:val="0"/>
                      <w:szCs w:val="21"/>
                      <w:lang w:bidi="ar"/>
                    </w:rPr>
                    <w:t>4</w:t>
                  </w:r>
                </w:p>
              </w:tc>
              <w:tc>
                <w:tcPr>
                  <w:tcW w:w="808" w:type="dxa"/>
                  <w:tcBorders>
                    <w:top w:val="single" w:color="000000" w:sz="4" w:space="0"/>
                    <w:left w:val="single" w:color="000000" w:sz="4" w:space="0"/>
                    <w:bottom w:val="single" w:color="000000" w:sz="4" w:space="0"/>
                    <w:right w:val="single" w:color="000000" w:sz="4" w:space="0"/>
                  </w:tcBorders>
                  <w:noWrap/>
                  <w:vAlign w:val="center"/>
                </w:tcPr>
                <w:p w14:paraId="4E56AC2F">
                  <w:pPr>
                    <w:widowControl/>
                    <w:jc w:val="center"/>
                    <w:textAlignment w:val="center"/>
                    <w:rPr>
                      <w:rFonts w:ascii="宋体" w:hAnsi="宋体" w:cs="宋体"/>
                      <w:szCs w:val="21"/>
                    </w:rPr>
                  </w:pPr>
                  <w:r>
                    <w:rPr>
                      <w:rFonts w:hint="eastAsia" w:ascii="宋体" w:hAnsi="宋体" w:cs="宋体"/>
                      <w:kern w:val="0"/>
                      <w:szCs w:val="21"/>
                      <w:lang w:bidi="ar"/>
                    </w:rPr>
                    <w:t>Ⅳ</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19F4354F">
                  <w:pPr>
                    <w:widowControl/>
                    <w:jc w:val="center"/>
                    <w:textAlignment w:val="center"/>
                    <w:rPr>
                      <w:rFonts w:ascii="宋体" w:hAnsi="宋体" w:cs="宋体"/>
                      <w:szCs w:val="21"/>
                    </w:rPr>
                  </w:pPr>
                  <w:r>
                    <w:rPr>
                      <w:rFonts w:hint="eastAsia" w:ascii="宋体" w:hAnsi="宋体" w:cs="宋体"/>
                      <w:kern w:val="0"/>
                      <w:szCs w:val="21"/>
                      <w:lang w:bidi="ar"/>
                    </w:rPr>
                    <w:t>属于普通问题；典型现象为：前端单点位故障</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7D3D9055">
                  <w:pPr>
                    <w:widowControl/>
                    <w:jc w:val="center"/>
                    <w:textAlignment w:val="center"/>
                    <w:rPr>
                      <w:rFonts w:ascii="宋体" w:hAnsi="宋体" w:cs="宋体"/>
                      <w:szCs w:val="21"/>
                    </w:rPr>
                  </w:pPr>
                  <w:r>
                    <w:rPr>
                      <w:rFonts w:hint="eastAsia" w:ascii="宋体" w:hAnsi="宋体" w:cs="宋体"/>
                      <w:kern w:val="0"/>
                      <w:szCs w:val="21"/>
                      <w:lang w:bidi="ar"/>
                    </w:rPr>
                    <w:t>12①/24②小时内到达现场</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4CE9B329">
                  <w:pPr>
                    <w:widowControl/>
                    <w:jc w:val="center"/>
                    <w:textAlignment w:val="center"/>
                    <w:rPr>
                      <w:rFonts w:ascii="宋体" w:hAnsi="宋体" w:cs="宋体"/>
                      <w:szCs w:val="21"/>
                    </w:rPr>
                  </w:pPr>
                  <w:r>
                    <w:rPr>
                      <w:rFonts w:hint="eastAsia" w:ascii="宋体" w:hAnsi="宋体" w:cs="宋体"/>
                      <w:kern w:val="0"/>
                      <w:szCs w:val="21"/>
                      <w:lang w:bidi="ar"/>
                    </w:rPr>
                    <w:t>到达现场1小时以内提交解决方案</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195BB6FC">
                  <w:pPr>
                    <w:widowControl/>
                    <w:jc w:val="center"/>
                    <w:textAlignment w:val="center"/>
                    <w:rPr>
                      <w:rFonts w:ascii="宋体" w:hAnsi="宋体" w:cs="宋体"/>
                      <w:szCs w:val="21"/>
                    </w:rPr>
                  </w:pPr>
                  <w:r>
                    <w:rPr>
                      <w:rFonts w:hint="eastAsia" w:ascii="宋体" w:hAnsi="宋体" w:cs="宋体"/>
                      <w:kern w:val="0"/>
                      <w:szCs w:val="21"/>
                      <w:lang w:bidi="ar"/>
                    </w:rPr>
                    <w:t>视情况而定</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8AD1B87">
                  <w:pPr>
                    <w:widowControl/>
                    <w:jc w:val="center"/>
                    <w:textAlignment w:val="center"/>
                    <w:rPr>
                      <w:rFonts w:ascii="宋体" w:hAnsi="宋体" w:cs="宋体"/>
                      <w:szCs w:val="21"/>
                    </w:rPr>
                  </w:pPr>
                  <w:r>
                    <w:rPr>
                      <w:rFonts w:hint="eastAsia" w:ascii="宋体" w:hAnsi="宋体" w:cs="宋体"/>
                      <w:kern w:val="0"/>
                      <w:szCs w:val="21"/>
                      <w:lang w:bidi="ar"/>
                    </w:rPr>
                    <w:t>24①/48②小时内</w:t>
                  </w:r>
                </w:p>
              </w:tc>
            </w:tr>
            <w:tr w14:paraId="1D24F905">
              <w:tblPrEx>
                <w:tblCellMar>
                  <w:top w:w="0" w:type="dxa"/>
                  <w:left w:w="108" w:type="dxa"/>
                  <w:bottom w:w="0" w:type="dxa"/>
                  <w:right w:w="108" w:type="dxa"/>
                </w:tblCellMar>
              </w:tblPrEx>
              <w:trPr>
                <w:trHeight w:val="233" w:hRule="atLeast"/>
              </w:trPr>
              <w:tc>
                <w:tcPr>
                  <w:tcW w:w="8156" w:type="dxa"/>
                  <w:gridSpan w:val="7"/>
                  <w:tcBorders>
                    <w:top w:val="single" w:color="000000" w:sz="4" w:space="0"/>
                    <w:left w:val="nil"/>
                    <w:bottom w:val="nil"/>
                    <w:right w:val="nil"/>
                  </w:tcBorders>
                  <w:noWrap/>
                  <w:vAlign w:val="center"/>
                </w:tcPr>
                <w:p w14:paraId="466CE51E">
                  <w:pPr>
                    <w:widowControl/>
                    <w:jc w:val="center"/>
                    <w:textAlignment w:val="center"/>
                    <w:rPr>
                      <w:rFonts w:ascii="宋体" w:hAnsi="宋体" w:cs="宋体"/>
                      <w:szCs w:val="21"/>
                    </w:rPr>
                  </w:pPr>
                  <w:r>
                    <w:rPr>
                      <w:rFonts w:hint="eastAsia" w:ascii="宋体" w:hAnsi="宋体" w:cs="宋体"/>
                      <w:kern w:val="0"/>
                      <w:szCs w:val="21"/>
                      <w:lang w:bidi="ar"/>
                    </w:rPr>
                    <w:t>注释：①为一类点要求；②为二类点（含公安二类）要求</w:t>
                  </w:r>
                </w:p>
              </w:tc>
            </w:tr>
          </w:tbl>
          <w:p w14:paraId="3E9DCA59">
            <w:pPr>
              <w:spacing w:line="400" w:lineRule="exact"/>
              <w:jc w:val="left"/>
              <w:rPr>
                <w:rFonts w:hint="eastAsia" w:ascii="宋体" w:hAnsi="宋体" w:cs="宋体"/>
                <w:szCs w:val="21"/>
              </w:rPr>
            </w:pPr>
          </w:p>
        </w:tc>
      </w:tr>
    </w:tbl>
    <w:p w14:paraId="5CDEA9BC">
      <w:pPr>
        <w:spacing w:line="480" w:lineRule="exact"/>
        <w:ind w:firstLine="470" w:firstLineChars="196"/>
        <w:rPr>
          <w:rFonts w:hint="eastAsia" w:ascii="宋体" w:hAnsi="宋体" w:eastAsia="宋体" w:cs="宋体"/>
          <w:bCs/>
          <w:color w:val="auto"/>
          <w:sz w:val="24"/>
          <w:szCs w:val="24"/>
          <w:highlight w:val="none"/>
        </w:rPr>
      </w:pPr>
    </w:p>
    <w:p w14:paraId="566D2640">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86027DB">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216" w:name="第四部分"/>
      <w:r>
        <w:rPr>
          <w:rFonts w:hint="eastAsia" w:cs="仿宋_GB2312" w:asciiTheme="minorEastAsia" w:hAnsiTheme="minorEastAsia" w:eastAsiaTheme="minorEastAsia"/>
          <w:b/>
          <w:color w:val="auto"/>
          <w:sz w:val="36"/>
          <w:szCs w:val="36"/>
          <w:highlight w:val="none"/>
        </w:rPr>
        <w:t>评审方法及评审标准</w:t>
      </w:r>
    </w:p>
    <w:p w14:paraId="301D9E06">
      <w:pPr>
        <w:pStyle w:val="398"/>
        <w:spacing w:before="0"/>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3"/>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602"/>
        <w:gridCol w:w="5982"/>
        <w:gridCol w:w="837"/>
        <w:gridCol w:w="765"/>
      </w:tblGrid>
      <w:tr w14:paraId="2FB2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50" w:type="dxa"/>
            <w:noWrap w:val="0"/>
            <w:vAlign w:val="center"/>
          </w:tcPr>
          <w:p w14:paraId="734644D2">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602" w:type="dxa"/>
            <w:noWrap w:val="0"/>
            <w:vAlign w:val="top"/>
          </w:tcPr>
          <w:p w14:paraId="1EED428E">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评分因素</w:t>
            </w:r>
          </w:p>
        </w:tc>
        <w:tc>
          <w:tcPr>
            <w:tcW w:w="5982" w:type="dxa"/>
            <w:noWrap w:val="0"/>
            <w:vAlign w:val="center"/>
          </w:tcPr>
          <w:p w14:paraId="1FC26D5D">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评分标准</w:t>
            </w:r>
          </w:p>
        </w:tc>
        <w:tc>
          <w:tcPr>
            <w:tcW w:w="837" w:type="dxa"/>
            <w:noWrap w:val="0"/>
            <w:vAlign w:val="top"/>
          </w:tcPr>
          <w:p w14:paraId="71B9AF5B">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分值</w:t>
            </w:r>
          </w:p>
        </w:tc>
        <w:tc>
          <w:tcPr>
            <w:tcW w:w="765" w:type="dxa"/>
            <w:noWrap w:val="0"/>
            <w:vAlign w:val="top"/>
          </w:tcPr>
          <w:p w14:paraId="42C8D800">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14:paraId="748A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177098CA">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Cs/>
                <w:sz w:val="24"/>
                <w:szCs w:val="24"/>
              </w:rPr>
              <w:t>1</w:t>
            </w:r>
          </w:p>
        </w:tc>
        <w:tc>
          <w:tcPr>
            <w:tcW w:w="1602" w:type="dxa"/>
            <w:noWrap w:val="0"/>
            <w:vAlign w:val="center"/>
          </w:tcPr>
          <w:p w14:paraId="78594577">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项目了解程度</w:t>
            </w:r>
          </w:p>
        </w:tc>
        <w:tc>
          <w:tcPr>
            <w:tcW w:w="5982" w:type="dxa"/>
            <w:noWrap w:val="0"/>
            <w:vAlign w:val="center"/>
          </w:tcPr>
          <w:p w14:paraId="526DBA24">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w:t>
            </w: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对本项目的勘点情况、点位图</w:t>
            </w:r>
            <w:r>
              <w:rPr>
                <w:rFonts w:hint="eastAsia" w:ascii="宋体" w:hAnsi="宋体" w:cs="宋体"/>
                <w:bCs/>
                <w:sz w:val="24"/>
                <w:szCs w:val="24"/>
                <w:highlight w:val="none"/>
                <w:lang w:val="en-US" w:eastAsia="zh-CN"/>
              </w:rPr>
              <w:t>的</w:t>
            </w:r>
            <w:r>
              <w:rPr>
                <w:rFonts w:hint="eastAsia" w:ascii="宋体" w:hAnsi="宋体" w:eastAsia="宋体" w:cs="宋体"/>
                <w:bCs/>
                <w:sz w:val="24"/>
                <w:szCs w:val="24"/>
                <w:highlight w:val="none"/>
              </w:rPr>
              <w:t>了解情况进行综合评</w:t>
            </w:r>
            <w:r>
              <w:rPr>
                <w:rFonts w:hint="eastAsia" w:ascii="宋体" w:hAnsi="宋体" w:eastAsia="宋体" w:cs="宋体"/>
                <w:bCs/>
                <w:sz w:val="24"/>
                <w:szCs w:val="24"/>
                <w:highlight w:val="none"/>
                <w:lang w:val="en-US" w:eastAsia="zh-CN"/>
              </w:rPr>
              <w:t>审</w:t>
            </w:r>
            <w:r>
              <w:rPr>
                <w:rFonts w:hint="eastAsia" w:ascii="宋体" w:hAnsi="宋体" w:eastAsia="宋体" w:cs="宋体"/>
                <w:bCs/>
                <w:sz w:val="24"/>
                <w:szCs w:val="24"/>
                <w:highlight w:val="none"/>
              </w:rPr>
              <w:t>：</w:t>
            </w:r>
          </w:p>
          <w:p w14:paraId="1E70D705">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w:t>
            </w:r>
            <w:r>
              <w:rPr>
                <w:rFonts w:hint="eastAsia" w:ascii="宋体" w:hAnsi="宋体" w:cs="宋体"/>
                <w:bCs/>
                <w:sz w:val="24"/>
                <w:szCs w:val="24"/>
                <w:highlight w:val="none"/>
                <w:lang w:val="en-US" w:eastAsia="zh-CN"/>
              </w:rPr>
              <w:t>项目</w:t>
            </w:r>
            <w:r>
              <w:rPr>
                <w:rFonts w:hint="eastAsia" w:ascii="宋体" w:hAnsi="宋体" w:eastAsia="宋体" w:cs="宋体"/>
                <w:bCs/>
                <w:sz w:val="24"/>
                <w:szCs w:val="24"/>
                <w:highlight w:val="none"/>
              </w:rPr>
              <w:t>勘点、点位图</w:t>
            </w:r>
            <w:r>
              <w:rPr>
                <w:rFonts w:hint="eastAsia" w:ascii="宋体" w:hAnsi="宋体" w:eastAsia="宋体" w:cs="宋体"/>
                <w:bCs/>
                <w:sz w:val="24"/>
                <w:szCs w:val="24"/>
                <w:highlight w:val="none"/>
                <w:lang w:val="en-US" w:eastAsia="zh-CN"/>
              </w:rPr>
              <w:t>了解详细、全面的</w:t>
            </w:r>
            <w:r>
              <w:rPr>
                <w:rFonts w:hint="eastAsia" w:ascii="宋体" w:hAnsi="宋体" w:eastAsia="宋体" w:cs="宋体"/>
                <w:bCs/>
                <w:sz w:val="24"/>
                <w:szCs w:val="24"/>
                <w:highlight w:val="none"/>
              </w:rPr>
              <w:t>得5分；</w:t>
            </w:r>
          </w:p>
          <w:p w14:paraId="035065CE">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w:t>
            </w:r>
            <w:r>
              <w:rPr>
                <w:rFonts w:hint="eastAsia" w:ascii="宋体" w:hAnsi="宋体" w:cs="宋体"/>
                <w:bCs/>
                <w:sz w:val="24"/>
                <w:szCs w:val="24"/>
                <w:highlight w:val="none"/>
                <w:lang w:val="en-US" w:eastAsia="zh-CN"/>
              </w:rPr>
              <w:t>项目</w:t>
            </w:r>
            <w:r>
              <w:rPr>
                <w:rFonts w:hint="eastAsia" w:ascii="宋体" w:hAnsi="宋体" w:eastAsia="宋体" w:cs="宋体"/>
                <w:bCs/>
                <w:sz w:val="24"/>
                <w:szCs w:val="24"/>
                <w:highlight w:val="none"/>
              </w:rPr>
              <w:t>勘点、点位图</w:t>
            </w:r>
            <w:r>
              <w:rPr>
                <w:rFonts w:hint="eastAsia" w:ascii="宋体" w:hAnsi="宋体" w:eastAsia="宋体" w:cs="宋体"/>
                <w:bCs/>
                <w:sz w:val="24"/>
                <w:szCs w:val="24"/>
                <w:highlight w:val="none"/>
                <w:lang w:val="en-US" w:eastAsia="zh-CN"/>
              </w:rPr>
              <w:t>了解较详细、较全面的</w:t>
            </w:r>
            <w:r>
              <w:rPr>
                <w:rFonts w:hint="eastAsia" w:ascii="宋体" w:hAnsi="宋体" w:eastAsia="宋体" w:cs="宋体"/>
                <w:bCs/>
                <w:sz w:val="24"/>
                <w:szCs w:val="24"/>
                <w:highlight w:val="none"/>
              </w:rPr>
              <w:t>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14:paraId="13E4A418">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③</w:t>
            </w:r>
            <w:r>
              <w:rPr>
                <w:rFonts w:hint="eastAsia" w:ascii="宋体" w:hAnsi="宋体" w:cs="宋体"/>
                <w:bCs/>
                <w:sz w:val="24"/>
                <w:szCs w:val="24"/>
                <w:highlight w:val="none"/>
                <w:lang w:val="en-US" w:eastAsia="zh-CN"/>
              </w:rPr>
              <w:t>项目</w:t>
            </w:r>
            <w:r>
              <w:rPr>
                <w:rFonts w:hint="eastAsia" w:ascii="宋体" w:hAnsi="宋体" w:eastAsia="宋体" w:cs="宋体"/>
                <w:bCs/>
                <w:sz w:val="24"/>
                <w:szCs w:val="24"/>
                <w:highlight w:val="none"/>
              </w:rPr>
              <w:t>勘点、点位图</w:t>
            </w:r>
            <w:r>
              <w:rPr>
                <w:rFonts w:hint="eastAsia" w:ascii="宋体" w:hAnsi="宋体" w:eastAsia="宋体" w:cs="宋体"/>
                <w:bCs/>
                <w:sz w:val="24"/>
                <w:szCs w:val="24"/>
                <w:highlight w:val="none"/>
                <w:lang w:val="en-US" w:eastAsia="zh-CN"/>
              </w:rPr>
              <w:t>了解简单、不全面的</w:t>
            </w:r>
            <w:r>
              <w:rPr>
                <w:rFonts w:hint="eastAsia" w:ascii="宋体" w:hAnsi="宋体" w:eastAsia="宋体" w:cs="宋体"/>
                <w:bCs/>
                <w:sz w:val="24"/>
                <w:szCs w:val="24"/>
                <w:highlight w:val="none"/>
              </w:rPr>
              <w:t>得</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分；</w:t>
            </w:r>
          </w:p>
          <w:p w14:paraId="0ABFF1DD">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④未提供的得0分。</w:t>
            </w:r>
          </w:p>
        </w:tc>
        <w:tc>
          <w:tcPr>
            <w:tcW w:w="837" w:type="dxa"/>
            <w:noWrap w:val="0"/>
            <w:vAlign w:val="center"/>
          </w:tcPr>
          <w:p w14:paraId="5301484B">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5</w:t>
            </w:r>
          </w:p>
        </w:tc>
        <w:tc>
          <w:tcPr>
            <w:tcW w:w="765" w:type="dxa"/>
            <w:noWrap w:val="0"/>
            <w:vAlign w:val="center"/>
          </w:tcPr>
          <w:p w14:paraId="5B45DE73">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主观评审</w:t>
            </w:r>
          </w:p>
        </w:tc>
      </w:tr>
      <w:tr w14:paraId="309A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2C6E668A">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1602" w:type="dxa"/>
            <w:noWrap w:val="0"/>
            <w:vAlign w:val="center"/>
          </w:tcPr>
          <w:p w14:paraId="5ED1E93C">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系统保障方案</w:t>
            </w:r>
          </w:p>
        </w:tc>
        <w:tc>
          <w:tcPr>
            <w:tcW w:w="5982" w:type="dxa"/>
            <w:noWrap w:val="0"/>
            <w:vAlign w:val="center"/>
          </w:tcPr>
          <w:p w14:paraId="1A67E241">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根据供应商对本项目的系统保障方案进行综合评审：</w:t>
            </w:r>
          </w:p>
          <w:p w14:paraId="328876A4">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①</w:t>
            </w:r>
            <w:r>
              <w:rPr>
                <w:rFonts w:hint="eastAsia" w:ascii="宋体" w:hAnsi="宋体" w:eastAsia="宋体" w:cs="宋体"/>
                <w:bCs/>
                <w:sz w:val="24"/>
                <w:szCs w:val="24"/>
                <w:highlight w:val="none"/>
                <w:lang w:val="en-US" w:eastAsia="zh-CN"/>
              </w:rPr>
              <w:t>系统保障方案描述具体详细，切实可行的得5分；</w:t>
            </w:r>
          </w:p>
          <w:p w14:paraId="1163EED9">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②</w:t>
            </w:r>
            <w:r>
              <w:rPr>
                <w:rFonts w:hint="eastAsia" w:ascii="宋体" w:hAnsi="宋体" w:eastAsia="宋体" w:cs="宋体"/>
                <w:bCs/>
                <w:sz w:val="24"/>
                <w:szCs w:val="24"/>
                <w:highlight w:val="none"/>
                <w:lang w:val="en-US" w:eastAsia="zh-CN"/>
              </w:rPr>
              <w:t>系统保障方案描述较为具体详细，较切实可行的得3分；</w:t>
            </w:r>
          </w:p>
          <w:p w14:paraId="28FFADBC">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③系统保障方案描述笼统，可行性较差的得1分；</w:t>
            </w:r>
          </w:p>
          <w:p w14:paraId="73DA68F7">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④</w:t>
            </w:r>
            <w:r>
              <w:rPr>
                <w:rFonts w:hint="eastAsia" w:ascii="宋体" w:hAnsi="宋体" w:eastAsia="宋体" w:cs="宋体"/>
                <w:bCs/>
                <w:sz w:val="24"/>
                <w:szCs w:val="24"/>
                <w:highlight w:val="none"/>
                <w:lang w:val="en-US" w:eastAsia="zh-CN"/>
              </w:rPr>
              <w:t>未提供的得0分。</w:t>
            </w:r>
          </w:p>
        </w:tc>
        <w:tc>
          <w:tcPr>
            <w:tcW w:w="837" w:type="dxa"/>
            <w:noWrap w:val="0"/>
            <w:vAlign w:val="center"/>
          </w:tcPr>
          <w:p w14:paraId="3AAF9E74">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5</w:t>
            </w:r>
          </w:p>
        </w:tc>
        <w:tc>
          <w:tcPr>
            <w:tcW w:w="765" w:type="dxa"/>
            <w:noWrap w:val="0"/>
            <w:vAlign w:val="center"/>
          </w:tcPr>
          <w:p w14:paraId="1E049FAF">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主观评审</w:t>
            </w:r>
          </w:p>
        </w:tc>
      </w:tr>
      <w:tr w14:paraId="5392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5A02613A">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1602" w:type="dxa"/>
            <w:noWrap w:val="0"/>
            <w:vAlign w:val="center"/>
          </w:tcPr>
          <w:p w14:paraId="1BCDCEF0">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日常巡检方案</w:t>
            </w:r>
          </w:p>
        </w:tc>
        <w:tc>
          <w:tcPr>
            <w:tcW w:w="5982" w:type="dxa"/>
            <w:noWrap w:val="0"/>
            <w:vAlign w:val="center"/>
          </w:tcPr>
          <w:p w14:paraId="18EC1021">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根据供应商对本项目的日常巡检方案进行综合评审：</w:t>
            </w:r>
          </w:p>
          <w:p w14:paraId="4A99CC6C">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rPr>
              <w:t>①</w:t>
            </w:r>
            <w:r>
              <w:rPr>
                <w:rFonts w:hint="eastAsia" w:ascii="宋体" w:hAnsi="宋体" w:eastAsia="宋体" w:cs="宋体"/>
                <w:bCs/>
                <w:sz w:val="24"/>
                <w:szCs w:val="24"/>
                <w:lang w:val="en-US" w:eastAsia="zh-CN"/>
              </w:rPr>
              <w:t>巡检方案描述具体详细，切实可行的得5分；</w:t>
            </w:r>
          </w:p>
          <w:p w14:paraId="2AF8CFE1">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rPr>
              <w:t>②</w:t>
            </w:r>
            <w:r>
              <w:rPr>
                <w:rFonts w:hint="eastAsia" w:ascii="宋体" w:hAnsi="宋体" w:eastAsia="宋体" w:cs="宋体"/>
                <w:bCs/>
                <w:sz w:val="24"/>
                <w:szCs w:val="24"/>
                <w:lang w:val="en-US" w:eastAsia="zh-CN"/>
              </w:rPr>
              <w:t>巡检方案描述较为具体详细，较切实可行的得3分；</w:t>
            </w:r>
          </w:p>
          <w:p w14:paraId="7C4ACA97">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lang w:val="en-US" w:eastAsia="zh-CN"/>
              </w:rPr>
              <w:t>③</w:t>
            </w:r>
            <w:r>
              <w:rPr>
                <w:rFonts w:hint="eastAsia" w:ascii="宋体" w:hAnsi="宋体" w:eastAsia="宋体" w:cs="宋体"/>
                <w:bCs/>
                <w:sz w:val="24"/>
                <w:szCs w:val="24"/>
                <w:lang w:val="en-US" w:eastAsia="zh-CN"/>
              </w:rPr>
              <w:t>巡检方案描述笼统，可行性较差的得1分；</w:t>
            </w:r>
          </w:p>
          <w:p w14:paraId="04465C17">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rPr>
              <w:t>④</w:t>
            </w:r>
            <w:r>
              <w:rPr>
                <w:rFonts w:hint="eastAsia" w:ascii="宋体" w:hAnsi="宋体" w:eastAsia="宋体" w:cs="宋体"/>
                <w:bCs/>
                <w:sz w:val="24"/>
                <w:szCs w:val="24"/>
                <w:lang w:val="en-US" w:eastAsia="zh-CN"/>
              </w:rPr>
              <w:t>未提供的得0分。</w:t>
            </w:r>
          </w:p>
        </w:tc>
        <w:tc>
          <w:tcPr>
            <w:tcW w:w="837" w:type="dxa"/>
            <w:noWrap w:val="0"/>
            <w:vAlign w:val="center"/>
          </w:tcPr>
          <w:p w14:paraId="21294457">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red"/>
                <w:lang w:val="en-US" w:eastAsia="zh-CN"/>
              </w:rPr>
            </w:pPr>
            <w:r>
              <w:rPr>
                <w:rFonts w:hint="eastAsia" w:ascii="宋体" w:hAnsi="宋体" w:eastAsia="宋体" w:cs="宋体"/>
                <w:bCs/>
                <w:sz w:val="24"/>
                <w:szCs w:val="24"/>
              </w:rPr>
              <w:t>5</w:t>
            </w:r>
          </w:p>
        </w:tc>
        <w:tc>
          <w:tcPr>
            <w:tcW w:w="765" w:type="dxa"/>
            <w:noWrap w:val="0"/>
            <w:vAlign w:val="center"/>
          </w:tcPr>
          <w:p w14:paraId="16D8DEF3">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主观评审</w:t>
            </w:r>
          </w:p>
        </w:tc>
      </w:tr>
      <w:tr w14:paraId="0878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083B583D">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1602" w:type="dxa"/>
            <w:noWrap w:val="0"/>
            <w:vAlign w:val="center"/>
          </w:tcPr>
          <w:p w14:paraId="52BBFFF6">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val="en-US" w:eastAsia="zh-CN"/>
              </w:rPr>
              <w:t>故障修复方案</w:t>
            </w:r>
          </w:p>
        </w:tc>
        <w:tc>
          <w:tcPr>
            <w:tcW w:w="5982" w:type="dxa"/>
            <w:noWrap w:val="0"/>
            <w:vAlign w:val="center"/>
          </w:tcPr>
          <w:p w14:paraId="7A0BD174">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根据供应商对本项目的故障修复方案进行综合评审：</w:t>
            </w:r>
          </w:p>
          <w:p w14:paraId="1F4C2818">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rPr>
              <w:t>①</w:t>
            </w:r>
            <w:r>
              <w:rPr>
                <w:rFonts w:hint="eastAsia" w:ascii="宋体" w:hAnsi="宋体" w:eastAsia="宋体" w:cs="宋体"/>
                <w:bCs/>
                <w:sz w:val="24"/>
                <w:szCs w:val="24"/>
                <w:lang w:val="en-US" w:eastAsia="zh-CN"/>
              </w:rPr>
              <w:t>故障修复方案描述具体详细，切实可行的得5分；</w:t>
            </w:r>
          </w:p>
          <w:p w14:paraId="75562BCC">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rPr>
              <w:t>②</w:t>
            </w:r>
            <w:r>
              <w:rPr>
                <w:rFonts w:hint="eastAsia" w:ascii="宋体" w:hAnsi="宋体" w:eastAsia="宋体" w:cs="宋体"/>
                <w:bCs/>
                <w:sz w:val="24"/>
                <w:szCs w:val="24"/>
                <w:lang w:val="en-US" w:eastAsia="zh-CN"/>
              </w:rPr>
              <w:t>故障修复方案描述较为具体详细，较切实可行的得3分；</w:t>
            </w:r>
          </w:p>
          <w:p w14:paraId="6A1AEAA3">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lang w:val="en-US" w:eastAsia="zh-CN"/>
              </w:rPr>
              <w:t>③</w:t>
            </w:r>
            <w:r>
              <w:rPr>
                <w:rFonts w:hint="eastAsia" w:ascii="宋体" w:hAnsi="宋体" w:eastAsia="宋体" w:cs="宋体"/>
                <w:bCs/>
                <w:sz w:val="24"/>
                <w:szCs w:val="24"/>
                <w:lang w:val="en-US" w:eastAsia="zh-CN"/>
              </w:rPr>
              <w:t>故障修复方案描述笼统，可行性较差的得1分；</w:t>
            </w:r>
          </w:p>
          <w:p w14:paraId="6AE84A21">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highlight w:val="none"/>
              </w:rPr>
              <w:t>④</w:t>
            </w:r>
            <w:r>
              <w:rPr>
                <w:rFonts w:hint="eastAsia" w:ascii="宋体" w:hAnsi="宋体" w:eastAsia="宋体" w:cs="宋体"/>
                <w:bCs/>
                <w:sz w:val="24"/>
                <w:szCs w:val="24"/>
                <w:lang w:val="en-US" w:eastAsia="zh-CN"/>
              </w:rPr>
              <w:t>未提供的得0分。</w:t>
            </w:r>
          </w:p>
        </w:tc>
        <w:tc>
          <w:tcPr>
            <w:tcW w:w="837" w:type="dxa"/>
            <w:noWrap w:val="0"/>
            <w:vAlign w:val="center"/>
          </w:tcPr>
          <w:p w14:paraId="1D220909">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rPr>
              <w:t>5</w:t>
            </w:r>
          </w:p>
        </w:tc>
        <w:tc>
          <w:tcPr>
            <w:tcW w:w="765" w:type="dxa"/>
            <w:noWrap w:val="0"/>
            <w:vAlign w:val="center"/>
          </w:tcPr>
          <w:p w14:paraId="7CAA7DCE">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eastAsia="zh-CN"/>
              </w:rPr>
              <w:t>主观评审</w:t>
            </w:r>
          </w:p>
        </w:tc>
      </w:tr>
      <w:tr w14:paraId="5A8E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4368D821">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602" w:type="dxa"/>
            <w:noWrap w:val="0"/>
            <w:vAlign w:val="center"/>
          </w:tcPr>
          <w:p w14:paraId="4C12FF57">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val="en-US" w:eastAsia="zh-CN"/>
              </w:rPr>
              <w:t>点位迁移方案</w:t>
            </w:r>
          </w:p>
        </w:tc>
        <w:tc>
          <w:tcPr>
            <w:tcW w:w="5982" w:type="dxa"/>
            <w:noWrap w:val="0"/>
            <w:vAlign w:val="center"/>
          </w:tcPr>
          <w:p w14:paraId="4ADBA2CB">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根据供应商对本项目的点位迁移方案进行综合评审：</w:t>
            </w:r>
          </w:p>
          <w:p w14:paraId="1A673A16">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rPr>
              <w:t>①</w:t>
            </w:r>
            <w:r>
              <w:rPr>
                <w:rFonts w:hint="eastAsia" w:ascii="宋体" w:hAnsi="宋体" w:eastAsia="宋体" w:cs="宋体"/>
                <w:bCs/>
                <w:sz w:val="24"/>
                <w:szCs w:val="24"/>
                <w:lang w:val="en-US" w:eastAsia="zh-CN"/>
              </w:rPr>
              <w:t>点位迁移方案描述具体详细，切实可行的得5分；</w:t>
            </w:r>
          </w:p>
          <w:p w14:paraId="2003AF00">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rPr>
              <w:t>②</w:t>
            </w:r>
            <w:r>
              <w:rPr>
                <w:rFonts w:hint="eastAsia" w:ascii="宋体" w:hAnsi="宋体" w:eastAsia="宋体" w:cs="宋体"/>
                <w:bCs/>
                <w:sz w:val="24"/>
                <w:szCs w:val="24"/>
                <w:lang w:val="en-US" w:eastAsia="zh-CN"/>
              </w:rPr>
              <w:t>点位迁移方案描述较为具体详细，较切实可行的得3分；</w:t>
            </w:r>
          </w:p>
          <w:p w14:paraId="52E238E2">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lang w:val="en-US" w:eastAsia="zh-CN"/>
              </w:rPr>
              <w:t>③</w:t>
            </w:r>
            <w:r>
              <w:rPr>
                <w:rFonts w:hint="eastAsia" w:ascii="宋体" w:hAnsi="宋体" w:eastAsia="宋体" w:cs="宋体"/>
                <w:bCs/>
                <w:sz w:val="24"/>
                <w:szCs w:val="24"/>
                <w:lang w:val="en-US" w:eastAsia="zh-CN"/>
              </w:rPr>
              <w:t>点位迁移方案描述笼统，可行性较差的得1分；</w:t>
            </w:r>
          </w:p>
          <w:p w14:paraId="5D8B8797">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highlight w:val="none"/>
              </w:rPr>
              <w:t>④</w:t>
            </w:r>
            <w:r>
              <w:rPr>
                <w:rFonts w:hint="eastAsia" w:ascii="宋体" w:hAnsi="宋体" w:eastAsia="宋体" w:cs="宋体"/>
                <w:bCs/>
                <w:sz w:val="24"/>
                <w:szCs w:val="24"/>
                <w:lang w:val="en-US" w:eastAsia="zh-CN"/>
              </w:rPr>
              <w:t>未提供的得0分。</w:t>
            </w:r>
          </w:p>
        </w:tc>
        <w:tc>
          <w:tcPr>
            <w:tcW w:w="837" w:type="dxa"/>
            <w:noWrap w:val="0"/>
            <w:vAlign w:val="center"/>
          </w:tcPr>
          <w:p w14:paraId="011B40BC">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rPr>
              <w:t>5</w:t>
            </w:r>
          </w:p>
        </w:tc>
        <w:tc>
          <w:tcPr>
            <w:tcW w:w="765" w:type="dxa"/>
            <w:noWrap w:val="0"/>
            <w:vAlign w:val="center"/>
          </w:tcPr>
          <w:p w14:paraId="4826537A">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eastAsia="zh-CN"/>
              </w:rPr>
              <w:t>主观评审</w:t>
            </w:r>
          </w:p>
        </w:tc>
      </w:tr>
      <w:tr w14:paraId="7697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55F17B11">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1602" w:type="dxa"/>
            <w:noWrap w:val="0"/>
            <w:vAlign w:val="center"/>
          </w:tcPr>
          <w:p w14:paraId="3EA92846">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val="en-US" w:eastAsia="zh-CN"/>
              </w:rPr>
              <w:t>应急保障方案和重大节假日方案</w:t>
            </w:r>
          </w:p>
        </w:tc>
        <w:tc>
          <w:tcPr>
            <w:tcW w:w="5982" w:type="dxa"/>
            <w:noWrap w:val="0"/>
            <w:vAlign w:val="center"/>
          </w:tcPr>
          <w:p w14:paraId="2F1EAEBB">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根据供应商对本项目的应急保障方案和重大节假日方案进行综合评审：</w:t>
            </w:r>
          </w:p>
          <w:p w14:paraId="7C461B83">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rPr>
              <w:t>①</w:t>
            </w:r>
            <w:r>
              <w:rPr>
                <w:rFonts w:hint="eastAsia" w:ascii="宋体" w:hAnsi="宋体" w:eastAsia="宋体" w:cs="宋体"/>
                <w:bCs/>
                <w:sz w:val="24"/>
                <w:szCs w:val="24"/>
                <w:lang w:val="en-US" w:eastAsia="zh-CN"/>
              </w:rPr>
              <w:t>应急保障方案和重大节假日方案描述具体详细，切实可行的得5分；</w:t>
            </w:r>
          </w:p>
          <w:p w14:paraId="09F40453">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rPr>
              <w:t>②</w:t>
            </w:r>
            <w:r>
              <w:rPr>
                <w:rFonts w:hint="eastAsia" w:ascii="宋体" w:hAnsi="宋体" w:eastAsia="宋体" w:cs="宋体"/>
                <w:bCs/>
                <w:sz w:val="24"/>
                <w:szCs w:val="24"/>
                <w:lang w:val="en-US" w:eastAsia="zh-CN"/>
              </w:rPr>
              <w:t>应急保障方案和重大节假日方案描述较为具体详细，较切实可行的得3分；</w:t>
            </w:r>
          </w:p>
          <w:p w14:paraId="783FBE65">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lang w:val="en-US" w:eastAsia="zh-CN"/>
              </w:rPr>
              <w:t>③</w:t>
            </w:r>
            <w:r>
              <w:rPr>
                <w:rFonts w:hint="eastAsia" w:ascii="宋体" w:hAnsi="宋体" w:eastAsia="宋体" w:cs="宋体"/>
                <w:bCs/>
                <w:sz w:val="24"/>
                <w:szCs w:val="24"/>
                <w:lang w:val="en-US" w:eastAsia="zh-CN"/>
              </w:rPr>
              <w:t>应急保障方案和重大节假日方案描述笼统，可行性较差的得1分；</w:t>
            </w:r>
          </w:p>
          <w:p w14:paraId="64DF6ABC">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highlight w:val="none"/>
              </w:rPr>
              <w:t>④</w:t>
            </w:r>
            <w:r>
              <w:rPr>
                <w:rFonts w:hint="eastAsia" w:ascii="宋体" w:hAnsi="宋体" w:eastAsia="宋体" w:cs="宋体"/>
                <w:bCs/>
                <w:sz w:val="24"/>
                <w:szCs w:val="24"/>
                <w:lang w:val="en-US" w:eastAsia="zh-CN"/>
              </w:rPr>
              <w:t>未提供的得0分。</w:t>
            </w:r>
          </w:p>
        </w:tc>
        <w:tc>
          <w:tcPr>
            <w:tcW w:w="837" w:type="dxa"/>
            <w:noWrap w:val="0"/>
            <w:vAlign w:val="center"/>
          </w:tcPr>
          <w:p w14:paraId="1BB09206">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rPr>
              <w:t>5</w:t>
            </w:r>
          </w:p>
        </w:tc>
        <w:tc>
          <w:tcPr>
            <w:tcW w:w="765" w:type="dxa"/>
            <w:noWrap w:val="0"/>
            <w:vAlign w:val="center"/>
          </w:tcPr>
          <w:p w14:paraId="1AB50127">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eastAsia="zh-CN"/>
              </w:rPr>
              <w:t>主观评审</w:t>
            </w:r>
          </w:p>
        </w:tc>
      </w:tr>
      <w:tr w14:paraId="05B3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34ACC135">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1602" w:type="dxa"/>
            <w:noWrap w:val="0"/>
            <w:vAlign w:val="center"/>
          </w:tcPr>
          <w:p w14:paraId="097BFA0D">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val="en-US" w:eastAsia="zh-CN"/>
              </w:rPr>
              <w:t>网络安全方案</w:t>
            </w:r>
          </w:p>
        </w:tc>
        <w:tc>
          <w:tcPr>
            <w:tcW w:w="5982" w:type="dxa"/>
            <w:noWrap w:val="0"/>
            <w:vAlign w:val="center"/>
          </w:tcPr>
          <w:p w14:paraId="25266FA5">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根据供应商对本项目的网络安全方案进行综合评审：</w:t>
            </w:r>
          </w:p>
          <w:p w14:paraId="20D1D1CF">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rPr>
              <w:t>①</w:t>
            </w:r>
            <w:r>
              <w:rPr>
                <w:rFonts w:hint="eastAsia" w:ascii="宋体" w:hAnsi="宋体" w:eastAsia="宋体" w:cs="宋体"/>
                <w:bCs/>
                <w:sz w:val="24"/>
                <w:szCs w:val="24"/>
                <w:lang w:val="en-US" w:eastAsia="zh-CN"/>
              </w:rPr>
              <w:t>网络安全方案描述具体详细，切实可行的得5分；</w:t>
            </w:r>
          </w:p>
          <w:p w14:paraId="36254F89">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rPr>
              <w:t>②</w:t>
            </w:r>
            <w:r>
              <w:rPr>
                <w:rFonts w:hint="eastAsia" w:ascii="宋体" w:hAnsi="宋体" w:eastAsia="宋体" w:cs="宋体"/>
                <w:bCs/>
                <w:sz w:val="24"/>
                <w:szCs w:val="24"/>
                <w:lang w:val="en-US" w:eastAsia="zh-CN"/>
              </w:rPr>
              <w:t>网络安全方案描述较为具体详细，较切实可行的得3分；</w:t>
            </w:r>
          </w:p>
          <w:p w14:paraId="6AB63D94">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lang w:val="en-US" w:eastAsia="zh-CN"/>
              </w:rPr>
              <w:t>③</w:t>
            </w:r>
            <w:r>
              <w:rPr>
                <w:rFonts w:hint="eastAsia" w:ascii="宋体" w:hAnsi="宋体" w:eastAsia="宋体" w:cs="宋体"/>
                <w:bCs/>
                <w:sz w:val="24"/>
                <w:szCs w:val="24"/>
                <w:lang w:val="en-US" w:eastAsia="zh-CN"/>
              </w:rPr>
              <w:t>网络安全方案描述笼统，可行性较差的得1分；</w:t>
            </w:r>
          </w:p>
          <w:p w14:paraId="777D1C51">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highlight w:val="none"/>
              </w:rPr>
              <w:t>④</w:t>
            </w:r>
            <w:r>
              <w:rPr>
                <w:rFonts w:hint="eastAsia" w:ascii="宋体" w:hAnsi="宋体" w:eastAsia="宋体" w:cs="宋体"/>
                <w:bCs/>
                <w:sz w:val="24"/>
                <w:szCs w:val="24"/>
                <w:lang w:val="en-US" w:eastAsia="zh-CN"/>
              </w:rPr>
              <w:t>未提供的得0分。</w:t>
            </w:r>
          </w:p>
        </w:tc>
        <w:tc>
          <w:tcPr>
            <w:tcW w:w="837" w:type="dxa"/>
            <w:noWrap w:val="0"/>
            <w:vAlign w:val="center"/>
          </w:tcPr>
          <w:p w14:paraId="7976F825">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rPr>
              <w:t>5</w:t>
            </w:r>
          </w:p>
        </w:tc>
        <w:tc>
          <w:tcPr>
            <w:tcW w:w="765" w:type="dxa"/>
            <w:noWrap w:val="0"/>
            <w:vAlign w:val="center"/>
          </w:tcPr>
          <w:p w14:paraId="555D6A7D">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eastAsia="zh-CN"/>
              </w:rPr>
              <w:t>主观评审</w:t>
            </w:r>
          </w:p>
        </w:tc>
      </w:tr>
      <w:tr w14:paraId="3A37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5BFC95AA">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1602" w:type="dxa"/>
            <w:noWrap w:val="0"/>
            <w:vAlign w:val="center"/>
          </w:tcPr>
          <w:p w14:paraId="78089C3B">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val="en-US" w:eastAsia="zh-CN"/>
              </w:rPr>
              <w:t>耗材及主要设备更换方案</w:t>
            </w:r>
          </w:p>
        </w:tc>
        <w:tc>
          <w:tcPr>
            <w:tcW w:w="5982" w:type="dxa"/>
            <w:noWrap w:val="0"/>
            <w:vAlign w:val="center"/>
          </w:tcPr>
          <w:p w14:paraId="6D9F9ADB">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sz w:val="24"/>
                <w:szCs w:val="24"/>
                <w:lang w:val="en-US" w:eastAsia="zh-CN"/>
              </w:rPr>
              <w:t>根据</w:t>
            </w:r>
            <w:r>
              <w:rPr>
                <w:rFonts w:hint="eastAsia" w:ascii="宋体" w:hAnsi="宋体" w:eastAsia="宋体" w:cs="宋体"/>
                <w:bCs/>
                <w:color w:val="auto"/>
                <w:sz w:val="24"/>
                <w:szCs w:val="24"/>
                <w:highlight w:val="none"/>
                <w:lang w:val="en-US" w:eastAsia="zh-CN"/>
              </w:rPr>
              <w:t>供应商对本项目的耗材及主要设备更换方案进行综合评审：</w:t>
            </w:r>
          </w:p>
          <w:p w14:paraId="4BD76C75">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sz w:val="24"/>
                <w:szCs w:val="24"/>
                <w:highlight w:val="none"/>
              </w:rPr>
              <w:t>①</w:t>
            </w:r>
            <w:r>
              <w:rPr>
                <w:rFonts w:hint="eastAsia" w:ascii="宋体" w:hAnsi="宋体" w:eastAsia="宋体" w:cs="宋体"/>
                <w:bCs/>
                <w:color w:val="auto"/>
                <w:sz w:val="24"/>
                <w:szCs w:val="24"/>
                <w:highlight w:val="none"/>
                <w:lang w:val="en-US" w:eastAsia="zh-CN"/>
              </w:rPr>
              <w:t>耗材及主要设备更换方案描述具体详细，切实可行的得5分；</w:t>
            </w:r>
          </w:p>
          <w:p w14:paraId="0DF3DDB0">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sz w:val="24"/>
                <w:szCs w:val="24"/>
                <w:highlight w:val="none"/>
              </w:rPr>
              <w:t>②</w:t>
            </w:r>
            <w:r>
              <w:rPr>
                <w:rFonts w:hint="eastAsia" w:ascii="宋体" w:hAnsi="宋体" w:eastAsia="宋体" w:cs="宋体"/>
                <w:bCs/>
                <w:color w:val="auto"/>
                <w:sz w:val="24"/>
                <w:szCs w:val="24"/>
                <w:highlight w:val="none"/>
                <w:lang w:val="en-US" w:eastAsia="zh-CN"/>
              </w:rPr>
              <w:t>耗材及主要设备更换方案描述较为具体详细，较切实可行的得3分；</w:t>
            </w:r>
          </w:p>
          <w:p w14:paraId="715FB713">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sz w:val="24"/>
                <w:szCs w:val="24"/>
                <w:highlight w:val="none"/>
                <w:lang w:val="en-US" w:eastAsia="zh-CN"/>
              </w:rPr>
              <w:t>③</w:t>
            </w:r>
            <w:r>
              <w:rPr>
                <w:rFonts w:hint="eastAsia" w:ascii="宋体" w:hAnsi="宋体" w:eastAsia="宋体" w:cs="宋体"/>
                <w:bCs/>
                <w:color w:val="auto"/>
                <w:sz w:val="24"/>
                <w:szCs w:val="24"/>
                <w:highlight w:val="none"/>
                <w:lang w:val="en-US" w:eastAsia="zh-CN"/>
              </w:rPr>
              <w:t>耗材及主要设备更换方案描述笼统，可行性较差的得1分；</w:t>
            </w:r>
          </w:p>
          <w:p w14:paraId="36DE4D2F">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sz w:val="24"/>
                <w:szCs w:val="24"/>
                <w:highlight w:val="none"/>
              </w:rPr>
              <w:t>④</w:t>
            </w:r>
            <w:r>
              <w:rPr>
                <w:rFonts w:hint="eastAsia" w:ascii="宋体" w:hAnsi="宋体" w:eastAsia="宋体" w:cs="宋体"/>
                <w:bCs/>
                <w:color w:val="auto"/>
                <w:sz w:val="24"/>
                <w:szCs w:val="24"/>
                <w:highlight w:val="none"/>
                <w:lang w:val="en-US" w:eastAsia="zh-CN"/>
              </w:rPr>
              <w:t>未提供的得0分。</w:t>
            </w:r>
          </w:p>
        </w:tc>
        <w:tc>
          <w:tcPr>
            <w:tcW w:w="837" w:type="dxa"/>
            <w:noWrap w:val="0"/>
            <w:vAlign w:val="center"/>
          </w:tcPr>
          <w:p w14:paraId="02F1DC2F">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zh-CN" w:eastAsia="zh-CN" w:bidi="ar-SA"/>
              </w:rPr>
            </w:pPr>
            <w:r>
              <w:rPr>
                <w:rFonts w:hint="eastAsia" w:ascii="宋体" w:hAnsi="宋体" w:eastAsia="宋体" w:cs="宋体"/>
                <w:bCs/>
                <w:sz w:val="24"/>
                <w:szCs w:val="24"/>
              </w:rPr>
              <w:t>5</w:t>
            </w:r>
          </w:p>
        </w:tc>
        <w:tc>
          <w:tcPr>
            <w:tcW w:w="765" w:type="dxa"/>
            <w:noWrap w:val="0"/>
            <w:vAlign w:val="center"/>
          </w:tcPr>
          <w:p w14:paraId="08FAB6E8">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zh-CN" w:eastAsia="zh-CN" w:bidi="ar-SA"/>
              </w:rPr>
            </w:pPr>
            <w:r>
              <w:rPr>
                <w:rFonts w:hint="eastAsia" w:ascii="宋体" w:hAnsi="宋体" w:eastAsia="宋体" w:cs="宋体"/>
                <w:bCs/>
                <w:sz w:val="24"/>
                <w:szCs w:val="24"/>
                <w:lang w:eastAsia="zh-CN"/>
              </w:rPr>
              <w:t>主观评审</w:t>
            </w:r>
          </w:p>
        </w:tc>
      </w:tr>
      <w:tr w14:paraId="340C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1BC1EC8A">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w:t>
            </w:r>
          </w:p>
        </w:tc>
        <w:tc>
          <w:tcPr>
            <w:tcW w:w="1602" w:type="dxa"/>
            <w:noWrap w:val="0"/>
            <w:vAlign w:val="center"/>
          </w:tcPr>
          <w:p w14:paraId="4E614CAC">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val="en-US" w:eastAsia="zh-CN"/>
              </w:rPr>
              <w:t>备品备件配备</w:t>
            </w:r>
          </w:p>
        </w:tc>
        <w:tc>
          <w:tcPr>
            <w:tcW w:w="5982" w:type="dxa"/>
            <w:noWrap w:val="0"/>
            <w:vAlign w:val="center"/>
          </w:tcPr>
          <w:p w14:paraId="57C12AB2">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根据供应商对本项目的备品备件配备方案进行综合评审：</w:t>
            </w:r>
          </w:p>
          <w:p w14:paraId="6F6CEE65">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sz w:val="24"/>
                <w:szCs w:val="24"/>
                <w:highlight w:val="none"/>
              </w:rPr>
              <w:t>①</w:t>
            </w:r>
            <w:r>
              <w:rPr>
                <w:rFonts w:hint="eastAsia" w:ascii="宋体" w:hAnsi="宋体" w:eastAsia="宋体" w:cs="宋体"/>
                <w:bCs/>
                <w:color w:val="auto"/>
                <w:sz w:val="24"/>
                <w:szCs w:val="24"/>
                <w:highlight w:val="none"/>
                <w:lang w:val="en-US" w:eastAsia="zh-CN"/>
              </w:rPr>
              <w:t>备品备件种类齐全，数量多的得5分；</w:t>
            </w:r>
          </w:p>
          <w:p w14:paraId="3AA0BF7D">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sz w:val="24"/>
                <w:szCs w:val="24"/>
                <w:highlight w:val="none"/>
              </w:rPr>
              <w:t>②</w:t>
            </w:r>
            <w:r>
              <w:rPr>
                <w:rFonts w:hint="eastAsia" w:ascii="宋体" w:hAnsi="宋体" w:eastAsia="宋体" w:cs="宋体"/>
                <w:bCs/>
                <w:color w:val="auto"/>
                <w:sz w:val="24"/>
                <w:szCs w:val="24"/>
                <w:highlight w:val="none"/>
                <w:lang w:val="en-US" w:eastAsia="zh-CN"/>
              </w:rPr>
              <w:t>备品备件种类较齐全，数量较多的得3分；</w:t>
            </w:r>
          </w:p>
          <w:p w14:paraId="4570C711">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sz w:val="24"/>
                <w:szCs w:val="24"/>
                <w:highlight w:val="none"/>
                <w:lang w:val="en-US" w:eastAsia="zh-CN"/>
              </w:rPr>
              <w:t>③</w:t>
            </w:r>
            <w:r>
              <w:rPr>
                <w:rFonts w:hint="eastAsia" w:ascii="宋体" w:hAnsi="宋体" w:eastAsia="宋体" w:cs="宋体"/>
                <w:bCs/>
                <w:color w:val="auto"/>
                <w:sz w:val="24"/>
                <w:szCs w:val="24"/>
                <w:highlight w:val="none"/>
                <w:lang w:val="en-US" w:eastAsia="zh-CN"/>
              </w:rPr>
              <w:t>备品备件种类不够齐全，数量少的得1分；</w:t>
            </w:r>
          </w:p>
          <w:p w14:paraId="60C3356C">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sz w:val="24"/>
                <w:szCs w:val="24"/>
                <w:highlight w:val="none"/>
              </w:rPr>
              <w:t>④</w:t>
            </w:r>
            <w:r>
              <w:rPr>
                <w:rFonts w:hint="eastAsia" w:ascii="宋体" w:hAnsi="宋体" w:eastAsia="宋体" w:cs="宋体"/>
                <w:bCs/>
                <w:color w:val="auto"/>
                <w:sz w:val="24"/>
                <w:szCs w:val="24"/>
                <w:highlight w:val="none"/>
                <w:lang w:val="en-US" w:eastAsia="zh-CN"/>
              </w:rPr>
              <w:t>未提供的得0分。</w:t>
            </w:r>
          </w:p>
        </w:tc>
        <w:tc>
          <w:tcPr>
            <w:tcW w:w="837" w:type="dxa"/>
            <w:noWrap w:val="0"/>
            <w:vAlign w:val="center"/>
          </w:tcPr>
          <w:p w14:paraId="25EE62FA">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highlight w:val="yellow"/>
                <w:lang w:val="zh-CN" w:eastAsia="zh-CN" w:bidi="ar-SA"/>
              </w:rPr>
            </w:pPr>
            <w:r>
              <w:rPr>
                <w:rFonts w:hint="eastAsia" w:ascii="宋体" w:hAnsi="宋体" w:eastAsia="宋体" w:cs="宋体"/>
                <w:bCs/>
                <w:sz w:val="24"/>
                <w:szCs w:val="24"/>
              </w:rPr>
              <w:t>5</w:t>
            </w:r>
          </w:p>
        </w:tc>
        <w:tc>
          <w:tcPr>
            <w:tcW w:w="765" w:type="dxa"/>
            <w:noWrap w:val="0"/>
            <w:vAlign w:val="center"/>
          </w:tcPr>
          <w:p w14:paraId="4A2BA94B">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highlight w:val="yellow"/>
                <w:lang w:val="zh-CN" w:eastAsia="zh-CN" w:bidi="ar-SA"/>
              </w:rPr>
            </w:pPr>
            <w:r>
              <w:rPr>
                <w:rFonts w:hint="eastAsia" w:ascii="宋体" w:hAnsi="宋体" w:eastAsia="宋体" w:cs="宋体"/>
                <w:bCs/>
                <w:sz w:val="24"/>
                <w:szCs w:val="24"/>
                <w:lang w:eastAsia="zh-CN"/>
              </w:rPr>
              <w:t>主观评审</w:t>
            </w:r>
          </w:p>
        </w:tc>
      </w:tr>
      <w:tr w14:paraId="0E9E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2677023C">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1602" w:type="dxa"/>
            <w:noWrap w:val="0"/>
            <w:vAlign w:val="center"/>
          </w:tcPr>
          <w:p w14:paraId="289CA989">
            <w:pPr>
              <w:keepNext w:val="0"/>
              <w:keepLines w:val="0"/>
              <w:pageBreakBefore w:val="0"/>
              <w:widowControl/>
              <w:numPr>
                <w:ilvl w:val="0"/>
                <w:numId w:val="0"/>
              </w:numPr>
              <w:kinsoku/>
              <w:wordWrap/>
              <w:overflowPunct/>
              <w:topLinePunct w:val="0"/>
              <w:autoSpaceDE/>
              <w:autoSpaceDN/>
              <w:bidi w:val="0"/>
              <w:snapToGrid/>
              <w:spacing w:line="240" w:lineRule="auto"/>
              <w:ind w:left="0" w:lef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服务工器具</w:t>
            </w:r>
          </w:p>
        </w:tc>
        <w:tc>
          <w:tcPr>
            <w:tcW w:w="5982" w:type="dxa"/>
            <w:noWrap w:val="0"/>
            <w:vAlign w:val="center"/>
          </w:tcPr>
          <w:p w14:paraId="3D78E8E8">
            <w:pPr>
              <w:keepNext w:val="0"/>
              <w:keepLines w:val="0"/>
              <w:pageBreakBefore w:val="0"/>
              <w:widowControl/>
              <w:numPr>
                <w:ilvl w:val="0"/>
                <w:numId w:val="0"/>
              </w:numPr>
              <w:kinsoku/>
              <w:wordWrap/>
              <w:overflowPunct/>
              <w:topLinePunct w:val="0"/>
              <w:autoSpaceDE/>
              <w:autoSpaceDN/>
              <w:bidi w:val="0"/>
              <w:snapToGrid/>
              <w:spacing w:line="240" w:lineRule="auto"/>
              <w:ind w:left="0" w:lef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评委根据</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针对本项目的服务工器具(车辆、工器具等)的合理性、可行性和科学性进行综合评议：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方案合理、可行性强、科学性强的得5分；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方案较合理、可行性较强、科学性较强的得3分；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方案不够合理，可行性弱、科学性弱的得1分；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完全不符或缺项的，得0分。</w:t>
            </w:r>
          </w:p>
        </w:tc>
        <w:tc>
          <w:tcPr>
            <w:tcW w:w="837" w:type="dxa"/>
            <w:noWrap w:val="0"/>
            <w:vAlign w:val="center"/>
          </w:tcPr>
          <w:p w14:paraId="4B7CA417">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val="en-US" w:eastAsia="zh-CN"/>
              </w:rPr>
              <w:t>5</w:t>
            </w:r>
          </w:p>
        </w:tc>
        <w:tc>
          <w:tcPr>
            <w:tcW w:w="765" w:type="dxa"/>
            <w:noWrap w:val="0"/>
            <w:vAlign w:val="center"/>
          </w:tcPr>
          <w:p w14:paraId="1102EA20">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val="en-US" w:eastAsia="zh-CN"/>
              </w:rPr>
              <w:t>主观评审</w:t>
            </w:r>
          </w:p>
        </w:tc>
      </w:tr>
      <w:tr w14:paraId="7D93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6B757EED">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11</w:t>
            </w:r>
          </w:p>
        </w:tc>
        <w:tc>
          <w:tcPr>
            <w:tcW w:w="1602" w:type="dxa"/>
            <w:noWrap w:val="0"/>
            <w:vAlign w:val="center"/>
          </w:tcPr>
          <w:p w14:paraId="5B405ACD">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val="en-US" w:eastAsia="zh-CN"/>
              </w:rPr>
              <w:t>人员培训方案</w:t>
            </w:r>
          </w:p>
        </w:tc>
        <w:tc>
          <w:tcPr>
            <w:tcW w:w="5982" w:type="dxa"/>
            <w:noWrap w:val="0"/>
            <w:vAlign w:val="center"/>
          </w:tcPr>
          <w:p w14:paraId="7A8EFE31">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0"/>
                <w:sz w:val="24"/>
                <w:szCs w:val="24"/>
              </w:rPr>
              <w:t>根据</w:t>
            </w:r>
            <w:r>
              <w:rPr>
                <w:rFonts w:hint="eastAsia" w:ascii="宋体" w:hAnsi="宋体" w:eastAsia="宋体" w:cs="宋体"/>
                <w:kern w:val="0"/>
                <w:sz w:val="24"/>
                <w:szCs w:val="24"/>
                <w:lang w:val="en-US" w:eastAsia="zh-CN"/>
              </w:rPr>
              <w:t>供应商提供的</w:t>
            </w:r>
            <w:r>
              <w:rPr>
                <w:rFonts w:hint="eastAsia" w:ascii="宋体" w:hAnsi="宋体" w:eastAsia="宋体" w:cs="宋体"/>
                <w:kern w:val="0"/>
                <w:sz w:val="24"/>
                <w:szCs w:val="24"/>
              </w:rPr>
              <w:t>培训方案（包括但不限于：</w:t>
            </w:r>
            <w:r>
              <w:rPr>
                <w:rFonts w:hint="eastAsia" w:ascii="宋体" w:hAnsi="宋体" w:eastAsia="宋体" w:cs="宋体"/>
                <w:kern w:val="0"/>
                <w:sz w:val="24"/>
                <w:szCs w:val="24"/>
                <w:lang w:val="en-US" w:eastAsia="zh-CN"/>
              </w:rPr>
              <w:t>培训目的、</w:t>
            </w:r>
            <w:r>
              <w:rPr>
                <w:rFonts w:hint="eastAsia" w:ascii="宋体" w:hAnsi="宋体" w:eastAsia="宋体" w:cs="宋体"/>
                <w:kern w:val="0"/>
                <w:sz w:val="24"/>
                <w:szCs w:val="24"/>
              </w:rPr>
              <w:t>培训课程、培训人</w:t>
            </w:r>
            <w:r>
              <w:rPr>
                <w:rFonts w:hint="eastAsia" w:ascii="宋体" w:hAnsi="宋体" w:eastAsia="宋体" w:cs="宋体"/>
                <w:kern w:val="0"/>
                <w:sz w:val="24"/>
                <w:szCs w:val="24"/>
                <w:lang w:eastAsia="zh-CN"/>
              </w:rPr>
              <w:t>数</w:t>
            </w:r>
            <w:r>
              <w:rPr>
                <w:rFonts w:hint="eastAsia" w:ascii="宋体" w:hAnsi="宋体" w:eastAsia="宋体" w:cs="宋体"/>
                <w:kern w:val="0"/>
                <w:sz w:val="24"/>
                <w:szCs w:val="24"/>
              </w:rPr>
              <w:t>、培训地点、培训实施时间和计划）进行综合评</w:t>
            </w:r>
            <w:r>
              <w:rPr>
                <w:rFonts w:hint="eastAsia" w:ascii="宋体" w:hAnsi="宋体" w:eastAsia="宋体" w:cs="宋体"/>
                <w:kern w:val="0"/>
                <w:sz w:val="24"/>
                <w:szCs w:val="24"/>
                <w:lang w:val="en-US" w:eastAsia="zh-CN"/>
              </w:rPr>
              <w:t>审</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bCs/>
                <w:sz w:val="24"/>
                <w:szCs w:val="24"/>
                <w:highlight w:val="none"/>
              </w:rPr>
              <w:t>①</w:t>
            </w:r>
            <w:r>
              <w:rPr>
                <w:rFonts w:hint="eastAsia" w:ascii="宋体" w:hAnsi="宋体" w:eastAsia="宋体" w:cs="宋体"/>
                <w:kern w:val="0"/>
                <w:sz w:val="24"/>
                <w:szCs w:val="24"/>
              </w:rPr>
              <w:t>培训</w:t>
            </w:r>
            <w:r>
              <w:rPr>
                <w:rFonts w:hint="eastAsia" w:ascii="宋体" w:hAnsi="宋体" w:eastAsia="宋体" w:cs="宋体"/>
                <w:kern w:val="0"/>
                <w:sz w:val="24"/>
                <w:szCs w:val="24"/>
                <w:lang w:val="en-US" w:eastAsia="zh-CN"/>
              </w:rPr>
              <w:t>方案</w:t>
            </w:r>
            <w:r>
              <w:rPr>
                <w:rFonts w:hint="eastAsia" w:ascii="宋体" w:hAnsi="宋体" w:eastAsia="宋体" w:cs="宋体"/>
                <w:kern w:val="0"/>
                <w:sz w:val="24"/>
                <w:szCs w:val="24"/>
              </w:rPr>
              <w:t>符合要求，内容完整、充实、可行的得5分；</w:t>
            </w:r>
            <w:r>
              <w:rPr>
                <w:rFonts w:hint="eastAsia" w:ascii="宋体" w:hAnsi="宋体" w:eastAsia="宋体" w:cs="宋体"/>
                <w:kern w:val="0"/>
                <w:sz w:val="24"/>
                <w:szCs w:val="24"/>
              </w:rPr>
              <w:br w:type="textWrapping"/>
            </w:r>
            <w:r>
              <w:rPr>
                <w:rFonts w:hint="eastAsia" w:ascii="宋体" w:hAnsi="宋体" w:eastAsia="宋体" w:cs="宋体"/>
                <w:bCs/>
                <w:sz w:val="24"/>
                <w:szCs w:val="24"/>
                <w:highlight w:val="none"/>
              </w:rPr>
              <w:t>②</w:t>
            </w:r>
            <w:r>
              <w:rPr>
                <w:rFonts w:hint="eastAsia" w:ascii="宋体" w:hAnsi="宋体" w:eastAsia="宋体" w:cs="宋体"/>
                <w:kern w:val="0"/>
                <w:sz w:val="24"/>
                <w:szCs w:val="24"/>
              </w:rPr>
              <w:t>培训</w:t>
            </w:r>
            <w:r>
              <w:rPr>
                <w:rFonts w:hint="eastAsia" w:ascii="宋体" w:hAnsi="宋体" w:eastAsia="宋体" w:cs="宋体"/>
                <w:kern w:val="0"/>
                <w:sz w:val="24"/>
                <w:szCs w:val="24"/>
                <w:lang w:val="en-US" w:eastAsia="zh-CN"/>
              </w:rPr>
              <w:t>方案</w:t>
            </w:r>
            <w:r>
              <w:rPr>
                <w:rFonts w:hint="eastAsia" w:ascii="宋体" w:hAnsi="宋体" w:eastAsia="宋体" w:cs="宋体"/>
                <w:kern w:val="0"/>
                <w:sz w:val="24"/>
                <w:szCs w:val="24"/>
              </w:rPr>
              <w:t>符合要求，内容完整，但有所欠缺的得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rPr>
              <w:br w:type="textWrapping"/>
            </w:r>
            <w:r>
              <w:rPr>
                <w:rFonts w:hint="eastAsia" w:ascii="宋体" w:hAnsi="宋体" w:eastAsia="宋体" w:cs="宋体"/>
                <w:bCs/>
                <w:sz w:val="24"/>
                <w:szCs w:val="24"/>
                <w:highlight w:val="none"/>
                <w:lang w:val="en-US" w:eastAsia="zh-CN"/>
              </w:rPr>
              <w:t>③</w:t>
            </w:r>
            <w:r>
              <w:rPr>
                <w:rFonts w:hint="eastAsia" w:ascii="宋体" w:hAnsi="宋体" w:eastAsia="宋体" w:cs="宋体"/>
                <w:kern w:val="0"/>
                <w:sz w:val="24"/>
                <w:szCs w:val="24"/>
              </w:rPr>
              <w:t>培训</w:t>
            </w:r>
            <w:r>
              <w:rPr>
                <w:rFonts w:hint="eastAsia" w:ascii="宋体" w:hAnsi="宋体" w:eastAsia="宋体" w:cs="宋体"/>
                <w:kern w:val="0"/>
                <w:sz w:val="24"/>
                <w:szCs w:val="24"/>
                <w:lang w:val="en-US" w:eastAsia="zh-CN"/>
              </w:rPr>
              <w:t>方案</w:t>
            </w:r>
            <w:r>
              <w:rPr>
                <w:rFonts w:hint="eastAsia" w:ascii="宋体" w:hAnsi="宋体" w:eastAsia="宋体" w:cs="宋体"/>
                <w:kern w:val="0"/>
                <w:sz w:val="24"/>
                <w:szCs w:val="24"/>
              </w:rPr>
              <w:t>符合要求，但内容不完整的得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r>
              <w:rPr>
                <w:rFonts w:hint="eastAsia" w:ascii="宋体" w:hAnsi="宋体" w:eastAsia="宋体" w:cs="宋体"/>
                <w:kern w:val="0"/>
                <w:sz w:val="24"/>
                <w:szCs w:val="24"/>
              </w:rPr>
              <w:br w:type="textWrapping"/>
            </w:r>
            <w:r>
              <w:rPr>
                <w:rFonts w:hint="eastAsia" w:ascii="宋体" w:hAnsi="宋体" w:eastAsia="宋体" w:cs="宋体"/>
                <w:bCs/>
                <w:sz w:val="24"/>
                <w:szCs w:val="24"/>
                <w:highlight w:val="none"/>
              </w:rPr>
              <w:t>④</w:t>
            </w:r>
            <w:r>
              <w:rPr>
                <w:rFonts w:hint="eastAsia" w:ascii="宋体" w:hAnsi="宋体" w:eastAsia="宋体" w:cs="宋体"/>
                <w:bCs/>
                <w:color w:val="auto"/>
                <w:sz w:val="24"/>
                <w:szCs w:val="24"/>
                <w:highlight w:val="none"/>
                <w:lang w:val="en-US" w:eastAsia="zh-CN"/>
              </w:rPr>
              <w:t>未提供的得0分。</w:t>
            </w:r>
          </w:p>
        </w:tc>
        <w:tc>
          <w:tcPr>
            <w:tcW w:w="837" w:type="dxa"/>
            <w:noWrap w:val="0"/>
            <w:vAlign w:val="center"/>
          </w:tcPr>
          <w:p w14:paraId="5EDEEF6C">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zh-CN" w:eastAsia="zh-CN" w:bidi="ar-SA"/>
              </w:rPr>
            </w:pPr>
            <w:r>
              <w:rPr>
                <w:rFonts w:hint="eastAsia" w:ascii="宋体" w:hAnsi="宋体" w:eastAsia="宋体" w:cs="宋体"/>
                <w:bCs/>
                <w:sz w:val="24"/>
                <w:szCs w:val="24"/>
              </w:rPr>
              <w:t>5</w:t>
            </w:r>
          </w:p>
        </w:tc>
        <w:tc>
          <w:tcPr>
            <w:tcW w:w="765" w:type="dxa"/>
            <w:noWrap w:val="0"/>
            <w:vAlign w:val="center"/>
          </w:tcPr>
          <w:p w14:paraId="7F8281C2">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zh-CN" w:eastAsia="zh-CN" w:bidi="ar-SA"/>
              </w:rPr>
            </w:pPr>
            <w:r>
              <w:rPr>
                <w:rFonts w:hint="eastAsia" w:ascii="宋体" w:hAnsi="宋体" w:eastAsia="宋体" w:cs="宋体"/>
                <w:bCs/>
                <w:sz w:val="24"/>
                <w:szCs w:val="24"/>
                <w:lang w:eastAsia="zh-CN"/>
              </w:rPr>
              <w:t>主观评审</w:t>
            </w:r>
          </w:p>
        </w:tc>
      </w:tr>
      <w:tr w14:paraId="4512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6734E1AB">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12</w:t>
            </w:r>
          </w:p>
        </w:tc>
        <w:tc>
          <w:tcPr>
            <w:tcW w:w="1602" w:type="dxa"/>
            <w:noWrap w:val="0"/>
            <w:vAlign w:val="center"/>
          </w:tcPr>
          <w:p w14:paraId="33FB9F4F">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val="en-US" w:eastAsia="zh-CN"/>
              </w:rPr>
              <w:t>重难点分析及解决方案</w:t>
            </w:r>
          </w:p>
        </w:tc>
        <w:tc>
          <w:tcPr>
            <w:tcW w:w="5982" w:type="dxa"/>
            <w:noWrap w:val="0"/>
            <w:vAlign w:val="center"/>
          </w:tcPr>
          <w:p w14:paraId="2AEE991A">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根据</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eastAsia="zh-CN"/>
              </w:rPr>
              <w:t>对本项目</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zh-CN" w:eastAsia="zh-CN"/>
              </w:rPr>
              <w:t>服务重难点的分析</w:t>
            </w:r>
            <w:r>
              <w:rPr>
                <w:rFonts w:hint="eastAsia" w:ascii="宋体" w:hAnsi="宋体" w:eastAsia="宋体" w:cs="宋体"/>
                <w:bCs/>
                <w:color w:val="auto"/>
                <w:sz w:val="24"/>
                <w:szCs w:val="24"/>
                <w:highlight w:val="none"/>
                <w:lang w:val="en-US" w:eastAsia="zh-CN"/>
              </w:rPr>
              <w:t>及提出的解决方案进行综合评审：</w:t>
            </w:r>
          </w:p>
          <w:p w14:paraId="6ED9C205">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sz w:val="24"/>
                <w:szCs w:val="24"/>
                <w:highlight w:val="none"/>
              </w:rPr>
              <w:t>①</w:t>
            </w:r>
            <w:r>
              <w:rPr>
                <w:rFonts w:hint="eastAsia" w:ascii="宋体" w:hAnsi="宋体" w:eastAsia="宋体" w:cs="宋体"/>
                <w:bCs/>
                <w:color w:val="auto"/>
                <w:sz w:val="24"/>
                <w:szCs w:val="24"/>
                <w:highlight w:val="none"/>
                <w:lang w:val="zh-CN" w:eastAsia="zh-CN"/>
              </w:rPr>
              <w:t>重难点的分析</w:t>
            </w:r>
            <w:r>
              <w:rPr>
                <w:rFonts w:hint="eastAsia" w:ascii="宋体" w:hAnsi="宋体" w:cs="宋体"/>
                <w:bCs/>
                <w:color w:val="auto"/>
                <w:sz w:val="24"/>
                <w:szCs w:val="24"/>
                <w:highlight w:val="none"/>
                <w:lang w:val="en-US" w:eastAsia="zh-CN"/>
              </w:rPr>
              <w:t>到位</w:t>
            </w:r>
            <w:r>
              <w:rPr>
                <w:rFonts w:hint="eastAsia" w:ascii="宋体" w:hAnsi="宋体" w:eastAsia="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详尽，</w:t>
            </w:r>
            <w:r>
              <w:rPr>
                <w:rFonts w:hint="eastAsia" w:ascii="宋体" w:hAnsi="宋体" w:eastAsia="宋体" w:cs="宋体"/>
                <w:bCs/>
                <w:color w:val="auto"/>
                <w:sz w:val="24"/>
                <w:szCs w:val="24"/>
                <w:highlight w:val="none"/>
                <w:lang w:val="zh-CN" w:eastAsia="zh-CN"/>
              </w:rPr>
              <w:t>解决方案合理切实可行的得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eastAsia="zh-CN"/>
              </w:rPr>
              <w:t>分；</w:t>
            </w:r>
          </w:p>
          <w:p w14:paraId="1DDE6A1E">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sz w:val="24"/>
                <w:szCs w:val="24"/>
                <w:highlight w:val="none"/>
              </w:rPr>
              <w:t>②</w:t>
            </w:r>
            <w:r>
              <w:rPr>
                <w:rFonts w:hint="eastAsia" w:ascii="宋体" w:hAnsi="宋体" w:eastAsia="宋体" w:cs="宋体"/>
                <w:bCs/>
                <w:color w:val="auto"/>
                <w:sz w:val="24"/>
                <w:szCs w:val="24"/>
                <w:highlight w:val="none"/>
                <w:lang w:val="zh-CN" w:eastAsia="zh-CN"/>
              </w:rPr>
              <w:t>重难点的分析较到位、</w:t>
            </w:r>
            <w:r>
              <w:rPr>
                <w:rFonts w:hint="eastAsia" w:ascii="宋体" w:hAnsi="宋体" w:cs="宋体"/>
                <w:bCs/>
                <w:color w:val="auto"/>
                <w:sz w:val="24"/>
                <w:szCs w:val="24"/>
                <w:highlight w:val="none"/>
                <w:lang w:val="en-US" w:eastAsia="zh-CN"/>
              </w:rPr>
              <w:t>较详尽</w:t>
            </w:r>
            <w:r>
              <w:rPr>
                <w:rFonts w:hint="eastAsia" w:ascii="宋体" w:hAnsi="宋体" w:eastAsia="宋体" w:cs="宋体"/>
                <w:bCs/>
                <w:color w:val="auto"/>
                <w:sz w:val="24"/>
                <w:szCs w:val="24"/>
                <w:highlight w:val="none"/>
                <w:lang w:val="en-US" w:eastAsia="zh-CN"/>
              </w:rPr>
              <w:t>，提出的解决方案</w:t>
            </w:r>
            <w:r>
              <w:rPr>
                <w:rFonts w:hint="eastAsia" w:ascii="宋体" w:hAnsi="宋体" w:eastAsia="宋体" w:cs="宋体"/>
                <w:bCs/>
                <w:color w:val="auto"/>
                <w:sz w:val="24"/>
                <w:szCs w:val="24"/>
                <w:highlight w:val="none"/>
                <w:lang w:val="zh-CN" w:eastAsia="zh-CN"/>
              </w:rPr>
              <w:t>存在偏差的得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eastAsia="zh-CN"/>
              </w:rPr>
              <w:t>分；</w:t>
            </w:r>
          </w:p>
          <w:p w14:paraId="40FE6A62">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sz w:val="24"/>
                <w:szCs w:val="24"/>
                <w:highlight w:val="none"/>
                <w:lang w:val="en-US" w:eastAsia="zh-CN"/>
              </w:rPr>
              <w:t>③</w:t>
            </w:r>
            <w:r>
              <w:rPr>
                <w:rFonts w:hint="eastAsia" w:ascii="宋体" w:hAnsi="宋体" w:eastAsia="宋体" w:cs="宋体"/>
                <w:bCs/>
                <w:color w:val="auto"/>
                <w:sz w:val="24"/>
                <w:szCs w:val="24"/>
                <w:highlight w:val="none"/>
                <w:lang w:val="zh-CN" w:eastAsia="zh-CN"/>
              </w:rPr>
              <w:t>对本项目服务重难点的分析存在偏差，</w:t>
            </w:r>
            <w:r>
              <w:rPr>
                <w:rFonts w:hint="eastAsia" w:ascii="宋体" w:hAnsi="宋体" w:eastAsia="宋体" w:cs="宋体"/>
                <w:bCs/>
                <w:color w:val="auto"/>
                <w:sz w:val="24"/>
                <w:szCs w:val="24"/>
                <w:highlight w:val="none"/>
                <w:lang w:val="en-US" w:eastAsia="zh-CN"/>
              </w:rPr>
              <w:t>提出的解决方案难以落实</w:t>
            </w:r>
            <w:r>
              <w:rPr>
                <w:rFonts w:hint="eastAsia" w:ascii="宋体" w:hAnsi="宋体" w:eastAsia="宋体" w:cs="宋体"/>
                <w:bCs/>
                <w:color w:val="auto"/>
                <w:sz w:val="24"/>
                <w:szCs w:val="24"/>
                <w:highlight w:val="none"/>
                <w:lang w:val="zh-CN" w:eastAsia="zh-CN"/>
              </w:rPr>
              <w:t>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分；</w:t>
            </w:r>
          </w:p>
          <w:p w14:paraId="225AAFF7">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sz w:val="24"/>
                <w:szCs w:val="24"/>
                <w:highlight w:val="none"/>
              </w:rPr>
              <w:t>④</w:t>
            </w:r>
            <w:r>
              <w:rPr>
                <w:rFonts w:hint="eastAsia" w:ascii="宋体" w:hAnsi="宋体" w:eastAsia="宋体" w:cs="宋体"/>
                <w:bCs/>
                <w:color w:val="auto"/>
                <w:sz w:val="24"/>
                <w:szCs w:val="24"/>
                <w:highlight w:val="none"/>
                <w:lang w:val="en-US" w:eastAsia="zh-CN"/>
              </w:rPr>
              <w:t>未提供的得0分。</w:t>
            </w:r>
          </w:p>
        </w:tc>
        <w:tc>
          <w:tcPr>
            <w:tcW w:w="837" w:type="dxa"/>
            <w:noWrap w:val="0"/>
            <w:vAlign w:val="center"/>
          </w:tcPr>
          <w:p w14:paraId="3540E533">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rPr>
              <w:t>5</w:t>
            </w:r>
          </w:p>
        </w:tc>
        <w:tc>
          <w:tcPr>
            <w:tcW w:w="765" w:type="dxa"/>
            <w:noWrap w:val="0"/>
            <w:vAlign w:val="center"/>
          </w:tcPr>
          <w:p w14:paraId="1D60E369">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eastAsia="zh-CN"/>
              </w:rPr>
              <w:t>主观评审</w:t>
            </w:r>
          </w:p>
        </w:tc>
      </w:tr>
      <w:tr w14:paraId="551E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6B637756">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w:t>
            </w:r>
          </w:p>
        </w:tc>
        <w:tc>
          <w:tcPr>
            <w:tcW w:w="1602" w:type="dxa"/>
            <w:noWrap w:val="0"/>
            <w:vAlign w:val="center"/>
          </w:tcPr>
          <w:p w14:paraId="402151CE">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服务方案</w:t>
            </w:r>
          </w:p>
        </w:tc>
        <w:tc>
          <w:tcPr>
            <w:tcW w:w="5982" w:type="dxa"/>
            <w:noWrap w:val="0"/>
            <w:vAlign w:val="center"/>
          </w:tcPr>
          <w:p w14:paraId="0E03D368">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提供的包括服务机构基本情况</w:t>
            </w:r>
            <w:r>
              <w:rPr>
                <w:rFonts w:hint="eastAsia" w:ascii="宋体" w:hAnsi="宋体" w:cs="宋体"/>
                <w:kern w:val="0"/>
                <w:sz w:val="24"/>
                <w:szCs w:val="24"/>
                <w:lang w:eastAsia="zh-CN"/>
              </w:rPr>
              <w:t>、</w:t>
            </w:r>
            <w:r>
              <w:rPr>
                <w:rFonts w:hint="eastAsia" w:ascii="宋体" w:hAnsi="宋体" w:eastAsia="宋体" w:cs="宋体"/>
                <w:kern w:val="0"/>
                <w:sz w:val="24"/>
                <w:szCs w:val="24"/>
                <w:lang w:val="en-US" w:eastAsia="zh-CN"/>
              </w:rPr>
              <w:t>响应时间、</w:t>
            </w:r>
            <w:r>
              <w:rPr>
                <w:rFonts w:hint="eastAsia" w:ascii="宋体" w:hAnsi="宋体" w:eastAsia="宋体" w:cs="宋体"/>
                <w:kern w:val="0"/>
                <w:sz w:val="24"/>
                <w:szCs w:val="24"/>
              </w:rPr>
              <w:t>项目实施期间配合服务</w:t>
            </w:r>
            <w:r>
              <w:rPr>
                <w:rFonts w:hint="eastAsia" w:ascii="宋体" w:hAnsi="宋体" w:eastAsia="宋体" w:cs="宋体"/>
                <w:kern w:val="0"/>
                <w:sz w:val="24"/>
                <w:szCs w:val="24"/>
                <w:lang w:val="en-US" w:eastAsia="zh-CN"/>
              </w:rPr>
              <w:t>方案</w:t>
            </w:r>
            <w:r>
              <w:rPr>
                <w:rFonts w:hint="eastAsia" w:ascii="宋体" w:hAnsi="宋体" w:eastAsia="宋体" w:cs="宋体"/>
                <w:kern w:val="0"/>
                <w:sz w:val="24"/>
                <w:szCs w:val="24"/>
              </w:rPr>
              <w:t>进行综合评</w:t>
            </w:r>
            <w:r>
              <w:rPr>
                <w:rFonts w:hint="eastAsia" w:ascii="宋体" w:hAnsi="宋体" w:eastAsia="宋体" w:cs="宋体"/>
                <w:kern w:val="0"/>
                <w:sz w:val="24"/>
                <w:szCs w:val="24"/>
                <w:lang w:val="en-US" w:eastAsia="zh-CN"/>
              </w:rPr>
              <w:t>审</w:t>
            </w:r>
            <w:r>
              <w:rPr>
                <w:rFonts w:hint="eastAsia" w:ascii="宋体" w:hAnsi="宋体" w:cs="宋体"/>
                <w:kern w:val="0"/>
                <w:sz w:val="24"/>
                <w:szCs w:val="24"/>
                <w:lang w:val="en-US" w:eastAsia="zh-CN"/>
              </w:rPr>
              <w:t>：</w:t>
            </w:r>
          </w:p>
          <w:p w14:paraId="592020FD">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①服务方案有保障且有相应的服务机构，能有效配合采购人，服务目标明确清晰，响应时间完全满足采购要求的得5分；</w:t>
            </w:r>
          </w:p>
          <w:p w14:paraId="4B325B83">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bCs/>
                <w:sz w:val="24"/>
                <w:szCs w:val="24"/>
                <w:highlight w:val="none"/>
              </w:rPr>
              <w:t>②</w:t>
            </w:r>
            <w:r>
              <w:rPr>
                <w:rFonts w:hint="eastAsia" w:ascii="宋体" w:hAnsi="宋体" w:eastAsia="宋体" w:cs="宋体"/>
                <w:kern w:val="0"/>
                <w:sz w:val="24"/>
                <w:szCs w:val="24"/>
                <w:lang w:val="en-US" w:eastAsia="zh-CN"/>
              </w:rPr>
              <w:t>服务方案较有保障，能基本配合采购人，不影响服务质量，响应时间基本满足采购需求的得3分；</w:t>
            </w:r>
          </w:p>
          <w:p w14:paraId="682285C7">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bCs/>
                <w:sz w:val="24"/>
                <w:szCs w:val="24"/>
                <w:highlight w:val="none"/>
                <w:lang w:val="en-US" w:eastAsia="zh-CN"/>
              </w:rPr>
              <w:t>③</w:t>
            </w:r>
            <w:r>
              <w:rPr>
                <w:rFonts w:hint="eastAsia" w:ascii="宋体" w:hAnsi="宋体" w:eastAsia="宋体" w:cs="宋体"/>
                <w:kern w:val="0"/>
                <w:sz w:val="24"/>
                <w:szCs w:val="24"/>
                <w:lang w:val="en-US" w:eastAsia="zh-CN"/>
              </w:rPr>
              <w:t>服务方案不够符合项目实际要求，响应滞后，可能影响服务质量的得1分；</w:t>
            </w:r>
          </w:p>
          <w:p w14:paraId="6FBB6ACD">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highlight w:val="none"/>
              </w:rPr>
              <w:t>④</w:t>
            </w:r>
            <w:r>
              <w:rPr>
                <w:rFonts w:hint="eastAsia" w:ascii="宋体" w:hAnsi="宋体" w:eastAsia="宋体" w:cs="宋体"/>
                <w:bCs/>
                <w:color w:val="auto"/>
                <w:sz w:val="24"/>
                <w:szCs w:val="24"/>
                <w:highlight w:val="none"/>
                <w:lang w:val="en-US" w:eastAsia="zh-CN"/>
              </w:rPr>
              <w:t>未提供的得0分。</w:t>
            </w:r>
          </w:p>
        </w:tc>
        <w:tc>
          <w:tcPr>
            <w:tcW w:w="837" w:type="dxa"/>
            <w:noWrap w:val="0"/>
            <w:vAlign w:val="center"/>
          </w:tcPr>
          <w:p w14:paraId="720D0D09">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765" w:type="dxa"/>
            <w:noWrap w:val="0"/>
            <w:vAlign w:val="center"/>
          </w:tcPr>
          <w:p w14:paraId="096D70AB">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主观评审</w:t>
            </w:r>
          </w:p>
        </w:tc>
      </w:tr>
      <w:tr w14:paraId="248A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6CEDED77">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w:t>
            </w:r>
          </w:p>
        </w:tc>
        <w:tc>
          <w:tcPr>
            <w:tcW w:w="1602" w:type="dxa"/>
            <w:noWrap w:val="0"/>
            <w:vAlign w:val="center"/>
          </w:tcPr>
          <w:p w14:paraId="70CF1548">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val="en-US" w:eastAsia="zh-CN"/>
              </w:rPr>
              <w:t>服务承诺</w:t>
            </w:r>
          </w:p>
        </w:tc>
        <w:tc>
          <w:tcPr>
            <w:tcW w:w="5982" w:type="dxa"/>
            <w:noWrap w:val="0"/>
            <w:vAlign w:val="center"/>
          </w:tcPr>
          <w:p w14:paraId="7BEEB636">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根据</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eastAsia="zh-CN"/>
              </w:rPr>
              <w:t>对本项目</w:t>
            </w:r>
            <w:r>
              <w:rPr>
                <w:rFonts w:hint="eastAsia" w:ascii="宋体" w:hAnsi="宋体" w:eastAsia="宋体" w:cs="宋体"/>
                <w:bCs/>
                <w:color w:val="auto"/>
                <w:sz w:val="24"/>
                <w:szCs w:val="24"/>
                <w:highlight w:val="none"/>
                <w:lang w:val="en-US" w:eastAsia="zh-CN"/>
              </w:rPr>
              <w:t>的服务承诺</w:t>
            </w:r>
            <w:r>
              <w:rPr>
                <w:rFonts w:hint="eastAsia" w:ascii="宋体" w:hAnsi="宋体" w:eastAsia="宋体" w:cs="宋体"/>
                <w:bCs/>
                <w:color w:val="auto"/>
                <w:sz w:val="24"/>
                <w:szCs w:val="24"/>
                <w:highlight w:val="none"/>
                <w:lang w:val="zh-CN" w:eastAsia="zh-CN"/>
              </w:rPr>
              <w:t>进行</w:t>
            </w:r>
            <w:r>
              <w:rPr>
                <w:rFonts w:hint="eastAsia" w:ascii="宋体" w:hAnsi="宋体" w:eastAsia="宋体" w:cs="宋体"/>
                <w:bCs/>
                <w:color w:val="auto"/>
                <w:sz w:val="24"/>
                <w:szCs w:val="24"/>
                <w:highlight w:val="none"/>
                <w:lang w:val="en-US" w:eastAsia="zh-CN"/>
              </w:rPr>
              <w:t>综合</w:t>
            </w:r>
            <w:r>
              <w:rPr>
                <w:rFonts w:hint="eastAsia" w:ascii="宋体" w:hAnsi="宋体" w:eastAsia="宋体" w:cs="宋体"/>
                <w:bCs/>
                <w:color w:val="auto"/>
                <w:sz w:val="24"/>
                <w:szCs w:val="24"/>
                <w:highlight w:val="none"/>
                <w:lang w:val="zh-CN" w:eastAsia="zh-CN"/>
              </w:rPr>
              <w:t>评审：</w:t>
            </w:r>
          </w:p>
          <w:p w14:paraId="5BDE0786">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kern w:val="0"/>
                <w:sz w:val="24"/>
                <w:szCs w:val="24"/>
                <w:lang w:val="en-US" w:eastAsia="zh-CN"/>
              </w:rPr>
              <w:t>①</w:t>
            </w:r>
            <w:r>
              <w:rPr>
                <w:rFonts w:hint="eastAsia" w:ascii="宋体" w:hAnsi="宋体" w:eastAsia="宋体" w:cs="宋体"/>
                <w:bCs/>
                <w:color w:val="auto"/>
                <w:sz w:val="24"/>
                <w:szCs w:val="24"/>
                <w:highlight w:val="none"/>
                <w:lang w:val="zh-CN" w:eastAsia="zh-CN"/>
              </w:rPr>
              <w:t>承诺内容具体、符合项目实际、执行方式可操作性强的得5分；</w:t>
            </w:r>
          </w:p>
          <w:p w14:paraId="471483E9">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sz w:val="24"/>
                <w:szCs w:val="24"/>
                <w:highlight w:val="none"/>
              </w:rPr>
              <w:t>②</w:t>
            </w:r>
            <w:r>
              <w:rPr>
                <w:rFonts w:hint="eastAsia" w:ascii="宋体" w:hAnsi="宋体" w:eastAsia="宋体" w:cs="宋体"/>
                <w:bCs/>
                <w:color w:val="auto"/>
                <w:sz w:val="24"/>
                <w:szCs w:val="24"/>
                <w:highlight w:val="none"/>
                <w:lang w:val="zh-CN" w:eastAsia="zh-CN"/>
              </w:rPr>
              <w:t>承诺内容较为具体、基本符合项目实际的得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eastAsia="zh-CN"/>
              </w:rPr>
              <w:t>分；</w:t>
            </w:r>
          </w:p>
          <w:p w14:paraId="501E27F9">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sz w:val="24"/>
                <w:szCs w:val="24"/>
                <w:highlight w:val="none"/>
                <w:lang w:val="en-US" w:eastAsia="zh-CN"/>
              </w:rPr>
              <w:t>③</w:t>
            </w:r>
            <w:r>
              <w:rPr>
                <w:rFonts w:hint="eastAsia" w:ascii="宋体" w:hAnsi="宋体" w:eastAsia="宋体" w:cs="宋体"/>
                <w:bCs/>
                <w:color w:val="auto"/>
                <w:sz w:val="24"/>
                <w:szCs w:val="24"/>
                <w:highlight w:val="none"/>
                <w:lang w:val="zh-CN" w:eastAsia="zh-CN"/>
              </w:rPr>
              <w:t>承诺内容笼统的得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分；</w:t>
            </w:r>
          </w:p>
          <w:p w14:paraId="023DFCA2">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sz w:val="24"/>
                <w:szCs w:val="24"/>
                <w:highlight w:val="none"/>
              </w:rPr>
              <w:t>④</w:t>
            </w:r>
            <w:r>
              <w:rPr>
                <w:rFonts w:hint="eastAsia" w:ascii="宋体" w:hAnsi="宋体" w:eastAsia="宋体" w:cs="宋体"/>
                <w:bCs/>
                <w:color w:val="auto"/>
                <w:sz w:val="24"/>
                <w:szCs w:val="24"/>
                <w:highlight w:val="none"/>
                <w:lang w:val="zh-CN" w:eastAsia="zh-CN"/>
              </w:rPr>
              <w:t>未提供的得0分。</w:t>
            </w:r>
          </w:p>
        </w:tc>
        <w:tc>
          <w:tcPr>
            <w:tcW w:w="837" w:type="dxa"/>
            <w:noWrap w:val="0"/>
            <w:vAlign w:val="center"/>
          </w:tcPr>
          <w:p w14:paraId="0C7B7FD0">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rPr>
              <w:t>5</w:t>
            </w:r>
          </w:p>
        </w:tc>
        <w:tc>
          <w:tcPr>
            <w:tcW w:w="765" w:type="dxa"/>
            <w:noWrap w:val="0"/>
            <w:vAlign w:val="center"/>
          </w:tcPr>
          <w:p w14:paraId="620EF941">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pacing w:val="-5"/>
                <w:kern w:val="0"/>
                <w:sz w:val="24"/>
                <w:szCs w:val="24"/>
                <w:lang w:val="en-US" w:eastAsia="zh-CN" w:bidi="ar-SA"/>
              </w:rPr>
            </w:pPr>
            <w:r>
              <w:rPr>
                <w:rFonts w:hint="eastAsia" w:ascii="宋体" w:hAnsi="宋体" w:eastAsia="宋体" w:cs="宋体"/>
                <w:bCs/>
                <w:sz w:val="24"/>
                <w:szCs w:val="24"/>
                <w:lang w:eastAsia="zh-CN"/>
              </w:rPr>
              <w:t>主观评审</w:t>
            </w:r>
          </w:p>
        </w:tc>
      </w:tr>
      <w:tr w14:paraId="5C03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4718F7DE">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w:t>
            </w:r>
          </w:p>
        </w:tc>
        <w:tc>
          <w:tcPr>
            <w:tcW w:w="1602" w:type="dxa"/>
            <w:noWrap w:val="0"/>
            <w:vAlign w:val="center"/>
          </w:tcPr>
          <w:p w14:paraId="1D249933">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管理制度</w:t>
            </w:r>
          </w:p>
        </w:tc>
        <w:tc>
          <w:tcPr>
            <w:tcW w:w="5982" w:type="dxa"/>
            <w:noWrap w:val="0"/>
            <w:vAlign w:val="center"/>
          </w:tcPr>
          <w:p w14:paraId="2DCB710A">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根据供应商对本项目的管理制度，包括企业管理制度、人员管理制度、考核方案等进行综合评审：</w:t>
            </w:r>
          </w:p>
          <w:p w14:paraId="792EDEE0">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kern w:val="0"/>
                <w:sz w:val="24"/>
                <w:szCs w:val="24"/>
                <w:lang w:val="en-US" w:eastAsia="zh-CN"/>
              </w:rPr>
              <w:t>①</w:t>
            </w:r>
            <w:r>
              <w:rPr>
                <w:rFonts w:hint="eastAsia" w:ascii="宋体" w:hAnsi="宋体" w:eastAsia="宋体" w:cs="宋体"/>
                <w:bCs/>
                <w:color w:val="auto"/>
                <w:sz w:val="24"/>
                <w:szCs w:val="24"/>
                <w:highlight w:val="none"/>
                <w:lang w:val="en-US" w:eastAsia="zh-CN"/>
              </w:rPr>
              <w:t>管理制度完善合理的得3分；</w:t>
            </w:r>
          </w:p>
          <w:p w14:paraId="40AD7FDD">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sz w:val="24"/>
                <w:szCs w:val="24"/>
                <w:highlight w:val="none"/>
              </w:rPr>
              <w:t>②</w:t>
            </w:r>
            <w:r>
              <w:rPr>
                <w:rFonts w:hint="eastAsia" w:ascii="宋体" w:hAnsi="宋体" w:eastAsia="宋体" w:cs="宋体"/>
                <w:bCs/>
                <w:color w:val="auto"/>
                <w:sz w:val="24"/>
                <w:szCs w:val="24"/>
                <w:highlight w:val="none"/>
                <w:lang w:val="en-US" w:eastAsia="zh-CN"/>
              </w:rPr>
              <w:t>管理制度较为完善合理的得2分；</w:t>
            </w:r>
          </w:p>
          <w:p w14:paraId="538A0174">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sz w:val="24"/>
                <w:szCs w:val="24"/>
                <w:highlight w:val="none"/>
                <w:lang w:val="en-US" w:eastAsia="zh-CN"/>
              </w:rPr>
              <w:t>③</w:t>
            </w:r>
            <w:r>
              <w:rPr>
                <w:rFonts w:hint="eastAsia" w:ascii="宋体" w:hAnsi="宋体" w:eastAsia="宋体" w:cs="宋体"/>
                <w:bCs/>
                <w:color w:val="auto"/>
                <w:sz w:val="24"/>
                <w:szCs w:val="24"/>
                <w:highlight w:val="none"/>
                <w:lang w:val="en-US" w:eastAsia="zh-CN"/>
              </w:rPr>
              <w:t>管理制度不够完善合理的得1分；</w:t>
            </w:r>
          </w:p>
          <w:p w14:paraId="43E5ECDB">
            <w:pPr>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sz w:val="24"/>
                <w:szCs w:val="24"/>
                <w:highlight w:val="none"/>
              </w:rPr>
              <w:t>④</w:t>
            </w:r>
            <w:r>
              <w:rPr>
                <w:rFonts w:hint="eastAsia" w:ascii="宋体" w:hAnsi="宋体" w:eastAsia="宋体" w:cs="宋体"/>
                <w:bCs/>
                <w:color w:val="auto"/>
                <w:sz w:val="24"/>
                <w:szCs w:val="24"/>
                <w:highlight w:val="none"/>
                <w:lang w:val="zh-CN" w:eastAsia="zh-CN"/>
              </w:rPr>
              <w:t>未提供的得0分。</w:t>
            </w:r>
          </w:p>
        </w:tc>
        <w:tc>
          <w:tcPr>
            <w:tcW w:w="837" w:type="dxa"/>
            <w:noWrap w:val="0"/>
            <w:vAlign w:val="center"/>
          </w:tcPr>
          <w:p w14:paraId="597AC8C6">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765" w:type="dxa"/>
            <w:noWrap w:val="0"/>
            <w:vAlign w:val="center"/>
          </w:tcPr>
          <w:p w14:paraId="389E4622">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主观评审</w:t>
            </w:r>
          </w:p>
        </w:tc>
      </w:tr>
      <w:tr w14:paraId="4200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restart"/>
            <w:noWrap w:val="0"/>
            <w:vAlign w:val="center"/>
          </w:tcPr>
          <w:p w14:paraId="52150548">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16</w:t>
            </w:r>
          </w:p>
        </w:tc>
        <w:tc>
          <w:tcPr>
            <w:tcW w:w="1602" w:type="dxa"/>
            <w:vMerge w:val="restart"/>
            <w:noWrap w:val="0"/>
            <w:vAlign w:val="center"/>
          </w:tcPr>
          <w:p w14:paraId="1BE7549A">
            <w:pPr>
              <w:pStyle w:val="4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人员配备</w:t>
            </w:r>
          </w:p>
          <w:p w14:paraId="27E5EEF7">
            <w:pPr>
              <w:pStyle w:val="4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注：</w:t>
            </w:r>
            <w:r>
              <w:rPr>
                <w:rFonts w:hint="eastAsia" w:ascii="宋体" w:hAnsi="宋体" w:cs="宋体"/>
                <w:bCs/>
                <w:sz w:val="24"/>
                <w:szCs w:val="24"/>
                <w:highlight w:val="none"/>
                <w:lang w:val="en-US" w:eastAsia="zh-CN"/>
              </w:rPr>
              <w:t>响应</w:t>
            </w:r>
            <w:r>
              <w:rPr>
                <w:rFonts w:hint="eastAsia" w:ascii="宋体" w:hAnsi="宋体" w:eastAsia="宋体" w:cs="宋体"/>
                <w:bCs/>
                <w:sz w:val="24"/>
                <w:szCs w:val="24"/>
                <w:highlight w:val="none"/>
                <w:lang w:val="en-US" w:eastAsia="zh-CN"/>
              </w:rPr>
              <w:t>文件须附上述人员开标前三个月内任意一个月的社会保险证明及相关证书的复印件。</w:t>
            </w:r>
          </w:p>
        </w:tc>
        <w:tc>
          <w:tcPr>
            <w:tcW w:w="5982" w:type="dxa"/>
            <w:noWrap w:val="0"/>
            <w:vAlign w:val="top"/>
          </w:tcPr>
          <w:p w14:paraId="006DEEB6">
            <w:pPr>
              <w:keepNext w:val="0"/>
              <w:keepLines w:val="0"/>
              <w:pageBreakBefore w:val="0"/>
              <w:widowControl/>
              <w:numPr>
                <w:ilvl w:val="0"/>
                <w:numId w:val="0"/>
              </w:numPr>
              <w:kinsoku/>
              <w:wordWrap/>
              <w:overflowPunct/>
              <w:topLinePunct w:val="0"/>
              <w:autoSpaceDE/>
              <w:autoSpaceDN/>
              <w:bidi w:val="0"/>
              <w:snapToGrid/>
              <w:spacing w:line="240" w:lineRule="auto"/>
              <w:ind w:left="0" w:leftChars="0" w:firstLine="0" w:firstLineChars="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项目负责人</w:t>
            </w:r>
            <w:r>
              <w:rPr>
                <w:rFonts w:hint="eastAsia" w:ascii="宋体" w:hAnsi="宋体" w:cs="宋体"/>
                <w:kern w:val="0"/>
                <w:sz w:val="24"/>
                <w:szCs w:val="24"/>
                <w:highlight w:val="none"/>
                <w:lang w:val="en-US" w:eastAsia="zh-CN"/>
              </w:rPr>
              <w:t>每</w:t>
            </w:r>
            <w:r>
              <w:rPr>
                <w:rFonts w:hint="eastAsia" w:ascii="宋体" w:hAnsi="宋体" w:eastAsia="宋体" w:cs="宋体"/>
                <w:kern w:val="0"/>
                <w:sz w:val="24"/>
                <w:szCs w:val="24"/>
                <w:highlight w:val="none"/>
              </w:rPr>
              <w:t>具备人力资源部门或工信部门颁发的高级工程师</w:t>
            </w:r>
            <w:r>
              <w:rPr>
                <w:rFonts w:hint="eastAsia" w:ascii="宋体" w:hAnsi="宋体" w:cs="宋体"/>
                <w:kern w:val="0"/>
                <w:sz w:val="24"/>
                <w:szCs w:val="24"/>
                <w:highlight w:val="none"/>
                <w:lang w:val="en-US" w:eastAsia="zh-CN"/>
              </w:rPr>
              <w:t>或系统架构设计师或</w:t>
            </w:r>
            <w:r>
              <w:rPr>
                <w:rFonts w:hint="eastAsia" w:ascii="宋体" w:hAnsi="宋体" w:eastAsia="宋体" w:cs="宋体"/>
                <w:kern w:val="0"/>
                <w:sz w:val="24"/>
                <w:szCs w:val="24"/>
                <w:highlight w:val="none"/>
              </w:rPr>
              <w:t>信息系统项目管理师</w:t>
            </w:r>
            <w:r>
              <w:rPr>
                <w:rFonts w:hint="eastAsia" w:ascii="宋体" w:hAnsi="宋体" w:cs="宋体"/>
                <w:kern w:val="0"/>
                <w:sz w:val="24"/>
                <w:szCs w:val="24"/>
                <w:highlight w:val="none"/>
                <w:lang w:val="en-US" w:eastAsia="zh-CN"/>
              </w:rPr>
              <w:t>证书的得1</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本项最高得3分</w:t>
            </w:r>
            <w:r>
              <w:rPr>
                <w:rFonts w:hint="eastAsia" w:ascii="宋体" w:hAnsi="宋体" w:eastAsia="宋体" w:cs="宋体"/>
                <w:kern w:val="0"/>
                <w:sz w:val="24"/>
                <w:szCs w:val="24"/>
                <w:highlight w:val="none"/>
                <w:lang w:eastAsia="zh-CN"/>
              </w:rPr>
              <w:t>。</w:t>
            </w:r>
          </w:p>
        </w:tc>
        <w:tc>
          <w:tcPr>
            <w:tcW w:w="837" w:type="dxa"/>
            <w:noWrap w:val="0"/>
            <w:vAlign w:val="center"/>
          </w:tcPr>
          <w:p w14:paraId="128BC2C3">
            <w:pPr>
              <w:pStyle w:val="4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p>
        </w:tc>
        <w:tc>
          <w:tcPr>
            <w:tcW w:w="765" w:type="dxa"/>
            <w:noWrap w:val="0"/>
            <w:vAlign w:val="center"/>
          </w:tcPr>
          <w:p w14:paraId="338561AB">
            <w:pPr>
              <w:pStyle w:val="4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客观分</w:t>
            </w:r>
          </w:p>
        </w:tc>
      </w:tr>
      <w:tr w14:paraId="4A12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vMerge w:val="continue"/>
            <w:noWrap w:val="0"/>
            <w:vAlign w:val="center"/>
          </w:tcPr>
          <w:p w14:paraId="48E1F3D2">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p>
        </w:tc>
        <w:tc>
          <w:tcPr>
            <w:tcW w:w="1602" w:type="dxa"/>
            <w:vMerge w:val="continue"/>
            <w:noWrap w:val="0"/>
            <w:vAlign w:val="center"/>
          </w:tcPr>
          <w:p w14:paraId="40C234F0">
            <w:pPr>
              <w:pStyle w:val="4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p>
        </w:tc>
        <w:tc>
          <w:tcPr>
            <w:tcW w:w="5982" w:type="dxa"/>
            <w:noWrap w:val="0"/>
            <w:vAlign w:val="top"/>
          </w:tcPr>
          <w:p w14:paraId="2BAD22F6">
            <w:pPr>
              <w:keepNext w:val="0"/>
              <w:keepLines w:val="0"/>
              <w:pageBreakBefore w:val="0"/>
              <w:widowControl/>
              <w:numPr>
                <w:ilvl w:val="0"/>
                <w:numId w:val="0"/>
              </w:numPr>
              <w:kinsoku/>
              <w:wordWrap/>
              <w:overflowPunct/>
              <w:topLinePunct w:val="0"/>
              <w:autoSpaceDE/>
              <w:autoSpaceDN/>
              <w:bidi w:val="0"/>
              <w:snapToGrid/>
              <w:spacing w:line="240" w:lineRule="auto"/>
              <w:ind w:left="0" w:leftChars="0" w:firstLine="0" w:firstLineChars="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项目技术负责人具备人力资源部门或工信部门颁发的系统架构设计师</w:t>
            </w:r>
            <w:r>
              <w:rPr>
                <w:rFonts w:hint="eastAsia" w:ascii="宋体" w:hAnsi="宋体" w:eastAsia="宋体" w:cs="宋体"/>
                <w:kern w:val="0"/>
                <w:sz w:val="24"/>
                <w:szCs w:val="24"/>
                <w:highlight w:val="none"/>
                <w:lang w:val="en-US" w:eastAsia="zh-CN"/>
              </w:rPr>
              <w:t>证书</w:t>
            </w:r>
            <w:r>
              <w:rPr>
                <w:rFonts w:hint="eastAsia" w:ascii="宋体" w:hAnsi="宋体" w:eastAsia="宋体" w:cs="宋体"/>
                <w:kern w:val="0"/>
                <w:sz w:val="24"/>
                <w:szCs w:val="24"/>
                <w:highlight w:val="none"/>
              </w:rPr>
              <w:t>的得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val="en-US" w:eastAsia="zh-CN"/>
              </w:rPr>
              <w:t>或</w:t>
            </w:r>
            <w:r>
              <w:rPr>
                <w:rFonts w:hint="eastAsia" w:ascii="宋体" w:hAnsi="宋体" w:eastAsia="宋体" w:cs="宋体"/>
                <w:kern w:val="0"/>
                <w:sz w:val="24"/>
                <w:szCs w:val="24"/>
                <w:highlight w:val="none"/>
              </w:rPr>
              <w:t>具有其他与本项目相关的中级及以上工程师证书的，每提供一本证书的得1分；最多得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分。</w:t>
            </w:r>
          </w:p>
        </w:tc>
        <w:tc>
          <w:tcPr>
            <w:tcW w:w="837" w:type="dxa"/>
            <w:noWrap w:val="0"/>
            <w:vAlign w:val="center"/>
          </w:tcPr>
          <w:p w14:paraId="72426EFD">
            <w:pPr>
              <w:pStyle w:val="4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p>
        </w:tc>
        <w:tc>
          <w:tcPr>
            <w:tcW w:w="765" w:type="dxa"/>
            <w:noWrap w:val="0"/>
            <w:vAlign w:val="center"/>
          </w:tcPr>
          <w:p w14:paraId="1DC72C05">
            <w:pPr>
              <w:pStyle w:val="4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客观分</w:t>
            </w:r>
          </w:p>
        </w:tc>
      </w:tr>
      <w:tr w14:paraId="239F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vMerge w:val="continue"/>
            <w:noWrap w:val="0"/>
            <w:vAlign w:val="center"/>
          </w:tcPr>
          <w:p w14:paraId="3B215F7E">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p>
        </w:tc>
        <w:tc>
          <w:tcPr>
            <w:tcW w:w="1602" w:type="dxa"/>
            <w:vMerge w:val="continue"/>
            <w:noWrap w:val="0"/>
            <w:vAlign w:val="center"/>
          </w:tcPr>
          <w:p w14:paraId="31F94B24">
            <w:pPr>
              <w:pStyle w:val="4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p>
        </w:tc>
        <w:tc>
          <w:tcPr>
            <w:tcW w:w="5982" w:type="dxa"/>
            <w:noWrap w:val="0"/>
            <w:vAlign w:val="top"/>
          </w:tcPr>
          <w:p w14:paraId="63FD27F4">
            <w:pPr>
              <w:keepNext w:val="0"/>
              <w:keepLines w:val="0"/>
              <w:pageBreakBefore w:val="0"/>
              <w:widowControl/>
              <w:numPr>
                <w:ilvl w:val="0"/>
                <w:numId w:val="0"/>
              </w:numPr>
              <w:kinsoku/>
              <w:wordWrap/>
              <w:overflowPunct/>
              <w:topLinePunct w:val="0"/>
              <w:autoSpaceDE/>
              <w:autoSpaceDN/>
              <w:bidi w:val="0"/>
              <w:snapToGrid/>
              <w:spacing w:line="240" w:lineRule="auto"/>
              <w:ind w:left="0" w:leftChars="0" w:firstLine="0" w:firstLineChars="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技术及实施人员（除项目负责人、项目技术负责人外）：每有一人具备计算机</w:t>
            </w:r>
            <w:r>
              <w:rPr>
                <w:rFonts w:hint="eastAsia" w:ascii="宋体" w:hAnsi="宋体" w:cs="宋体"/>
                <w:kern w:val="0"/>
                <w:sz w:val="24"/>
                <w:szCs w:val="24"/>
                <w:highlight w:val="none"/>
                <w:lang w:val="en-US" w:eastAsia="zh-CN"/>
              </w:rPr>
              <w:t>软件</w:t>
            </w:r>
            <w:r>
              <w:rPr>
                <w:rFonts w:hint="eastAsia" w:ascii="宋体" w:hAnsi="宋体" w:eastAsia="宋体" w:cs="宋体"/>
                <w:kern w:val="0"/>
                <w:sz w:val="24"/>
                <w:szCs w:val="24"/>
                <w:highlight w:val="none"/>
              </w:rPr>
              <w:t>相关专业本科及以上学历的得1分，本项最高得6分。</w:t>
            </w:r>
          </w:p>
        </w:tc>
        <w:tc>
          <w:tcPr>
            <w:tcW w:w="837" w:type="dxa"/>
            <w:noWrap w:val="0"/>
            <w:vAlign w:val="center"/>
          </w:tcPr>
          <w:p w14:paraId="6B7E8DA9">
            <w:pPr>
              <w:pStyle w:val="4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c>
          <w:tcPr>
            <w:tcW w:w="765" w:type="dxa"/>
            <w:noWrap w:val="0"/>
            <w:vAlign w:val="center"/>
          </w:tcPr>
          <w:p w14:paraId="404464B1">
            <w:pPr>
              <w:pStyle w:val="4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客观分</w:t>
            </w:r>
          </w:p>
        </w:tc>
      </w:tr>
      <w:tr w14:paraId="7994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14C8D3ED">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7</w:t>
            </w:r>
          </w:p>
        </w:tc>
        <w:tc>
          <w:tcPr>
            <w:tcW w:w="1602" w:type="dxa"/>
            <w:noWrap w:val="0"/>
            <w:vAlign w:val="center"/>
          </w:tcPr>
          <w:p w14:paraId="52A45E9F">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体系</w:t>
            </w:r>
            <w:r>
              <w:rPr>
                <w:rFonts w:hint="eastAsia" w:ascii="宋体" w:hAnsi="宋体" w:eastAsia="宋体" w:cs="宋体"/>
                <w:bCs/>
                <w:sz w:val="24"/>
                <w:szCs w:val="24"/>
                <w:highlight w:val="none"/>
                <w:lang w:val="en-US" w:eastAsia="zh-CN"/>
              </w:rPr>
              <w:t>认证证书</w:t>
            </w:r>
          </w:p>
        </w:tc>
        <w:tc>
          <w:tcPr>
            <w:tcW w:w="5982" w:type="dxa"/>
            <w:noWrap w:val="0"/>
            <w:vAlign w:val="center"/>
          </w:tcPr>
          <w:p w14:paraId="78B11DFC">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具备ISO9001质量管理体系认证证书，得1分；</w:t>
            </w:r>
          </w:p>
          <w:p w14:paraId="6B2F51BA">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具备ISOIEC20000-1信息技术服务管理体系认证证书，得1分；</w:t>
            </w:r>
          </w:p>
          <w:p w14:paraId="5E94BA06">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③</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具备ISO27001信息安全管理体系标准认证证书，得1分；</w:t>
            </w:r>
          </w:p>
          <w:p w14:paraId="41CD5B05">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④</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具备ISO45001职业健康安全管理体系证书，得1分；</w:t>
            </w:r>
          </w:p>
          <w:p w14:paraId="2EEB42E7">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rPr>
            </w:pPr>
            <w:r>
              <w:rPr>
                <w:rFonts w:hint="eastAsia" w:ascii="宋体" w:hAnsi="宋体" w:cs="宋体"/>
                <w:kern w:val="0"/>
                <w:szCs w:val="21"/>
                <w:highlight w:val="none"/>
              </w:rPr>
              <w:t>注：</w:t>
            </w:r>
            <w:r>
              <w:rPr>
                <w:rFonts w:hint="eastAsia" w:ascii="宋体" w:hAnsi="宋体" w:cs="宋体"/>
                <w:kern w:val="0"/>
                <w:szCs w:val="21"/>
                <w:highlight w:val="none"/>
                <w:lang w:val="en-US" w:eastAsia="zh-CN"/>
              </w:rPr>
              <w:t>响应</w:t>
            </w:r>
            <w:r>
              <w:rPr>
                <w:rFonts w:hint="eastAsia" w:ascii="宋体" w:hAnsi="宋体" w:cs="宋体"/>
                <w:kern w:val="0"/>
                <w:szCs w:val="21"/>
                <w:highlight w:val="none"/>
              </w:rPr>
              <w:t>文件中须提供有效期内的认证证书复印件及“全国认证认可信息公共服务平台（http://cx.cnca.cn）”查询截图并加盖公章，否则不得分，复印件与查询截图不一致的以查询截图为准。</w:t>
            </w:r>
          </w:p>
        </w:tc>
        <w:tc>
          <w:tcPr>
            <w:tcW w:w="837" w:type="dxa"/>
            <w:noWrap w:val="0"/>
            <w:vAlign w:val="center"/>
          </w:tcPr>
          <w:p w14:paraId="0691B66C">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en-US" w:eastAsia="zh-CN"/>
              </w:rPr>
              <w:t>4</w:t>
            </w:r>
          </w:p>
        </w:tc>
        <w:tc>
          <w:tcPr>
            <w:tcW w:w="765" w:type="dxa"/>
            <w:noWrap w:val="0"/>
            <w:vAlign w:val="center"/>
          </w:tcPr>
          <w:p w14:paraId="07051124">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客观分</w:t>
            </w:r>
          </w:p>
        </w:tc>
      </w:tr>
      <w:tr w14:paraId="2C2A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0" w:type="dxa"/>
            <w:noWrap w:val="0"/>
            <w:vAlign w:val="center"/>
          </w:tcPr>
          <w:p w14:paraId="2361938F">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18</w:t>
            </w:r>
          </w:p>
        </w:tc>
        <w:tc>
          <w:tcPr>
            <w:tcW w:w="1602" w:type="dxa"/>
            <w:noWrap w:val="0"/>
            <w:vAlign w:val="center"/>
          </w:tcPr>
          <w:p w14:paraId="7FF156E6">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认证证书</w:t>
            </w:r>
          </w:p>
        </w:tc>
        <w:tc>
          <w:tcPr>
            <w:tcW w:w="5982" w:type="dxa"/>
            <w:noWrap w:val="0"/>
            <w:vAlign w:val="center"/>
          </w:tcPr>
          <w:p w14:paraId="69AD5B97">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cs="宋体"/>
                <w:kern w:val="0"/>
                <w:szCs w:val="21"/>
                <w:highlight w:val="none"/>
                <w:lang w:val="en-US" w:eastAsia="zh-CN"/>
              </w:rPr>
            </w:pP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具备</w:t>
            </w:r>
            <w:r>
              <w:rPr>
                <w:rFonts w:hint="eastAsia" w:ascii="宋体" w:hAnsi="宋体" w:cs="宋体"/>
                <w:kern w:val="0"/>
                <w:szCs w:val="21"/>
                <w:highlight w:val="none"/>
              </w:rPr>
              <w:t>CCRC信息安全服务资质认证证书（信息系统安全运维）</w:t>
            </w:r>
            <w:r>
              <w:rPr>
                <w:rFonts w:hint="eastAsia" w:ascii="宋体" w:hAnsi="宋体" w:cs="宋体"/>
                <w:kern w:val="0"/>
                <w:szCs w:val="21"/>
                <w:highlight w:val="none"/>
                <w:lang w:val="en-US" w:eastAsia="zh-CN"/>
              </w:rPr>
              <w:t>的得1分。</w:t>
            </w:r>
          </w:p>
          <w:p w14:paraId="42ED2F3C">
            <w:pPr>
              <w:pStyle w:val="24"/>
              <w:keepNext w:val="0"/>
              <w:keepLines w:val="0"/>
              <w:pageBreakBefore w:val="0"/>
              <w:kinsoku/>
              <w:wordWrap/>
              <w:overflowPunct/>
              <w:topLinePunct w:val="0"/>
              <w:bidi w:val="0"/>
              <w:snapToGrid/>
              <w:spacing w:line="240" w:lineRule="auto"/>
              <w:textAlignment w:val="auto"/>
              <w:rPr>
                <w:rFonts w:hint="default"/>
                <w:highlight w:val="none"/>
                <w:lang w:val="en-US" w:eastAsia="zh-CN"/>
              </w:rPr>
            </w:pPr>
            <w:r>
              <w:rPr>
                <w:rFonts w:hint="eastAsia" w:ascii="宋体" w:hAnsi="宋体" w:cs="宋体"/>
                <w:kern w:val="0"/>
                <w:szCs w:val="21"/>
                <w:highlight w:val="none"/>
              </w:rPr>
              <w:t>注：</w:t>
            </w:r>
            <w:r>
              <w:rPr>
                <w:rFonts w:hint="eastAsia" w:ascii="宋体" w:hAnsi="宋体" w:cs="宋体"/>
                <w:kern w:val="0"/>
                <w:szCs w:val="21"/>
                <w:highlight w:val="none"/>
                <w:lang w:val="en-US" w:eastAsia="zh-CN"/>
              </w:rPr>
              <w:t>响应</w:t>
            </w:r>
            <w:r>
              <w:rPr>
                <w:rFonts w:hint="eastAsia" w:ascii="宋体" w:hAnsi="宋体" w:cs="宋体"/>
                <w:kern w:val="0"/>
                <w:szCs w:val="21"/>
                <w:highlight w:val="none"/>
              </w:rPr>
              <w:t>文件中须提供有效期内的认证证书复印件及“全国认证认可信息公共服务平台（http://cx.cnca.cn）”查询截图并加盖公章，否则不得分，复印件与查询截图不一致的以查询截图为准。</w:t>
            </w:r>
          </w:p>
        </w:tc>
        <w:tc>
          <w:tcPr>
            <w:tcW w:w="837" w:type="dxa"/>
            <w:noWrap w:val="0"/>
            <w:vAlign w:val="center"/>
          </w:tcPr>
          <w:p w14:paraId="49A96B2D">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w:t>
            </w:r>
          </w:p>
        </w:tc>
        <w:tc>
          <w:tcPr>
            <w:tcW w:w="765" w:type="dxa"/>
            <w:noWrap w:val="0"/>
            <w:vAlign w:val="center"/>
          </w:tcPr>
          <w:p w14:paraId="4F955B72">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客观分</w:t>
            </w:r>
          </w:p>
        </w:tc>
      </w:tr>
      <w:tr w14:paraId="1213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50" w:type="dxa"/>
            <w:noWrap w:val="0"/>
            <w:vAlign w:val="center"/>
          </w:tcPr>
          <w:p w14:paraId="2DA88570">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cs="宋体"/>
                <w:bCs/>
                <w:sz w:val="24"/>
                <w:szCs w:val="24"/>
                <w:highlight w:val="none"/>
                <w:lang w:val="en-US" w:eastAsia="zh-CN"/>
              </w:rPr>
              <w:t>9</w:t>
            </w:r>
          </w:p>
        </w:tc>
        <w:tc>
          <w:tcPr>
            <w:tcW w:w="1602" w:type="dxa"/>
            <w:noWrap w:val="0"/>
            <w:vAlign w:val="center"/>
          </w:tcPr>
          <w:p w14:paraId="099D2234">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类似业绩</w:t>
            </w:r>
          </w:p>
        </w:tc>
        <w:tc>
          <w:tcPr>
            <w:tcW w:w="5982" w:type="dxa"/>
            <w:noWrap w:val="0"/>
            <w:vAlign w:val="center"/>
          </w:tcPr>
          <w:p w14:paraId="07D3F778">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自202</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年1月1日（以</w:t>
            </w:r>
            <w:r>
              <w:rPr>
                <w:rFonts w:hint="eastAsia" w:ascii="宋体" w:hAnsi="宋体" w:eastAsia="宋体" w:cs="宋体"/>
                <w:bCs/>
                <w:sz w:val="24"/>
                <w:szCs w:val="24"/>
                <w:highlight w:val="none"/>
                <w:lang w:val="en-US" w:eastAsia="zh-CN"/>
              </w:rPr>
              <w:t>合同签订之日</w:t>
            </w:r>
            <w:r>
              <w:rPr>
                <w:rFonts w:hint="eastAsia" w:ascii="宋体" w:hAnsi="宋体" w:eastAsia="宋体" w:cs="宋体"/>
                <w:bCs/>
                <w:sz w:val="24"/>
                <w:szCs w:val="24"/>
                <w:highlight w:val="none"/>
              </w:rPr>
              <w:t>为准）以来</w:t>
            </w:r>
            <w:r>
              <w:rPr>
                <w:rFonts w:hint="eastAsia" w:ascii="宋体" w:hAnsi="宋体" w:eastAsia="宋体" w:cs="宋体"/>
                <w:bCs/>
                <w:sz w:val="24"/>
                <w:szCs w:val="24"/>
                <w:highlight w:val="none"/>
                <w:lang w:val="en-US" w:eastAsia="zh-CN"/>
              </w:rPr>
              <w:t>具有类似</w:t>
            </w:r>
            <w:r>
              <w:rPr>
                <w:rFonts w:hint="eastAsia" w:ascii="宋体" w:hAnsi="宋体" w:eastAsia="宋体" w:cs="宋体"/>
                <w:bCs/>
                <w:sz w:val="24"/>
                <w:szCs w:val="24"/>
                <w:highlight w:val="none"/>
              </w:rPr>
              <w:t>项目</w:t>
            </w:r>
            <w:r>
              <w:rPr>
                <w:rFonts w:hint="eastAsia" w:ascii="宋体" w:hAnsi="宋体" w:eastAsia="宋体" w:cs="宋体"/>
                <w:bCs/>
                <w:sz w:val="24"/>
                <w:szCs w:val="24"/>
                <w:highlight w:val="none"/>
                <w:lang w:val="en-US" w:eastAsia="zh-CN"/>
              </w:rPr>
              <w:t>业绩</w:t>
            </w:r>
            <w:r>
              <w:rPr>
                <w:rFonts w:hint="eastAsia" w:ascii="宋体" w:hAnsi="宋体" w:eastAsia="宋体" w:cs="宋体"/>
                <w:bCs/>
                <w:sz w:val="24"/>
                <w:szCs w:val="24"/>
                <w:highlight w:val="none"/>
              </w:rPr>
              <w:t>的，</w:t>
            </w:r>
            <w:r>
              <w:rPr>
                <w:rFonts w:hint="eastAsia" w:ascii="宋体" w:hAnsi="宋体" w:eastAsia="宋体" w:cs="宋体"/>
                <w:bCs/>
                <w:sz w:val="24"/>
                <w:szCs w:val="24"/>
                <w:highlight w:val="none"/>
                <w:lang w:val="en-US" w:eastAsia="zh-CN"/>
              </w:rPr>
              <w:t>每具有一个得0.2分，满分1分</w:t>
            </w:r>
            <w:r>
              <w:rPr>
                <w:rFonts w:hint="eastAsia" w:ascii="宋体" w:hAnsi="宋体" w:eastAsia="宋体" w:cs="宋体"/>
                <w:bCs/>
                <w:sz w:val="24"/>
                <w:szCs w:val="24"/>
                <w:highlight w:val="none"/>
              </w:rPr>
              <w:t>。</w:t>
            </w:r>
          </w:p>
          <w:p w14:paraId="6B967B89">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注：</w:t>
            </w:r>
            <w:r>
              <w:rPr>
                <w:rFonts w:hint="eastAsia" w:ascii="宋体" w:hAnsi="宋体" w:cs="宋体"/>
                <w:bCs/>
                <w:sz w:val="24"/>
                <w:szCs w:val="24"/>
                <w:highlight w:val="none"/>
                <w:lang w:val="en-US" w:eastAsia="zh-CN"/>
              </w:rPr>
              <w:t>响应</w:t>
            </w:r>
            <w:r>
              <w:rPr>
                <w:rFonts w:hint="eastAsia" w:ascii="宋体" w:hAnsi="宋体" w:eastAsia="宋体" w:cs="宋体"/>
                <w:bCs/>
                <w:sz w:val="24"/>
                <w:szCs w:val="24"/>
                <w:highlight w:val="none"/>
              </w:rPr>
              <w:t>文件中</w:t>
            </w:r>
            <w:r>
              <w:rPr>
                <w:rFonts w:hint="eastAsia" w:ascii="宋体" w:hAnsi="宋体" w:eastAsia="宋体" w:cs="宋体"/>
                <w:bCs/>
                <w:sz w:val="24"/>
                <w:szCs w:val="24"/>
                <w:highlight w:val="none"/>
                <w:lang w:val="en-US" w:eastAsia="zh-CN"/>
              </w:rPr>
              <w:t>须</w:t>
            </w:r>
            <w:r>
              <w:rPr>
                <w:rFonts w:hint="eastAsia" w:ascii="宋体" w:hAnsi="宋体" w:eastAsia="宋体" w:cs="宋体"/>
                <w:bCs/>
                <w:sz w:val="24"/>
                <w:szCs w:val="24"/>
                <w:highlight w:val="none"/>
              </w:rPr>
              <w:t>提供合同</w:t>
            </w:r>
            <w:r>
              <w:rPr>
                <w:rFonts w:hint="eastAsia" w:ascii="宋体" w:hAnsi="宋体" w:eastAsia="宋体" w:cs="宋体"/>
                <w:bCs/>
                <w:sz w:val="24"/>
                <w:szCs w:val="24"/>
                <w:highlight w:val="none"/>
                <w:lang w:val="en-US" w:eastAsia="zh-CN"/>
              </w:rPr>
              <w:t>复印件/</w:t>
            </w:r>
            <w:r>
              <w:rPr>
                <w:rFonts w:hint="eastAsia" w:ascii="宋体" w:hAnsi="宋体" w:eastAsia="宋体" w:cs="宋体"/>
                <w:bCs/>
                <w:sz w:val="24"/>
                <w:szCs w:val="24"/>
                <w:highlight w:val="none"/>
              </w:rPr>
              <w:t>扫描件加盖公章</w:t>
            </w:r>
            <w:r>
              <w:rPr>
                <w:rFonts w:hint="eastAsia" w:ascii="宋体" w:hAnsi="宋体" w:eastAsia="宋体" w:cs="宋体"/>
                <w:bCs/>
                <w:sz w:val="24"/>
                <w:szCs w:val="24"/>
                <w:highlight w:val="none"/>
                <w:lang w:eastAsia="zh-CN"/>
              </w:rPr>
              <w:t>。</w:t>
            </w:r>
          </w:p>
        </w:tc>
        <w:tc>
          <w:tcPr>
            <w:tcW w:w="837" w:type="dxa"/>
            <w:noWrap w:val="0"/>
            <w:vAlign w:val="center"/>
          </w:tcPr>
          <w:p w14:paraId="27819DB7">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765" w:type="dxa"/>
            <w:noWrap w:val="0"/>
            <w:vAlign w:val="center"/>
          </w:tcPr>
          <w:p w14:paraId="697DA578">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客观分</w:t>
            </w:r>
          </w:p>
        </w:tc>
      </w:tr>
      <w:tr w14:paraId="4B92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noWrap w:val="0"/>
            <w:vAlign w:val="center"/>
          </w:tcPr>
          <w:p w14:paraId="58582B5A">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20</w:t>
            </w:r>
          </w:p>
        </w:tc>
        <w:tc>
          <w:tcPr>
            <w:tcW w:w="1602" w:type="dxa"/>
            <w:noWrap w:val="0"/>
            <w:vAlign w:val="center"/>
          </w:tcPr>
          <w:p w14:paraId="1BDA82F5">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价格分</w:t>
            </w:r>
          </w:p>
        </w:tc>
        <w:tc>
          <w:tcPr>
            <w:tcW w:w="5982" w:type="dxa"/>
            <w:noWrap w:val="0"/>
            <w:vAlign w:val="center"/>
          </w:tcPr>
          <w:p w14:paraId="005F1173">
            <w:pPr>
              <w:pStyle w:val="410"/>
              <w:keepNext w:val="0"/>
              <w:keepLines w:val="0"/>
              <w:pageBreakBefore w:val="0"/>
              <w:kinsoku/>
              <w:wordWrap/>
              <w:overflowPunct/>
              <w:topLinePunct w:val="0"/>
              <w:autoSpaceDE/>
              <w:autoSpaceDN/>
              <w:bidi w:val="0"/>
              <w:snapToGrid/>
              <w:spacing w:line="24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参与评审的价格</w:t>
            </w:r>
            <w:r>
              <w:rPr>
                <w:rFonts w:hint="eastAsia" w:ascii="宋体" w:hAnsi="宋体" w:cs="宋体"/>
                <w:bCs/>
                <w:sz w:val="24"/>
                <w:szCs w:val="24"/>
                <w:highlight w:val="none"/>
                <w:lang w:val="en-US" w:eastAsia="zh-CN"/>
              </w:rPr>
              <w:t>=最后</w:t>
            </w:r>
            <w:r>
              <w:rPr>
                <w:rFonts w:hint="eastAsia" w:ascii="宋体" w:hAnsi="宋体" w:eastAsia="宋体" w:cs="宋体"/>
                <w:bCs/>
                <w:sz w:val="24"/>
                <w:szCs w:val="24"/>
                <w:highlight w:val="none"/>
              </w:rPr>
              <w:t>报价－小微企业价格扣除优惠值（如有）</w:t>
            </w:r>
          </w:p>
          <w:p w14:paraId="031F4BE1">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满足磋商文件要求且</w:t>
            </w:r>
            <w:r>
              <w:rPr>
                <w:rFonts w:hint="eastAsia" w:ascii="宋体" w:hAnsi="宋体" w:eastAsia="宋体" w:cs="宋体"/>
                <w:bCs/>
                <w:sz w:val="24"/>
                <w:szCs w:val="24"/>
                <w:highlight w:val="none"/>
              </w:rPr>
              <w:t>参与评审的价格</w:t>
            </w:r>
            <w:r>
              <w:rPr>
                <w:rFonts w:hint="eastAsia" w:ascii="宋体" w:hAnsi="宋体" w:eastAsia="宋体" w:cs="宋体"/>
                <w:bCs/>
                <w:color w:val="auto"/>
                <w:sz w:val="24"/>
                <w:szCs w:val="24"/>
                <w:highlight w:val="none"/>
                <w:lang w:val="en-US" w:eastAsia="zh-CN"/>
              </w:rPr>
              <w:t>最低的供应商的价格为磋商基准价，其价格分为</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0分</w:t>
            </w:r>
            <w:r>
              <w:rPr>
                <w:rFonts w:hint="eastAsia" w:ascii="宋体" w:hAnsi="宋体" w:eastAsia="宋体" w:cs="宋体"/>
                <w:bCs/>
                <w:color w:val="auto"/>
                <w:sz w:val="24"/>
                <w:szCs w:val="24"/>
                <w:highlight w:val="none"/>
              </w:rPr>
              <w:t>。</w:t>
            </w:r>
          </w:p>
          <w:p w14:paraId="091E5E95">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w:t>
            </w:r>
            <w:r>
              <w:rPr>
                <w:rFonts w:hint="eastAsia" w:ascii="宋体" w:hAnsi="宋体" w:eastAsia="宋体" w:cs="宋体"/>
                <w:bCs/>
                <w:color w:val="auto"/>
                <w:sz w:val="24"/>
                <w:szCs w:val="24"/>
                <w:highlight w:val="none"/>
                <w:lang w:val="en-US" w:eastAsia="zh-CN"/>
              </w:rPr>
              <w:t>供应商的价格分</w:t>
            </w:r>
            <w:r>
              <w:rPr>
                <w:rFonts w:hint="eastAsia" w:ascii="宋体" w:hAnsi="宋体" w:eastAsia="宋体" w:cs="宋体"/>
                <w:bCs/>
                <w:color w:val="auto"/>
                <w:sz w:val="24"/>
                <w:szCs w:val="24"/>
                <w:highlight w:val="none"/>
              </w:rPr>
              <w:t>计算公式如下：</w:t>
            </w:r>
          </w:p>
          <w:p w14:paraId="4E41F72F">
            <w:pPr>
              <w:keepNext w:val="0"/>
              <w:keepLines w:val="0"/>
              <w:pageBreakBefore w:val="0"/>
              <w:widowControl/>
              <w:kinsoku/>
              <w:wordWrap/>
              <w:overflowPunct/>
              <w:topLinePunct w:val="0"/>
              <w:bidi w:val="0"/>
              <w:adjustRightInd/>
              <w:snapToGrid/>
              <w:spacing w:line="240" w:lineRule="auto"/>
              <w:jc w:val="left"/>
              <w:textAlignment w:val="auto"/>
              <w:outlineLvl w:val="9"/>
              <w:rPr>
                <w:rFonts w:hint="eastAsia" w:ascii="宋体" w:hAnsi="宋体" w:eastAsia="宋体" w:cs="宋体"/>
                <w:bCs/>
                <w:sz w:val="24"/>
                <w:szCs w:val="24"/>
                <w:highlight w:val="none"/>
              </w:rPr>
            </w:pPr>
            <w:r>
              <w:rPr>
                <w:rFonts w:hint="eastAsia" w:ascii="宋体" w:hAnsi="宋体" w:eastAsia="宋体" w:cs="宋体"/>
                <w:bCs/>
                <w:color w:val="auto"/>
                <w:sz w:val="24"/>
                <w:szCs w:val="24"/>
                <w:highlight w:val="none"/>
                <w:lang w:val="en-US" w:eastAsia="zh-CN"/>
              </w:rPr>
              <w:t>价格分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磋商基准价/</w:t>
            </w:r>
            <w:r>
              <w:rPr>
                <w:rFonts w:hint="eastAsia" w:ascii="宋体" w:hAnsi="宋体" w:eastAsia="宋体" w:cs="宋体"/>
                <w:bCs/>
                <w:sz w:val="24"/>
                <w:szCs w:val="24"/>
                <w:highlight w:val="none"/>
              </w:rPr>
              <w:t>参与评审的价格</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%×100。</w:t>
            </w:r>
          </w:p>
        </w:tc>
        <w:tc>
          <w:tcPr>
            <w:tcW w:w="837" w:type="dxa"/>
            <w:noWrap w:val="0"/>
            <w:vAlign w:val="center"/>
          </w:tcPr>
          <w:p w14:paraId="271C96E0">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10</w:t>
            </w:r>
          </w:p>
        </w:tc>
        <w:tc>
          <w:tcPr>
            <w:tcW w:w="765" w:type="dxa"/>
            <w:noWrap w:val="0"/>
            <w:vAlign w:val="center"/>
          </w:tcPr>
          <w:p w14:paraId="610A9B85">
            <w:pPr>
              <w:pStyle w:val="410"/>
              <w:keepNext w:val="0"/>
              <w:keepLines w:val="0"/>
              <w:pageBreakBefore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客观分</w:t>
            </w:r>
          </w:p>
        </w:tc>
      </w:tr>
    </w:tbl>
    <w:p w14:paraId="7B8E6819">
      <w:pPr>
        <w:adjustRightInd/>
        <w:spacing w:line="360" w:lineRule="auto"/>
        <w:ind w:firstLine="482" w:firstLineChars="200"/>
        <w:rPr>
          <w:rFonts w:cs="Arial" w:asciiTheme="minorEastAsia" w:hAnsiTheme="minorEastAsia" w:eastAsiaTheme="minorEastAsia"/>
          <w:b/>
          <w:color w:val="auto"/>
          <w:kern w:val="0"/>
          <w:sz w:val="24"/>
          <w:highlight w:val="none"/>
        </w:rPr>
      </w:pPr>
    </w:p>
    <w:p w14:paraId="4F1B70FD">
      <w:pPr>
        <w:pStyle w:val="398"/>
        <w:spacing w:before="0"/>
        <w:ind w:left="0" w:leftChars="0"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555B5C9">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1B913348">
      <w:pPr>
        <w:adjustRightInd/>
        <w:spacing w:line="360" w:lineRule="auto"/>
        <w:rPr>
          <w:rFonts w:cs="Arial" w:asciiTheme="minorEastAsia" w:hAnsiTheme="minorEastAsia" w:eastAsiaTheme="minorEastAsia"/>
          <w:color w:val="auto"/>
          <w:kern w:val="0"/>
          <w:sz w:val="24"/>
          <w:highlight w:val="none"/>
        </w:rPr>
      </w:pPr>
    </w:p>
    <w:p w14:paraId="574F2737">
      <w:pPr>
        <w:snapToGrid w:val="0"/>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7B5E2A76">
      <w:pPr>
        <w:pStyle w:val="398"/>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0EE3F53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510D73E1">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财库〔2014〕214号</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35FDF7F5">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4891BD32">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DC5EFF1">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4D29D3E8">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F09FDA4">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7FE8F80">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12801B1B">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66C8CE91">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27809ABE">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22C4A7A">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2C8B93E">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0849F75F">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311EB490">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0C109CA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A4BB140">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78E3B5F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7C27792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7463D7A2">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3366FA39">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w:t>
      </w:r>
      <w:r>
        <w:rPr>
          <w:rFonts w:hint="eastAsia" w:asciiTheme="minorEastAsia" w:hAnsiTheme="minorEastAsia" w:eastAsiaTheme="minorEastAsia"/>
          <w:color w:val="auto"/>
          <w:highlight w:val="none"/>
          <w:lang w:eastAsia="zh-CN"/>
        </w:rPr>
        <w:t>其他</w:t>
      </w:r>
      <w:r>
        <w:rPr>
          <w:rFonts w:hint="eastAsia" w:asciiTheme="minorEastAsia" w:hAnsiTheme="minorEastAsia" w:eastAsiaTheme="minorEastAsia"/>
          <w:color w:val="auto"/>
          <w:highlight w:val="none"/>
        </w:rPr>
        <w:t>事项。</w:t>
      </w:r>
    </w:p>
    <w:p w14:paraId="6F80CFF8">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693D683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CA392AA">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3333769">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A87CB6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EFD5FB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1E67C00D">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6FCED3F">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353EF94A">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B4FB1B0">
      <w:pPr>
        <w:pStyle w:val="398"/>
        <w:spacing w:before="0"/>
        <w:ind w:firstLine="0" w:firstLineChars="0"/>
        <w:rPr>
          <w:rFonts w:asciiTheme="minorEastAsia" w:hAnsiTheme="minorEastAsia" w:eastAsiaTheme="minorEastAsia"/>
          <w:b/>
          <w:color w:val="auto"/>
          <w:highlight w:val="none"/>
        </w:rPr>
      </w:pPr>
    </w:p>
    <w:p w14:paraId="3441A65E">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323710C">
      <w:pPr>
        <w:pStyle w:val="398"/>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59A36496">
      <w:pPr>
        <w:pStyle w:val="398"/>
        <w:spacing w:before="0"/>
        <w:ind w:firstLine="0" w:firstLineChars="0"/>
        <w:rPr>
          <w:rFonts w:asciiTheme="minorEastAsia" w:hAnsiTheme="minorEastAsia" w:eastAsiaTheme="minorEastAsia"/>
          <w:b/>
          <w:color w:val="auto"/>
          <w:highlight w:val="none"/>
        </w:rPr>
      </w:pPr>
    </w:p>
    <w:p w14:paraId="2AA2D8AF">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23EFE37">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8EBA95D">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E7E5D14">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34FC98A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63C2871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5F91DA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5B2399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561C47F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3C8084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4C978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039C4E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D5725E2">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2B933B33">
      <w:pPr>
        <w:pStyle w:val="2"/>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66BCBB77">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07A4A7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B5F523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683B213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5C7864B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5409A13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7987C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91329D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4E22872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E06C55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4BC7A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2FCEDB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A90D5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624F8D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w:t>
      </w:r>
      <w:r>
        <w:rPr>
          <w:rFonts w:hint="eastAsia" w:asciiTheme="minorEastAsia" w:hAnsiTheme="minorEastAsia" w:eastAsiaTheme="minorEastAsia"/>
          <w:color w:val="auto"/>
          <w:sz w:val="24"/>
          <w:highlight w:val="none"/>
          <w:lang w:val="en-US" w:eastAsia="zh-CN"/>
        </w:rPr>
        <w:t>单价</w:t>
      </w:r>
      <w:r>
        <w:rPr>
          <w:rFonts w:hint="eastAsia" w:asciiTheme="minorEastAsia" w:hAnsiTheme="minorEastAsia" w:eastAsiaTheme="minorEastAsia"/>
          <w:color w:val="auto"/>
          <w:sz w:val="24"/>
          <w:highlight w:val="none"/>
        </w:rPr>
        <w:t>最高限价的</w:t>
      </w:r>
      <w:r>
        <w:rPr>
          <w:rFonts w:hint="eastAsia" w:asciiTheme="minorEastAsia" w:hAnsiTheme="minorEastAsia" w:eastAsiaTheme="minorEastAsia"/>
          <w:color w:val="auto"/>
          <w:sz w:val="24"/>
          <w:highlight w:val="none"/>
          <w:lang w:eastAsia="zh-CN"/>
        </w:rPr>
        <w:t>；</w:t>
      </w:r>
    </w:p>
    <w:p w14:paraId="532E7A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50394A5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41AA3E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0CE95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6CBE9EB">
      <w:pPr>
        <w:pStyle w:val="110"/>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241A61CA">
      <w:pPr>
        <w:pStyle w:val="110"/>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54B69509">
      <w:pPr>
        <w:pStyle w:val="110"/>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CBF01B5">
      <w:pPr>
        <w:pStyle w:val="110"/>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4F21FE42">
      <w:pPr>
        <w:pStyle w:val="110"/>
        <w:numPr>
          <w:ilvl w:val="0"/>
          <w:numId w:val="1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36AEA6FD">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09F0C59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19BDA36">
      <w:pPr>
        <w:pStyle w:val="110"/>
        <w:numPr>
          <w:ilvl w:val="0"/>
          <w:numId w:val="1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2920A4D6">
      <w:pPr>
        <w:pStyle w:val="110"/>
        <w:numPr>
          <w:ilvl w:val="0"/>
          <w:numId w:val="1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w:t>
      </w:r>
      <w:r>
        <w:rPr>
          <w:rFonts w:hint="eastAsia" w:asciiTheme="minorEastAsia" w:hAnsiTheme="minorEastAsia" w:eastAsiaTheme="minorEastAsia"/>
          <w:color w:val="auto"/>
          <w:highlight w:val="none"/>
          <w:lang w:eastAsia="zh-CN"/>
        </w:rPr>
        <w:t>响应</w:t>
      </w:r>
      <w:r>
        <w:rPr>
          <w:rFonts w:hint="eastAsia" w:asciiTheme="minorEastAsia" w:hAnsiTheme="minorEastAsia" w:eastAsiaTheme="minorEastAsia"/>
          <w:color w:val="auto"/>
          <w:highlight w:val="none"/>
        </w:rPr>
        <w:t>文件或者响应文件；</w:t>
      </w:r>
    </w:p>
    <w:p w14:paraId="615DB84E">
      <w:pPr>
        <w:pStyle w:val="110"/>
        <w:numPr>
          <w:ilvl w:val="0"/>
          <w:numId w:val="1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w:t>
      </w:r>
      <w:r>
        <w:rPr>
          <w:rFonts w:hint="eastAsia" w:asciiTheme="minorEastAsia" w:hAnsiTheme="minorEastAsia" w:eastAsiaTheme="minorEastAsia"/>
          <w:color w:val="auto"/>
          <w:highlight w:val="none"/>
        </w:rPr>
        <w:t>文件或者响应文件的实质性内容；</w:t>
      </w:r>
    </w:p>
    <w:p w14:paraId="1371866B">
      <w:pPr>
        <w:pStyle w:val="110"/>
        <w:numPr>
          <w:ilvl w:val="0"/>
          <w:numId w:val="1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092211FC">
      <w:pPr>
        <w:pStyle w:val="110"/>
        <w:numPr>
          <w:ilvl w:val="0"/>
          <w:numId w:val="1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29452C6">
      <w:pPr>
        <w:pStyle w:val="110"/>
        <w:numPr>
          <w:ilvl w:val="0"/>
          <w:numId w:val="1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22F57552">
      <w:pPr>
        <w:pStyle w:val="110"/>
        <w:numPr>
          <w:ilvl w:val="0"/>
          <w:numId w:val="1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55617B1D">
      <w:pPr>
        <w:pStyle w:val="110"/>
        <w:numPr>
          <w:ilvl w:val="0"/>
          <w:numId w:val="1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72F6343F">
      <w:pPr>
        <w:pStyle w:val="110"/>
        <w:numPr>
          <w:ilvl w:val="0"/>
          <w:numId w:val="1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732D6429">
      <w:pPr>
        <w:pStyle w:val="110"/>
        <w:numPr>
          <w:ilvl w:val="0"/>
          <w:numId w:val="1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0D59ECC4">
      <w:pPr>
        <w:pStyle w:val="110"/>
        <w:numPr>
          <w:ilvl w:val="0"/>
          <w:numId w:val="1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4397BDC3">
      <w:pPr>
        <w:pStyle w:val="110"/>
        <w:numPr>
          <w:ilvl w:val="0"/>
          <w:numId w:val="1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4AB6E9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3D5480E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3.21</w:t>
      </w:r>
      <w:r>
        <w:rPr>
          <w:rFonts w:hint="eastAsia" w:ascii="宋体" w:hAnsi="宋体"/>
          <w:color w:val="auto"/>
          <w:sz w:val="24"/>
          <w:highlight w:val="none"/>
        </w:rPr>
        <w:t>参与同一个采购包（标段）的供应商存在下列情形之一且无法合理解释的，其响应文件无效：</w:t>
      </w:r>
    </w:p>
    <w:p w14:paraId="181980CE">
      <w:pPr>
        <w:pStyle w:val="110"/>
        <w:numPr>
          <w:ilvl w:val="0"/>
          <w:numId w:val="1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不同供应商的电子响应文件上传计算机的网卡MAC地址或硬盘序列号等硬件信息相同的；</w:t>
      </w:r>
    </w:p>
    <w:p w14:paraId="2A4FFB9E">
      <w:pPr>
        <w:pStyle w:val="110"/>
        <w:numPr>
          <w:ilvl w:val="0"/>
          <w:numId w:val="1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上传的电子响应文件若出现使用本项目其他响应供应商的数字证书加密的，或者加盖本项目其他响应供应商的电子印章的；</w:t>
      </w:r>
    </w:p>
    <w:p w14:paraId="1E327ADA">
      <w:pPr>
        <w:pStyle w:val="110"/>
        <w:numPr>
          <w:ilvl w:val="0"/>
          <w:numId w:val="1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不同供应商的响应文件的内容存在3处（含）以上错误一致的；</w:t>
      </w:r>
    </w:p>
    <w:p w14:paraId="14C59A52">
      <w:pPr>
        <w:pStyle w:val="110"/>
        <w:numPr>
          <w:ilvl w:val="0"/>
          <w:numId w:val="18"/>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不同供应商联系人为同一人或不同联系人的联系电话一致的。</w:t>
      </w:r>
    </w:p>
    <w:p w14:paraId="15465ED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2</w:t>
      </w:r>
      <w:r>
        <w:rPr>
          <w:rFonts w:hint="eastAsia" w:ascii="宋体" w:hAnsi="宋体"/>
          <w:color w:val="auto"/>
          <w:sz w:val="24"/>
          <w:highlight w:val="none"/>
        </w:rPr>
        <w:t>法律、法规、规章（适用本市的）及省级以上规范性文件（适用本市的）规定的其他无效情形。</w:t>
      </w:r>
    </w:p>
    <w:p w14:paraId="4959D5DD">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16B7470D">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6E9B6B0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EF9CD1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193131F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B1D1538">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7045E2D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24A4D1CB">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42F32BCF">
      <w:pPr>
        <w:pStyle w:val="398"/>
        <w:spacing w:before="0"/>
        <w:ind w:firstLine="0" w:firstLineChars="0"/>
        <w:rPr>
          <w:rFonts w:cs="仿宋_GB2312" w:asciiTheme="minorEastAsia" w:hAnsiTheme="minorEastAsia" w:eastAsiaTheme="minorEastAsia"/>
          <w:b/>
          <w:color w:val="auto"/>
          <w:highlight w:val="none"/>
        </w:rPr>
      </w:pPr>
    </w:p>
    <w:p w14:paraId="057CC5CF">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9E0F17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5780B6D5">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745D11C1">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CE5B482">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216"/>
      <w:r>
        <w:rPr>
          <w:rFonts w:hint="eastAsia" w:cs="仿宋_GB2312" w:asciiTheme="minorEastAsia" w:hAnsiTheme="minorEastAsia" w:eastAsiaTheme="minorEastAsia"/>
          <w:b/>
          <w:color w:val="auto"/>
          <w:sz w:val="36"/>
          <w:szCs w:val="36"/>
          <w:highlight w:val="none"/>
        </w:rPr>
        <w:t xml:space="preserve">  拟签订的合同文本</w:t>
      </w:r>
    </w:p>
    <w:p w14:paraId="2C4BE77C">
      <w:pPr>
        <w:pStyle w:val="32"/>
        <w:keepNext w:val="0"/>
        <w:keepLines w:val="0"/>
        <w:pageBreakBefore w:val="0"/>
        <w:widowControl w:val="0"/>
        <w:kinsoku/>
        <w:wordWrap/>
        <w:overflowPunct/>
        <w:topLinePunct w:val="0"/>
        <w:autoSpaceDE/>
        <w:autoSpaceDN/>
        <w:bidi w:val="0"/>
        <w:snapToGrid w:val="0"/>
        <w:spacing w:before="0" w:after="0" w:line="360" w:lineRule="auto"/>
        <w:ind w:right="0" w:rightChars="0"/>
        <w:jc w:val="center"/>
        <w:rPr>
          <w:rFonts w:hint="eastAsia" w:ascii="宋体" w:hAnsi="宋体" w:eastAsia="宋体" w:cs="宋体"/>
          <w:b/>
          <w:color w:val="auto"/>
          <w:sz w:val="24"/>
          <w:szCs w:val="24"/>
          <w:highlight w:val="none"/>
        </w:rPr>
      </w:pPr>
      <w:bookmarkStart w:id="217" w:name="第五部分"/>
      <w:bookmarkStart w:id="218" w:name="_Toc86217003"/>
      <w:r>
        <w:rPr>
          <w:rFonts w:hint="eastAsia" w:ascii="宋体" w:hAnsi="宋体" w:eastAsia="宋体" w:cs="宋体"/>
          <w:b/>
          <w:color w:val="auto"/>
          <w:sz w:val="24"/>
          <w:szCs w:val="24"/>
          <w:highlight w:val="none"/>
        </w:rPr>
        <w:t>浙江省政府采购合同指引（服务）</w:t>
      </w:r>
    </w:p>
    <w:p w14:paraId="530F788E">
      <w:pPr>
        <w:pStyle w:val="32"/>
        <w:keepNext w:val="0"/>
        <w:keepLines w:val="0"/>
        <w:pageBreakBefore w:val="0"/>
        <w:widowControl w:val="0"/>
        <w:kinsoku/>
        <w:wordWrap/>
        <w:overflowPunct/>
        <w:topLinePunct w:val="0"/>
        <w:autoSpaceDE/>
        <w:autoSpaceDN/>
        <w:bidi w:val="0"/>
        <w:snapToGrid w:val="0"/>
        <w:spacing w:before="0" w:after="0" w:line="360" w:lineRule="auto"/>
        <w:ind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（合同指引文本为参考文本，采购人和成交人经过协商后签署最终合同）</w:t>
      </w:r>
    </w:p>
    <w:p w14:paraId="509B992E">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甲方：（买方）</w:t>
      </w:r>
    </w:p>
    <w:p w14:paraId="127162B5">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乙方：（卖方）</w:t>
      </w:r>
    </w:p>
    <w:p w14:paraId="48001F5C">
      <w:pPr>
        <w:pStyle w:val="32"/>
        <w:snapToGrid w:val="0"/>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的采购结果，签署本合同。</w:t>
      </w:r>
    </w:p>
    <w:p w14:paraId="09205BF8">
      <w:pPr>
        <w:pStyle w:val="32"/>
        <w:snapToGrid w:val="0"/>
        <w:spacing w:beforeLines="0" w:afterLines="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w:t>
      </w:r>
    </w:p>
    <w:p w14:paraId="29097FE7">
      <w:pPr>
        <w:pStyle w:val="32"/>
        <w:snapToGrid w:val="0"/>
        <w:spacing w:beforeLines="0" w:afterLines="0" w:line="360" w:lineRule="auto"/>
        <w:rPr>
          <w:rFonts w:hint="eastAsia" w:ascii="宋体" w:hAnsi="宋体" w:eastAsia="宋体" w:cs="宋体"/>
          <w:b/>
          <w:bCs/>
          <w:color w:val="auto"/>
          <w:sz w:val="24"/>
          <w:szCs w:val="24"/>
          <w:highlight w:val="none"/>
        </w:rPr>
      </w:pPr>
    </w:p>
    <w:p w14:paraId="08376224">
      <w:pPr>
        <w:pStyle w:val="32"/>
        <w:snapToGrid w:val="0"/>
        <w:spacing w:beforeLines="0" w:afterLines="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二、合同金额</w:t>
      </w:r>
    </w:p>
    <w:p w14:paraId="5DFC11DD">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本合同金额为（大写）：___________________元（￥_______________元）人民币。</w:t>
      </w:r>
    </w:p>
    <w:p w14:paraId="33F76670">
      <w:pPr>
        <w:pStyle w:val="32"/>
        <w:snapToGrid w:val="0"/>
        <w:spacing w:beforeLines="0" w:afterLines="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三、技术资料</w:t>
      </w:r>
    </w:p>
    <w:p w14:paraId="7CA15F7D">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3.1乙方应按采购文件规定的时间向甲方提供有关技术资料。</w:t>
      </w:r>
    </w:p>
    <w:p w14:paraId="3FBB109C">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3889FE">
      <w:pPr>
        <w:pStyle w:val="32"/>
        <w:snapToGrid w:val="0"/>
        <w:spacing w:beforeLines="0" w:afterLines="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四、知识产权</w:t>
      </w:r>
    </w:p>
    <w:p w14:paraId="4573AE5E">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乙方应保证提供服务过程中不会侵犯任何第三方的知识产权。</w:t>
      </w:r>
    </w:p>
    <w:p w14:paraId="04745B9A">
      <w:pPr>
        <w:pStyle w:val="32"/>
        <w:adjustRightInd w:val="0"/>
        <w:snapToGrid w:val="0"/>
        <w:spacing w:before="120" w:after="120" w:line="360" w:lineRule="auto"/>
        <w:ind w:left="358" w:hanging="410" w:hangingChars="17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五、转包或分包</w:t>
      </w:r>
    </w:p>
    <w:p w14:paraId="490535B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5.1.本合同范围的服务，应由乙方直接供应，不得转让他人供应；</w:t>
      </w:r>
    </w:p>
    <w:p w14:paraId="58AD24E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5.2.除非得到甲方的书面同意，乙方不得将本合同范围的服务全部或部分分包给他人供应；</w:t>
      </w:r>
    </w:p>
    <w:p w14:paraId="20BA231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5.3如有转让和未经甲方同意的分包行为，甲方有权解除合同，并追究乙方的违约责任。</w:t>
      </w:r>
    </w:p>
    <w:p w14:paraId="5EC4B7EE">
      <w:pPr>
        <w:pStyle w:val="32"/>
        <w:snapToGrid w:val="0"/>
        <w:spacing w:beforeLines="0" w:afterLines="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六、合同履行时间、履行方式及履行地点</w:t>
      </w:r>
    </w:p>
    <w:p w14:paraId="6803B10D">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履行时间：</w:t>
      </w:r>
    </w:p>
    <w:p w14:paraId="0D280EA3">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履行方式：</w:t>
      </w:r>
    </w:p>
    <w:p w14:paraId="1B2E2166">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履行地点：</w:t>
      </w:r>
    </w:p>
    <w:p w14:paraId="666ED0C5">
      <w:pPr>
        <w:pStyle w:val="32"/>
        <w:snapToGrid w:val="0"/>
        <w:spacing w:beforeLines="0" w:afterLines="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七、款项支付</w:t>
      </w:r>
    </w:p>
    <w:p w14:paraId="1917F222">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付款方式：</w:t>
      </w:r>
    </w:p>
    <w:p w14:paraId="600E4280">
      <w:pPr>
        <w:pStyle w:val="32"/>
        <w:snapToGrid w:val="0"/>
        <w:spacing w:beforeLines="0" w:afterLines="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八、税</w:t>
      </w:r>
    </w:p>
    <w:p w14:paraId="5695C3B3">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8.1本合同执行中相关的一切税费均由供方负担。</w:t>
      </w:r>
    </w:p>
    <w:p w14:paraId="59AA3C3F">
      <w:pPr>
        <w:pStyle w:val="32"/>
        <w:snapToGrid w:val="0"/>
        <w:spacing w:beforeLines="0" w:afterLines="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九、质量保证及后续服务</w:t>
      </w:r>
    </w:p>
    <w:p w14:paraId="51F17252">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乙方应按采购文件规定向甲方提供服务。</w:t>
      </w:r>
    </w:p>
    <w:p w14:paraId="49DE56F7">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乙方提供的服务成果在服务质量保证期内发生故障，乙方应负责免费提供后续服务。对达不到要求者，根据实际情况，经双方协商，可按以下办法处理：</w:t>
      </w:r>
    </w:p>
    <w:p w14:paraId="0F81E91B">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14:paraId="300F8911">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31CABE58">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14:paraId="7F0CDE5E">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如在服务过程中发生问题，乙方在接到甲方通知后在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小时内到达甲方现场。</w:t>
      </w:r>
    </w:p>
    <w:p w14:paraId="0946C05F">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在服务质量保证期内，乙方应对出现的质量及安全问题负责处理解决并承担一切费用。</w:t>
      </w:r>
    </w:p>
    <w:p w14:paraId="7B9BB34E">
      <w:pPr>
        <w:pStyle w:val="32"/>
        <w:snapToGrid w:val="0"/>
        <w:spacing w:beforeLines="0" w:afterLines="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十一、违约责任</w:t>
      </w:r>
    </w:p>
    <w:p w14:paraId="4D06CFF7">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甲方无正当理由拒收接受服务的，甲方向乙方偿付合同款项百分之五作为违约金。</w:t>
      </w:r>
    </w:p>
    <w:p w14:paraId="46202C74">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甲方无故逾期验收和办理款项支付手续的,甲方应按逾期付款总额每日万分之三向乙方支付违约金。</w:t>
      </w:r>
    </w:p>
    <w:p w14:paraId="5E7002E4">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11.3 乙方逾期提供服务的，每日向甲方支付千分之六违约金。如造成甲方损失超过违约金的，超出部分由乙方继续承担赔偿责任。 </w:t>
      </w:r>
    </w:p>
    <w:p w14:paraId="29B14C36">
      <w:pPr>
        <w:pStyle w:val="32"/>
        <w:snapToGrid w:val="0"/>
        <w:spacing w:beforeLines="0" w:afterLines="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十二、不可抗力事件处理</w:t>
      </w:r>
    </w:p>
    <w:p w14:paraId="404CFDCA">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在合同有效期内，任何一方因不可抗力事件导致不能履行合同，则合同履行期可延长，其延长期与不可抗力影响期相同。</w:t>
      </w:r>
    </w:p>
    <w:p w14:paraId="397127C5">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不可抗力事件发生后，应立即通知对方，并寄送有关权威机构出具的证明。</w:t>
      </w:r>
    </w:p>
    <w:p w14:paraId="67FA3FE3">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不可抗力事件延续120天以上，双方应通过友好协商，确定是否继续履行合同。</w:t>
      </w:r>
    </w:p>
    <w:p w14:paraId="1E6EC9AF">
      <w:pPr>
        <w:pStyle w:val="32"/>
        <w:snapToGrid w:val="0"/>
        <w:spacing w:beforeLines="0" w:afterLines="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十三、诉讼</w:t>
      </w:r>
    </w:p>
    <w:p w14:paraId="15AD88F2">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双方在执行合同中所发生的一切争议，应通过协商解决。如协商不成，可向合同签订地法院起诉。</w:t>
      </w:r>
    </w:p>
    <w:p w14:paraId="0973FA5C">
      <w:pPr>
        <w:pStyle w:val="32"/>
        <w:snapToGrid w:val="0"/>
        <w:spacing w:beforeLines="0" w:afterLines="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十四、合同生效及其它</w:t>
      </w:r>
    </w:p>
    <w:p w14:paraId="306775E5">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合同经双方法定代表人或授权委托代理人签字并加盖单位公章后生效。</w:t>
      </w:r>
    </w:p>
    <w:p w14:paraId="08699AB5">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14.2本合同未尽事宜，遵照《</w:t>
      </w:r>
      <w:r>
        <w:rPr>
          <w:rFonts w:hint="eastAsia" w:ascii="宋体" w:hAnsi="宋体" w:eastAsia="宋体" w:cs="宋体"/>
          <w:color w:val="auto"/>
          <w:sz w:val="24"/>
          <w:szCs w:val="24"/>
          <w:highlight w:val="none"/>
          <w:lang w:val="en-US" w:eastAsia="zh-CN"/>
        </w:rPr>
        <w:t>中华人民共和国民法典</w:t>
      </w:r>
      <w:r>
        <w:rPr>
          <w:rFonts w:hint="eastAsia" w:ascii="宋体" w:hAnsi="宋体" w:eastAsia="宋体" w:cs="宋体"/>
          <w:color w:val="auto"/>
          <w:sz w:val="24"/>
          <w:szCs w:val="24"/>
          <w:highlight w:val="none"/>
        </w:rPr>
        <w:t>》有关条文执行。</w:t>
      </w:r>
    </w:p>
    <w:p w14:paraId="65DE2006">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本合同正本一式两份，具有同等法律效力，甲乙双方各执一份；副本△份，(用途)。</w:t>
      </w:r>
    </w:p>
    <w:p w14:paraId="01277178">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甲方（盖章）：                                   乙方（盖章）： </w:t>
      </w:r>
    </w:p>
    <w:p w14:paraId="7D88BB5B">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地址： </w:t>
      </w:r>
    </w:p>
    <w:p w14:paraId="0528452A">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法定代表人（委托代理人）：                       法定代表人（委托代理人）：</w:t>
      </w:r>
    </w:p>
    <w:p w14:paraId="60653A75">
      <w:pPr>
        <w:pStyle w:val="32"/>
        <w:snapToGrid w:val="0"/>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签订地点：                                          签订日期：      年  月  日</w:t>
      </w:r>
    </w:p>
    <w:p w14:paraId="70F1DA6E">
      <w:pPr>
        <w:pStyle w:val="32"/>
        <w:spacing w:before="0" w:beforeLines="0" w:after="0" w:afterLines="0" w:line="360" w:lineRule="auto"/>
        <w:ind w:firstLine="240" w:firstLineChars="100"/>
        <w:rPr>
          <w:rFonts w:hint="eastAsia" w:ascii="宋体" w:hAnsi="宋体" w:eastAsia="宋体" w:cs="宋体"/>
          <w:color w:val="auto"/>
          <w:sz w:val="24"/>
          <w:szCs w:val="24"/>
          <w:highlight w:val="none"/>
        </w:rPr>
      </w:pPr>
    </w:p>
    <w:p w14:paraId="1908C8F0">
      <w:pPr>
        <w:pStyle w:val="32"/>
        <w:spacing w:line="360" w:lineRule="auto"/>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rPr>
        <w:t>见证方（盖章）：</w:t>
      </w:r>
      <w:r>
        <w:rPr>
          <w:rFonts w:hint="eastAsia" w:ascii="宋体" w:hAnsi="宋体" w:eastAsia="宋体" w:cs="宋体"/>
          <w:color w:val="auto"/>
          <w:sz w:val="24"/>
          <w:szCs w:val="24"/>
          <w:highlight w:val="none"/>
          <w:lang w:val="en-US" w:eastAsia="zh-CN"/>
        </w:rPr>
        <w:t>宁波中基国际招标有限公司</w:t>
      </w:r>
    </w:p>
    <w:p w14:paraId="7EF31C7C">
      <w:pPr>
        <w:pStyle w:val="32"/>
        <w:spacing w:line="288" w:lineRule="auto"/>
        <w:ind w:firstLine="240" w:firstLineChars="100"/>
        <w:rPr>
          <w:rFonts w:hint="eastAsia" w:ascii="宋体" w:hAnsi="宋体" w:eastAsia="宋体" w:cs="宋体"/>
          <w:sz w:val="24"/>
          <w:szCs w:val="24"/>
        </w:rPr>
      </w:pPr>
    </w:p>
    <w:p w14:paraId="341F9829">
      <w:pPr>
        <w:pStyle w:val="32"/>
        <w:spacing w:line="360" w:lineRule="auto"/>
        <w:rPr>
          <w:rFonts w:hint="eastAsia" w:ascii="宋体" w:hAnsi="宋体" w:eastAsia="宋体" w:cs="宋体"/>
          <w:b/>
          <w:bCs/>
          <w:sz w:val="24"/>
          <w:szCs w:val="24"/>
        </w:rPr>
      </w:pPr>
      <w:r>
        <w:rPr>
          <w:rFonts w:hint="eastAsia" w:ascii="宋体" w:hAnsi="宋体" w:eastAsia="宋体" w:cs="宋体"/>
          <w:b/>
          <w:bCs/>
          <w:sz w:val="24"/>
          <w:szCs w:val="24"/>
        </w:rPr>
        <w:t>重要提醒：</w:t>
      </w:r>
    </w:p>
    <w:p w14:paraId="1250A77A">
      <w:pPr>
        <w:pStyle w:val="32"/>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根据鄞州区政府采购要求，本招标项目的合同经买、卖双方签名盖章后，还须经招标代理公司盖章见证（非鉴证），请勿忘！</w:t>
      </w:r>
    </w:p>
    <w:p w14:paraId="4611CB0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894E22F">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217"/>
      <w:r>
        <w:rPr>
          <w:rFonts w:hint="eastAsia" w:cs="仿宋_GB2312" w:asciiTheme="minorEastAsia" w:hAnsiTheme="minorEastAsia" w:eastAsiaTheme="minorEastAsia"/>
          <w:b/>
          <w:color w:val="auto"/>
          <w:sz w:val="36"/>
          <w:szCs w:val="20"/>
          <w:highlight w:val="none"/>
        </w:rPr>
        <w:t xml:space="preserve">  </w:t>
      </w:r>
      <w:bookmarkEnd w:id="218"/>
      <w:r>
        <w:rPr>
          <w:rFonts w:hint="eastAsia" w:cs="仿宋_GB2312" w:asciiTheme="minorEastAsia" w:hAnsiTheme="minorEastAsia" w:eastAsiaTheme="minorEastAsia"/>
          <w:b/>
          <w:color w:val="auto"/>
          <w:sz w:val="36"/>
          <w:szCs w:val="20"/>
          <w:highlight w:val="none"/>
        </w:rPr>
        <w:t>应提交的有关格式范例</w:t>
      </w:r>
    </w:p>
    <w:p w14:paraId="500DD34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CBDCED2">
      <w:pPr>
        <w:spacing w:line="360" w:lineRule="auto"/>
        <w:jc w:val="center"/>
        <w:rPr>
          <w:rFonts w:hint="eastAsia" w:ascii="宋体" w:hAnsi="宋体" w:cs="宋体"/>
          <w:b/>
          <w:color w:val="auto"/>
          <w:kern w:val="0"/>
          <w:sz w:val="36"/>
          <w:szCs w:val="36"/>
          <w:highlight w:val="none"/>
        </w:rPr>
      </w:pPr>
      <w:bookmarkStart w:id="219" w:name="_Toc114750267"/>
      <w:bookmarkStart w:id="220" w:name="_Toc100644419"/>
      <w:r>
        <w:rPr>
          <w:rFonts w:hint="eastAsia" w:ascii="宋体" w:hAnsi="宋体" w:cs="宋体"/>
          <w:b/>
          <w:color w:val="auto"/>
          <w:kern w:val="0"/>
          <w:sz w:val="36"/>
          <w:szCs w:val="36"/>
          <w:highlight w:val="none"/>
        </w:rPr>
        <w:t>资格文件部分</w:t>
      </w:r>
      <w:bookmarkEnd w:id="219"/>
      <w:bookmarkEnd w:id="220"/>
    </w:p>
    <w:p w14:paraId="13F61A6E">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31BB7E4">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142CB439">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0D3EBFEC">
      <w:pPr>
        <w:snapToGrid w:val="0"/>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r>
        <w:rPr>
          <w:rFonts w:hint="eastAsia" w:ascii="宋体" w:hAnsi="宋体" w:eastAsia="宋体" w:cs="宋体"/>
          <w:color w:val="auto"/>
          <w:sz w:val="24"/>
          <w:highlight w:val="none"/>
        </w:rPr>
        <w:t>………………………………………………………（页码）</w:t>
      </w:r>
    </w:p>
    <w:p w14:paraId="20C71BE2">
      <w:pPr>
        <w:snapToGrid w:val="0"/>
        <w:spacing w:line="360" w:lineRule="auto"/>
        <w:ind w:firstLine="480" w:firstLineChars="200"/>
        <w:rPr>
          <w:rFonts w:hint="eastAsia" w:ascii="宋体" w:hAnsi="宋体" w:cs="宋体"/>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lang w:eastAsia="zh-CN"/>
        </w:rPr>
        <w:t>）</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…………………………………（页码）</w:t>
      </w:r>
    </w:p>
    <w:p w14:paraId="76CC840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符合特定资格条件的有关证明材料</w:t>
      </w:r>
      <w:r>
        <w:rPr>
          <w:rFonts w:hint="eastAsia" w:ascii="宋体" w:hAnsi="宋体" w:eastAsia="宋体" w:cs="宋体"/>
          <w:color w:val="auto"/>
          <w:sz w:val="24"/>
          <w:highlight w:val="none"/>
        </w:rPr>
        <w:t>………………………………………（页码）</w:t>
      </w:r>
    </w:p>
    <w:p w14:paraId="2A86AC74">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p>
    <w:p w14:paraId="37EC7E1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66CF8253">
      <w:pPr>
        <w:spacing w:line="360" w:lineRule="auto"/>
        <w:rPr>
          <w:rFonts w:cs="仿宋_GB2312" w:asciiTheme="minorEastAsia" w:hAnsiTheme="minorEastAsia" w:eastAsiaTheme="minorEastAsia"/>
          <w:color w:val="auto"/>
          <w:sz w:val="18"/>
          <w:szCs w:val="18"/>
          <w:highlight w:val="none"/>
        </w:rPr>
      </w:pPr>
      <w:r>
        <w:rPr>
          <w:rFonts w:hint="eastAsia" w:cs="仿宋_GB2312" w:asciiTheme="minorEastAsia" w:hAnsiTheme="minorEastAsia" w:eastAsiaTheme="minorEastAsia"/>
          <w:color w:val="auto"/>
          <w:sz w:val="36"/>
          <w:szCs w:val="36"/>
          <w:highlight w:val="none"/>
        </w:rPr>
        <w:br w:type="page"/>
      </w:r>
    </w:p>
    <w:p w14:paraId="2E844127">
      <w:pPr>
        <w:widowControl/>
        <w:adjustRightInd/>
        <w:ind w:left="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en-US" w:eastAsia="zh-CN"/>
        </w:rPr>
        <w:t>一</w:t>
      </w:r>
      <w:r>
        <w:rPr>
          <w:rFonts w:hint="eastAsia" w:cs="仿宋_GB2312" w:asciiTheme="minorEastAsia" w:hAnsiTheme="minorEastAsia" w:eastAsiaTheme="minorEastAsia"/>
          <w:b/>
          <w:color w:val="auto"/>
          <w:kern w:val="0"/>
          <w:sz w:val="32"/>
          <w:szCs w:val="32"/>
          <w:highlight w:val="none"/>
          <w:lang w:val="zh-CN"/>
        </w:rPr>
        <w:t>、资格文件</w:t>
      </w:r>
    </w:p>
    <w:p w14:paraId="1B88C768">
      <w:pPr>
        <w:pStyle w:val="110"/>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6E6A5BE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lang w:val="en-US" w:eastAsia="zh-CN"/>
        </w:rPr>
        <w:t>1）</w:t>
      </w:r>
      <w:r>
        <w:rPr>
          <w:rFonts w:hint="eastAsia" w:cs="宋体" w:asciiTheme="minorEastAsia" w:hAnsiTheme="minorEastAsia" w:eastAsiaTheme="minorEastAsia"/>
          <w:b/>
          <w:color w:val="auto"/>
          <w:kern w:val="0"/>
          <w:sz w:val="32"/>
          <w:szCs w:val="32"/>
          <w:highlight w:val="none"/>
        </w:rPr>
        <w:t>符合参加政府采购活动应当具备的一般条件的承诺函</w:t>
      </w:r>
    </w:p>
    <w:p w14:paraId="14DBA854">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宁波市鄞州经济开发区管理委员会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宁波中基国际招标有限公司</w:t>
      </w:r>
      <w:r>
        <w:rPr>
          <w:rFonts w:hint="eastAsia" w:cs="宋体" w:asciiTheme="minorEastAsia" w:hAnsiTheme="minorEastAsia" w:eastAsiaTheme="minorEastAsia"/>
          <w:color w:val="auto"/>
          <w:sz w:val="24"/>
          <w:highlight w:val="none"/>
        </w:rPr>
        <w:t>：</w:t>
      </w:r>
    </w:p>
    <w:p w14:paraId="558D7FB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鄞州经济开发区管委会监控维保项目</w:t>
      </w:r>
      <w:r>
        <w:rPr>
          <w:rFonts w:hint="eastAsia" w:cs="仿宋_GB2312" w:asciiTheme="minorEastAsia" w:hAnsiTheme="minorEastAsia" w:eastAsiaTheme="minorEastAsia"/>
          <w:color w:val="auto"/>
          <w:kern w:val="0"/>
          <w:sz w:val="24"/>
          <w:highlight w:val="none"/>
          <w:lang w:val="zh-CN"/>
        </w:rPr>
        <w:t>【项目编号：CBNB-20252091G】</w:t>
      </w:r>
      <w:r>
        <w:rPr>
          <w:rFonts w:hint="eastAsia" w:cs="宋体" w:asciiTheme="minorEastAsia" w:hAnsiTheme="minorEastAsia" w:eastAsiaTheme="minorEastAsia"/>
          <w:color w:val="auto"/>
          <w:sz w:val="24"/>
          <w:highlight w:val="none"/>
        </w:rPr>
        <w:t>政府采购活动，郑重承诺：</w:t>
      </w:r>
    </w:p>
    <w:p w14:paraId="7E12444A">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55FF979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928CD7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53433C0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525C5CC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9A6B11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E6D4FC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675A0D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、中国政府采购网（www.ccgp.gov.cn）列入失信被执行人、重大税收违法失信主体、政府采购严重违法失信行为记录名单。</w:t>
      </w:r>
    </w:p>
    <w:p w14:paraId="5F7C0FC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7DE7FD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A8BE78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53F5D6CC">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5872E5E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F97A8B8">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A7A54A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3A9575E">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提供有效的营业执照副本（或事业法人登记证副本或其他登记证明材料）原件扫描件或者电子营业执照加盖供应商公章；响应供应商如果有名称变更的，应提供由行政主管部门出具的变更证明文件；</w:t>
      </w:r>
    </w:p>
    <w:p w14:paraId="7B18CF90">
      <w:pP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10610DF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eastAsia="zh-CN"/>
        </w:rPr>
        <w:t>（</w:t>
      </w:r>
      <w:r>
        <w:rPr>
          <w:rFonts w:hint="eastAsia" w:cs="仿宋_GB2312" w:asciiTheme="minorEastAsia" w:hAnsiTheme="minorEastAsia" w:eastAsiaTheme="minorEastAsia"/>
          <w:b/>
          <w:color w:val="auto"/>
          <w:sz w:val="32"/>
          <w:szCs w:val="32"/>
          <w:highlight w:val="none"/>
          <w:lang w:val="en-US" w:eastAsia="zh-CN"/>
        </w:rPr>
        <w:t>3）</w:t>
      </w:r>
      <w:r>
        <w:rPr>
          <w:rFonts w:hint="eastAsia" w:cs="仿宋_GB2312" w:asciiTheme="minorEastAsia" w:hAnsiTheme="minorEastAsia" w:eastAsiaTheme="minorEastAsia"/>
          <w:b/>
          <w:color w:val="auto"/>
          <w:sz w:val="32"/>
          <w:szCs w:val="32"/>
          <w:highlight w:val="none"/>
        </w:rPr>
        <w:t>联合协议（如果有）</w:t>
      </w:r>
    </w:p>
    <w:p w14:paraId="5D5EC8E6">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4507EFC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鄞州经济开发区管委会监控维保项目</w:t>
      </w:r>
      <w:r>
        <w:rPr>
          <w:rFonts w:hint="eastAsia" w:cs="仿宋_GB2312" w:asciiTheme="minorEastAsia" w:hAnsiTheme="minorEastAsia" w:eastAsiaTheme="minorEastAsia"/>
          <w:color w:val="auto"/>
          <w:kern w:val="0"/>
          <w:sz w:val="24"/>
          <w:highlight w:val="none"/>
          <w:lang w:val="zh-CN"/>
        </w:rPr>
        <w:t>【项目编号：CBNB-20252091G】响应</w:t>
      </w:r>
      <w:r>
        <w:rPr>
          <w:rFonts w:hint="eastAsia" w:cs="宋体" w:asciiTheme="minorEastAsia" w:hAnsiTheme="minorEastAsia" w:eastAsiaTheme="minorEastAsia"/>
          <w:color w:val="auto"/>
          <w:kern w:val="0"/>
          <w:sz w:val="24"/>
          <w:highlight w:val="none"/>
          <w:lang w:val="zh-CN"/>
        </w:rPr>
        <w:t xml:space="preserve">。 </w:t>
      </w:r>
    </w:p>
    <w:p w14:paraId="1DD761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7EDC0BE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w:t>
      </w:r>
      <w:r>
        <w:rPr>
          <w:rFonts w:hint="eastAsia" w:cs="宋体" w:asciiTheme="minorEastAsia" w:hAnsiTheme="minorEastAsia" w:eastAsiaTheme="minorEastAsia"/>
          <w:color w:val="auto"/>
          <w:kern w:val="0"/>
          <w:sz w:val="24"/>
          <w:highlight w:val="none"/>
          <w:lang w:val="en-US" w:eastAsia="zh-CN"/>
        </w:rPr>
        <w:t>响应</w:t>
      </w:r>
      <w:r>
        <w:rPr>
          <w:rFonts w:hint="eastAsia" w:cs="宋体" w:asciiTheme="minorEastAsia" w:hAnsiTheme="minorEastAsia" w:eastAsiaTheme="minorEastAsia"/>
          <w:color w:val="auto"/>
          <w:kern w:val="0"/>
          <w:sz w:val="24"/>
          <w:highlight w:val="none"/>
          <w:lang w:val="zh-CN"/>
        </w:rPr>
        <w:t>等均对联合体各方产生约束力。</w:t>
      </w:r>
    </w:p>
    <w:p w14:paraId="1EC357E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3F9A78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C52B45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F73E80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4F10C31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0A4A2095">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221"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221"/>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222"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222"/>
      <w:r>
        <w:rPr>
          <w:rFonts w:hint="eastAsia" w:cs="宋体" w:asciiTheme="minorEastAsia" w:hAnsiTheme="minorEastAsia" w:eastAsiaTheme="minorEastAsia"/>
          <w:b/>
          <w:color w:val="auto"/>
          <w:kern w:val="0"/>
          <w:sz w:val="24"/>
          <w:highlight w:val="none"/>
          <w:lang w:val="zh-CN"/>
        </w:rPr>
        <w:t>）</w:t>
      </w:r>
    </w:p>
    <w:p w14:paraId="3AA977FA">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223"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223"/>
    </w:p>
    <w:p w14:paraId="0F2E60E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BA186C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4700DB4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630EE0E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94E5F2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4CBFAD0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813BB00">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68C83B5">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A614669">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1A3EDFD8">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6807D32">
      <w:pP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077647D2">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lang w:val="en-US" w:eastAsia="zh-CN"/>
        </w:rPr>
        <w:t>（4）</w:t>
      </w:r>
      <w:r>
        <w:rPr>
          <w:rFonts w:hint="eastAsia" w:cs="宋体" w:asciiTheme="minorEastAsia" w:hAnsiTheme="minorEastAsia" w:eastAsiaTheme="minorEastAsia"/>
          <w:b/>
          <w:color w:val="auto"/>
          <w:kern w:val="0"/>
          <w:sz w:val="32"/>
          <w:szCs w:val="32"/>
          <w:highlight w:val="none"/>
        </w:rPr>
        <w:t>落实政府采购政策需满足的资格要求</w:t>
      </w:r>
    </w:p>
    <w:p w14:paraId="1F1E26C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07B880C2">
      <w:pPr>
        <w:rPr>
          <w:rFonts w:hint="eastAsia" w:cs="仿宋_GB2312" w:asciiTheme="minorEastAsia" w:hAnsiTheme="minorEastAsia" w:eastAsiaTheme="minorEastAsia"/>
          <w:b/>
          <w:color w:val="auto"/>
          <w:sz w:val="32"/>
          <w:szCs w:val="32"/>
          <w:highlight w:val="none"/>
        </w:rPr>
      </w:pPr>
    </w:p>
    <w:p w14:paraId="00FA287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eastAsia="zh-CN"/>
        </w:rPr>
        <w:t>（</w:t>
      </w:r>
      <w:r>
        <w:rPr>
          <w:rFonts w:hint="eastAsia" w:cs="仿宋_GB2312" w:asciiTheme="minorEastAsia" w:hAnsiTheme="minorEastAsia" w:eastAsiaTheme="minorEastAsia"/>
          <w:b/>
          <w:color w:val="auto"/>
          <w:sz w:val="32"/>
          <w:szCs w:val="32"/>
          <w:highlight w:val="none"/>
          <w:lang w:val="en-US" w:eastAsia="zh-CN"/>
        </w:rPr>
        <w:t>5）</w:t>
      </w:r>
      <w:r>
        <w:rPr>
          <w:rFonts w:hint="eastAsia" w:cs="仿宋_GB2312" w:asciiTheme="minorEastAsia" w:hAnsiTheme="minorEastAsia" w:eastAsiaTheme="minorEastAsia"/>
          <w:b/>
          <w:color w:val="auto"/>
          <w:sz w:val="32"/>
          <w:szCs w:val="32"/>
          <w:highlight w:val="none"/>
        </w:rPr>
        <w:t>符合特定资格条件的有关证明材料（如果有）</w:t>
      </w:r>
    </w:p>
    <w:p w14:paraId="627EED6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4EAFE201">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64A5A512">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509138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38900DD">
      <w:pPr>
        <w:snapToGrid w:val="0"/>
        <w:spacing w:line="360" w:lineRule="auto"/>
        <w:rPr>
          <w:rFonts w:cs="仿宋_GB2312" w:asciiTheme="minorEastAsia" w:hAnsiTheme="minorEastAsia" w:eastAsiaTheme="minorEastAsia"/>
          <w:color w:val="auto"/>
          <w:kern w:val="0"/>
          <w:sz w:val="24"/>
          <w:highlight w:val="none"/>
          <w:lang w:val="zh-CN"/>
        </w:rPr>
      </w:pPr>
    </w:p>
    <w:p w14:paraId="74FEB03A">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5" w:h="16838"/>
          <w:pgMar w:top="1440" w:right="1440" w:bottom="1440" w:left="1440" w:header="850" w:footer="992" w:gutter="0"/>
          <w:cols w:space="0" w:num="1"/>
          <w:titlePg/>
          <w:rtlGutter w:val="0"/>
          <w:docGrid w:linePitch="312" w:charSpace="0"/>
        </w:sectPr>
      </w:pPr>
    </w:p>
    <w:p w14:paraId="7B693234">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lang w:val="en-US" w:eastAsia="zh-CN"/>
        </w:rPr>
        <w:t>商务技术</w:t>
      </w:r>
      <w:r>
        <w:rPr>
          <w:rFonts w:hint="eastAsia" w:ascii="宋体" w:hAnsi="宋体" w:cs="宋体"/>
          <w:b/>
          <w:color w:val="auto"/>
          <w:kern w:val="0"/>
          <w:sz w:val="36"/>
          <w:szCs w:val="36"/>
          <w:highlight w:val="none"/>
        </w:rPr>
        <w:t>文件部分</w:t>
      </w:r>
    </w:p>
    <w:p w14:paraId="2EF84E6B">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0293067D">
      <w:pPr>
        <w:pStyle w:val="32"/>
        <w:numPr>
          <w:ilvl w:val="0"/>
          <w:numId w:val="0"/>
        </w:numPr>
        <w:spacing w:line="360" w:lineRule="auto"/>
        <w:rPr>
          <w:rFonts w:hint="eastAsia" w:cs="Times New Roman"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评分索引表</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0DE6870F">
      <w:pPr>
        <w:pStyle w:val="32"/>
        <w:numPr>
          <w:ilvl w:val="0"/>
          <w:numId w:val="0"/>
        </w:numPr>
        <w:spacing w:line="360" w:lineRule="auto"/>
        <w:rPr>
          <w:rFonts w:hint="eastAsia" w:cs="Times New Roman"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响应函</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58D6556B">
      <w:pPr>
        <w:pStyle w:val="32"/>
        <w:numPr>
          <w:ilvl w:val="0"/>
          <w:numId w:val="0"/>
        </w:numPr>
        <w:spacing w:line="360" w:lineRule="auto"/>
        <w:rPr>
          <w:rFonts w:hint="eastAsia" w:cs="Times New Roman"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3BEEC4E5">
      <w:pPr>
        <w:pStyle w:val="32"/>
        <w:numPr>
          <w:ilvl w:val="0"/>
          <w:numId w:val="0"/>
        </w:numPr>
        <w:spacing w:line="360" w:lineRule="auto"/>
        <w:rPr>
          <w:rFonts w:hint="eastAsia" w:cs="Times New Roman"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w:t>
      </w:r>
      <w:r>
        <w:rPr>
          <w:rFonts w:hint="eastAsia" w:ascii="宋体" w:hAnsi="宋体" w:cs="宋体"/>
          <w:color w:val="auto"/>
          <w:sz w:val="24"/>
          <w:highlight w:val="none"/>
        </w:rPr>
        <w:t>分包意向协议（如果有)</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29D21089">
      <w:pPr>
        <w:pStyle w:val="32"/>
        <w:numPr>
          <w:ilvl w:val="0"/>
          <w:numId w:val="0"/>
        </w:numPr>
        <w:spacing w:line="360" w:lineRule="auto"/>
        <w:rPr>
          <w:rFonts w:hint="eastAsia" w:cs="Times New Roman"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w:t>
      </w:r>
      <w:r>
        <w:rPr>
          <w:rFonts w:hint="eastAsia" w:hAnsi="宋体" w:cs="宋体" w:eastAsiaTheme="minorEastAsia"/>
          <w:color w:val="auto"/>
          <w:sz w:val="24"/>
          <w:highlight w:val="none"/>
        </w:rPr>
        <w:t>供应商</w:t>
      </w:r>
      <w:r>
        <w:rPr>
          <w:rFonts w:hint="eastAsia" w:hAnsi="宋体" w:cs="宋体"/>
          <w:color w:val="auto"/>
          <w:sz w:val="24"/>
          <w:highlight w:val="none"/>
        </w:rPr>
        <w:t>基本情况表</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28E84F12">
      <w:pPr>
        <w:pStyle w:val="32"/>
        <w:numPr>
          <w:ilvl w:val="0"/>
          <w:numId w:val="0"/>
        </w:numPr>
        <w:spacing w:line="360" w:lineRule="auto"/>
        <w:rPr>
          <w:rFonts w:hint="eastAsia" w:cs="Times New Roman"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商务</w:t>
      </w:r>
      <w:r>
        <w:rPr>
          <w:rFonts w:hint="eastAsia" w:asciiTheme="minorEastAsia" w:hAnsiTheme="minorEastAsia" w:eastAsiaTheme="minorEastAsia"/>
          <w:color w:val="auto"/>
          <w:sz w:val="24"/>
          <w:highlight w:val="none"/>
          <w:lang w:val="en-US" w:eastAsia="zh-CN"/>
        </w:rPr>
        <w:t>技术</w:t>
      </w:r>
      <w:r>
        <w:rPr>
          <w:rFonts w:hint="eastAsia" w:asciiTheme="minorEastAsia" w:hAnsiTheme="minorEastAsia" w:eastAsiaTheme="minorEastAsia"/>
          <w:color w:val="auto"/>
          <w:sz w:val="24"/>
          <w:highlight w:val="none"/>
        </w:rPr>
        <w:t>条款响应（偏离）表</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233124DB">
      <w:pPr>
        <w:pStyle w:val="32"/>
        <w:numPr>
          <w:ilvl w:val="0"/>
          <w:numId w:val="0"/>
        </w:numPr>
        <w:spacing w:line="360" w:lineRule="auto"/>
        <w:rPr>
          <w:rFonts w:hint="eastAsia" w:cs="Times New Roman"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评审标准相应的商务技术资料</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17FE9B1A">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w:t>
      </w:r>
      <w:r>
        <w:rPr>
          <w:rFonts w:hint="eastAsia" w:ascii="宋体" w:hAnsi="宋体" w:cs="宋体"/>
          <w:color w:val="auto"/>
          <w:sz w:val="24"/>
          <w:highlight w:val="none"/>
          <w:lang w:val="zh-CN"/>
        </w:rPr>
        <w:t>运维服务方案</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071E6E5A">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7.2）</w:t>
      </w:r>
      <w:r>
        <w:rPr>
          <w:rFonts w:hint="eastAsia" w:ascii="宋体" w:hAnsi="宋体" w:cs="宋体"/>
          <w:color w:val="auto"/>
          <w:sz w:val="24"/>
          <w:highlight w:val="none"/>
          <w:lang w:val="zh-CN"/>
        </w:rPr>
        <w:t>系统保障方案</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3380FF11">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7.3）</w:t>
      </w:r>
      <w:r>
        <w:rPr>
          <w:rFonts w:hint="eastAsia" w:ascii="宋体" w:hAnsi="宋体" w:cs="宋体"/>
          <w:color w:val="auto"/>
          <w:sz w:val="24"/>
          <w:highlight w:val="none"/>
          <w:lang w:val="zh-CN"/>
        </w:rPr>
        <w:t>日常巡检方案</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6A6ABF6A">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7.4）</w:t>
      </w:r>
      <w:r>
        <w:rPr>
          <w:rFonts w:hint="eastAsia" w:ascii="宋体" w:hAnsi="宋体" w:cs="宋体"/>
          <w:color w:val="auto"/>
          <w:sz w:val="24"/>
          <w:highlight w:val="none"/>
          <w:lang w:val="zh-CN"/>
        </w:rPr>
        <w:t>故障修复方案</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451344F8">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7.5）</w:t>
      </w:r>
      <w:r>
        <w:rPr>
          <w:rFonts w:hint="eastAsia" w:ascii="宋体" w:hAnsi="宋体" w:cs="宋体"/>
          <w:color w:val="auto"/>
          <w:sz w:val="24"/>
          <w:highlight w:val="none"/>
          <w:lang w:val="zh-CN"/>
        </w:rPr>
        <w:t>点位迁移方案</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02181A0D">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7.6）</w:t>
      </w:r>
      <w:r>
        <w:rPr>
          <w:rFonts w:hint="eastAsia" w:ascii="宋体" w:hAnsi="宋体" w:cs="宋体"/>
          <w:color w:val="auto"/>
          <w:sz w:val="24"/>
          <w:highlight w:val="none"/>
          <w:lang w:val="zh-CN"/>
        </w:rPr>
        <w:t>应急保障方案和重大节假日方案</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08990A23">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7.7）</w:t>
      </w:r>
      <w:r>
        <w:rPr>
          <w:rFonts w:hint="eastAsia" w:ascii="宋体" w:hAnsi="宋体" w:cs="宋体"/>
          <w:color w:val="auto"/>
          <w:sz w:val="24"/>
          <w:highlight w:val="none"/>
          <w:lang w:val="zh-CN"/>
        </w:rPr>
        <w:t>网络安全方案</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28226E11">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7.8）</w:t>
      </w:r>
      <w:r>
        <w:rPr>
          <w:rFonts w:hint="eastAsia" w:ascii="宋体" w:hAnsi="宋体" w:cs="宋体"/>
          <w:color w:val="auto"/>
          <w:sz w:val="24"/>
          <w:highlight w:val="none"/>
          <w:lang w:val="zh-CN"/>
        </w:rPr>
        <w:t>耗材及主要设备更换方案</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7B228317">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7.9）</w:t>
      </w:r>
      <w:r>
        <w:rPr>
          <w:rFonts w:hint="eastAsia" w:ascii="宋体" w:hAnsi="宋体" w:cs="宋体"/>
          <w:color w:val="auto"/>
          <w:sz w:val="24"/>
          <w:highlight w:val="none"/>
          <w:lang w:val="zh-CN"/>
        </w:rPr>
        <w:t>备品备件配备</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6924E219">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7.10）</w:t>
      </w:r>
      <w:r>
        <w:rPr>
          <w:rFonts w:hint="eastAsia" w:ascii="宋体" w:hAnsi="宋体" w:cs="宋体"/>
          <w:color w:val="auto"/>
          <w:sz w:val="24"/>
          <w:highlight w:val="none"/>
          <w:lang w:val="zh-CN"/>
        </w:rPr>
        <w:t>服务工器具</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2F896E55">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7.11）</w:t>
      </w:r>
      <w:r>
        <w:rPr>
          <w:rFonts w:hint="eastAsia" w:ascii="宋体" w:hAnsi="宋体" w:cs="宋体"/>
          <w:color w:val="auto"/>
          <w:sz w:val="24"/>
          <w:highlight w:val="none"/>
          <w:lang w:val="zh-CN"/>
        </w:rPr>
        <w:t>人员培训方案</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5A4FAE5F">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7.12）</w:t>
      </w:r>
      <w:r>
        <w:rPr>
          <w:rFonts w:hint="eastAsia" w:ascii="宋体" w:hAnsi="宋体" w:cs="宋体"/>
          <w:color w:val="auto"/>
          <w:sz w:val="24"/>
          <w:highlight w:val="none"/>
          <w:lang w:val="zh-CN"/>
        </w:rPr>
        <w:t>重难点分析及解决方案</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25E70BE0">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7.13）</w:t>
      </w:r>
      <w:r>
        <w:rPr>
          <w:rFonts w:hint="eastAsia" w:ascii="宋体" w:hAnsi="宋体" w:cs="宋体"/>
          <w:color w:val="auto"/>
          <w:sz w:val="24"/>
          <w:highlight w:val="none"/>
          <w:lang w:val="zh-CN"/>
        </w:rPr>
        <w:t>服务方案</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70DB1134">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7.14）</w:t>
      </w:r>
      <w:r>
        <w:rPr>
          <w:rFonts w:hint="eastAsia" w:ascii="宋体" w:hAnsi="宋体" w:cs="宋体"/>
          <w:color w:val="auto"/>
          <w:sz w:val="24"/>
          <w:highlight w:val="none"/>
          <w:lang w:val="zh-CN"/>
        </w:rPr>
        <w:t>服务承诺</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3357FA17">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7.15）</w:t>
      </w:r>
      <w:r>
        <w:rPr>
          <w:rFonts w:hint="eastAsia" w:ascii="宋体" w:hAnsi="宋体" w:cs="宋体"/>
          <w:color w:val="auto"/>
          <w:sz w:val="24"/>
          <w:highlight w:val="none"/>
          <w:lang w:val="zh-CN"/>
        </w:rPr>
        <w:t>管理制度</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4611F976">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7.16）</w:t>
      </w:r>
      <w:r>
        <w:rPr>
          <w:rFonts w:hint="eastAsia" w:ascii="宋体" w:hAnsi="宋体" w:cs="宋体"/>
          <w:color w:val="auto"/>
          <w:sz w:val="24"/>
          <w:highlight w:val="none"/>
          <w:lang w:val="zh-CN"/>
        </w:rPr>
        <w:t>人员配备</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4A2015E6">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7.17）</w:t>
      </w:r>
      <w:r>
        <w:rPr>
          <w:rFonts w:hint="eastAsia" w:ascii="宋体" w:hAnsi="宋体" w:cs="宋体"/>
          <w:color w:val="auto"/>
          <w:sz w:val="24"/>
          <w:highlight w:val="none"/>
          <w:lang w:val="zh-CN"/>
        </w:rPr>
        <w:t>认证证书（如有，请提供）</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661697DE">
      <w:pPr>
        <w:pStyle w:val="32"/>
        <w:numPr>
          <w:ilvl w:val="0"/>
          <w:numId w:val="0"/>
        </w:num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7.18）</w:t>
      </w:r>
      <w:r>
        <w:rPr>
          <w:rFonts w:hint="eastAsia" w:ascii="宋体" w:hAnsi="宋体" w:cs="宋体"/>
          <w:color w:val="auto"/>
          <w:sz w:val="24"/>
          <w:highlight w:val="none"/>
          <w:lang w:val="zh-CN"/>
        </w:rPr>
        <w:t>类似业绩</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r>
        <w:rPr>
          <w:rFonts w:hint="eastAsia" w:ascii="宋体" w:hAnsi="宋体" w:cs="宋体"/>
          <w:color w:val="auto"/>
          <w:sz w:val="24"/>
          <w:highlight w:val="none"/>
          <w:lang w:val="en-US" w:eastAsia="zh-CN"/>
        </w:rPr>
        <w:t>（8）评分标准要求提供的其他技术资料及说明</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4F6DD4DB">
      <w:pPr>
        <w:pStyle w:val="32"/>
        <w:numPr>
          <w:ilvl w:val="0"/>
          <w:numId w:val="0"/>
        </w:numPr>
        <w:spacing w:line="360" w:lineRule="auto"/>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en-US" w:eastAsia="zh-CN"/>
        </w:rPr>
        <w:t>（9）供应商认为有必要提供的或采购文件中要求提供的其他技术资料及说明</w:t>
      </w:r>
      <w:r>
        <w:rPr>
          <w:rFonts w:hint="eastAsia" w:cs="Times New Roman" w:asciiTheme="minorEastAsia" w:hAnsiTheme="minorEastAsia" w:eastAsiaTheme="minorEastAsia"/>
          <w:color w:val="auto"/>
          <w:sz w:val="24"/>
          <w:highlight w:val="none"/>
          <w:lang w:val="en-US" w:eastAsia="zh-CN"/>
        </w:rPr>
        <w:t>…（页码）</w:t>
      </w:r>
    </w:p>
    <w:p w14:paraId="4EA00A31">
      <w:pPr>
        <w:pStyle w:val="32"/>
        <w:numPr>
          <w:ilvl w:val="0"/>
          <w:numId w:val="0"/>
        </w:numPr>
        <w:spacing w:line="360" w:lineRule="auto"/>
        <w:rPr>
          <w:rFonts w:hint="eastAsia" w:cs="Times New Roman" w:asciiTheme="minorEastAsia" w:hAnsiTheme="minorEastAsia" w:eastAsiaTheme="minorEastAsia"/>
          <w:color w:val="auto"/>
          <w:sz w:val="24"/>
          <w:highlight w:val="none"/>
          <w:lang w:val="en-US" w:eastAsia="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政府采购供应商廉洁自律承诺书</w:t>
      </w:r>
      <w:r>
        <w:rPr>
          <w:rFonts w:hint="eastAsia" w:cs="Times New Roman" w:asciiTheme="minorEastAsia" w:hAnsiTheme="minorEastAsia" w:eastAsiaTheme="minorEastAsia"/>
          <w:color w:val="auto"/>
          <w:sz w:val="24"/>
          <w:highlight w:val="none"/>
          <w:lang w:val="en-US" w:eastAsia="zh-CN"/>
        </w:rPr>
        <w:t>…………………………</w:t>
      </w:r>
      <w:r>
        <w:rPr>
          <w:rFonts w:hint="eastAsia" w:ascii="宋体" w:hAnsi="宋体" w:eastAsia="宋体" w:cs="宋体"/>
          <w:color w:val="auto"/>
          <w:sz w:val="24"/>
          <w:highlight w:val="none"/>
        </w:rPr>
        <w:t>…………………</w:t>
      </w:r>
      <w:r>
        <w:rPr>
          <w:rFonts w:hint="eastAsia" w:cs="Times New Roman" w:asciiTheme="minorEastAsia" w:hAnsiTheme="minorEastAsia" w:eastAsiaTheme="minorEastAsia"/>
          <w:color w:val="auto"/>
          <w:sz w:val="24"/>
          <w:highlight w:val="none"/>
          <w:lang w:val="en-US" w:eastAsia="zh-CN"/>
        </w:rPr>
        <w:t>（页码）</w:t>
      </w:r>
    </w:p>
    <w:p w14:paraId="5EA61BD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279F340D">
      <w:pPr>
        <w:pStyle w:val="2"/>
        <w:rPr>
          <w:color w:val="auto"/>
          <w:highlight w:val="none"/>
        </w:rPr>
      </w:pPr>
    </w:p>
    <w:p w14:paraId="574B807C">
      <w:pPr>
        <w:spacing w:line="360" w:lineRule="auto"/>
        <w:jc w:val="center"/>
        <w:rPr>
          <w:rFonts w:hint="eastAsia" w:cs="仿宋_GB2312" w:asciiTheme="minorEastAsia" w:hAnsiTheme="minorEastAsia" w:eastAsiaTheme="minorEastAsia"/>
          <w:b/>
          <w:color w:val="auto"/>
          <w:kern w:val="0"/>
          <w:sz w:val="32"/>
          <w:szCs w:val="32"/>
          <w:highlight w:val="none"/>
        </w:rPr>
        <w:sectPr>
          <w:pgSz w:w="11905" w:h="16838"/>
          <w:pgMar w:top="1440" w:right="1440" w:bottom="1440" w:left="1440" w:header="850" w:footer="992" w:gutter="0"/>
          <w:cols w:space="0" w:num="1"/>
          <w:titlePg/>
          <w:rtlGutter w:val="0"/>
          <w:docGrid w:linePitch="312" w:charSpace="0"/>
        </w:sectPr>
      </w:pPr>
    </w:p>
    <w:p w14:paraId="693DF146">
      <w:pPr>
        <w:pStyle w:val="120"/>
        <w:keepNext w:val="0"/>
        <w:pageBreakBefore w:val="0"/>
        <w:tabs>
          <w:tab w:val="clear" w:pos="720"/>
        </w:tabs>
        <w:snapToGrid w:val="0"/>
        <w:spacing w:before="120" w:after="120"/>
        <w:jc w:val="center"/>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rPr>
        <w:t>评分索引表</w:t>
      </w:r>
    </w:p>
    <w:p w14:paraId="71348E9F">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评分索引表</w:t>
      </w:r>
    </w:p>
    <w:tbl>
      <w:tblPr>
        <w:tblStyle w:val="63"/>
        <w:tblW w:w="0" w:type="auto"/>
        <w:jc w:val="center"/>
        <w:tblLayout w:type="fixed"/>
        <w:tblCellMar>
          <w:top w:w="0" w:type="dxa"/>
          <w:left w:w="108" w:type="dxa"/>
          <w:bottom w:w="0" w:type="dxa"/>
          <w:right w:w="108" w:type="dxa"/>
        </w:tblCellMar>
      </w:tblPr>
      <w:tblGrid>
        <w:gridCol w:w="793"/>
        <w:gridCol w:w="4524"/>
        <w:gridCol w:w="1334"/>
        <w:gridCol w:w="1318"/>
        <w:gridCol w:w="1308"/>
      </w:tblGrid>
      <w:tr w14:paraId="508E4069">
        <w:tblPrEx>
          <w:tblCellMar>
            <w:top w:w="0" w:type="dxa"/>
            <w:left w:w="108" w:type="dxa"/>
            <w:bottom w:w="0" w:type="dxa"/>
            <w:right w:w="108" w:type="dxa"/>
          </w:tblCellMar>
        </w:tblPrEx>
        <w:trPr>
          <w:trHeight w:val="59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1FC7511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4524" w:type="dxa"/>
            <w:tcBorders>
              <w:top w:val="single" w:color="auto" w:sz="4" w:space="0"/>
              <w:left w:val="single" w:color="auto" w:sz="4" w:space="0"/>
              <w:bottom w:val="single" w:color="auto" w:sz="4" w:space="0"/>
              <w:right w:val="single" w:color="auto" w:sz="4" w:space="0"/>
            </w:tcBorders>
            <w:vAlign w:val="center"/>
          </w:tcPr>
          <w:p w14:paraId="6F818E5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评审内容</w:t>
            </w:r>
          </w:p>
        </w:tc>
        <w:tc>
          <w:tcPr>
            <w:tcW w:w="1334" w:type="dxa"/>
            <w:tcBorders>
              <w:top w:val="single" w:color="auto" w:sz="4" w:space="0"/>
              <w:left w:val="nil"/>
              <w:bottom w:val="single" w:color="auto" w:sz="4" w:space="0"/>
              <w:right w:val="single" w:color="auto" w:sz="4" w:space="0"/>
            </w:tcBorders>
            <w:vAlign w:val="center"/>
          </w:tcPr>
          <w:p w14:paraId="4F1BDC5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自评分</w:t>
            </w:r>
          </w:p>
        </w:tc>
        <w:tc>
          <w:tcPr>
            <w:tcW w:w="1318" w:type="dxa"/>
            <w:tcBorders>
              <w:top w:val="single" w:color="auto" w:sz="4" w:space="0"/>
              <w:left w:val="nil"/>
              <w:bottom w:val="single" w:color="auto" w:sz="4" w:space="0"/>
              <w:right w:val="single" w:color="auto" w:sz="4" w:space="0"/>
            </w:tcBorders>
            <w:vAlign w:val="center"/>
          </w:tcPr>
          <w:p w14:paraId="02E1B06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说明</w:t>
            </w:r>
          </w:p>
        </w:tc>
        <w:tc>
          <w:tcPr>
            <w:tcW w:w="1308" w:type="dxa"/>
            <w:tcBorders>
              <w:top w:val="single" w:color="auto" w:sz="4" w:space="0"/>
              <w:left w:val="nil"/>
              <w:bottom w:val="single" w:color="auto" w:sz="4" w:space="0"/>
              <w:right w:val="single" w:color="auto" w:sz="4" w:space="0"/>
            </w:tcBorders>
            <w:vAlign w:val="center"/>
          </w:tcPr>
          <w:p w14:paraId="13CB2E8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证明文件</w:t>
            </w:r>
          </w:p>
        </w:tc>
      </w:tr>
      <w:tr w14:paraId="68200E23">
        <w:tblPrEx>
          <w:tblCellMar>
            <w:top w:w="0" w:type="dxa"/>
            <w:left w:w="108" w:type="dxa"/>
            <w:bottom w:w="0" w:type="dxa"/>
            <w:right w:w="108" w:type="dxa"/>
          </w:tblCellMar>
        </w:tblPrEx>
        <w:trPr>
          <w:trHeight w:val="800" w:hRule="atLeast"/>
          <w:jc w:val="center"/>
        </w:trPr>
        <w:tc>
          <w:tcPr>
            <w:tcW w:w="793" w:type="dxa"/>
            <w:tcBorders>
              <w:top w:val="nil"/>
              <w:left w:val="single" w:color="auto" w:sz="4" w:space="0"/>
              <w:bottom w:val="single" w:color="auto" w:sz="4" w:space="0"/>
              <w:right w:val="single" w:color="auto" w:sz="4" w:space="0"/>
            </w:tcBorders>
            <w:vAlign w:val="center"/>
          </w:tcPr>
          <w:p w14:paraId="61FD2A2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4524" w:type="dxa"/>
            <w:tcBorders>
              <w:top w:val="nil"/>
              <w:left w:val="single" w:color="auto" w:sz="4" w:space="0"/>
              <w:bottom w:val="single" w:color="auto" w:sz="4" w:space="0"/>
              <w:right w:val="single" w:color="auto" w:sz="4" w:space="0"/>
            </w:tcBorders>
            <w:vAlign w:val="center"/>
          </w:tcPr>
          <w:p w14:paraId="363D9CD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1334" w:type="dxa"/>
            <w:tcBorders>
              <w:top w:val="nil"/>
              <w:left w:val="nil"/>
              <w:bottom w:val="single" w:color="auto" w:sz="4" w:space="0"/>
              <w:right w:val="single" w:color="auto" w:sz="4" w:space="0"/>
            </w:tcBorders>
            <w:vAlign w:val="center"/>
          </w:tcPr>
          <w:p w14:paraId="7D10405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18" w:type="dxa"/>
            <w:tcBorders>
              <w:top w:val="nil"/>
              <w:left w:val="nil"/>
              <w:bottom w:val="single" w:color="auto" w:sz="4" w:space="0"/>
              <w:right w:val="single" w:color="auto" w:sz="4" w:space="0"/>
            </w:tcBorders>
            <w:vAlign w:val="center"/>
          </w:tcPr>
          <w:p w14:paraId="6FF064E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08" w:type="dxa"/>
            <w:tcBorders>
              <w:top w:val="nil"/>
              <w:left w:val="nil"/>
              <w:bottom w:val="single" w:color="auto" w:sz="4" w:space="0"/>
              <w:right w:val="single" w:color="auto" w:sz="4" w:space="0"/>
            </w:tcBorders>
            <w:vAlign w:val="center"/>
          </w:tcPr>
          <w:p w14:paraId="74DADC1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见（  ）页</w:t>
            </w:r>
          </w:p>
        </w:tc>
      </w:tr>
      <w:tr w14:paraId="37DC126A">
        <w:tblPrEx>
          <w:tblCellMar>
            <w:top w:w="0" w:type="dxa"/>
            <w:left w:w="108" w:type="dxa"/>
            <w:bottom w:w="0" w:type="dxa"/>
            <w:right w:w="108" w:type="dxa"/>
          </w:tblCellMar>
        </w:tblPrEx>
        <w:trPr>
          <w:trHeight w:val="800" w:hRule="atLeast"/>
          <w:jc w:val="center"/>
        </w:trPr>
        <w:tc>
          <w:tcPr>
            <w:tcW w:w="793" w:type="dxa"/>
            <w:tcBorders>
              <w:top w:val="nil"/>
              <w:left w:val="single" w:color="auto" w:sz="4" w:space="0"/>
              <w:bottom w:val="single" w:color="auto" w:sz="4" w:space="0"/>
              <w:right w:val="single" w:color="auto" w:sz="4" w:space="0"/>
            </w:tcBorders>
            <w:vAlign w:val="center"/>
          </w:tcPr>
          <w:p w14:paraId="3551176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4524" w:type="dxa"/>
            <w:tcBorders>
              <w:top w:val="nil"/>
              <w:left w:val="single" w:color="auto" w:sz="4" w:space="0"/>
              <w:bottom w:val="single" w:color="auto" w:sz="4" w:space="0"/>
              <w:right w:val="single" w:color="auto" w:sz="4" w:space="0"/>
            </w:tcBorders>
            <w:vAlign w:val="center"/>
          </w:tcPr>
          <w:p w14:paraId="152CF68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1334" w:type="dxa"/>
            <w:tcBorders>
              <w:top w:val="nil"/>
              <w:left w:val="nil"/>
              <w:bottom w:val="single" w:color="auto" w:sz="4" w:space="0"/>
              <w:right w:val="single" w:color="auto" w:sz="4" w:space="0"/>
            </w:tcBorders>
            <w:vAlign w:val="center"/>
          </w:tcPr>
          <w:p w14:paraId="18B4D1A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18" w:type="dxa"/>
            <w:tcBorders>
              <w:top w:val="nil"/>
              <w:left w:val="nil"/>
              <w:bottom w:val="single" w:color="auto" w:sz="4" w:space="0"/>
              <w:right w:val="single" w:color="auto" w:sz="4" w:space="0"/>
            </w:tcBorders>
            <w:vAlign w:val="center"/>
          </w:tcPr>
          <w:p w14:paraId="2A2914A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08" w:type="dxa"/>
            <w:tcBorders>
              <w:top w:val="nil"/>
              <w:left w:val="nil"/>
              <w:bottom w:val="single" w:color="auto" w:sz="4" w:space="0"/>
              <w:right w:val="single" w:color="auto" w:sz="4" w:space="0"/>
            </w:tcBorders>
            <w:vAlign w:val="center"/>
          </w:tcPr>
          <w:p w14:paraId="7EC7D13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见（  ）页</w:t>
            </w:r>
          </w:p>
        </w:tc>
      </w:tr>
      <w:tr w14:paraId="38A0266C">
        <w:tblPrEx>
          <w:tblCellMar>
            <w:top w:w="0" w:type="dxa"/>
            <w:left w:w="108" w:type="dxa"/>
            <w:bottom w:w="0" w:type="dxa"/>
            <w:right w:w="108" w:type="dxa"/>
          </w:tblCellMar>
        </w:tblPrEx>
        <w:trPr>
          <w:trHeight w:val="800" w:hRule="atLeast"/>
          <w:jc w:val="center"/>
        </w:trPr>
        <w:tc>
          <w:tcPr>
            <w:tcW w:w="793" w:type="dxa"/>
            <w:tcBorders>
              <w:top w:val="nil"/>
              <w:left w:val="single" w:color="auto" w:sz="4" w:space="0"/>
              <w:bottom w:val="single" w:color="auto" w:sz="4" w:space="0"/>
              <w:right w:val="single" w:color="auto" w:sz="4" w:space="0"/>
            </w:tcBorders>
            <w:vAlign w:val="center"/>
          </w:tcPr>
          <w:p w14:paraId="26BDAA7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4524" w:type="dxa"/>
            <w:tcBorders>
              <w:top w:val="nil"/>
              <w:left w:val="single" w:color="auto" w:sz="4" w:space="0"/>
              <w:bottom w:val="single" w:color="auto" w:sz="4" w:space="0"/>
              <w:right w:val="single" w:color="auto" w:sz="4" w:space="0"/>
            </w:tcBorders>
            <w:vAlign w:val="center"/>
          </w:tcPr>
          <w:p w14:paraId="0DB2300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1334" w:type="dxa"/>
            <w:tcBorders>
              <w:top w:val="nil"/>
              <w:left w:val="nil"/>
              <w:bottom w:val="single" w:color="auto" w:sz="4" w:space="0"/>
              <w:right w:val="single" w:color="auto" w:sz="4" w:space="0"/>
            </w:tcBorders>
            <w:vAlign w:val="center"/>
          </w:tcPr>
          <w:p w14:paraId="2B82B42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18" w:type="dxa"/>
            <w:tcBorders>
              <w:top w:val="nil"/>
              <w:left w:val="nil"/>
              <w:bottom w:val="single" w:color="auto" w:sz="4" w:space="0"/>
              <w:right w:val="single" w:color="auto" w:sz="4" w:space="0"/>
            </w:tcBorders>
            <w:vAlign w:val="center"/>
          </w:tcPr>
          <w:p w14:paraId="63C1EE4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08" w:type="dxa"/>
            <w:tcBorders>
              <w:top w:val="nil"/>
              <w:left w:val="nil"/>
              <w:bottom w:val="single" w:color="auto" w:sz="4" w:space="0"/>
              <w:right w:val="single" w:color="auto" w:sz="4" w:space="0"/>
            </w:tcBorders>
            <w:vAlign w:val="center"/>
          </w:tcPr>
          <w:p w14:paraId="687DD4F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见（  ）页</w:t>
            </w:r>
          </w:p>
        </w:tc>
      </w:tr>
      <w:tr w14:paraId="3E63A907">
        <w:tblPrEx>
          <w:tblCellMar>
            <w:top w:w="0" w:type="dxa"/>
            <w:left w:w="108" w:type="dxa"/>
            <w:bottom w:w="0" w:type="dxa"/>
            <w:right w:w="108" w:type="dxa"/>
          </w:tblCellMar>
        </w:tblPrEx>
        <w:trPr>
          <w:trHeight w:val="800" w:hRule="atLeast"/>
          <w:jc w:val="center"/>
        </w:trPr>
        <w:tc>
          <w:tcPr>
            <w:tcW w:w="793" w:type="dxa"/>
            <w:tcBorders>
              <w:top w:val="nil"/>
              <w:left w:val="single" w:color="auto" w:sz="4" w:space="0"/>
              <w:bottom w:val="single" w:color="auto" w:sz="4" w:space="0"/>
              <w:right w:val="single" w:color="auto" w:sz="4" w:space="0"/>
            </w:tcBorders>
            <w:vAlign w:val="center"/>
          </w:tcPr>
          <w:p w14:paraId="7546B11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4524" w:type="dxa"/>
            <w:tcBorders>
              <w:top w:val="nil"/>
              <w:left w:val="single" w:color="auto" w:sz="4" w:space="0"/>
              <w:bottom w:val="single" w:color="auto" w:sz="4" w:space="0"/>
              <w:right w:val="single" w:color="auto" w:sz="4" w:space="0"/>
            </w:tcBorders>
            <w:vAlign w:val="center"/>
          </w:tcPr>
          <w:p w14:paraId="7CD788B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1334" w:type="dxa"/>
            <w:tcBorders>
              <w:top w:val="nil"/>
              <w:left w:val="nil"/>
              <w:bottom w:val="single" w:color="auto" w:sz="4" w:space="0"/>
              <w:right w:val="single" w:color="auto" w:sz="4" w:space="0"/>
            </w:tcBorders>
            <w:vAlign w:val="center"/>
          </w:tcPr>
          <w:p w14:paraId="4FECA6F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18" w:type="dxa"/>
            <w:tcBorders>
              <w:top w:val="nil"/>
              <w:left w:val="nil"/>
              <w:bottom w:val="single" w:color="auto" w:sz="4" w:space="0"/>
              <w:right w:val="single" w:color="auto" w:sz="4" w:space="0"/>
            </w:tcBorders>
            <w:vAlign w:val="center"/>
          </w:tcPr>
          <w:p w14:paraId="21BF4E5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08" w:type="dxa"/>
            <w:tcBorders>
              <w:top w:val="nil"/>
              <w:left w:val="nil"/>
              <w:bottom w:val="single" w:color="auto" w:sz="4" w:space="0"/>
              <w:right w:val="single" w:color="auto" w:sz="4" w:space="0"/>
            </w:tcBorders>
            <w:vAlign w:val="center"/>
          </w:tcPr>
          <w:p w14:paraId="6000D7E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见（  ）页</w:t>
            </w:r>
          </w:p>
        </w:tc>
      </w:tr>
      <w:tr w14:paraId="154CF38F">
        <w:tblPrEx>
          <w:tblCellMar>
            <w:top w:w="0" w:type="dxa"/>
            <w:left w:w="108" w:type="dxa"/>
            <w:bottom w:w="0" w:type="dxa"/>
            <w:right w:w="108" w:type="dxa"/>
          </w:tblCellMar>
        </w:tblPrEx>
        <w:trPr>
          <w:trHeight w:val="80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268D4AE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4524" w:type="dxa"/>
            <w:tcBorders>
              <w:top w:val="single" w:color="auto" w:sz="4" w:space="0"/>
              <w:left w:val="single" w:color="auto" w:sz="4" w:space="0"/>
              <w:bottom w:val="single" w:color="auto" w:sz="4" w:space="0"/>
              <w:right w:val="single" w:color="auto" w:sz="4" w:space="0"/>
            </w:tcBorders>
            <w:vAlign w:val="center"/>
          </w:tcPr>
          <w:p w14:paraId="37FE75F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1334" w:type="dxa"/>
            <w:tcBorders>
              <w:top w:val="single" w:color="auto" w:sz="4" w:space="0"/>
              <w:left w:val="nil"/>
              <w:bottom w:val="single" w:color="auto" w:sz="4" w:space="0"/>
              <w:right w:val="single" w:color="auto" w:sz="4" w:space="0"/>
            </w:tcBorders>
            <w:vAlign w:val="center"/>
          </w:tcPr>
          <w:p w14:paraId="40DE3EF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18" w:type="dxa"/>
            <w:tcBorders>
              <w:top w:val="single" w:color="auto" w:sz="4" w:space="0"/>
              <w:left w:val="nil"/>
              <w:bottom w:val="single" w:color="auto" w:sz="4" w:space="0"/>
              <w:right w:val="single" w:color="auto" w:sz="4" w:space="0"/>
            </w:tcBorders>
            <w:vAlign w:val="center"/>
          </w:tcPr>
          <w:p w14:paraId="1C170DC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nil"/>
              <w:bottom w:val="single" w:color="auto" w:sz="4" w:space="0"/>
              <w:right w:val="single" w:color="auto" w:sz="4" w:space="0"/>
            </w:tcBorders>
            <w:vAlign w:val="center"/>
          </w:tcPr>
          <w:p w14:paraId="3DBE3C2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见（  ）页</w:t>
            </w:r>
          </w:p>
        </w:tc>
      </w:tr>
      <w:tr w14:paraId="4A749718">
        <w:tblPrEx>
          <w:tblCellMar>
            <w:top w:w="0" w:type="dxa"/>
            <w:left w:w="108" w:type="dxa"/>
            <w:bottom w:w="0" w:type="dxa"/>
            <w:right w:w="108" w:type="dxa"/>
          </w:tblCellMar>
        </w:tblPrEx>
        <w:trPr>
          <w:trHeight w:val="80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7B8EB77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4524" w:type="dxa"/>
            <w:tcBorders>
              <w:top w:val="single" w:color="auto" w:sz="4" w:space="0"/>
              <w:left w:val="single" w:color="auto" w:sz="4" w:space="0"/>
              <w:bottom w:val="single" w:color="auto" w:sz="4" w:space="0"/>
              <w:right w:val="single" w:color="auto" w:sz="4" w:space="0"/>
            </w:tcBorders>
            <w:vAlign w:val="center"/>
          </w:tcPr>
          <w:p w14:paraId="68BB182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1334" w:type="dxa"/>
            <w:tcBorders>
              <w:top w:val="single" w:color="auto" w:sz="4" w:space="0"/>
              <w:left w:val="nil"/>
              <w:bottom w:val="single" w:color="auto" w:sz="4" w:space="0"/>
              <w:right w:val="single" w:color="auto" w:sz="4" w:space="0"/>
            </w:tcBorders>
            <w:vAlign w:val="center"/>
          </w:tcPr>
          <w:p w14:paraId="07EDD86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18" w:type="dxa"/>
            <w:tcBorders>
              <w:top w:val="single" w:color="auto" w:sz="4" w:space="0"/>
              <w:left w:val="nil"/>
              <w:bottom w:val="single" w:color="auto" w:sz="4" w:space="0"/>
              <w:right w:val="single" w:color="auto" w:sz="4" w:space="0"/>
            </w:tcBorders>
            <w:vAlign w:val="center"/>
          </w:tcPr>
          <w:p w14:paraId="2962E7C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nil"/>
              <w:bottom w:val="single" w:color="auto" w:sz="4" w:space="0"/>
              <w:right w:val="single" w:color="auto" w:sz="4" w:space="0"/>
            </w:tcBorders>
            <w:vAlign w:val="center"/>
          </w:tcPr>
          <w:p w14:paraId="39BDFE8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见（  ）页</w:t>
            </w:r>
          </w:p>
        </w:tc>
      </w:tr>
      <w:tr w14:paraId="13B6F966">
        <w:tblPrEx>
          <w:tblCellMar>
            <w:top w:w="0" w:type="dxa"/>
            <w:left w:w="108" w:type="dxa"/>
            <w:bottom w:w="0" w:type="dxa"/>
            <w:right w:w="108" w:type="dxa"/>
          </w:tblCellMar>
        </w:tblPrEx>
        <w:trPr>
          <w:trHeight w:val="80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2EFE652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4524" w:type="dxa"/>
            <w:tcBorders>
              <w:top w:val="single" w:color="auto" w:sz="4" w:space="0"/>
              <w:left w:val="single" w:color="auto" w:sz="4" w:space="0"/>
              <w:bottom w:val="single" w:color="auto" w:sz="4" w:space="0"/>
              <w:right w:val="single" w:color="auto" w:sz="4" w:space="0"/>
            </w:tcBorders>
            <w:vAlign w:val="center"/>
          </w:tcPr>
          <w:p w14:paraId="3E9C89B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1334" w:type="dxa"/>
            <w:tcBorders>
              <w:top w:val="single" w:color="auto" w:sz="4" w:space="0"/>
              <w:left w:val="nil"/>
              <w:bottom w:val="single" w:color="auto" w:sz="4" w:space="0"/>
              <w:right w:val="single" w:color="auto" w:sz="4" w:space="0"/>
            </w:tcBorders>
            <w:vAlign w:val="center"/>
          </w:tcPr>
          <w:p w14:paraId="573D49A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18" w:type="dxa"/>
            <w:tcBorders>
              <w:top w:val="single" w:color="auto" w:sz="4" w:space="0"/>
              <w:left w:val="nil"/>
              <w:bottom w:val="single" w:color="auto" w:sz="4" w:space="0"/>
              <w:right w:val="single" w:color="auto" w:sz="4" w:space="0"/>
            </w:tcBorders>
            <w:vAlign w:val="center"/>
          </w:tcPr>
          <w:p w14:paraId="2597C5A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nil"/>
              <w:bottom w:val="single" w:color="auto" w:sz="4" w:space="0"/>
              <w:right w:val="single" w:color="auto" w:sz="4" w:space="0"/>
            </w:tcBorders>
            <w:vAlign w:val="center"/>
          </w:tcPr>
          <w:p w14:paraId="37EDF1C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见（  ）页</w:t>
            </w:r>
          </w:p>
        </w:tc>
      </w:tr>
      <w:tr w14:paraId="0B3E32CD">
        <w:tblPrEx>
          <w:tblCellMar>
            <w:top w:w="0" w:type="dxa"/>
            <w:left w:w="108" w:type="dxa"/>
            <w:bottom w:w="0" w:type="dxa"/>
            <w:right w:w="108" w:type="dxa"/>
          </w:tblCellMar>
        </w:tblPrEx>
        <w:trPr>
          <w:trHeight w:val="80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79B74A2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4524" w:type="dxa"/>
            <w:tcBorders>
              <w:top w:val="single" w:color="auto" w:sz="4" w:space="0"/>
              <w:left w:val="single" w:color="auto" w:sz="4" w:space="0"/>
              <w:bottom w:val="single" w:color="auto" w:sz="4" w:space="0"/>
              <w:right w:val="single" w:color="auto" w:sz="4" w:space="0"/>
            </w:tcBorders>
            <w:vAlign w:val="center"/>
          </w:tcPr>
          <w:p w14:paraId="3F8B865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1334" w:type="dxa"/>
            <w:tcBorders>
              <w:top w:val="single" w:color="auto" w:sz="4" w:space="0"/>
              <w:left w:val="nil"/>
              <w:bottom w:val="single" w:color="auto" w:sz="4" w:space="0"/>
              <w:right w:val="single" w:color="auto" w:sz="4" w:space="0"/>
            </w:tcBorders>
            <w:vAlign w:val="center"/>
          </w:tcPr>
          <w:p w14:paraId="626AE1F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18" w:type="dxa"/>
            <w:tcBorders>
              <w:top w:val="single" w:color="auto" w:sz="4" w:space="0"/>
              <w:left w:val="nil"/>
              <w:bottom w:val="single" w:color="auto" w:sz="4" w:space="0"/>
              <w:right w:val="single" w:color="auto" w:sz="4" w:space="0"/>
            </w:tcBorders>
            <w:vAlign w:val="center"/>
          </w:tcPr>
          <w:p w14:paraId="410409A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nil"/>
              <w:bottom w:val="single" w:color="auto" w:sz="4" w:space="0"/>
              <w:right w:val="single" w:color="auto" w:sz="4" w:space="0"/>
            </w:tcBorders>
            <w:vAlign w:val="center"/>
          </w:tcPr>
          <w:p w14:paraId="44568C6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见（  ）页</w:t>
            </w:r>
          </w:p>
        </w:tc>
      </w:tr>
      <w:tr w14:paraId="79AC013C">
        <w:tblPrEx>
          <w:tblCellMar>
            <w:top w:w="0" w:type="dxa"/>
            <w:left w:w="108" w:type="dxa"/>
            <w:bottom w:w="0" w:type="dxa"/>
            <w:right w:w="108" w:type="dxa"/>
          </w:tblCellMar>
        </w:tblPrEx>
        <w:trPr>
          <w:trHeight w:val="80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12A4C52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4524" w:type="dxa"/>
            <w:tcBorders>
              <w:top w:val="single" w:color="auto" w:sz="4" w:space="0"/>
              <w:left w:val="single" w:color="auto" w:sz="4" w:space="0"/>
              <w:bottom w:val="single" w:color="auto" w:sz="4" w:space="0"/>
              <w:right w:val="single" w:color="auto" w:sz="4" w:space="0"/>
            </w:tcBorders>
            <w:vAlign w:val="center"/>
          </w:tcPr>
          <w:p w14:paraId="0D36376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1334" w:type="dxa"/>
            <w:tcBorders>
              <w:top w:val="single" w:color="auto" w:sz="4" w:space="0"/>
              <w:left w:val="nil"/>
              <w:bottom w:val="single" w:color="auto" w:sz="4" w:space="0"/>
              <w:right w:val="single" w:color="auto" w:sz="4" w:space="0"/>
            </w:tcBorders>
            <w:vAlign w:val="center"/>
          </w:tcPr>
          <w:p w14:paraId="2646DA6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18" w:type="dxa"/>
            <w:tcBorders>
              <w:top w:val="single" w:color="auto" w:sz="4" w:space="0"/>
              <w:left w:val="nil"/>
              <w:bottom w:val="single" w:color="auto" w:sz="4" w:space="0"/>
              <w:right w:val="single" w:color="auto" w:sz="4" w:space="0"/>
            </w:tcBorders>
            <w:vAlign w:val="center"/>
          </w:tcPr>
          <w:p w14:paraId="470C3C8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nil"/>
              <w:bottom w:val="single" w:color="auto" w:sz="4" w:space="0"/>
              <w:right w:val="single" w:color="auto" w:sz="4" w:space="0"/>
            </w:tcBorders>
            <w:vAlign w:val="center"/>
          </w:tcPr>
          <w:p w14:paraId="054E25D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见（  ）页</w:t>
            </w:r>
          </w:p>
        </w:tc>
      </w:tr>
      <w:tr w14:paraId="6A0728B7">
        <w:tblPrEx>
          <w:tblCellMar>
            <w:top w:w="0" w:type="dxa"/>
            <w:left w:w="108" w:type="dxa"/>
            <w:bottom w:w="0" w:type="dxa"/>
            <w:right w:w="108" w:type="dxa"/>
          </w:tblCellMar>
        </w:tblPrEx>
        <w:trPr>
          <w:trHeight w:val="80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5372F02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4524" w:type="dxa"/>
            <w:tcBorders>
              <w:top w:val="single" w:color="auto" w:sz="4" w:space="0"/>
              <w:left w:val="single" w:color="auto" w:sz="4" w:space="0"/>
              <w:bottom w:val="single" w:color="auto" w:sz="4" w:space="0"/>
              <w:right w:val="single" w:color="auto" w:sz="4" w:space="0"/>
            </w:tcBorders>
            <w:vAlign w:val="center"/>
          </w:tcPr>
          <w:p w14:paraId="7526ABE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1334" w:type="dxa"/>
            <w:tcBorders>
              <w:top w:val="single" w:color="auto" w:sz="4" w:space="0"/>
              <w:left w:val="nil"/>
              <w:bottom w:val="single" w:color="auto" w:sz="4" w:space="0"/>
              <w:right w:val="single" w:color="auto" w:sz="4" w:space="0"/>
            </w:tcBorders>
            <w:vAlign w:val="center"/>
          </w:tcPr>
          <w:p w14:paraId="691CC5C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18" w:type="dxa"/>
            <w:tcBorders>
              <w:top w:val="single" w:color="auto" w:sz="4" w:space="0"/>
              <w:left w:val="nil"/>
              <w:bottom w:val="single" w:color="auto" w:sz="4" w:space="0"/>
              <w:right w:val="single" w:color="auto" w:sz="4" w:space="0"/>
            </w:tcBorders>
            <w:vAlign w:val="center"/>
          </w:tcPr>
          <w:p w14:paraId="51B2341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nil"/>
              <w:bottom w:val="single" w:color="auto" w:sz="4" w:space="0"/>
              <w:right w:val="single" w:color="auto" w:sz="4" w:space="0"/>
            </w:tcBorders>
            <w:vAlign w:val="center"/>
          </w:tcPr>
          <w:p w14:paraId="749FEF3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见（  ）页</w:t>
            </w:r>
          </w:p>
        </w:tc>
      </w:tr>
      <w:tr w14:paraId="74990B7A">
        <w:tblPrEx>
          <w:tblCellMar>
            <w:top w:w="0" w:type="dxa"/>
            <w:left w:w="108" w:type="dxa"/>
            <w:bottom w:w="0" w:type="dxa"/>
            <w:right w:w="108" w:type="dxa"/>
          </w:tblCellMar>
        </w:tblPrEx>
        <w:trPr>
          <w:trHeight w:val="80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519973A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4524" w:type="dxa"/>
            <w:tcBorders>
              <w:top w:val="single" w:color="auto" w:sz="4" w:space="0"/>
              <w:left w:val="single" w:color="auto" w:sz="4" w:space="0"/>
              <w:bottom w:val="single" w:color="auto" w:sz="4" w:space="0"/>
              <w:right w:val="single" w:color="auto" w:sz="4" w:space="0"/>
            </w:tcBorders>
            <w:vAlign w:val="center"/>
          </w:tcPr>
          <w:p w14:paraId="6ADF7ED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1334" w:type="dxa"/>
            <w:tcBorders>
              <w:top w:val="single" w:color="auto" w:sz="4" w:space="0"/>
              <w:left w:val="nil"/>
              <w:bottom w:val="single" w:color="auto" w:sz="4" w:space="0"/>
              <w:right w:val="single" w:color="auto" w:sz="4" w:space="0"/>
            </w:tcBorders>
            <w:vAlign w:val="center"/>
          </w:tcPr>
          <w:p w14:paraId="391C31B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18" w:type="dxa"/>
            <w:tcBorders>
              <w:top w:val="single" w:color="auto" w:sz="4" w:space="0"/>
              <w:left w:val="nil"/>
              <w:bottom w:val="single" w:color="auto" w:sz="4" w:space="0"/>
              <w:right w:val="single" w:color="auto" w:sz="4" w:space="0"/>
            </w:tcBorders>
            <w:vAlign w:val="center"/>
          </w:tcPr>
          <w:p w14:paraId="70AEC89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nil"/>
              <w:bottom w:val="single" w:color="auto" w:sz="4" w:space="0"/>
              <w:right w:val="single" w:color="auto" w:sz="4" w:space="0"/>
            </w:tcBorders>
            <w:vAlign w:val="center"/>
          </w:tcPr>
          <w:p w14:paraId="2511D09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见（  ）页</w:t>
            </w:r>
          </w:p>
        </w:tc>
      </w:tr>
      <w:tr w14:paraId="2D67AAAC">
        <w:tblPrEx>
          <w:tblCellMar>
            <w:top w:w="0" w:type="dxa"/>
            <w:left w:w="108" w:type="dxa"/>
            <w:bottom w:w="0" w:type="dxa"/>
            <w:right w:w="108" w:type="dxa"/>
          </w:tblCellMar>
        </w:tblPrEx>
        <w:trPr>
          <w:trHeight w:val="8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2772B77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4524" w:type="dxa"/>
            <w:tcBorders>
              <w:top w:val="single" w:color="auto" w:sz="4" w:space="0"/>
              <w:left w:val="single" w:color="auto" w:sz="4" w:space="0"/>
              <w:bottom w:val="single" w:color="auto" w:sz="4" w:space="0"/>
              <w:right w:val="single" w:color="auto" w:sz="4" w:space="0"/>
            </w:tcBorders>
            <w:vAlign w:val="center"/>
          </w:tcPr>
          <w:p w14:paraId="0053974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p>
        </w:tc>
        <w:tc>
          <w:tcPr>
            <w:tcW w:w="1334" w:type="dxa"/>
            <w:tcBorders>
              <w:top w:val="single" w:color="auto" w:sz="4" w:space="0"/>
              <w:left w:val="nil"/>
              <w:bottom w:val="single" w:color="auto" w:sz="4" w:space="0"/>
              <w:right w:val="single" w:color="auto" w:sz="4" w:space="0"/>
            </w:tcBorders>
            <w:vAlign w:val="center"/>
          </w:tcPr>
          <w:p w14:paraId="64D9475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18" w:type="dxa"/>
            <w:tcBorders>
              <w:top w:val="single" w:color="auto" w:sz="4" w:space="0"/>
              <w:left w:val="nil"/>
              <w:bottom w:val="single" w:color="auto" w:sz="4" w:space="0"/>
              <w:right w:val="single" w:color="auto" w:sz="4" w:space="0"/>
            </w:tcBorders>
            <w:vAlign w:val="center"/>
          </w:tcPr>
          <w:p w14:paraId="5867B9B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nil"/>
              <w:bottom w:val="single" w:color="auto" w:sz="4" w:space="0"/>
              <w:right w:val="single" w:color="auto" w:sz="4" w:space="0"/>
            </w:tcBorders>
            <w:vAlign w:val="center"/>
          </w:tcPr>
          <w:p w14:paraId="62F087B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见（  ）页</w:t>
            </w:r>
          </w:p>
        </w:tc>
      </w:tr>
    </w:tbl>
    <w:p w14:paraId="327D2661">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lang w:bidi="ar"/>
        </w:rPr>
        <w:t>根据评分标准逐条填写（价格部分除外）</w:t>
      </w:r>
    </w:p>
    <w:p w14:paraId="3725C277">
      <w:pPr>
        <w:widowControl/>
        <w:spacing w:line="240" w:lineRule="auto"/>
        <w:jc w:val="left"/>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1701B54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二</w:t>
      </w:r>
      <w:r>
        <w:rPr>
          <w:rFonts w:hint="eastAsia" w:cs="仿宋_GB2312" w:asciiTheme="minorEastAsia" w:hAnsiTheme="minorEastAsia" w:eastAsiaTheme="minorEastAsia"/>
          <w:b/>
          <w:color w:val="auto"/>
          <w:kern w:val="0"/>
          <w:sz w:val="32"/>
          <w:szCs w:val="32"/>
          <w:highlight w:val="none"/>
        </w:rPr>
        <w:t>、响应</w:t>
      </w:r>
      <w:r>
        <w:rPr>
          <w:rFonts w:hint="eastAsia" w:cs="仿宋_GB2312" w:asciiTheme="minorEastAsia" w:hAnsiTheme="minorEastAsia" w:eastAsiaTheme="minorEastAsia"/>
          <w:b/>
          <w:color w:val="auto"/>
          <w:sz w:val="32"/>
          <w:szCs w:val="32"/>
          <w:highlight w:val="none"/>
        </w:rPr>
        <w:t>函</w:t>
      </w:r>
    </w:p>
    <w:p w14:paraId="343477F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宁波市鄞州经济开发区管理委员会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宁波中基国际招标有限公司</w:t>
      </w:r>
      <w:r>
        <w:rPr>
          <w:rFonts w:hint="eastAsia" w:cs="仿宋_GB2312" w:asciiTheme="minorEastAsia" w:hAnsiTheme="minorEastAsia" w:eastAsiaTheme="minorEastAsia"/>
          <w:color w:val="auto"/>
          <w:sz w:val="24"/>
          <w:highlight w:val="none"/>
        </w:rPr>
        <w:t>：</w:t>
      </w:r>
    </w:p>
    <w:p w14:paraId="2F9EF2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为全权代表，参加贵方组织的</w:t>
      </w:r>
      <w:r>
        <w:rPr>
          <w:rFonts w:hint="eastAsia" w:cs="仿宋_GB2312" w:asciiTheme="minorEastAsia" w:hAnsiTheme="minorEastAsia" w:eastAsiaTheme="minorEastAsia"/>
          <w:color w:val="auto"/>
          <w:sz w:val="24"/>
          <w:highlight w:val="none"/>
          <w:lang w:eastAsia="zh-CN"/>
        </w:rPr>
        <w:t>鄞州经济开发区管委会监控维保项目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CBNB-20252091G</w:t>
      </w:r>
      <w:r>
        <w:rPr>
          <w:rFonts w:hint="eastAsia" w:cs="仿宋_GB2312" w:asciiTheme="minorEastAsia" w:hAnsiTheme="minorEastAsia" w:eastAsiaTheme="minorEastAsia"/>
          <w:color w:val="auto"/>
          <w:sz w:val="24"/>
          <w:highlight w:val="none"/>
        </w:rPr>
        <w:t>】的有关活动，并对此项目进行响应。为此：</w:t>
      </w:r>
    </w:p>
    <w:p w14:paraId="07ED68C9">
      <w:pPr>
        <w:pStyle w:val="110"/>
        <w:numPr>
          <w:ilvl w:val="0"/>
          <w:numId w:val="19"/>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7E2696B1">
      <w:pPr>
        <w:numPr>
          <w:ilvl w:val="0"/>
          <w:numId w:val="1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0C0992D">
      <w:pPr>
        <w:numPr>
          <w:ilvl w:val="0"/>
          <w:numId w:val="1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我方承诺除响应文件列出的偏离外，我方响应磋商文件的全部要求。对响应文件中材料的真实性、合法性负责，积极配合采购人、采购代理机构复核响应文件中的资料。</w:t>
      </w:r>
    </w:p>
    <w:p w14:paraId="1A8A4F44">
      <w:pPr>
        <w:numPr>
          <w:ilvl w:val="0"/>
          <w:numId w:val="1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92D6440">
      <w:pPr>
        <w:numPr>
          <w:ilvl w:val="0"/>
          <w:numId w:val="1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7FD0DC3">
      <w:pPr>
        <w:numPr>
          <w:ilvl w:val="0"/>
          <w:numId w:val="1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76159CE3">
      <w:pPr>
        <w:numPr>
          <w:ilvl w:val="0"/>
          <w:numId w:val="1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0572F50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3529A59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22AEF8F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41947C4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376F92D1">
      <w:pPr>
        <w:numPr>
          <w:ilvl w:val="0"/>
          <w:numId w:val="19"/>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39A4E507">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06CFE883">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232A66F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38515B5">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E4E25FD">
      <w:pPr>
        <w:autoSpaceDE w:val="0"/>
        <w:autoSpaceDN w:val="0"/>
        <w:spacing w:line="360" w:lineRule="auto"/>
        <w:rPr>
          <w:rFonts w:cs="仿宋_GB2312" w:asciiTheme="minorEastAsia" w:hAnsiTheme="minorEastAsia" w:eastAsiaTheme="minorEastAsia"/>
          <w:color w:val="auto"/>
          <w:kern w:val="0"/>
          <w:sz w:val="24"/>
          <w:highlight w:val="none"/>
        </w:rPr>
      </w:pPr>
    </w:p>
    <w:p w14:paraId="456BFE47">
      <w:pPr>
        <w:pStyle w:val="120"/>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4A29F18E">
      <w:pPr>
        <w:spacing w:line="360" w:lineRule="auto"/>
        <w:rPr>
          <w:rFonts w:cs="仿宋_GB2312" w:asciiTheme="minorEastAsia" w:hAnsiTheme="minorEastAsia" w:eastAsiaTheme="minorEastAsia"/>
          <w:color w:val="auto"/>
          <w:sz w:val="24"/>
          <w:highlight w:val="none"/>
        </w:rPr>
      </w:pPr>
    </w:p>
    <w:p w14:paraId="11F4D78F">
      <w:pPr>
        <w:widowControl/>
        <w:spacing w:line="240" w:lineRule="auto"/>
        <w:jc w:val="left"/>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29A56AEB">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en-US" w:eastAsia="zh-CN"/>
        </w:rPr>
        <w:t>三</w:t>
      </w:r>
      <w:r>
        <w:rPr>
          <w:rFonts w:hint="eastAsia" w:cs="仿宋_GB2312" w:asciiTheme="minorEastAsia" w:hAnsiTheme="minorEastAsia" w:eastAsiaTheme="minorEastAsia"/>
          <w:b/>
          <w:color w:val="auto"/>
          <w:kern w:val="0"/>
          <w:sz w:val="32"/>
          <w:szCs w:val="32"/>
          <w:highlight w:val="none"/>
          <w:lang w:val="zh-CN"/>
        </w:rPr>
        <w:t>、法人授权书</w:t>
      </w:r>
    </w:p>
    <w:p w14:paraId="1E4C25C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宁波市鄞州经济开发区管理委员会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宁波中基国际招标有限公司</w:t>
      </w:r>
      <w:r>
        <w:rPr>
          <w:rFonts w:hint="eastAsia" w:cs="仿宋_GB2312" w:asciiTheme="minorEastAsia" w:hAnsiTheme="minorEastAsia" w:eastAsiaTheme="minorEastAsia"/>
          <w:color w:val="auto"/>
          <w:kern w:val="0"/>
          <w:sz w:val="24"/>
          <w:highlight w:val="none"/>
          <w:lang w:val="zh-CN"/>
        </w:rPr>
        <w:t>：</w:t>
      </w:r>
    </w:p>
    <w:p w14:paraId="4065D481">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鄞州经济开发区管委会监控维保项目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CBNB-20252091G</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1BBC677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41D7BBF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54857D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34AB951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7C3AAF1">
      <w:pPr>
        <w:snapToGrid w:val="0"/>
        <w:spacing w:line="360" w:lineRule="auto"/>
        <w:rPr>
          <w:rFonts w:cs="仿宋_GB2312" w:asciiTheme="minorEastAsia" w:hAnsiTheme="minorEastAsia" w:eastAsiaTheme="minorEastAsia"/>
          <w:color w:val="auto"/>
          <w:kern w:val="0"/>
          <w:sz w:val="24"/>
          <w:highlight w:val="none"/>
          <w:lang w:val="zh-CN"/>
        </w:rPr>
      </w:pPr>
    </w:p>
    <w:p w14:paraId="3AD423DA">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CA145DE">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2DD968B6">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2A304BE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宁波市鄞州经济开发区管理委员会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宁波中基国际招标有限公司</w:t>
      </w:r>
      <w:r>
        <w:rPr>
          <w:rFonts w:hint="eastAsia" w:cs="仿宋_GB2312" w:asciiTheme="minorEastAsia" w:hAnsiTheme="minorEastAsia" w:eastAsiaTheme="minorEastAsia"/>
          <w:color w:val="auto"/>
          <w:kern w:val="0"/>
          <w:sz w:val="24"/>
          <w:highlight w:val="none"/>
          <w:lang w:val="zh-CN"/>
        </w:rPr>
        <w:t>：</w:t>
      </w:r>
    </w:p>
    <w:p w14:paraId="14DB8439">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鄞州经济开发区管委会监控维保项目</w:t>
      </w:r>
      <w:r>
        <w:rPr>
          <w:rFonts w:hint="eastAsia" w:cs="仿宋_GB2312" w:asciiTheme="minorEastAsia" w:hAnsiTheme="minorEastAsia" w:eastAsiaTheme="minorEastAsia"/>
          <w:color w:val="auto"/>
          <w:kern w:val="0"/>
          <w:sz w:val="24"/>
          <w:highlight w:val="none"/>
          <w:lang w:val="zh-CN"/>
        </w:rPr>
        <w:t>【项目编号：CBNB-20252091G】政府采购响应的一切事项，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69BB318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4F23246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9B7FC2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346B8071">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307AA4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DCD799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81D8D6D">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F05E414">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506A397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60D22AA7">
      <w:pPr>
        <w:pStyle w:val="624"/>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680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353DC09">
            <w:pPr>
              <w:pStyle w:val="624"/>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C7A7506">
            <w:pPr>
              <w:pStyle w:val="624"/>
              <w:spacing w:line="360" w:lineRule="auto"/>
              <w:rPr>
                <w:rFonts w:asciiTheme="minorEastAsia" w:hAnsiTheme="minorEastAsia" w:eastAsiaTheme="minorEastAsia"/>
                <w:bCs/>
                <w:color w:val="auto"/>
                <w:sz w:val="24"/>
                <w:highlight w:val="none"/>
              </w:rPr>
            </w:pPr>
          </w:p>
        </w:tc>
      </w:tr>
    </w:tbl>
    <w:p w14:paraId="29E810E9">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68437CA4">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3A38F08">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C93D256">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12055C2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C902053">
      <w:pPr>
        <w:pStyle w:val="120"/>
        <w:keepNext w:val="0"/>
        <w:pageBreakBefore w:val="0"/>
        <w:tabs>
          <w:tab w:val="clear" w:pos="720"/>
        </w:tabs>
        <w:snapToGrid w:val="0"/>
        <w:spacing w:before="120" w:after="120"/>
        <w:jc w:val="center"/>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四、</w:t>
      </w:r>
      <w:r>
        <w:rPr>
          <w:rFonts w:hint="eastAsia" w:ascii="宋体" w:hAnsi="宋体" w:eastAsia="宋体" w:cs="宋体"/>
          <w:color w:val="auto"/>
          <w:kern w:val="2"/>
          <w:sz w:val="28"/>
          <w:szCs w:val="28"/>
          <w:highlight w:val="none"/>
        </w:rPr>
        <w:t>供应商基本情况表</w:t>
      </w:r>
    </w:p>
    <w:p w14:paraId="29100F5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供应商基本情况表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976"/>
        <w:gridCol w:w="310"/>
        <w:gridCol w:w="1355"/>
        <w:gridCol w:w="1016"/>
        <w:gridCol w:w="349"/>
        <w:gridCol w:w="1077"/>
        <w:gridCol w:w="180"/>
        <w:gridCol w:w="353"/>
        <w:gridCol w:w="285"/>
        <w:gridCol w:w="1422"/>
      </w:tblGrid>
      <w:tr w14:paraId="777C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3A19A94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供应商名称</w:t>
            </w:r>
          </w:p>
        </w:tc>
        <w:tc>
          <w:tcPr>
            <w:tcW w:w="7323" w:type="dxa"/>
            <w:gridSpan w:val="10"/>
            <w:tcBorders>
              <w:top w:val="single" w:color="auto" w:sz="4" w:space="0"/>
              <w:left w:val="single" w:color="auto" w:sz="4" w:space="0"/>
              <w:bottom w:val="single" w:color="auto" w:sz="4" w:space="0"/>
              <w:right w:val="single" w:color="auto" w:sz="4" w:space="0"/>
            </w:tcBorders>
            <w:vAlign w:val="center"/>
          </w:tcPr>
          <w:p w14:paraId="729C1A3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r>
      <w:tr w14:paraId="634C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20EEF2C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注册地址</w:t>
            </w:r>
          </w:p>
        </w:tc>
        <w:tc>
          <w:tcPr>
            <w:tcW w:w="3657" w:type="dxa"/>
            <w:gridSpan w:val="4"/>
            <w:tcBorders>
              <w:top w:val="single" w:color="auto" w:sz="4" w:space="0"/>
              <w:left w:val="single" w:color="auto" w:sz="4" w:space="0"/>
              <w:bottom w:val="single" w:color="auto" w:sz="4" w:space="0"/>
              <w:right w:val="single" w:color="auto" w:sz="4" w:space="0"/>
            </w:tcBorders>
            <w:vAlign w:val="center"/>
          </w:tcPr>
          <w:p w14:paraId="20CEF01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1606" w:type="dxa"/>
            <w:gridSpan w:val="3"/>
            <w:tcBorders>
              <w:top w:val="single" w:color="auto" w:sz="4" w:space="0"/>
              <w:left w:val="single" w:color="auto" w:sz="4" w:space="0"/>
              <w:bottom w:val="single" w:color="auto" w:sz="4" w:space="0"/>
              <w:right w:val="single" w:color="auto" w:sz="4" w:space="0"/>
            </w:tcBorders>
            <w:vAlign w:val="center"/>
          </w:tcPr>
          <w:p w14:paraId="53D9005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邮政编码</w:t>
            </w:r>
          </w:p>
        </w:tc>
        <w:tc>
          <w:tcPr>
            <w:tcW w:w="2060" w:type="dxa"/>
            <w:gridSpan w:val="3"/>
            <w:tcBorders>
              <w:top w:val="single" w:color="auto" w:sz="4" w:space="0"/>
              <w:left w:val="single" w:color="auto" w:sz="4" w:space="0"/>
              <w:bottom w:val="single" w:color="auto" w:sz="4" w:space="0"/>
              <w:right w:val="single" w:color="auto" w:sz="4" w:space="0"/>
            </w:tcBorders>
            <w:vAlign w:val="center"/>
          </w:tcPr>
          <w:p w14:paraId="153BD11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r>
      <w:tr w14:paraId="486C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14:paraId="377D7B0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联系方式</w:t>
            </w:r>
          </w:p>
        </w:tc>
        <w:tc>
          <w:tcPr>
            <w:tcW w:w="1286" w:type="dxa"/>
            <w:gridSpan w:val="2"/>
            <w:tcBorders>
              <w:top w:val="single" w:color="auto" w:sz="4" w:space="0"/>
              <w:left w:val="single" w:color="auto" w:sz="4" w:space="0"/>
              <w:bottom w:val="single" w:color="auto" w:sz="4" w:space="0"/>
              <w:right w:val="single" w:color="auto" w:sz="4" w:space="0"/>
            </w:tcBorders>
            <w:vAlign w:val="center"/>
          </w:tcPr>
          <w:p w14:paraId="568CDAE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联系人</w:t>
            </w:r>
          </w:p>
        </w:tc>
        <w:tc>
          <w:tcPr>
            <w:tcW w:w="2371" w:type="dxa"/>
            <w:gridSpan w:val="2"/>
            <w:tcBorders>
              <w:top w:val="single" w:color="auto" w:sz="4" w:space="0"/>
              <w:left w:val="single" w:color="auto" w:sz="4" w:space="0"/>
              <w:bottom w:val="single" w:color="auto" w:sz="4" w:space="0"/>
              <w:right w:val="single" w:color="auto" w:sz="4" w:space="0"/>
            </w:tcBorders>
            <w:vAlign w:val="center"/>
          </w:tcPr>
          <w:p w14:paraId="7A50A89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1606" w:type="dxa"/>
            <w:gridSpan w:val="3"/>
            <w:tcBorders>
              <w:top w:val="single" w:color="auto" w:sz="4" w:space="0"/>
              <w:left w:val="single" w:color="auto" w:sz="4" w:space="0"/>
              <w:bottom w:val="single" w:color="auto" w:sz="4" w:space="0"/>
              <w:right w:val="single" w:color="auto" w:sz="4" w:space="0"/>
            </w:tcBorders>
            <w:vAlign w:val="center"/>
          </w:tcPr>
          <w:p w14:paraId="6168802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电话</w:t>
            </w:r>
          </w:p>
        </w:tc>
        <w:tc>
          <w:tcPr>
            <w:tcW w:w="2060" w:type="dxa"/>
            <w:gridSpan w:val="3"/>
            <w:tcBorders>
              <w:top w:val="single" w:color="auto" w:sz="4" w:space="0"/>
              <w:left w:val="single" w:color="auto" w:sz="4" w:space="0"/>
              <w:bottom w:val="single" w:color="auto" w:sz="4" w:space="0"/>
              <w:right w:val="single" w:color="auto" w:sz="4" w:space="0"/>
            </w:tcBorders>
            <w:vAlign w:val="center"/>
          </w:tcPr>
          <w:p w14:paraId="3D0486B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r>
      <w:tr w14:paraId="7FC9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14:paraId="1E11B4D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宋体" w:hAnsi="宋体" w:cs="宋体"/>
                <w:color w:val="auto"/>
                <w:sz w:val="24"/>
                <w:highlight w:val="none"/>
              </w:rPr>
            </w:pPr>
          </w:p>
        </w:tc>
        <w:tc>
          <w:tcPr>
            <w:tcW w:w="1286" w:type="dxa"/>
            <w:gridSpan w:val="2"/>
            <w:tcBorders>
              <w:top w:val="single" w:color="auto" w:sz="4" w:space="0"/>
              <w:left w:val="single" w:color="auto" w:sz="4" w:space="0"/>
              <w:bottom w:val="single" w:color="auto" w:sz="4" w:space="0"/>
              <w:right w:val="single" w:color="auto" w:sz="4" w:space="0"/>
            </w:tcBorders>
            <w:vAlign w:val="center"/>
          </w:tcPr>
          <w:p w14:paraId="55EB4A5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传真</w:t>
            </w:r>
          </w:p>
        </w:tc>
        <w:tc>
          <w:tcPr>
            <w:tcW w:w="2371" w:type="dxa"/>
            <w:gridSpan w:val="2"/>
            <w:tcBorders>
              <w:top w:val="single" w:color="auto" w:sz="4" w:space="0"/>
              <w:left w:val="single" w:color="auto" w:sz="4" w:space="0"/>
              <w:bottom w:val="single" w:color="auto" w:sz="4" w:space="0"/>
              <w:right w:val="single" w:color="auto" w:sz="4" w:space="0"/>
            </w:tcBorders>
            <w:vAlign w:val="center"/>
          </w:tcPr>
          <w:p w14:paraId="4D2BE94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1606" w:type="dxa"/>
            <w:gridSpan w:val="3"/>
            <w:tcBorders>
              <w:top w:val="single" w:color="auto" w:sz="4" w:space="0"/>
              <w:left w:val="single" w:color="auto" w:sz="4" w:space="0"/>
              <w:bottom w:val="single" w:color="auto" w:sz="4" w:space="0"/>
              <w:right w:val="single" w:color="auto" w:sz="4" w:space="0"/>
            </w:tcBorders>
            <w:vAlign w:val="center"/>
          </w:tcPr>
          <w:p w14:paraId="42D2009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网址</w:t>
            </w:r>
          </w:p>
        </w:tc>
        <w:tc>
          <w:tcPr>
            <w:tcW w:w="2060" w:type="dxa"/>
            <w:gridSpan w:val="3"/>
            <w:tcBorders>
              <w:top w:val="single" w:color="auto" w:sz="4" w:space="0"/>
              <w:left w:val="single" w:color="auto" w:sz="4" w:space="0"/>
              <w:bottom w:val="single" w:color="auto" w:sz="4" w:space="0"/>
              <w:right w:val="single" w:color="auto" w:sz="4" w:space="0"/>
            </w:tcBorders>
            <w:vAlign w:val="center"/>
          </w:tcPr>
          <w:p w14:paraId="3EBA9D1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r>
      <w:tr w14:paraId="2D6C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042CEE0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组织结构</w:t>
            </w:r>
          </w:p>
        </w:tc>
        <w:tc>
          <w:tcPr>
            <w:tcW w:w="7323" w:type="dxa"/>
            <w:gridSpan w:val="10"/>
            <w:tcBorders>
              <w:top w:val="single" w:color="auto" w:sz="4" w:space="0"/>
              <w:left w:val="single" w:color="auto" w:sz="4" w:space="0"/>
              <w:bottom w:val="single" w:color="auto" w:sz="4" w:space="0"/>
              <w:right w:val="single" w:color="auto" w:sz="4" w:space="0"/>
            </w:tcBorders>
            <w:vAlign w:val="center"/>
          </w:tcPr>
          <w:p w14:paraId="4549C71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r>
      <w:tr w14:paraId="727B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60D7AF5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法定代表人</w:t>
            </w:r>
          </w:p>
        </w:tc>
        <w:tc>
          <w:tcPr>
            <w:tcW w:w="976" w:type="dxa"/>
            <w:tcBorders>
              <w:top w:val="single" w:color="auto" w:sz="4" w:space="0"/>
              <w:left w:val="single" w:color="auto" w:sz="4" w:space="0"/>
              <w:bottom w:val="single" w:color="auto" w:sz="4" w:space="0"/>
              <w:right w:val="single" w:color="auto" w:sz="4" w:space="0"/>
            </w:tcBorders>
            <w:vAlign w:val="center"/>
          </w:tcPr>
          <w:p w14:paraId="7779E7B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姓名</w:t>
            </w:r>
          </w:p>
        </w:tc>
        <w:tc>
          <w:tcPr>
            <w:tcW w:w="1665" w:type="dxa"/>
            <w:gridSpan w:val="2"/>
            <w:tcBorders>
              <w:top w:val="single" w:color="auto" w:sz="4" w:space="0"/>
              <w:left w:val="single" w:color="auto" w:sz="4" w:space="0"/>
              <w:bottom w:val="single" w:color="auto" w:sz="4" w:space="0"/>
              <w:right w:val="single" w:color="auto" w:sz="4" w:space="0"/>
            </w:tcBorders>
            <w:vAlign w:val="center"/>
          </w:tcPr>
          <w:p w14:paraId="7359D1F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1C05A01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技术职称</w:t>
            </w:r>
          </w:p>
        </w:tc>
        <w:tc>
          <w:tcPr>
            <w:tcW w:w="1077" w:type="dxa"/>
            <w:tcBorders>
              <w:top w:val="single" w:color="auto" w:sz="4" w:space="0"/>
              <w:left w:val="single" w:color="auto" w:sz="4" w:space="0"/>
              <w:bottom w:val="single" w:color="auto" w:sz="4" w:space="0"/>
              <w:right w:val="single" w:color="auto" w:sz="4" w:space="0"/>
            </w:tcBorders>
            <w:vAlign w:val="center"/>
          </w:tcPr>
          <w:p w14:paraId="26E1B26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818" w:type="dxa"/>
            <w:gridSpan w:val="3"/>
            <w:tcBorders>
              <w:top w:val="single" w:color="auto" w:sz="4" w:space="0"/>
              <w:left w:val="single" w:color="auto" w:sz="4" w:space="0"/>
              <w:bottom w:val="single" w:color="auto" w:sz="4" w:space="0"/>
              <w:right w:val="single" w:color="auto" w:sz="4" w:space="0"/>
            </w:tcBorders>
            <w:vAlign w:val="center"/>
          </w:tcPr>
          <w:p w14:paraId="46DE5FD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电话</w:t>
            </w:r>
          </w:p>
        </w:tc>
        <w:tc>
          <w:tcPr>
            <w:tcW w:w="1422" w:type="dxa"/>
            <w:tcBorders>
              <w:top w:val="single" w:color="auto" w:sz="4" w:space="0"/>
              <w:left w:val="single" w:color="auto" w:sz="4" w:space="0"/>
              <w:bottom w:val="single" w:color="auto" w:sz="4" w:space="0"/>
              <w:right w:val="single" w:color="auto" w:sz="4" w:space="0"/>
            </w:tcBorders>
            <w:vAlign w:val="center"/>
          </w:tcPr>
          <w:p w14:paraId="03C74AD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r>
      <w:tr w14:paraId="6365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6977524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技术负责人</w:t>
            </w:r>
          </w:p>
        </w:tc>
        <w:tc>
          <w:tcPr>
            <w:tcW w:w="976" w:type="dxa"/>
            <w:tcBorders>
              <w:top w:val="single" w:color="auto" w:sz="4" w:space="0"/>
              <w:left w:val="single" w:color="auto" w:sz="4" w:space="0"/>
              <w:bottom w:val="single" w:color="auto" w:sz="4" w:space="0"/>
              <w:right w:val="single" w:color="auto" w:sz="4" w:space="0"/>
            </w:tcBorders>
            <w:vAlign w:val="center"/>
          </w:tcPr>
          <w:p w14:paraId="03C96D1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姓名</w:t>
            </w:r>
          </w:p>
        </w:tc>
        <w:tc>
          <w:tcPr>
            <w:tcW w:w="1665" w:type="dxa"/>
            <w:gridSpan w:val="2"/>
            <w:tcBorders>
              <w:top w:val="single" w:color="auto" w:sz="4" w:space="0"/>
              <w:left w:val="single" w:color="auto" w:sz="4" w:space="0"/>
              <w:bottom w:val="single" w:color="auto" w:sz="4" w:space="0"/>
              <w:right w:val="single" w:color="auto" w:sz="4" w:space="0"/>
            </w:tcBorders>
            <w:vAlign w:val="center"/>
          </w:tcPr>
          <w:p w14:paraId="3D3F147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4885152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技术职称</w:t>
            </w:r>
          </w:p>
        </w:tc>
        <w:tc>
          <w:tcPr>
            <w:tcW w:w="1077" w:type="dxa"/>
            <w:tcBorders>
              <w:top w:val="single" w:color="auto" w:sz="4" w:space="0"/>
              <w:left w:val="single" w:color="auto" w:sz="4" w:space="0"/>
              <w:bottom w:val="single" w:color="auto" w:sz="4" w:space="0"/>
              <w:right w:val="single" w:color="auto" w:sz="4" w:space="0"/>
            </w:tcBorders>
            <w:vAlign w:val="center"/>
          </w:tcPr>
          <w:p w14:paraId="5CD8528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818" w:type="dxa"/>
            <w:gridSpan w:val="3"/>
            <w:tcBorders>
              <w:top w:val="single" w:color="auto" w:sz="4" w:space="0"/>
              <w:left w:val="single" w:color="auto" w:sz="4" w:space="0"/>
              <w:bottom w:val="single" w:color="auto" w:sz="4" w:space="0"/>
              <w:right w:val="single" w:color="auto" w:sz="4" w:space="0"/>
            </w:tcBorders>
            <w:vAlign w:val="center"/>
          </w:tcPr>
          <w:p w14:paraId="4BF9076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电话</w:t>
            </w:r>
          </w:p>
        </w:tc>
        <w:tc>
          <w:tcPr>
            <w:tcW w:w="1422" w:type="dxa"/>
            <w:tcBorders>
              <w:top w:val="single" w:color="auto" w:sz="4" w:space="0"/>
              <w:left w:val="single" w:color="auto" w:sz="4" w:space="0"/>
              <w:bottom w:val="single" w:color="auto" w:sz="4" w:space="0"/>
              <w:right w:val="single" w:color="auto" w:sz="4" w:space="0"/>
            </w:tcBorders>
            <w:vAlign w:val="center"/>
          </w:tcPr>
          <w:p w14:paraId="153C61C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r>
      <w:tr w14:paraId="3157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39834E3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2641" w:type="dxa"/>
            <w:gridSpan w:val="3"/>
            <w:tcBorders>
              <w:top w:val="single" w:color="auto" w:sz="4" w:space="0"/>
              <w:left w:val="single" w:color="auto" w:sz="4" w:space="0"/>
              <w:bottom w:val="single" w:color="auto" w:sz="4" w:space="0"/>
              <w:right w:val="single" w:color="auto" w:sz="4" w:space="0"/>
            </w:tcBorders>
            <w:vAlign w:val="center"/>
          </w:tcPr>
          <w:p w14:paraId="487E788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4682" w:type="dxa"/>
            <w:gridSpan w:val="7"/>
            <w:tcBorders>
              <w:top w:val="single" w:color="auto" w:sz="4" w:space="0"/>
              <w:left w:val="single" w:color="auto" w:sz="4" w:space="0"/>
              <w:bottom w:val="single" w:color="auto" w:sz="4" w:space="0"/>
              <w:right w:val="single" w:color="auto" w:sz="4" w:space="0"/>
            </w:tcBorders>
            <w:vAlign w:val="center"/>
          </w:tcPr>
          <w:p w14:paraId="4787343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员工总人数：</w:t>
            </w:r>
          </w:p>
        </w:tc>
      </w:tr>
      <w:tr w14:paraId="599B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30556D4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企业资质等级</w:t>
            </w:r>
          </w:p>
        </w:tc>
        <w:tc>
          <w:tcPr>
            <w:tcW w:w="2641" w:type="dxa"/>
            <w:gridSpan w:val="3"/>
            <w:tcBorders>
              <w:top w:val="single" w:color="auto" w:sz="4" w:space="0"/>
              <w:left w:val="single" w:color="auto" w:sz="4" w:space="0"/>
              <w:bottom w:val="single" w:color="auto" w:sz="4" w:space="0"/>
              <w:right w:val="single" w:color="auto" w:sz="4" w:space="0"/>
            </w:tcBorders>
            <w:vAlign w:val="center"/>
          </w:tcPr>
          <w:p w14:paraId="174D7EB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14:paraId="21D7F97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其中</w:t>
            </w:r>
          </w:p>
        </w:tc>
        <w:tc>
          <w:tcPr>
            <w:tcW w:w="1959" w:type="dxa"/>
            <w:gridSpan w:val="4"/>
            <w:tcBorders>
              <w:top w:val="single" w:color="auto" w:sz="4" w:space="0"/>
              <w:left w:val="single" w:color="auto" w:sz="4" w:space="0"/>
              <w:bottom w:val="single" w:color="auto" w:sz="4" w:space="0"/>
              <w:right w:val="single" w:color="auto" w:sz="4" w:space="0"/>
            </w:tcBorders>
            <w:vAlign w:val="center"/>
          </w:tcPr>
          <w:p w14:paraId="53ABFF6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高级职称人员</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3BECF39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r>
      <w:tr w14:paraId="4BD2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35F329A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营业执照号</w:t>
            </w:r>
          </w:p>
        </w:tc>
        <w:tc>
          <w:tcPr>
            <w:tcW w:w="2641" w:type="dxa"/>
            <w:gridSpan w:val="3"/>
            <w:tcBorders>
              <w:top w:val="single" w:color="auto" w:sz="4" w:space="0"/>
              <w:left w:val="single" w:color="auto" w:sz="4" w:space="0"/>
              <w:bottom w:val="single" w:color="auto" w:sz="4" w:space="0"/>
              <w:right w:val="single" w:color="auto" w:sz="4" w:space="0"/>
            </w:tcBorders>
            <w:vAlign w:val="center"/>
          </w:tcPr>
          <w:p w14:paraId="3C621FC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14:paraId="107F515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宋体" w:hAnsi="宋体" w:cs="宋体"/>
                <w:color w:val="auto"/>
                <w:sz w:val="24"/>
                <w:highlight w:val="none"/>
              </w:rPr>
            </w:pPr>
          </w:p>
        </w:tc>
        <w:tc>
          <w:tcPr>
            <w:tcW w:w="1959" w:type="dxa"/>
            <w:gridSpan w:val="4"/>
            <w:tcBorders>
              <w:top w:val="single" w:color="auto" w:sz="4" w:space="0"/>
              <w:left w:val="single" w:color="auto" w:sz="4" w:space="0"/>
              <w:bottom w:val="single" w:color="auto" w:sz="4" w:space="0"/>
              <w:right w:val="single" w:color="auto" w:sz="4" w:space="0"/>
            </w:tcBorders>
            <w:vAlign w:val="center"/>
          </w:tcPr>
          <w:p w14:paraId="692451D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中级职称人员</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5B41E38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r>
      <w:tr w14:paraId="535B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11CE760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注册资金</w:t>
            </w:r>
          </w:p>
        </w:tc>
        <w:tc>
          <w:tcPr>
            <w:tcW w:w="2641" w:type="dxa"/>
            <w:gridSpan w:val="3"/>
            <w:tcBorders>
              <w:top w:val="single" w:color="auto" w:sz="4" w:space="0"/>
              <w:left w:val="single" w:color="auto" w:sz="4" w:space="0"/>
              <w:bottom w:val="single" w:color="auto" w:sz="4" w:space="0"/>
              <w:right w:val="single" w:color="auto" w:sz="4" w:space="0"/>
            </w:tcBorders>
            <w:vAlign w:val="center"/>
          </w:tcPr>
          <w:p w14:paraId="0D5EE43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14:paraId="01BE1C6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宋体" w:hAnsi="宋体" w:cs="宋体"/>
                <w:color w:val="auto"/>
                <w:sz w:val="24"/>
                <w:highlight w:val="none"/>
              </w:rPr>
            </w:pPr>
          </w:p>
        </w:tc>
        <w:tc>
          <w:tcPr>
            <w:tcW w:w="1959" w:type="dxa"/>
            <w:gridSpan w:val="4"/>
            <w:tcBorders>
              <w:top w:val="single" w:color="auto" w:sz="4" w:space="0"/>
              <w:left w:val="single" w:color="auto" w:sz="4" w:space="0"/>
              <w:bottom w:val="single" w:color="auto" w:sz="4" w:space="0"/>
              <w:right w:val="single" w:color="auto" w:sz="4" w:space="0"/>
            </w:tcBorders>
            <w:vAlign w:val="center"/>
          </w:tcPr>
          <w:p w14:paraId="131A150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初级职称人员</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6EB3FF0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r>
      <w:tr w14:paraId="4231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7FD9BAB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开户银行</w:t>
            </w:r>
          </w:p>
        </w:tc>
        <w:tc>
          <w:tcPr>
            <w:tcW w:w="2641" w:type="dxa"/>
            <w:gridSpan w:val="3"/>
            <w:tcBorders>
              <w:top w:val="single" w:color="auto" w:sz="4" w:space="0"/>
              <w:left w:val="single" w:color="auto" w:sz="4" w:space="0"/>
              <w:bottom w:val="single" w:color="auto" w:sz="4" w:space="0"/>
              <w:right w:val="single" w:color="auto" w:sz="4" w:space="0"/>
            </w:tcBorders>
            <w:vAlign w:val="center"/>
          </w:tcPr>
          <w:p w14:paraId="68F2E33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14:paraId="751E190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宋体" w:hAnsi="宋体" w:cs="宋体"/>
                <w:color w:val="auto"/>
                <w:sz w:val="24"/>
                <w:highlight w:val="none"/>
              </w:rPr>
            </w:pPr>
          </w:p>
        </w:tc>
        <w:tc>
          <w:tcPr>
            <w:tcW w:w="1959" w:type="dxa"/>
            <w:gridSpan w:val="4"/>
            <w:tcBorders>
              <w:top w:val="single" w:color="auto" w:sz="4" w:space="0"/>
              <w:left w:val="single" w:color="auto" w:sz="4" w:space="0"/>
              <w:bottom w:val="single" w:color="auto" w:sz="4" w:space="0"/>
              <w:right w:val="single" w:color="auto" w:sz="4" w:space="0"/>
            </w:tcBorders>
            <w:vAlign w:val="center"/>
          </w:tcPr>
          <w:p w14:paraId="5A69746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748A18B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r>
      <w:tr w14:paraId="4077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22A8929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账号</w:t>
            </w:r>
          </w:p>
        </w:tc>
        <w:tc>
          <w:tcPr>
            <w:tcW w:w="2641" w:type="dxa"/>
            <w:gridSpan w:val="3"/>
            <w:tcBorders>
              <w:top w:val="single" w:color="auto" w:sz="4" w:space="0"/>
              <w:left w:val="single" w:color="auto" w:sz="4" w:space="0"/>
              <w:bottom w:val="single" w:color="auto" w:sz="4" w:space="0"/>
              <w:right w:val="single" w:color="auto" w:sz="4" w:space="0"/>
            </w:tcBorders>
            <w:vAlign w:val="center"/>
          </w:tcPr>
          <w:p w14:paraId="3AD0B34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14:paraId="354262B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宋体" w:hAnsi="宋体" w:cs="宋体"/>
                <w:color w:val="auto"/>
                <w:sz w:val="24"/>
                <w:highlight w:val="none"/>
              </w:rPr>
            </w:pPr>
          </w:p>
        </w:tc>
        <w:tc>
          <w:tcPr>
            <w:tcW w:w="1959" w:type="dxa"/>
            <w:gridSpan w:val="4"/>
            <w:tcBorders>
              <w:top w:val="single" w:color="auto" w:sz="4" w:space="0"/>
              <w:left w:val="single" w:color="auto" w:sz="4" w:space="0"/>
              <w:bottom w:val="single" w:color="auto" w:sz="4" w:space="0"/>
              <w:right w:val="single" w:color="auto" w:sz="4" w:space="0"/>
            </w:tcBorders>
            <w:vAlign w:val="center"/>
          </w:tcPr>
          <w:p w14:paraId="7658C45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4731C54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r>
      <w:tr w14:paraId="45F5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9"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48DEE0F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经营范围</w:t>
            </w:r>
          </w:p>
        </w:tc>
        <w:tc>
          <w:tcPr>
            <w:tcW w:w="7323" w:type="dxa"/>
            <w:gridSpan w:val="10"/>
            <w:tcBorders>
              <w:top w:val="single" w:color="auto" w:sz="4" w:space="0"/>
              <w:left w:val="single" w:color="auto" w:sz="4" w:space="0"/>
              <w:bottom w:val="single" w:color="auto" w:sz="4" w:space="0"/>
              <w:right w:val="single" w:color="auto" w:sz="4" w:space="0"/>
            </w:tcBorders>
            <w:vAlign w:val="center"/>
          </w:tcPr>
          <w:p w14:paraId="13A52D7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宋体" w:hAnsi="宋体" w:cs="宋体"/>
                <w:color w:val="auto"/>
                <w:sz w:val="24"/>
                <w:highlight w:val="none"/>
              </w:rPr>
            </w:pPr>
          </w:p>
        </w:tc>
      </w:tr>
      <w:tr w14:paraId="69AB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147CED9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备注</w:t>
            </w:r>
          </w:p>
        </w:tc>
        <w:tc>
          <w:tcPr>
            <w:tcW w:w="7323" w:type="dxa"/>
            <w:gridSpan w:val="10"/>
            <w:tcBorders>
              <w:top w:val="single" w:color="auto" w:sz="4" w:space="0"/>
              <w:left w:val="single" w:color="auto" w:sz="4" w:space="0"/>
              <w:bottom w:val="single" w:color="auto" w:sz="4" w:space="0"/>
              <w:right w:val="single" w:color="auto" w:sz="4" w:space="0"/>
            </w:tcBorders>
            <w:vAlign w:val="center"/>
          </w:tcPr>
          <w:p w14:paraId="539075B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color w:val="auto"/>
                <w:sz w:val="24"/>
                <w:highlight w:val="none"/>
              </w:rPr>
            </w:pPr>
          </w:p>
        </w:tc>
      </w:tr>
    </w:tbl>
    <w:p w14:paraId="664BE676">
      <w:pPr>
        <w:spacing w:line="240" w:lineRule="auto"/>
        <w:jc w:val="left"/>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177009DF">
      <w:pPr>
        <w:numPr>
          <w:ilvl w:val="0"/>
          <w:numId w:val="0"/>
        </w:numPr>
        <w:spacing w:line="360" w:lineRule="auto"/>
        <w:ind w:left="315" w:leftChars="0"/>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五、商务技术条款响应（偏离）表</w:t>
      </w:r>
    </w:p>
    <w:p w14:paraId="4287058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商务</w:t>
      </w:r>
      <w:r>
        <w:rPr>
          <w:rFonts w:hint="eastAsia" w:cs="仿宋_GB2312" w:asciiTheme="minorEastAsia" w:hAnsiTheme="minorEastAsia" w:eastAsiaTheme="minorEastAsia"/>
          <w:b/>
          <w:color w:val="auto"/>
          <w:kern w:val="0"/>
          <w:sz w:val="32"/>
          <w:szCs w:val="32"/>
          <w:highlight w:val="none"/>
          <w:lang w:val="en-US" w:eastAsia="zh-CN"/>
        </w:rPr>
        <w:t>技术</w:t>
      </w:r>
      <w:r>
        <w:rPr>
          <w:rFonts w:hint="eastAsia" w:cs="仿宋_GB2312" w:asciiTheme="minorEastAsia" w:hAnsiTheme="minorEastAsia" w:eastAsiaTheme="minorEastAsia"/>
          <w:b/>
          <w:color w:val="auto"/>
          <w:kern w:val="0"/>
          <w:sz w:val="32"/>
          <w:szCs w:val="32"/>
          <w:highlight w:val="none"/>
          <w:lang w:val="zh-CN"/>
        </w:rPr>
        <w:t>条款响应（偏离）表</w:t>
      </w:r>
    </w:p>
    <w:tbl>
      <w:tblPr>
        <w:tblStyle w:val="63"/>
        <w:tblpPr w:leftFromText="180" w:rightFromText="180" w:vertAnchor="text" w:horzAnchor="page" w:tblpX="1517" w:tblpY="354"/>
        <w:tblW w:w="91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2750"/>
        <w:gridCol w:w="3438"/>
        <w:gridCol w:w="1726"/>
      </w:tblGrid>
      <w:tr w14:paraId="4CC9E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noWrap w:val="0"/>
            <w:vAlign w:val="center"/>
          </w:tcPr>
          <w:p w14:paraId="142E6928">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序号</w:t>
            </w:r>
          </w:p>
        </w:tc>
        <w:tc>
          <w:tcPr>
            <w:tcW w:w="2750" w:type="dxa"/>
            <w:noWrap w:val="0"/>
            <w:vAlign w:val="center"/>
          </w:tcPr>
          <w:p w14:paraId="6A202EF5">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lang w:eastAsia="zh-CN"/>
              </w:rPr>
              <w:t>采购文件</w:t>
            </w:r>
            <w:r>
              <w:rPr>
                <w:rFonts w:hint="eastAsia" w:ascii="宋体" w:hAnsi="宋体" w:eastAsia="宋体" w:cs="宋体"/>
                <w:color w:val="auto"/>
                <w:spacing w:val="20"/>
                <w:sz w:val="24"/>
                <w:szCs w:val="24"/>
                <w:highlight w:val="none"/>
              </w:rPr>
              <w:t>要求</w:t>
            </w:r>
          </w:p>
        </w:tc>
        <w:tc>
          <w:tcPr>
            <w:tcW w:w="3438" w:type="dxa"/>
            <w:noWrap w:val="0"/>
            <w:vAlign w:val="center"/>
          </w:tcPr>
          <w:p w14:paraId="4BBDC6B7">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响应内容</w:t>
            </w:r>
          </w:p>
        </w:tc>
        <w:tc>
          <w:tcPr>
            <w:tcW w:w="1726" w:type="dxa"/>
            <w:noWrap w:val="0"/>
            <w:vAlign w:val="center"/>
          </w:tcPr>
          <w:p w14:paraId="79E52FCA">
            <w:pPr>
              <w:adjustRightInd w:val="0"/>
              <w:snapToGrid w:val="0"/>
              <w:jc w:val="center"/>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偏离说明</w:t>
            </w:r>
          </w:p>
        </w:tc>
      </w:tr>
      <w:tr w14:paraId="10E1B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noWrap w:val="0"/>
            <w:vAlign w:val="center"/>
          </w:tcPr>
          <w:p w14:paraId="62ADCDAC">
            <w:pPr>
              <w:adjustRightInd w:val="0"/>
              <w:snapToGrid w:val="0"/>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1</w:t>
            </w:r>
          </w:p>
        </w:tc>
        <w:tc>
          <w:tcPr>
            <w:tcW w:w="2750" w:type="dxa"/>
            <w:noWrap w:val="0"/>
            <w:vAlign w:val="center"/>
          </w:tcPr>
          <w:p w14:paraId="3902D751">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14:paraId="31B73DE8">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14:paraId="7ED5876F">
            <w:pPr>
              <w:adjustRightInd w:val="0"/>
              <w:snapToGrid w:val="0"/>
              <w:jc w:val="center"/>
              <w:rPr>
                <w:rFonts w:hint="eastAsia" w:ascii="宋体" w:hAnsi="宋体" w:eastAsia="宋体" w:cs="宋体"/>
                <w:color w:val="auto"/>
                <w:spacing w:val="20"/>
                <w:sz w:val="24"/>
                <w:szCs w:val="24"/>
                <w:highlight w:val="none"/>
              </w:rPr>
            </w:pPr>
          </w:p>
        </w:tc>
      </w:tr>
      <w:tr w14:paraId="07D9F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noWrap w:val="0"/>
            <w:vAlign w:val="center"/>
          </w:tcPr>
          <w:p w14:paraId="0C119A36">
            <w:pPr>
              <w:adjustRightInd w:val="0"/>
              <w:snapToGrid w:val="0"/>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2</w:t>
            </w:r>
          </w:p>
        </w:tc>
        <w:tc>
          <w:tcPr>
            <w:tcW w:w="2750" w:type="dxa"/>
            <w:noWrap w:val="0"/>
            <w:vAlign w:val="center"/>
          </w:tcPr>
          <w:p w14:paraId="65241572">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14:paraId="48C60EC7">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14:paraId="5792B437">
            <w:pPr>
              <w:adjustRightInd w:val="0"/>
              <w:snapToGrid w:val="0"/>
              <w:jc w:val="center"/>
              <w:rPr>
                <w:rFonts w:hint="eastAsia" w:ascii="宋体" w:hAnsi="宋体" w:eastAsia="宋体" w:cs="宋体"/>
                <w:color w:val="auto"/>
                <w:spacing w:val="20"/>
                <w:sz w:val="24"/>
                <w:szCs w:val="24"/>
                <w:highlight w:val="none"/>
              </w:rPr>
            </w:pPr>
          </w:p>
        </w:tc>
      </w:tr>
      <w:tr w14:paraId="7EDDD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noWrap w:val="0"/>
            <w:vAlign w:val="center"/>
          </w:tcPr>
          <w:p w14:paraId="1716F589">
            <w:pPr>
              <w:adjustRightInd w:val="0"/>
              <w:snapToGrid w:val="0"/>
              <w:jc w:val="center"/>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3</w:t>
            </w:r>
          </w:p>
        </w:tc>
        <w:tc>
          <w:tcPr>
            <w:tcW w:w="2750" w:type="dxa"/>
            <w:noWrap w:val="0"/>
            <w:vAlign w:val="center"/>
          </w:tcPr>
          <w:p w14:paraId="16BEC9C7">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14:paraId="04138F01">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14:paraId="77E3BD56">
            <w:pPr>
              <w:adjustRightInd w:val="0"/>
              <w:snapToGrid w:val="0"/>
              <w:jc w:val="center"/>
              <w:rPr>
                <w:rFonts w:hint="eastAsia" w:ascii="宋体" w:hAnsi="宋体" w:eastAsia="宋体" w:cs="宋体"/>
                <w:color w:val="auto"/>
                <w:spacing w:val="20"/>
                <w:sz w:val="24"/>
                <w:szCs w:val="24"/>
                <w:highlight w:val="none"/>
              </w:rPr>
            </w:pPr>
          </w:p>
        </w:tc>
      </w:tr>
      <w:tr w14:paraId="141C9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283" w:type="dxa"/>
            <w:noWrap w:val="0"/>
            <w:vAlign w:val="center"/>
          </w:tcPr>
          <w:p w14:paraId="1B065831">
            <w:pPr>
              <w:adjustRightInd w:val="0"/>
              <w:snapToGrid w:val="0"/>
              <w:jc w:val="center"/>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4</w:t>
            </w:r>
          </w:p>
        </w:tc>
        <w:tc>
          <w:tcPr>
            <w:tcW w:w="2750" w:type="dxa"/>
            <w:noWrap w:val="0"/>
            <w:vAlign w:val="center"/>
          </w:tcPr>
          <w:p w14:paraId="0D125688">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14:paraId="5E7D48BB">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14:paraId="1C4AD26E">
            <w:pPr>
              <w:adjustRightInd w:val="0"/>
              <w:snapToGrid w:val="0"/>
              <w:jc w:val="center"/>
              <w:rPr>
                <w:rFonts w:hint="eastAsia" w:ascii="宋体" w:hAnsi="宋体" w:eastAsia="宋体" w:cs="宋体"/>
                <w:color w:val="auto"/>
                <w:spacing w:val="20"/>
                <w:sz w:val="24"/>
                <w:szCs w:val="24"/>
                <w:highlight w:val="none"/>
              </w:rPr>
            </w:pPr>
          </w:p>
        </w:tc>
      </w:tr>
      <w:tr w14:paraId="1BB8F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283" w:type="dxa"/>
            <w:noWrap w:val="0"/>
            <w:vAlign w:val="center"/>
          </w:tcPr>
          <w:p w14:paraId="034FB93B">
            <w:pPr>
              <w:adjustRightInd w:val="0"/>
              <w:snapToGrid w:val="0"/>
              <w:jc w:val="center"/>
              <w:rPr>
                <w:rFonts w:hint="eastAsia" w:ascii="宋体" w:hAnsi="宋体" w:eastAsia="宋体" w:cs="宋体"/>
                <w:color w:val="auto"/>
                <w:spacing w:val="20"/>
                <w:sz w:val="24"/>
                <w:szCs w:val="24"/>
                <w:highlight w:val="none"/>
                <w:lang w:val="en-US" w:eastAsia="zh-CN"/>
              </w:rPr>
            </w:pPr>
            <w:r>
              <w:rPr>
                <w:rFonts w:hint="eastAsia" w:ascii="宋体" w:hAnsi="宋体" w:cs="宋体"/>
                <w:color w:val="auto"/>
                <w:kern w:val="0"/>
                <w:sz w:val="24"/>
                <w:highlight w:val="none"/>
              </w:rPr>
              <w:t>……</w:t>
            </w:r>
          </w:p>
        </w:tc>
        <w:tc>
          <w:tcPr>
            <w:tcW w:w="2750" w:type="dxa"/>
            <w:noWrap w:val="0"/>
            <w:vAlign w:val="center"/>
          </w:tcPr>
          <w:p w14:paraId="7D8712F2">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14:paraId="7A8B9D58">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14:paraId="3138DA51">
            <w:pPr>
              <w:adjustRightInd w:val="0"/>
              <w:snapToGrid w:val="0"/>
              <w:jc w:val="center"/>
              <w:rPr>
                <w:rFonts w:hint="eastAsia" w:ascii="宋体" w:hAnsi="宋体" w:eastAsia="宋体" w:cs="宋体"/>
                <w:color w:val="auto"/>
                <w:spacing w:val="20"/>
                <w:sz w:val="24"/>
                <w:szCs w:val="24"/>
                <w:highlight w:val="none"/>
              </w:rPr>
            </w:pPr>
          </w:p>
        </w:tc>
      </w:tr>
    </w:tbl>
    <w:p w14:paraId="3F362D46">
      <w:pPr>
        <w:autoSpaceDE w:val="0"/>
        <w:autoSpaceDN w:val="0"/>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w:t>
      </w:r>
      <w:r>
        <w:rPr>
          <w:rFonts w:hint="eastAsia" w:cs="仿宋_GB2312" w:asciiTheme="minorEastAsia" w:hAnsiTheme="minorEastAsia" w:eastAsiaTheme="minorEastAsia"/>
          <w:b/>
          <w:color w:val="auto"/>
          <w:sz w:val="24"/>
          <w:highlight w:val="none"/>
          <w:lang w:val="en-US" w:eastAsia="zh-CN"/>
        </w:rPr>
        <w:t>1.</w:t>
      </w:r>
      <w:r>
        <w:rPr>
          <w:rFonts w:hint="eastAsia" w:cs="仿宋_GB2312" w:asciiTheme="minorEastAsia" w:hAnsiTheme="minorEastAsia" w:eastAsiaTheme="minorEastAsia"/>
          <w:b/>
          <w:color w:val="auto"/>
          <w:sz w:val="24"/>
          <w:highlight w:val="none"/>
        </w:rPr>
        <w:t>供应商</w:t>
      </w:r>
      <w:r>
        <w:rPr>
          <w:rFonts w:hint="eastAsia" w:cs="仿宋_GB2312" w:asciiTheme="minorEastAsia" w:hAnsiTheme="minorEastAsia" w:eastAsiaTheme="minorEastAsia"/>
          <w:b/>
          <w:color w:val="auto"/>
          <w:sz w:val="24"/>
          <w:highlight w:val="none"/>
          <w:lang w:val="en-US" w:eastAsia="zh-CN"/>
        </w:rPr>
        <w:t>按照《</w:t>
      </w:r>
      <w:r>
        <w:rPr>
          <w:rFonts w:hint="eastAsia" w:cs="仿宋_GB2312" w:asciiTheme="minorEastAsia" w:hAnsiTheme="minorEastAsia" w:eastAsiaTheme="minorEastAsia"/>
          <w:b/>
          <w:color w:val="auto"/>
          <w:sz w:val="24"/>
          <w:highlight w:val="none"/>
        </w:rPr>
        <w:t>第四部分 采购需求</w:t>
      </w:r>
      <w:r>
        <w:rPr>
          <w:rFonts w:hint="eastAsia" w:cs="仿宋_GB2312" w:asciiTheme="minorEastAsia" w:hAnsiTheme="minorEastAsia" w:eastAsiaTheme="minorEastAsia"/>
          <w:b/>
          <w:color w:val="auto"/>
          <w:sz w:val="24"/>
          <w:highlight w:val="none"/>
          <w:lang w:val="en-US" w:eastAsia="zh-CN"/>
        </w:rPr>
        <w:t>》中各项要求（包含技术需求及商务、其他要求）逐条响应，在本表中如实填写响应内容（有技术参数的提供响应的技术参数），未按要求填写的，有可能作负偏离处理</w:t>
      </w:r>
      <w:r>
        <w:rPr>
          <w:rFonts w:hint="eastAsia" w:cs="仿宋_GB2312" w:asciiTheme="minorEastAsia" w:hAnsiTheme="minorEastAsia" w:eastAsiaTheme="minorEastAsia"/>
          <w:b/>
          <w:color w:val="auto"/>
          <w:sz w:val="24"/>
          <w:highlight w:val="none"/>
        </w:rPr>
        <w:t>。</w:t>
      </w:r>
    </w:p>
    <w:p w14:paraId="4EA9CD5B">
      <w:pPr>
        <w:autoSpaceDE w:val="0"/>
        <w:autoSpaceDN w:val="0"/>
        <w:spacing w:line="360" w:lineRule="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2</w:t>
      </w:r>
      <w:r>
        <w:rPr>
          <w:rFonts w:hint="eastAsia" w:cs="仿宋_GB2312" w:asciiTheme="minorEastAsia" w:hAnsiTheme="minorEastAsia" w:eastAsiaTheme="minorEastAsia"/>
          <w:b/>
          <w:color w:val="auto"/>
          <w:sz w:val="24"/>
          <w:highlight w:val="none"/>
          <w:lang w:val="en-US" w:eastAsia="zh-CN"/>
        </w:rPr>
        <w:t>.</w:t>
      </w:r>
      <w:r>
        <w:rPr>
          <w:rFonts w:hint="eastAsia" w:cs="仿宋_GB2312" w:asciiTheme="minorEastAsia" w:hAnsiTheme="minorEastAsia" w:eastAsiaTheme="minorEastAsia"/>
          <w:b/>
          <w:color w:val="auto"/>
          <w:sz w:val="24"/>
          <w:highlight w:val="none"/>
        </w:rPr>
        <w:t>偏离说明是指对</w:t>
      </w:r>
      <w:r>
        <w:rPr>
          <w:rFonts w:hint="eastAsia" w:cs="仿宋_GB2312" w:asciiTheme="minorEastAsia" w:hAnsiTheme="minorEastAsia" w:eastAsiaTheme="minorEastAsia"/>
          <w:b/>
          <w:color w:val="auto"/>
          <w:sz w:val="24"/>
          <w:highlight w:val="none"/>
          <w:lang w:eastAsia="zh-CN"/>
        </w:rPr>
        <w:t>采购</w:t>
      </w:r>
      <w:r>
        <w:rPr>
          <w:rFonts w:hint="eastAsia" w:cs="仿宋_GB2312" w:asciiTheme="minorEastAsia" w:hAnsiTheme="minorEastAsia" w:eastAsiaTheme="minorEastAsia"/>
          <w:b/>
          <w:color w:val="auto"/>
          <w:sz w:val="24"/>
          <w:highlight w:val="none"/>
        </w:rPr>
        <w:t>文件要求存在不同之处的解释说明。偏离系指：正偏离（高于采购需求）、负偏离（低于采购需求）、无偏离（满足采购需求）</w:t>
      </w:r>
      <w:r>
        <w:rPr>
          <w:rFonts w:hint="eastAsia" w:cs="仿宋_GB2312" w:asciiTheme="minorEastAsia" w:hAnsiTheme="minorEastAsia" w:eastAsiaTheme="minorEastAsia"/>
          <w:b/>
          <w:color w:val="auto"/>
          <w:sz w:val="24"/>
          <w:highlight w:val="none"/>
          <w:lang w:eastAsia="zh-CN"/>
        </w:rPr>
        <w:t>。</w:t>
      </w:r>
    </w:p>
    <w:p w14:paraId="351CCFBE">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w:t>
      </w:r>
      <w:r>
        <w:rPr>
          <w:rFonts w:hint="eastAsia" w:cs="仿宋_GB2312" w:asciiTheme="minorEastAsia" w:hAnsiTheme="minorEastAsia" w:eastAsiaTheme="minorEastAsia"/>
          <w:b/>
          <w:color w:val="auto"/>
          <w:sz w:val="24"/>
          <w:highlight w:val="none"/>
          <w:lang w:val="en-US" w:eastAsia="zh-CN"/>
        </w:rPr>
        <w:t>.</w:t>
      </w:r>
      <w:r>
        <w:rPr>
          <w:rFonts w:hint="eastAsia" w:cs="仿宋_GB2312" w:asciiTheme="minorEastAsia" w:hAnsiTheme="minorEastAsia" w:eastAsiaTheme="minorEastAsia"/>
          <w:b/>
          <w:color w:val="auto"/>
          <w:sz w:val="24"/>
          <w:highlight w:val="none"/>
        </w:rPr>
        <w:t>技术指标若有要求供应商提供相应佐证材料的，供应商未提供相应佐证材料或者供应商的响应承诺与其佐证材料不一致的，评审小组</w:t>
      </w:r>
      <w:r>
        <w:rPr>
          <w:rFonts w:hint="eastAsia" w:cs="仿宋_GB2312" w:asciiTheme="minorEastAsia" w:hAnsiTheme="minorEastAsia" w:eastAsiaTheme="minorEastAsia"/>
          <w:b/>
          <w:color w:val="auto"/>
          <w:sz w:val="24"/>
          <w:highlight w:val="none"/>
          <w:lang w:eastAsia="zh-CN"/>
        </w:rPr>
        <w:t>将会</w:t>
      </w:r>
      <w:r>
        <w:rPr>
          <w:rFonts w:hint="eastAsia" w:cs="仿宋_GB2312" w:asciiTheme="minorEastAsia" w:hAnsiTheme="minorEastAsia" w:eastAsiaTheme="minorEastAsia"/>
          <w:b/>
          <w:color w:val="auto"/>
          <w:sz w:val="24"/>
          <w:highlight w:val="none"/>
        </w:rPr>
        <w:t>以不利于供应商的内容为准进行评审（负偏离）。</w:t>
      </w:r>
    </w:p>
    <w:p w14:paraId="7CC7FE2E">
      <w:pPr>
        <w:spacing w:line="360" w:lineRule="auto"/>
        <w:jc w:val="center"/>
        <w:rPr>
          <w:rFonts w:hint="eastAsia" w:cs="仿宋_GB2312" w:asciiTheme="minorEastAsia" w:hAnsiTheme="minorEastAsia" w:eastAsiaTheme="minorEastAsia"/>
          <w:b/>
          <w:color w:val="auto"/>
          <w:kern w:val="0"/>
          <w:sz w:val="32"/>
          <w:szCs w:val="32"/>
          <w:highlight w:val="none"/>
        </w:rPr>
      </w:pPr>
    </w:p>
    <w:p w14:paraId="02A439C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2C8032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8E4AE52">
      <w:pPr>
        <w:numPr>
          <w:ilvl w:val="0"/>
          <w:numId w:val="0"/>
        </w:numPr>
        <w:spacing w:line="360" w:lineRule="auto"/>
        <w:ind w:left="315" w:leftChars="0"/>
        <w:jc w:val="both"/>
        <w:rPr>
          <w:rFonts w:hint="eastAsia" w:cs="仿宋_GB2312" w:asciiTheme="minorEastAsia" w:hAnsiTheme="minorEastAsia" w:eastAsiaTheme="minorEastAsia"/>
          <w:b/>
          <w:color w:val="auto"/>
          <w:kern w:val="0"/>
          <w:sz w:val="32"/>
          <w:szCs w:val="32"/>
          <w:highlight w:val="none"/>
          <w:lang w:val="en-US" w:eastAsia="zh-CN"/>
        </w:rPr>
      </w:pPr>
    </w:p>
    <w:p w14:paraId="6686CA28">
      <w:pPr>
        <w:numPr>
          <w:ilvl w:val="0"/>
          <w:numId w:val="20"/>
        </w:numPr>
        <w:spacing w:line="360" w:lineRule="auto"/>
        <w:ind w:left="315" w:leftChars="0"/>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评审标准相应的商务技术资料</w:t>
      </w:r>
    </w:p>
    <w:p w14:paraId="1FD810DD">
      <w:pPr>
        <w:numPr>
          <w:ilvl w:val="0"/>
          <w:numId w:val="0"/>
        </w:numPr>
        <w:spacing w:line="360" w:lineRule="auto"/>
        <w:jc w:val="center"/>
        <w:rPr>
          <w:rFonts w:hint="default"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（格式自拟）</w:t>
      </w:r>
    </w:p>
    <w:p w14:paraId="68418444">
      <w:pPr>
        <w:pStyle w:val="32"/>
        <w:numPr>
          <w:ilvl w:val="0"/>
          <w:numId w:val="0"/>
        </w:numPr>
        <w:spacing w:line="360" w:lineRule="auto"/>
        <w:ind w:firstLine="480" w:firstLineChars="200"/>
        <w:rPr>
          <w:rFonts w:hint="eastAsia" w:ascii="宋体" w:hAnsi="宋体" w:cs="宋体"/>
          <w:color w:val="auto"/>
          <w:sz w:val="24"/>
          <w:highlight w:val="none"/>
          <w:lang w:val="en-US" w:eastAsia="zh-CN"/>
        </w:rPr>
      </w:pPr>
    </w:p>
    <w:p w14:paraId="60BB5C42">
      <w:pPr>
        <w:pStyle w:val="76"/>
        <w:rPr>
          <w:rFonts w:hint="eastAsia"/>
          <w:color w:val="auto"/>
          <w:highlight w:val="none"/>
          <w:lang w:val="en-US" w:eastAsia="zh-CN"/>
        </w:rPr>
      </w:pPr>
    </w:p>
    <w:p w14:paraId="66600A6D">
      <w:pP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br w:type="page"/>
      </w:r>
    </w:p>
    <w:p w14:paraId="29068E9B">
      <w:pPr>
        <w:numPr>
          <w:ilvl w:val="0"/>
          <w:numId w:val="0"/>
        </w:numPr>
        <w:spacing w:line="360" w:lineRule="auto"/>
        <w:ind w:left="315" w:leftChars="0"/>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七、类似业绩</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940"/>
        <w:gridCol w:w="1297"/>
        <w:gridCol w:w="1297"/>
        <w:gridCol w:w="1782"/>
        <w:gridCol w:w="2033"/>
      </w:tblGrid>
      <w:tr w14:paraId="3204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09" w:type="dxa"/>
            <w:noWrap w:val="0"/>
            <w:vAlign w:val="center"/>
          </w:tcPr>
          <w:p w14:paraId="2A2D9478">
            <w:pPr>
              <w:keepNext w:val="0"/>
              <w:keepLines w:val="0"/>
              <w:pageBreakBefore w:val="0"/>
              <w:widowControl w:val="0"/>
              <w:tabs>
                <w:tab w:val="left" w:pos="3165"/>
              </w:tabs>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40" w:type="dxa"/>
            <w:noWrap w:val="0"/>
            <w:vAlign w:val="center"/>
          </w:tcPr>
          <w:p w14:paraId="5671F52B">
            <w:pPr>
              <w:keepNext w:val="0"/>
              <w:keepLines w:val="0"/>
              <w:pageBreakBefore w:val="0"/>
              <w:widowControl w:val="0"/>
              <w:tabs>
                <w:tab w:val="left" w:pos="3165"/>
              </w:tabs>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297" w:type="dxa"/>
            <w:noWrap w:val="0"/>
            <w:vAlign w:val="center"/>
          </w:tcPr>
          <w:p w14:paraId="54FA4A9A">
            <w:pPr>
              <w:keepNext w:val="0"/>
              <w:keepLines w:val="0"/>
              <w:pageBreakBefore w:val="0"/>
              <w:widowControl w:val="0"/>
              <w:tabs>
                <w:tab w:val="left" w:pos="3165"/>
              </w:tabs>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业主单位</w:t>
            </w:r>
          </w:p>
        </w:tc>
        <w:tc>
          <w:tcPr>
            <w:tcW w:w="1297" w:type="dxa"/>
            <w:noWrap w:val="0"/>
            <w:vAlign w:val="center"/>
          </w:tcPr>
          <w:p w14:paraId="0DA24549">
            <w:pPr>
              <w:keepNext w:val="0"/>
              <w:keepLines w:val="0"/>
              <w:pageBreakBefore w:val="0"/>
              <w:widowControl w:val="0"/>
              <w:tabs>
                <w:tab w:val="left" w:pos="3165"/>
              </w:tabs>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tc>
        <w:tc>
          <w:tcPr>
            <w:tcW w:w="1782" w:type="dxa"/>
            <w:noWrap w:val="0"/>
            <w:vAlign w:val="center"/>
          </w:tcPr>
          <w:p w14:paraId="2CF8D26B">
            <w:pPr>
              <w:keepNext w:val="0"/>
              <w:keepLines w:val="0"/>
              <w:pageBreakBefore w:val="0"/>
              <w:widowControl w:val="0"/>
              <w:tabs>
                <w:tab w:val="left" w:pos="3165"/>
              </w:tabs>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合同签订日期</w:t>
            </w:r>
          </w:p>
        </w:tc>
        <w:tc>
          <w:tcPr>
            <w:tcW w:w="2033" w:type="dxa"/>
            <w:noWrap w:val="0"/>
            <w:vAlign w:val="center"/>
          </w:tcPr>
          <w:p w14:paraId="10948BD3">
            <w:pPr>
              <w:keepNext w:val="0"/>
              <w:keepLines w:val="0"/>
              <w:pageBreakBefore w:val="0"/>
              <w:widowControl w:val="0"/>
              <w:tabs>
                <w:tab w:val="left" w:pos="3165"/>
              </w:tabs>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联系人/电话</w:t>
            </w:r>
          </w:p>
        </w:tc>
      </w:tr>
      <w:tr w14:paraId="679C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09" w:type="dxa"/>
            <w:noWrap w:val="0"/>
            <w:vAlign w:val="top"/>
          </w:tcPr>
          <w:p w14:paraId="5C2C8262">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940" w:type="dxa"/>
            <w:noWrap w:val="0"/>
            <w:vAlign w:val="top"/>
          </w:tcPr>
          <w:p w14:paraId="700879F8">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120128F4">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2D8EBACC">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782" w:type="dxa"/>
            <w:noWrap w:val="0"/>
            <w:vAlign w:val="top"/>
          </w:tcPr>
          <w:p w14:paraId="05435D7F">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2033" w:type="dxa"/>
            <w:noWrap w:val="0"/>
            <w:vAlign w:val="top"/>
          </w:tcPr>
          <w:p w14:paraId="0957A2AD">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r>
      <w:tr w14:paraId="4B1A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09" w:type="dxa"/>
            <w:noWrap w:val="0"/>
            <w:vAlign w:val="top"/>
          </w:tcPr>
          <w:p w14:paraId="59B949F0">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940" w:type="dxa"/>
            <w:noWrap w:val="0"/>
            <w:vAlign w:val="top"/>
          </w:tcPr>
          <w:p w14:paraId="49F94C97">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43B7E438">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3AFF834E">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782" w:type="dxa"/>
            <w:noWrap w:val="0"/>
            <w:vAlign w:val="top"/>
          </w:tcPr>
          <w:p w14:paraId="40026F08">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2033" w:type="dxa"/>
            <w:noWrap w:val="0"/>
            <w:vAlign w:val="top"/>
          </w:tcPr>
          <w:p w14:paraId="2C872168">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r>
      <w:tr w14:paraId="532D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09" w:type="dxa"/>
            <w:noWrap w:val="0"/>
            <w:vAlign w:val="top"/>
          </w:tcPr>
          <w:p w14:paraId="71299B05">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940" w:type="dxa"/>
            <w:noWrap w:val="0"/>
            <w:vAlign w:val="top"/>
          </w:tcPr>
          <w:p w14:paraId="5611C1F1">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1DD2ED4A">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6D39EB9B">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782" w:type="dxa"/>
            <w:noWrap w:val="0"/>
            <w:vAlign w:val="top"/>
          </w:tcPr>
          <w:p w14:paraId="1632DEE8">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2033" w:type="dxa"/>
            <w:noWrap w:val="0"/>
            <w:vAlign w:val="top"/>
          </w:tcPr>
          <w:p w14:paraId="64F363D8">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r>
      <w:tr w14:paraId="6349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09" w:type="dxa"/>
            <w:noWrap w:val="0"/>
            <w:vAlign w:val="top"/>
          </w:tcPr>
          <w:p w14:paraId="611D847F">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940" w:type="dxa"/>
            <w:noWrap w:val="0"/>
            <w:vAlign w:val="top"/>
          </w:tcPr>
          <w:p w14:paraId="53454F52">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726102D3">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6077E435">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782" w:type="dxa"/>
            <w:noWrap w:val="0"/>
            <w:vAlign w:val="top"/>
          </w:tcPr>
          <w:p w14:paraId="7DFD68C7">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2033" w:type="dxa"/>
            <w:noWrap w:val="0"/>
            <w:vAlign w:val="top"/>
          </w:tcPr>
          <w:p w14:paraId="4665354A">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r>
      <w:tr w14:paraId="0A24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09" w:type="dxa"/>
            <w:noWrap w:val="0"/>
            <w:vAlign w:val="top"/>
          </w:tcPr>
          <w:p w14:paraId="52A71E20">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940" w:type="dxa"/>
            <w:noWrap w:val="0"/>
            <w:vAlign w:val="top"/>
          </w:tcPr>
          <w:p w14:paraId="50C3621C">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62B7F64A">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0EF9594E">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782" w:type="dxa"/>
            <w:noWrap w:val="0"/>
            <w:vAlign w:val="top"/>
          </w:tcPr>
          <w:p w14:paraId="479C682D">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2033" w:type="dxa"/>
            <w:noWrap w:val="0"/>
            <w:vAlign w:val="top"/>
          </w:tcPr>
          <w:p w14:paraId="05C8A319">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r>
      <w:tr w14:paraId="7438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09" w:type="dxa"/>
            <w:noWrap w:val="0"/>
            <w:vAlign w:val="top"/>
          </w:tcPr>
          <w:p w14:paraId="69F9E592">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940" w:type="dxa"/>
            <w:noWrap w:val="0"/>
            <w:vAlign w:val="top"/>
          </w:tcPr>
          <w:p w14:paraId="68C30CB1">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0BE2C22C">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03B2D482">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782" w:type="dxa"/>
            <w:noWrap w:val="0"/>
            <w:vAlign w:val="top"/>
          </w:tcPr>
          <w:p w14:paraId="314EA981">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2033" w:type="dxa"/>
            <w:noWrap w:val="0"/>
            <w:vAlign w:val="top"/>
          </w:tcPr>
          <w:p w14:paraId="44899C41">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r>
      <w:tr w14:paraId="5208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09" w:type="dxa"/>
            <w:noWrap w:val="0"/>
            <w:vAlign w:val="top"/>
          </w:tcPr>
          <w:p w14:paraId="622FB1B5">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940" w:type="dxa"/>
            <w:noWrap w:val="0"/>
            <w:vAlign w:val="top"/>
          </w:tcPr>
          <w:p w14:paraId="7B145BF2">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502532A0">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03BC0731">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782" w:type="dxa"/>
            <w:noWrap w:val="0"/>
            <w:vAlign w:val="top"/>
          </w:tcPr>
          <w:p w14:paraId="2C86A8C0">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2033" w:type="dxa"/>
            <w:noWrap w:val="0"/>
            <w:vAlign w:val="top"/>
          </w:tcPr>
          <w:p w14:paraId="7D18426B">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r>
      <w:tr w14:paraId="3093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09" w:type="dxa"/>
            <w:noWrap w:val="0"/>
            <w:vAlign w:val="top"/>
          </w:tcPr>
          <w:p w14:paraId="2266193E">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940" w:type="dxa"/>
            <w:noWrap w:val="0"/>
            <w:vAlign w:val="top"/>
          </w:tcPr>
          <w:p w14:paraId="1FE497B2">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58ABE4AD">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0916672D">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782" w:type="dxa"/>
            <w:noWrap w:val="0"/>
            <w:vAlign w:val="top"/>
          </w:tcPr>
          <w:p w14:paraId="79319B51">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2033" w:type="dxa"/>
            <w:noWrap w:val="0"/>
            <w:vAlign w:val="top"/>
          </w:tcPr>
          <w:p w14:paraId="7A0CCEB6">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r>
      <w:tr w14:paraId="5CEE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09" w:type="dxa"/>
            <w:noWrap w:val="0"/>
            <w:vAlign w:val="top"/>
          </w:tcPr>
          <w:p w14:paraId="5BF111DE">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940" w:type="dxa"/>
            <w:noWrap w:val="0"/>
            <w:vAlign w:val="top"/>
          </w:tcPr>
          <w:p w14:paraId="5BFCC3DA">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4CBF1A36">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21F98A68">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782" w:type="dxa"/>
            <w:noWrap w:val="0"/>
            <w:vAlign w:val="top"/>
          </w:tcPr>
          <w:p w14:paraId="61EAE16D">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2033" w:type="dxa"/>
            <w:noWrap w:val="0"/>
            <w:vAlign w:val="top"/>
          </w:tcPr>
          <w:p w14:paraId="6F33FEB9">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r>
      <w:tr w14:paraId="6293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09" w:type="dxa"/>
            <w:noWrap w:val="0"/>
            <w:vAlign w:val="top"/>
          </w:tcPr>
          <w:p w14:paraId="6FA2034A">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940" w:type="dxa"/>
            <w:noWrap w:val="0"/>
            <w:vAlign w:val="top"/>
          </w:tcPr>
          <w:p w14:paraId="2CD26D99">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2D9AD635">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72EEC080">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782" w:type="dxa"/>
            <w:noWrap w:val="0"/>
            <w:vAlign w:val="top"/>
          </w:tcPr>
          <w:p w14:paraId="634C8483">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2033" w:type="dxa"/>
            <w:noWrap w:val="0"/>
            <w:vAlign w:val="top"/>
          </w:tcPr>
          <w:p w14:paraId="44666AF9">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r>
      <w:tr w14:paraId="7257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09" w:type="dxa"/>
            <w:noWrap w:val="0"/>
            <w:vAlign w:val="top"/>
          </w:tcPr>
          <w:p w14:paraId="4834E144">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940" w:type="dxa"/>
            <w:noWrap w:val="0"/>
            <w:vAlign w:val="top"/>
          </w:tcPr>
          <w:p w14:paraId="74C89587">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3DC552DB">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297" w:type="dxa"/>
            <w:noWrap w:val="0"/>
            <w:vAlign w:val="top"/>
          </w:tcPr>
          <w:p w14:paraId="1EB515B3">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1782" w:type="dxa"/>
            <w:noWrap w:val="0"/>
            <w:vAlign w:val="top"/>
          </w:tcPr>
          <w:p w14:paraId="008C47CA">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c>
          <w:tcPr>
            <w:tcW w:w="2033" w:type="dxa"/>
            <w:noWrap w:val="0"/>
            <w:vAlign w:val="top"/>
          </w:tcPr>
          <w:p w14:paraId="0177B89F">
            <w:pPr>
              <w:keepNext w:val="0"/>
              <w:keepLines w:val="0"/>
              <w:pageBreakBefore w:val="0"/>
              <w:widowControl w:val="0"/>
              <w:tabs>
                <w:tab w:val="left" w:pos="3165"/>
              </w:tabs>
              <w:kinsoku/>
              <w:wordWrap/>
              <w:overflowPunct/>
              <w:topLinePunct w:val="0"/>
              <w:autoSpaceDE/>
              <w:autoSpaceDN/>
              <w:bidi w:val="0"/>
              <w:adjustRightInd w:val="0"/>
              <w:snapToGrid/>
              <w:spacing w:line="400" w:lineRule="exact"/>
              <w:ind w:firstLine="420"/>
              <w:textAlignment w:val="auto"/>
              <w:rPr>
                <w:rFonts w:hint="eastAsia" w:ascii="宋体" w:hAnsi="宋体" w:eastAsia="宋体" w:cs="宋体"/>
                <w:color w:val="auto"/>
                <w:sz w:val="24"/>
                <w:szCs w:val="24"/>
                <w:highlight w:val="none"/>
              </w:rPr>
            </w:pPr>
          </w:p>
        </w:tc>
      </w:tr>
    </w:tbl>
    <w:p w14:paraId="6C6E09CA">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w:t>
      </w:r>
      <w:r>
        <w:rPr>
          <w:rFonts w:hint="eastAsia" w:cs="仿宋_GB2312" w:asciiTheme="minorEastAsia" w:hAnsiTheme="minorEastAsia" w:eastAsiaTheme="minorEastAsia"/>
          <w:b/>
          <w:color w:val="auto"/>
          <w:sz w:val="24"/>
          <w:highlight w:val="none"/>
          <w:lang w:val="en-US" w:eastAsia="zh-CN"/>
        </w:rPr>
        <w:t>需</w:t>
      </w:r>
      <w:r>
        <w:rPr>
          <w:rFonts w:hint="eastAsia" w:cs="仿宋_GB2312" w:asciiTheme="minorEastAsia" w:hAnsiTheme="minorEastAsia" w:eastAsiaTheme="minorEastAsia"/>
          <w:b/>
          <w:color w:val="auto"/>
          <w:sz w:val="24"/>
          <w:highlight w:val="none"/>
        </w:rPr>
        <w:t>随表提交相应的合同复印件</w:t>
      </w:r>
      <w:r>
        <w:rPr>
          <w:rFonts w:hint="eastAsia" w:cs="仿宋_GB2312" w:asciiTheme="minorEastAsia" w:hAnsiTheme="minorEastAsia" w:eastAsiaTheme="minorEastAsia"/>
          <w:b/>
          <w:color w:val="auto"/>
          <w:sz w:val="24"/>
          <w:highlight w:val="none"/>
          <w:lang w:val="en-US" w:eastAsia="zh-CN"/>
        </w:rPr>
        <w:t>/扫描件加盖公章</w:t>
      </w:r>
      <w:r>
        <w:rPr>
          <w:rFonts w:hint="eastAsia" w:cs="仿宋_GB2312" w:asciiTheme="minorEastAsia" w:hAnsiTheme="minorEastAsia" w:eastAsiaTheme="minorEastAsia"/>
          <w:b/>
          <w:color w:val="auto"/>
          <w:sz w:val="24"/>
          <w:highlight w:val="none"/>
        </w:rPr>
        <w:t>。</w:t>
      </w:r>
    </w:p>
    <w:p w14:paraId="53887D68">
      <w:pPr>
        <w:autoSpaceDE w:val="0"/>
        <w:autoSpaceDN w:val="0"/>
        <w:spacing w:line="360" w:lineRule="auto"/>
        <w:rPr>
          <w:rFonts w:cs="仿宋_GB2312" w:asciiTheme="minorEastAsia" w:hAnsiTheme="minorEastAsia" w:eastAsiaTheme="minorEastAsia"/>
          <w:color w:val="auto"/>
          <w:sz w:val="24"/>
          <w:highlight w:val="none"/>
        </w:rPr>
      </w:pPr>
    </w:p>
    <w:p w14:paraId="2F898651">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7DF64C1">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69FE98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0233836">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B060029">
      <w:pPr>
        <w:pStyle w:val="76"/>
        <w:rPr>
          <w:rFonts w:hint="eastAsia" w:cs="仿宋_GB2312" w:asciiTheme="minorEastAsia" w:hAnsiTheme="minorEastAsia" w:eastAsiaTheme="minorEastAsia"/>
          <w:color w:val="auto"/>
          <w:kern w:val="0"/>
          <w:sz w:val="24"/>
          <w:highlight w:val="none"/>
        </w:rPr>
      </w:pPr>
    </w:p>
    <w:p w14:paraId="6DD08796">
      <w:pPr>
        <w:rPr>
          <w:rFonts w:hint="eastAsia" w:cs="仿宋_GB2312" w:asciiTheme="minorEastAsia" w:hAnsiTheme="minorEastAsia" w:eastAsiaTheme="minorEastAsia"/>
          <w:color w:val="auto"/>
          <w:kern w:val="0"/>
          <w:sz w:val="24"/>
          <w:highlight w:val="none"/>
        </w:rPr>
      </w:pPr>
    </w:p>
    <w:p w14:paraId="2F4A018B">
      <w:pP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br w:type="page"/>
      </w:r>
    </w:p>
    <w:p w14:paraId="05B4B3AE">
      <w:pPr>
        <w:numPr>
          <w:ilvl w:val="0"/>
          <w:numId w:val="0"/>
        </w:numPr>
        <w:spacing w:line="360" w:lineRule="auto"/>
        <w:ind w:left="315" w:leftChars="0"/>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八、评分标准要求提供的其他技术资料及说明</w:t>
      </w:r>
    </w:p>
    <w:p w14:paraId="2FB493BE">
      <w:pPr>
        <w:numPr>
          <w:ilvl w:val="0"/>
          <w:numId w:val="0"/>
        </w:numPr>
        <w:spacing w:line="360" w:lineRule="auto"/>
        <w:ind w:left="315" w:leftChars="0"/>
        <w:jc w:val="center"/>
        <w:rPr>
          <w:rFonts w:hint="eastAsia" w:cs="仿宋_GB2312" w:asciiTheme="minorEastAsia" w:hAnsiTheme="minorEastAsia" w:eastAsiaTheme="minorEastAsia"/>
          <w:b w:val="0"/>
          <w:bCs/>
          <w:color w:val="auto"/>
          <w:kern w:val="0"/>
          <w:sz w:val="32"/>
          <w:szCs w:val="32"/>
          <w:highlight w:val="none"/>
          <w:lang w:val="en-US" w:eastAsia="zh-CN"/>
        </w:rPr>
      </w:pPr>
      <w:r>
        <w:rPr>
          <w:rFonts w:hint="eastAsia" w:cs="仿宋_GB2312" w:asciiTheme="minorEastAsia" w:hAnsiTheme="minorEastAsia" w:eastAsiaTheme="minorEastAsia"/>
          <w:b w:val="0"/>
          <w:bCs/>
          <w:color w:val="auto"/>
          <w:kern w:val="0"/>
          <w:sz w:val="32"/>
          <w:szCs w:val="32"/>
          <w:highlight w:val="none"/>
          <w:lang w:val="en-US" w:eastAsia="zh-CN"/>
        </w:rPr>
        <w:t>（由供应商根据采购需求自行编制）</w:t>
      </w:r>
    </w:p>
    <w:p w14:paraId="003145B9">
      <w:pPr>
        <w:numPr>
          <w:ilvl w:val="0"/>
          <w:numId w:val="0"/>
        </w:numPr>
        <w:spacing w:line="360" w:lineRule="auto"/>
        <w:ind w:left="315" w:leftChars="0"/>
        <w:jc w:val="center"/>
        <w:rPr>
          <w:rFonts w:hint="eastAsia" w:cs="仿宋_GB2312" w:asciiTheme="minorEastAsia" w:hAnsiTheme="minorEastAsia" w:eastAsiaTheme="minorEastAsia"/>
          <w:b/>
          <w:color w:val="auto"/>
          <w:kern w:val="0"/>
          <w:sz w:val="32"/>
          <w:szCs w:val="32"/>
          <w:highlight w:val="none"/>
          <w:lang w:val="en-US" w:eastAsia="zh-CN"/>
        </w:rPr>
      </w:pPr>
    </w:p>
    <w:p w14:paraId="18F3770A">
      <w:pPr>
        <w:numPr>
          <w:ilvl w:val="0"/>
          <w:numId w:val="0"/>
        </w:numPr>
        <w:spacing w:line="360" w:lineRule="auto"/>
        <w:ind w:left="315" w:leftChars="0"/>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九、供应商认为有必要提供的或采购文件中要求提供的其他技术资料及说明</w:t>
      </w:r>
    </w:p>
    <w:p w14:paraId="0643AC25">
      <w:pPr>
        <w:numPr>
          <w:ilvl w:val="0"/>
          <w:numId w:val="0"/>
        </w:numPr>
        <w:spacing w:line="360" w:lineRule="auto"/>
        <w:ind w:left="315" w:leftChars="0"/>
        <w:jc w:val="center"/>
        <w:rPr>
          <w:rFonts w:hint="eastAsia" w:cs="仿宋_GB2312" w:asciiTheme="minorEastAsia" w:hAnsiTheme="minorEastAsia" w:eastAsiaTheme="minorEastAsia"/>
          <w:b w:val="0"/>
          <w:bCs/>
          <w:color w:val="auto"/>
          <w:kern w:val="0"/>
          <w:sz w:val="32"/>
          <w:szCs w:val="32"/>
          <w:highlight w:val="none"/>
          <w:lang w:val="en-US" w:eastAsia="zh-CN"/>
        </w:rPr>
      </w:pPr>
      <w:r>
        <w:rPr>
          <w:rFonts w:hint="eastAsia" w:cs="仿宋_GB2312" w:asciiTheme="minorEastAsia" w:hAnsiTheme="minorEastAsia" w:eastAsiaTheme="minorEastAsia"/>
          <w:b w:val="0"/>
          <w:bCs/>
          <w:color w:val="auto"/>
          <w:kern w:val="0"/>
          <w:sz w:val="32"/>
          <w:szCs w:val="32"/>
          <w:highlight w:val="none"/>
          <w:lang w:val="en-US" w:eastAsia="zh-CN"/>
        </w:rPr>
        <w:t>（由供应商根据采购需求自行编制）</w:t>
      </w:r>
    </w:p>
    <w:p w14:paraId="126136C4">
      <w:pP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br w:type="page"/>
      </w:r>
    </w:p>
    <w:p w14:paraId="3A9D88E8">
      <w:pPr>
        <w:numPr>
          <w:ilvl w:val="0"/>
          <w:numId w:val="0"/>
        </w:numPr>
        <w:spacing w:line="360" w:lineRule="auto"/>
        <w:ind w:left="315" w:leftChars="0"/>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十、</w:t>
      </w:r>
      <w:r>
        <w:rPr>
          <w:rFonts w:hint="eastAsia" w:cs="仿宋_GB2312" w:asciiTheme="minorEastAsia" w:hAnsiTheme="minorEastAsia" w:eastAsiaTheme="minorEastAsia"/>
          <w:b/>
          <w:color w:val="auto"/>
          <w:kern w:val="0"/>
          <w:sz w:val="32"/>
          <w:szCs w:val="32"/>
          <w:highlight w:val="none"/>
          <w:lang w:val="zh-CN" w:eastAsia="zh-CN"/>
        </w:rPr>
        <w:t>政府采购供应商廉洁自律承诺书</w:t>
      </w:r>
    </w:p>
    <w:p w14:paraId="5283A7C2">
      <w:pPr>
        <w:snapToGrid w:val="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政府采购供应商廉洁自律承诺书</w:t>
      </w:r>
    </w:p>
    <w:p w14:paraId="2CFEE859">
      <w:pPr>
        <w:snapToGrid w:val="0"/>
        <w:spacing w:line="360" w:lineRule="auto"/>
        <w:rPr>
          <w:rFonts w:ascii="宋体" w:hAnsi="宋体" w:cs="宋体"/>
          <w:color w:val="auto"/>
          <w:sz w:val="24"/>
          <w:highlight w:val="none"/>
        </w:rPr>
      </w:pPr>
    </w:p>
    <w:p w14:paraId="5B31E5C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宁波市鄞州经济开发区管理委员会</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3C7CF5B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要求参加</w:t>
      </w:r>
      <w:r>
        <w:rPr>
          <w:rFonts w:hint="eastAsia" w:ascii="宋体" w:hAnsi="宋体" w:cs="宋体"/>
          <w:color w:val="auto"/>
          <w:kern w:val="0"/>
          <w:sz w:val="24"/>
          <w:highlight w:val="none"/>
          <w:lang w:val="en-US" w:eastAsia="zh-CN"/>
        </w:rPr>
        <w:t>采购活动</w:t>
      </w:r>
      <w:r>
        <w:rPr>
          <w:rFonts w:hint="eastAsia" w:ascii="宋体" w:hAnsi="宋体" w:cs="宋体"/>
          <w:color w:val="auto"/>
          <w:kern w:val="0"/>
          <w:sz w:val="24"/>
          <w:highlight w:val="none"/>
          <w:lang w:val="zh-CN"/>
        </w:rPr>
        <w:t>。在这次</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过程中和</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后，我们将严格遵守国家法律法规要求，并郑重承诺：</w:t>
      </w:r>
    </w:p>
    <w:p w14:paraId="28FD74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C14967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25DEDF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3EA341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0B58F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73352E0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4A885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资格，有权拒绝我单位在一定时期内进入你单位进行项目建设或其他经营活动，并通报</w:t>
      </w:r>
      <w:r>
        <w:rPr>
          <w:rFonts w:hint="eastAsia" w:ascii="宋体" w:hAnsi="宋体" w:cs="宋体"/>
          <w:color w:val="auto"/>
          <w:kern w:val="0"/>
          <w:sz w:val="24"/>
          <w:highlight w:val="none"/>
          <w:lang w:val="en-US" w:eastAsia="zh-CN"/>
        </w:rPr>
        <w:t>财政部门</w:t>
      </w:r>
      <w:r>
        <w:rPr>
          <w:rFonts w:hint="eastAsia" w:ascii="宋体" w:hAnsi="宋体" w:cs="宋体"/>
          <w:color w:val="auto"/>
          <w:kern w:val="0"/>
          <w:sz w:val="24"/>
          <w:highlight w:val="none"/>
          <w:lang w:val="zh-CN"/>
        </w:rPr>
        <w:t>。由此引起的相应损失均由我单位承担。</w:t>
      </w:r>
    </w:p>
    <w:p w14:paraId="1134518B">
      <w:pPr>
        <w:autoSpaceDE w:val="0"/>
        <w:autoSpaceDN w:val="0"/>
        <w:spacing w:line="360" w:lineRule="auto"/>
        <w:ind w:left="2"/>
        <w:jc w:val="left"/>
        <w:rPr>
          <w:rFonts w:ascii="宋体" w:hAnsi="宋体" w:cs="宋体"/>
          <w:color w:val="auto"/>
          <w:kern w:val="0"/>
          <w:sz w:val="24"/>
          <w:highlight w:val="none"/>
          <w:lang w:val="zh-CN"/>
        </w:rPr>
      </w:pPr>
    </w:p>
    <w:p w14:paraId="2C3D9B47">
      <w:pPr>
        <w:autoSpaceDE w:val="0"/>
        <w:autoSpaceDN w:val="0"/>
        <w:spacing w:line="360" w:lineRule="auto"/>
        <w:ind w:left="2"/>
        <w:jc w:val="left"/>
        <w:rPr>
          <w:rFonts w:ascii="宋体" w:hAnsi="宋体" w:cs="宋体"/>
          <w:color w:val="auto"/>
          <w:kern w:val="0"/>
          <w:sz w:val="24"/>
          <w:highlight w:val="none"/>
          <w:lang w:val="zh-CN"/>
        </w:rPr>
      </w:pPr>
    </w:p>
    <w:p w14:paraId="0D7E4B0E">
      <w:pPr>
        <w:autoSpaceDE w:val="0"/>
        <w:autoSpaceDN w:val="0"/>
        <w:spacing w:line="360" w:lineRule="auto"/>
        <w:ind w:left="2"/>
        <w:jc w:val="left"/>
        <w:rPr>
          <w:rFonts w:ascii="宋体" w:hAnsi="宋体" w:cs="宋体"/>
          <w:color w:val="auto"/>
          <w:kern w:val="0"/>
          <w:sz w:val="24"/>
          <w:highlight w:val="none"/>
          <w:lang w:val="zh-CN"/>
        </w:rPr>
      </w:pPr>
    </w:p>
    <w:p w14:paraId="724B0F6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880CBE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B02FD10">
      <w:pPr>
        <w:spacing w:line="360" w:lineRule="auto"/>
        <w:jc w:val="center"/>
        <w:rPr>
          <w:rFonts w:ascii="宋体" w:hAnsi="宋体" w:cs="宋体"/>
          <w:b/>
          <w:bCs/>
          <w:color w:val="auto"/>
          <w:sz w:val="24"/>
          <w:highlight w:val="none"/>
        </w:rPr>
      </w:pPr>
    </w:p>
    <w:p w14:paraId="4B7F716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C984E5">
      <w:pPr>
        <w:rPr>
          <w:rFonts w:ascii="宋体" w:hAnsi="宋体" w:cs="宋体"/>
          <w:b/>
          <w:bCs/>
          <w:color w:val="auto"/>
          <w:sz w:val="24"/>
          <w:highlight w:val="none"/>
        </w:rPr>
      </w:pPr>
      <w:r>
        <w:rPr>
          <w:rFonts w:ascii="宋体" w:hAnsi="宋体" w:cs="宋体"/>
          <w:b/>
          <w:bCs/>
          <w:color w:val="auto"/>
          <w:sz w:val="24"/>
          <w:highlight w:val="none"/>
        </w:rPr>
        <w:br w:type="page"/>
      </w:r>
    </w:p>
    <w:p w14:paraId="74E5354F">
      <w:pPr>
        <w:spacing w:line="360" w:lineRule="auto"/>
        <w:jc w:val="center"/>
        <w:rPr>
          <w:rFonts w:ascii="宋体" w:hAnsi="宋体" w:cs="宋体"/>
          <w:b/>
          <w:bCs/>
          <w:color w:val="auto"/>
          <w:sz w:val="24"/>
          <w:highlight w:val="none"/>
        </w:rPr>
        <w:sectPr>
          <w:headerReference r:id="rId10" w:type="default"/>
          <w:footerReference r:id="rId11" w:type="default"/>
          <w:pgSz w:w="11905" w:h="16838"/>
          <w:pgMar w:top="1440" w:right="1440" w:bottom="1440" w:left="1440" w:header="850" w:footer="992" w:gutter="0"/>
          <w:pgBorders>
            <w:top w:val="none" w:sz="0" w:space="0"/>
            <w:left w:val="none" w:sz="0" w:space="0"/>
            <w:bottom w:val="none" w:sz="0" w:space="0"/>
            <w:right w:val="none" w:sz="0" w:space="0"/>
          </w:pgBorders>
          <w:cols w:space="0" w:num="1"/>
          <w:titlePg/>
          <w:rtlGutter w:val="0"/>
          <w:docGrid w:linePitch="312" w:charSpace="0"/>
        </w:sectPr>
      </w:pPr>
    </w:p>
    <w:p w14:paraId="2399E62B">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lang w:val="en-US" w:eastAsia="zh-CN"/>
        </w:rPr>
        <w:t>报价</w:t>
      </w:r>
      <w:r>
        <w:rPr>
          <w:rFonts w:hint="eastAsia" w:ascii="宋体" w:hAnsi="宋体" w:cs="宋体"/>
          <w:b/>
          <w:color w:val="auto"/>
          <w:kern w:val="0"/>
          <w:sz w:val="36"/>
          <w:szCs w:val="36"/>
          <w:highlight w:val="none"/>
        </w:rPr>
        <w:t>文件部分</w:t>
      </w:r>
    </w:p>
    <w:p w14:paraId="1B58497B">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AC4A8D3">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p>
    <w:p w14:paraId="35B0DED0">
      <w:pPr>
        <w:pStyle w:val="32"/>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（1）初次报价一览表…………………………………………………………………（页码）</w:t>
      </w:r>
    </w:p>
    <w:p w14:paraId="676B8BDC">
      <w:pPr>
        <w:pStyle w:val="3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）分项报价表………………………………………………………………………（页码）</w:t>
      </w:r>
    </w:p>
    <w:p w14:paraId="3327C251">
      <w:pPr>
        <w:pageBreakBefore w:val="0"/>
        <w:kinsoku/>
        <w:wordWrap/>
        <w:overflowPunct/>
        <w:topLinePunct w:val="0"/>
        <w:bidi w:val="0"/>
        <w:adjustRightInd/>
        <w:snapToGrid/>
        <w:spacing w:beforeAutospacing="0" w:line="360"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中小企业声明函（如是，请提供）……………………………………………（页码）</w:t>
      </w:r>
    </w:p>
    <w:p w14:paraId="487B3065">
      <w:pPr>
        <w:pageBreakBefore w:val="0"/>
        <w:kinsoku/>
        <w:wordWrap/>
        <w:overflowPunct/>
        <w:topLinePunct w:val="0"/>
        <w:bidi w:val="0"/>
        <w:adjustRightInd/>
        <w:snapToGrid/>
        <w:spacing w:beforeAutospacing="0" w:line="360"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残疾人福利性单位声明函（如是，请提供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…………………………………（页码）</w:t>
      </w:r>
    </w:p>
    <w:p w14:paraId="42E8FDCA">
      <w:pPr>
        <w:pageBreakBefore w:val="0"/>
        <w:kinsoku/>
        <w:wordWrap/>
        <w:overflowPunct/>
        <w:topLinePunct w:val="0"/>
        <w:bidi w:val="0"/>
        <w:adjustRightInd/>
        <w:snapToGrid/>
        <w:spacing w:beforeAutospacing="0" w:line="360" w:lineRule="auto"/>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由省级以上监狱管理局、戒毒管理局（含新疆生产建设兵团）出具的属于监狱企业的证明文件（如是，请提供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……………………………………………………（页码）</w:t>
      </w:r>
    </w:p>
    <w:p w14:paraId="03C37443">
      <w:pPr>
        <w:pStyle w:val="3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）其他资料（如有）………………………………………………………………（页码）</w:t>
      </w:r>
    </w:p>
    <w:p w14:paraId="146FB780">
      <w:pPr>
        <w:spacing w:line="360" w:lineRule="auto"/>
        <w:rPr>
          <w:rFonts w:cs="仿宋_GB2312" w:asciiTheme="minorEastAsia" w:hAnsiTheme="minorEastAsia" w:eastAsiaTheme="minorEastAsia"/>
          <w:b/>
          <w:bCs/>
          <w:color w:val="auto"/>
          <w:spacing w:val="-6"/>
          <w:sz w:val="24"/>
          <w:highlight w:val="none"/>
        </w:rPr>
      </w:pPr>
      <w:r>
        <w:rPr>
          <w:rFonts w:hint="eastAsia" w:cs="仿宋_GB2312" w:asciiTheme="minorEastAsia" w:hAnsiTheme="minorEastAsia" w:eastAsiaTheme="minorEastAsia"/>
          <w:b/>
          <w:bCs/>
          <w:color w:val="auto"/>
          <w:spacing w:val="-6"/>
          <w:sz w:val="24"/>
          <w:highlight w:val="none"/>
        </w:rPr>
        <w:t>注：以上目录是编制供应商响应文件的基本格式要求，各供应商可根据自身情况进一步细化。</w:t>
      </w:r>
    </w:p>
    <w:p w14:paraId="0524023A">
      <w:pPr>
        <w:numPr>
          <w:ilvl w:val="0"/>
          <w:numId w:val="0"/>
        </w:numPr>
        <w:spacing w:line="360" w:lineRule="auto"/>
        <w:ind w:leftChars="0"/>
        <w:jc w:val="center"/>
        <w:rPr>
          <w:rFonts w:hint="eastAsia" w:cs="仿宋_GB2312" w:asciiTheme="minorEastAsia" w:hAnsiTheme="minorEastAsia" w:eastAsiaTheme="minorEastAsia"/>
          <w:b/>
          <w:bCs/>
          <w:color w:val="auto"/>
          <w:sz w:val="32"/>
          <w:szCs w:val="32"/>
          <w:highlight w:val="none"/>
          <w:lang w:val="en-US" w:eastAsia="zh-CN"/>
        </w:rPr>
      </w:pPr>
    </w:p>
    <w:p w14:paraId="02534B47">
      <w:pPr>
        <w:numPr>
          <w:ilvl w:val="0"/>
          <w:numId w:val="0"/>
        </w:numPr>
        <w:spacing w:line="360" w:lineRule="auto"/>
        <w:ind w:leftChars="0"/>
        <w:jc w:val="center"/>
        <w:rPr>
          <w:rFonts w:hint="eastAsia" w:cs="仿宋_GB2312" w:asciiTheme="minorEastAsia" w:hAnsiTheme="minorEastAsia" w:eastAsiaTheme="minorEastAsia"/>
          <w:b/>
          <w:bCs/>
          <w:color w:val="auto"/>
          <w:sz w:val="32"/>
          <w:szCs w:val="32"/>
          <w:highlight w:val="none"/>
          <w:lang w:val="en-US" w:eastAsia="zh-CN"/>
        </w:rPr>
      </w:pPr>
    </w:p>
    <w:p w14:paraId="6645BD89">
      <w:pPr>
        <w:numPr>
          <w:ilvl w:val="0"/>
          <w:numId w:val="0"/>
        </w:numPr>
        <w:spacing w:line="360" w:lineRule="auto"/>
        <w:ind w:leftChars="0"/>
        <w:jc w:val="center"/>
        <w:rPr>
          <w:rFonts w:hint="eastAsia" w:cs="仿宋_GB2312" w:asciiTheme="minorEastAsia" w:hAnsiTheme="minorEastAsia" w:eastAsiaTheme="minorEastAsia"/>
          <w:b/>
          <w:bCs/>
          <w:color w:val="auto"/>
          <w:sz w:val="32"/>
          <w:szCs w:val="32"/>
          <w:highlight w:val="none"/>
          <w:lang w:val="en-US" w:eastAsia="zh-CN"/>
        </w:rPr>
      </w:pPr>
    </w:p>
    <w:p w14:paraId="5295D1DC">
      <w:pPr>
        <w:numPr>
          <w:ilvl w:val="0"/>
          <w:numId w:val="0"/>
        </w:numPr>
        <w:spacing w:line="360" w:lineRule="auto"/>
        <w:ind w:leftChars="0"/>
        <w:jc w:val="center"/>
        <w:rPr>
          <w:rFonts w:hint="eastAsia" w:cs="仿宋_GB2312" w:asciiTheme="minorEastAsia" w:hAnsiTheme="minorEastAsia" w:eastAsiaTheme="minorEastAsia"/>
          <w:b/>
          <w:bCs/>
          <w:color w:val="auto"/>
          <w:sz w:val="32"/>
          <w:szCs w:val="32"/>
          <w:highlight w:val="none"/>
          <w:lang w:val="en-US" w:eastAsia="zh-CN"/>
        </w:rPr>
        <w:sectPr>
          <w:headerReference r:id="rId13" w:type="first"/>
          <w:footerReference r:id="rId15" w:type="first"/>
          <w:headerReference r:id="rId12" w:type="default"/>
          <w:footerReference r:id="rId14" w:type="default"/>
          <w:pgSz w:w="11905" w:h="16838"/>
          <w:pgMar w:top="1440" w:right="1440" w:bottom="1440" w:left="1440" w:header="850" w:footer="992" w:gutter="0"/>
          <w:cols w:space="0" w:num="1"/>
          <w:titlePg/>
          <w:rtlGutter w:val="0"/>
          <w:docGrid w:linePitch="312" w:charSpace="0"/>
        </w:sectPr>
      </w:pPr>
    </w:p>
    <w:p w14:paraId="44CCA041">
      <w:pPr>
        <w:numPr>
          <w:ilvl w:val="0"/>
          <w:numId w:val="0"/>
        </w:numPr>
        <w:spacing w:line="360" w:lineRule="auto"/>
        <w:ind w:leftChars="0"/>
        <w:jc w:val="center"/>
        <w:rPr>
          <w:rFonts w:hint="eastAsia" w:cs="仿宋_GB2312" w:asciiTheme="minorEastAsia" w:hAnsiTheme="minorEastAsia" w:eastAsiaTheme="minorEastAsia"/>
          <w:b/>
          <w:bCs/>
          <w:color w:val="auto"/>
          <w:sz w:val="32"/>
          <w:szCs w:val="32"/>
          <w:highlight w:val="none"/>
          <w:lang w:val="en-US" w:eastAsia="zh-CN"/>
        </w:rPr>
      </w:pPr>
      <w:bookmarkStart w:id="224" w:name="_Toc24982"/>
      <w:r>
        <w:rPr>
          <w:rFonts w:hint="eastAsia" w:cs="仿宋_GB2312" w:asciiTheme="minorEastAsia" w:hAnsiTheme="minorEastAsia" w:eastAsiaTheme="minorEastAsia"/>
          <w:b/>
          <w:bCs/>
          <w:color w:val="auto"/>
          <w:sz w:val="32"/>
          <w:szCs w:val="32"/>
          <w:highlight w:val="none"/>
          <w:lang w:val="en-US" w:eastAsia="zh-CN"/>
        </w:rPr>
        <w:t>一、初次报价一览表</w:t>
      </w:r>
    </w:p>
    <w:p w14:paraId="3010A503">
      <w:pPr>
        <w:pStyle w:val="32"/>
        <w:keepNext w:val="0"/>
        <w:keepLines w:val="0"/>
        <w:pageBreakBefore w:val="0"/>
        <w:widowControl w:val="0"/>
        <w:kinsoku/>
        <w:wordWrap/>
        <w:overflowPunct/>
        <w:topLinePunct w:val="0"/>
        <w:autoSpaceDE/>
        <w:autoSpaceDN/>
        <w:bidi w:val="0"/>
        <w:adjustRightInd w:val="0"/>
        <w:snapToGrid/>
        <w:spacing w:line="480" w:lineRule="auto"/>
        <w:textAlignment w:val="auto"/>
        <w:rPr>
          <w:rFonts w:hint="default"/>
          <w:color w:val="auto"/>
          <w:sz w:val="24"/>
          <w:szCs w:val="24"/>
          <w:highlight w:val="none"/>
          <w:u w:val="single"/>
          <w:lang w:val="en-US" w:eastAsia="zh-CN"/>
        </w:rPr>
      </w:pPr>
      <w:r>
        <w:rPr>
          <w:rFonts w:hint="eastAsia"/>
          <w:color w:val="auto"/>
          <w:sz w:val="24"/>
          <w:szCs w:val="24"/>
          <w:highlight w:val="none"/>
          <w:lang w:val="en-US" w:eastAsia="zh-CN"/>
        </w:rPr>
        <w:t>项目名称：</w:t>
      </w:r>
      <w:r>
        <w:rPr>
          <w:rFonts w:hint="eastAsia"/>
          <w:color w:val="auto"/>
          <w:sz w:val="24"/>
          <w:szCs w:val="24"/>
          <w:highlight w:val="none"/>
          <w:u w:val="single"/>
          <w:lang w:val="en-US" w:eastAsia="zh-CN"/>
        </w:rPr>
        <w:t xml:space="preserve">                             </w:t>
      </w:r>
    </w:p>
    <w:p w14:paraId="3DD259F7">
      <w:pPr>
        <w:pStyle w:val="32"/>
        <w:keepNext w:val="0"/>
        <w:keepLines w:val="0"/>
        <w:pageBreakBefore w:val="0"/>
        <w:widowControl w:val="0"/>
        <w:kinsoku/>
        <w:wordWrap/>
        <w:overflowPunct/>
        <w:topLinePunct w:val="0"/>
        <w:autoSpaceDE/>
        <w:autoSpaceDN/>
        <w:bidi w:val="0"/>
        <w:adjustRightInd w:val="0"/>
        <w:snapToGrid/>
        <w:spacing w:line="48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项目编号：</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27961DEF">
      <w:pPr>
        <w:pStyle w:val="32"/>
        <w:keepNext w:val="0"/>
        <w:keepLines w:val="0"/>
        <w:pageBreakBefore w:val="0"/>
        <w:widowControl w:val="0"/>
        <w:kinsoku/>
        <w:wordWrap/>
        <w:overflowPunct/>
        <w:topLinePunct w:val="0"/>
        <w:autoSpaceDE/>
        <w:autoSpaceDN/>
        <w:bidi w:val="0"/>
        <w:adjustRightInd w:val="0"/>
        <w:snapToGrid/>
        <w:spacing w:line="48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金额单位：人民币元</w:t>
      </w:r>
    </w:p>
    <w:tbl>
      <w:tblPr>
        <w:tblStyle w:val="63"/>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5226"/>
        <w:gridCol w:w="3297"/>
      </w:tblGrid>
      <w:tr w14:paraId="4FCF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9" w:hRule="atLeast"/>
        </w:trPr>
        <w:tc>
          <w:tcPr>
            <w:tcW w:w="0" w:type="auto"/>
            <w:noWrap w:val="0"/>
            <w:vAlign w:val="center"/>
          </w:tcPr>
          <w:p w14:paraId="4F1BF1C5">
            <w:pPr>
              <w:spacing w:line="460" w:lineRule="exact"/>
              <w:jc w:val="center"/>
              <w:rPr>
                <w:rFonts w:ascii="宋体" w:hAnsi="宋体"/>
                <w:b/>
                <w:bCs/>
                <w:sz w:val="24"/>
                <w:szCs w:val="24"/>
              </w:rPr>
            </w:pPr>
            <w:r>
              <w:rPr>
                <w:rFonts w:hint="eastAsia" w:ascii="宋体" w:hAnsi="宋体"/>
                <w:b/>
                <w:bCs/>
                <w:sz w:val="24"/>
                <w:szCs w:val="24"/>
              </w:rPr>
              <w:t>标项</w:t>
            </w:r>
          </w:p>
        </w:tc>
        <w:tc>
          <w:tcPr>
            <w:tcW w:w="0" w:type="auto"/>
            <w:noWrap w:val="0"/>
            <w:vAlign w:val="center"/>
          </w:tcPr>
          <w:p w14:paraId="605A8730">
            <w:pPr>
              <w:spacing w:line="460" w:lineRule="exact"/>
              <w:jc w:val="center"/>
              <w:rPr>
                <w:rFonts w:ascii="宋体" w:hAnsi="宋体"/>
                <w:b/>
                <w:bCs/>
                <w:sz w:val="24"/>
                <w:szCs w:val="24"/>
              </w:rPr>
            </w:pPr>
            <w:r>
              <w:rPr>
                <w:rFonts w:hint="eastAsia" w:ascii="宋体" w:hAnsi="宋体"/>
                <w:b/>
                <w:bCs/>
                <w:sz w:val="24"/>
                <w:szCs w:val="24"/>
              </w:rPr>
              <w:t>标项名称</w:t>
            </w:r>
          </w:p>
        </w:tc>
        <w:tc>
          <w:tcPr>
            <w:tcW w:w="0" w:type="auto"/>
            <w:noWrap w:val="0"/>
            <w:vAlign w:val="center"/>
          </w:tcPr>
          <w:p w14:paraId="537C391C">
            <w:pPr>
              <w:spacing w:line="460" w:lineRule="exact"/>
              <w:jc w:val="center"/>
              <w:rPr>
                <w:rFonts w:ascii="宋体" w:hAnsi="宋体"/>
                <w:b/>
                <w:bCs/>
                <w:sz w:val="24"/>
                <w:szCs w:val="24"/>
              </w:rPr>
            </w:pPr>
            <w:r>
              <w:rPr>
                <w:rFonts w:hint="eastAsia" w:ascii="宋体" w:hAnsi="宋体"/>
                <w:b/>
                <w:bCs/>
                <w:sz w:val="24"/>
                <w:szCs w:val="24"/>
                <w:lang w:val="en-US" w:eastAsia="zh-CN"/>
              </w:rPr>
              <w:t>响应</w:t>
            </w:r>
            <w:r>
              <w:rPr>
                <w:rFonts w:hint="eastAsia" w:ascii="宋体" w:hAnsi="宋体"/>
                <w:b/>
                <w:bCs/>
                <w:sz w:val="24"/>
                <w:szCs w:val="24"/>
              </w:rPr>
              <w:t>报价</w:t>
            </w:r>
            <w:r>
              <w:rPr>
                <w:rFonts w:ascii="宋体" w:hAnsi="宋体"/>
                <w:b/>
                <w:bCs/>
                <w:sz w:val="24"/>
                <w:szCs w:val="24"/>
              </w:rPr>
              <w:t>（</w:t>
            </w:r>
            <w:r>
              <w:rPr>
                <w:rFonts w:hint="eastAsia" w:ascii="宋体" w:hAnsi="宋体"/>
                <w:b/>
                <w:bCs/>
                <w:sz w:val="24"/>
                <w:szCs w:val="24"/>
              </w:rPr>
              <w:t>元</w:t>
            </w:r>
            <w:r>
              <w:rPr>
                <w:rFonts w:hint="eastAsia" w:ascii="宋体" w:hAnsi="宋体"/>
                <w:b/>
                <w:bCs/>
                <w:sz w:val="24"/>
                <w:szCs w:val="24"/>
                <w:lang w:val="en-US" w:eastAsia="zh-CN"/>
              </w:rPr>
              <w:t>/年</w:t>
            </w:r>
            <w:r>
              <w:rPr>
                <w:rFonts w:ascii="宋体" w:hAnsi="宋体"/>
                <w:b/>
                <w:bCs/>
                <w:sz w:val="24"/>
                <w:szCs w:val="24"/>
              </w:rPr>
              <w:t>）</w:t>
            </w:r>
          </w:p>
        </w:tc>
      </w:tr>
      <w:tr w14:paraId="6DC0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0" w:type="auto"/>
            <w:noWrap w:val="0"/>
            <w:vAlign w:val="center"/>
          </w:tcPr>
          <w:p w14:paraId="398F15ED">
            <w:pPr>
              <w:spacing w:line="460" w:lineRule="exact"/>
              <w:jc w:val="center"/>
              <w:rPr>
                <w:rFonts w:hint="eastAsia" w:ascii="宋体" w:hAnsi="宋体" w:eastAsia="宋体"/>
                <w:b/>
                <w:bCs/>
                <w:sz w:val="24"/>
                <w:szCs w:val="24"/>
                <w:lang w:val="en-US" w:eastAsia="zh-CN"/>
              </w:rPr>
            </w:pPr>
            <w:r>
              <w:rPr>
                <w:rFonts w:hint="eastAsia" w:ascii="宋体" w:hAnsi="宋体"/>
                <w:b/>
                <w:bCs/>
                <w:sz w:val="24"/>
                <w:szCs w:val="24"/>
                <w:lang w:val="en-US" w:eastAsia="zh-CN"/>
              </w:rPr>
              <w:t>一</w:t>
            </w:r>
          </w:p>
        </w:tc>
        <w:tc>
          <w:tcPr>
            <w:tcW w:w="0" w:type="auto"/>
            <w:noWrap w:val="0"/>
            <w:vAlign w:val="center"/>
          </w:tcPr>
          <w:p w14:paraId="04C32C2C">
            <w:pPr>
              <w:spacing w:line="460" w:lineRule="exact"/>
              <w:jc w:val="center"/>
              <w:rPr>
                <w:rFonts w:hint="eastAsia" w:ascii="宋体" w:hAnsi="宋体"/>
                <w:b/>
                <w:bCs/>
                <w:sz w:val="24"/>
                <w:szCs w:val="24"/>
              </w:rPr>
            </w:pPr>
            <w:r>
              <w:rPr>
                <w:rFonts w:hint="eastAsia" w:ascii="宋体" w:hAnsi="宋体"/>
                <w:b/>
                <w:bCs/>
                <w:sz w:val="24"/>
                <w:szCs w:val="24"/>
              </w:rPr>
              <w:t>鄞州经济开发区管委会监控维保</w:t>
            </w:r>
          </w:p>
        </w:tc>
        <w:tc>
          <w:tcPr>
            <w:tcW w:w="0" w:type="auto"/>
            <w:noWrap w:val="0"/>
            <w:vAlign w:val="center"/>
          </w:tcPr>
          <w:p w14:paraId="6C1779BE">
            <w:pPr>
              <w:spacing w:line="460" w:lineRule="exact"/>
              <w:jc w:val="center"/>
              <w:rPr>
                <w:rFonts w:hint="eastAsia" w:ascii="宋体" w:hAnsi="宋体"/>
                <w:b/>
                <w:bCs/>
                <w:sz w:val="24"/>
                <w:szCs w:val="24"/>
              </w:rPr>
            </w:pPr>
          </w:p>
        </w:tc>
      </w:tr>
      <w:tr w14:paraId="0C39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0" w:type="auto"/>
            <w:gridSpan w:val="2"/>
            <w:noWrap w:val="0"/>
            <w:vAlign w:val="center"/>
          </w:tcPr>
          <w:p w14:paraId="22A974C7">
            <w:pPr>
              <w:snapToGrid w:val="0"/>
              <w:jc w:val="center"/>
              <w:rPr>
                <w:rFonts w:ascii="宋体" w:hAnsi="宋体"/>
                <w:sz w:val="24"/>
                <w:szCs w:val="24"/>
              </w:rPr>
            </w:pPr>
            <w:r>
              <w:rPr>
                <w:rFonts w:hint="eastAsia" w:ascii="宋体" w:hAnsi="宋体"/>
                <w:b/>
                <w:bCs/>
                <w:sz w:val="24"/>
                <w:szCs w:val="24"/>
                <w:lang w:val="en-US" w:eastAsia="zh-CN"/>
              </w:rPr>
              <w:t>响应总价</w:t>
            </w:r>
            <w:r>
              <w:rPr>
                <w:rFonts w:hint="eastAsia" w:ascii="宋体" w:hAnsi="宋体"/>
                <w:b/>
                <w:bCs/>
                <w:sz w:val="24"/>
                <w:szCs w:val="24"/>
              </w:rPr>
              <w:t>（大写）</w:t>
            </w:r>
          </w:p>
        </w:tc>
        <w:tc>
          <w:tcPr>
            <w:tcW w:w="0" w:type="auto"/>
            <w:noWrap w:val="0"/>
            <w:vAlign w:val="top"/>
          </w:tcPr>
          <w:p w14:paraId="591F6B59">
            <w:pPr>
              <w:spacing w:line="460" w:lineRule="exact"/>
              <w:jc w:val="center"/>
              <w:rPr>
                <w:rFonts w:ascii="宋体" w:hAnsi="宋体"/>
                <w:sz w:val="24"/>
                <w:szCs w:val="24"/>
              </w:rPr>
            </w:pPr>
          </w:p>
        </w:tc>
      </w:tr>
    </w:tbl>
    <w:p w14:paraId="72DB5D8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BEB37C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p>
    <w:p w14:paraId="4AAF07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lang w:val="zh-CN" w:eastAsia="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0DABFF3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w:t>
      </w:r>
      <w:r>
        <w:rPr>
          <w:rFonts w:hint="eastAsia" w:ascii="宋体" w:hAnsi="宋体" w:cs="宋体"/>
          <w:kern w:val="0"/>
          <w:sz w:val="24"/>
          <w:lang w:val="en-US" w:eastAsia="zh-CN"/>
        </w:rPr>
        <w:t>中标（成交）</w:t>
      </w:r>
      <w:r>
        <w:rPr>
          <w:rFonts w:hint="eastAsia" w:ascii="宋体" w:hAnsi="宋体" w:cs="宋体"/>
          <w:kern w:val="0"/>
          <w:sz w:val="24"/>
          <w:lang w:val="zh-CN"/>
        </w:rPr>
        <w:t>供应商名称、地址和中标</w:t>
      </w:r>
      <w:r>
        <w:rPr>
          <w:rFonts w:hint="eastAsia" w:ascii="宋体" w:hAnsi="宋体" w:cs="宋体"/>
          <w:kern w:val="0"/>
          <w:sz w:val="24"/>
          <w:lang w:val="en-US" w:eastAsia="zh-CN"/>
        </w:rPr>
        <w:t>（成交）</w:t>
      </w:r>
      <w:r>
        <w:rPr>
          <w:rFonts w:hint="eastAsia" w:ascii="宋体" w:hAnsi="宋体" w:cs="宋体"/>
          <w:kern w:val="0"/>
          <w:sz w:val="24"/>
          <w:lang w:val="zh-CN"/>
        </w:rPr>
        <w:t>金额，主要中标（</w:t>
      </w:r>
      <w:r>
        <w:rPr>
          <w:rFonts w:hint="eastAsia" w:ascii="宋体" w:hAnsi="宋体" w:cs="宋体"/>
          <w:kern w:val="0"/>
          <w:sz w:val="24"/>
          <w:lang w:val="en-US" w:eastAsia="zh-CN"/>
        </w:rPr>
        <w:t>成交）</w:t>
      </w:r>
      <w:r>
        <w:rPr>
          <w:rFonts w:hint="eastAsia" w:ascii="宋体" w:hAnsi="宋体" w:cs="宋体"/>
          <w:kern w:val="0"/>
          <w:sz w:val="24"/>
          <w:lang w:val="zh-CN"/>
        </w:rPr>
        <w:t>标的名称、服务范围、服务要求、服务时间、服务标准等予以公示。</w:t>
      </w:r>
    </w:p>
    <w:p w14:paraId="30D09C99">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780EFE68">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5C846CB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6E7124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B8BE4E4">
      <w:pPr>
        <w:pStyle w:val="24"/>
        <w:numPr>
          <w:ilvl w:val="0"/>
          <w:numId w:val="0"/>
        </w:numPr>
        <w:rPr>
          <w:rFonts w:hint="eastAsia" w:asciiTheme="minorEastAsia" w:hAnsiTheme="minorEastAsia" w:eastAsiaTheme="minorEastAsia" w:cstheme="minorEastAsia"/>
          <w:color w:val="auto"/>
          <w:szCs w:val="24"/>
          <w:highlight w:val="none"/>
          <w:lang w:val="en-US" w:eastAsia="zh-CN"/>
        </w:rPr>
      </w:pPr>
    </w:p>
    <w:p w14:paraId="0E71F13C">
      <w:pPr>
        <w:spacing w:line="360" w:lineRule="auto"/>
        <w:ind w:right="-874" w:rightChars="-416"/>
        <w:rPr>
          <w:rFonts w:hint="eastAsia" w:asciiTheme="minorEastAsia" w:hAnsiTheme="minorEastAsia" w:eastAsiaTheme="minorEastAsia" w:cstheme="minorEastAsia"/>
          <w:color w:val="auto"/>
          <w:sz w:val="24"/>
          <w:highlight w:val="none"/>
        </w:rPr>
      </w:pPr>
    </w:p>
    <w:p w14:paraId="5DB03FC9">
      <w:pPr>
        <w:numPr>
          <w:ilvl w:val="0"/>
          <w:numId w:val="0"/>
        </w:numPr>
        <w:spacing w:line="360" w:lineRule="auto"/>
        <w:ind w:leftChars="0"/>
        <w:jc w:val="center"/>
        <w:rPr>
          <w:rFonts w:hint="eastAsia" w:cs="仿宋_GB2312" w:asciiTheme="minorEastAsia" w:hAnsiTheme="minorEastAsia" w:eastAsiaTheme="minorEastAsia"/>
          <w:b/>
          <w:bCs/>
          <w:color w:val="auto"/>
          <w:sz w:val="32"/>
          <w:szCs w:val="32"/>
          <w:highlight w:val="none"/>
          <w:lang w:val="en-US" w:eastAsia="zh-CN"/>
        </w:rPr>
        <w:sectPr>
          <w:headerReference r:id="rId17" w:type="first"/>
          <w:footerReference r:id="rId19" w:type="first"/>
          <w:headerReference r:id="rId16" w:type="default"/>
          <w:footerReference r:id="rId18" w:type="default"/>
          <w:pgSz w:w="11905" w:h="16838"/>
          <w:pgMar w:top="1440" w:right="1440" w:bottom="1440" w:left="1440" w:header="850" w:footer="992" w:gutter="0"/>
          <w:cols w:space="0" w:num="1"/>
          <w:titlePg/>
          <w:rtlGutter w:val="0"/>
          <w:docGrid w:linePitch="312" w:charSpace="0"/>
        </w:sectPr>
      </w:pPr>
    </w:p>
    <w:p w14:paraId="0B2583B8">
      <w:pPr>
        <w:pStyle w:val="3"/>
        <w:keepNext w:val="0"/>
        <w:keepLines w:val="0"/>
        <w:pageBreakBefore/>
        <w:widowControl/>
        <w:numPr>
          <w:ilvl w:val="0"/>
          <w:numId w:val="0"/>
        </w:numPr>
        <w:tabs>
          <w:tab w:val="clear" w:pos="432"/>
        </w:tabs>
        <w:spacing w:before="100" w:beforeAutospacing="1" w:after="100" w:afterAutospacing="1" w:line="360" w:lineRule="auto"/>
        <w:ind w:left="1290" w:leftChars="0" w:firstLine="2249" w:firstLineChars="700"/>
        <w:rPr>
          <w:rFonts w:hint="eastAsia" w:ascii="宋体" w:hAnsi="宋体" w:eastAsia="宋体" w:cs="宋体"/>
          <w:color w:val="auto"/>
          <w:kern w:val="2"/>
          <w:sz w:val="32"/>
          <w:szCs w:val="32"/>
          <w:highlight w:val="none"/>
        </w:rPr>
      </w:pPr>
      <w:r>
        <w:rPr>
          <w:rFonts w:hint="eastAsia" w:ascii="宋体" w:hAnsi="宋体" w:cs="宋体"/>
          <w:color w:val="auto"/>
          <w:kern w:val="2"/>
          <w:sz w:val="32"/>
          <w:szCs w:val="32"/>
          <w:highlight w:val="none"/>
          <w:lang w:val="en-US" w:eastAsia="zh-CN"/>
        </w:rPr>
        <w:t>二、分项报价</w:t>
      </w:r>
      <w:r>
        <w:rPr>
          <w:rFonts w:hint="eastAsia" w:ascii="宋体" w:hAnsi="宋体" w:eastAsia="宋体" w:cs="宋体"/>
          <w:color w:val="auto"/>
          <w:kern w:val="2"/>
          <w:sz w:val="32"/>
          <w:szCs w:val="32"/>
          <w:highlight w:val="none"/>
        </w:rPr>
        <w:t>表</w:t>
      </w:r>
    </w:p>
    <w:p w14:paraId="5C4D5396">
      <w:pPr>
        <w:pStyle w:val="58"/>
        <w:widowControl w:val="0"/>
        <w:spacing w:before="0" w:beforeAutospacing="0" w:after="0" w:afterAutospacing="0" w:line="360" w:lineRule="auto"/>
        <w:jc w:val="both"/>
        <w:rPr>
          <w:rFonts w:hint="eastAsia" w:ascii="宋体" w:hAnsi="宋体" w:eastAsia="宋体" w:cs="宋体"/>
          <w:spacing w:val="-4"/>
          <w:kern w:val="2"/>
          <w:sz w:val="24"/>
          <w:szCs w:val="24"/>
        </w:rPr>
      </w:pPr>
      <w:r>
        <w:rPr>
          <w:rFonts w:hint="eastAsia" w:ascii="宋体" w:hAnsi="宋体" w:eastAsia="宋体" w:cs="宋体"/>
          <w:sz w:val="24"/>
          <w:szCs w:val="24"/>
        </w:rPr>
        <w:t xml:space="preserve">  </w:t>
      </w:r>
    </w:p>
    <w:p w14:paraId="002F03FD">
      <w:pPr>
        <w:pStyle w:val="58"/>
        <w:widowControl w:val="0"/>
        <w:spacing w:before="0" w:beforeAutospacing="0" w:after="0" w:afterAutospacing="0" w:line="360" w:lineRule="auto"/>
        <w:jc w:val="both"/>
        <w:rPr>
          <w:rFonts w:hint="eastAsia" w:ascii="宋体" w:hAnsi="宋体" w:eastAsia="宋体" w:cs="宋体"/>
          <w:bCs/>
          <w:sz w:val="24"/>
          <w:szCs w:val="24"/>
        </w:rPr>
      </w:pPr>
      <w:r>
        <w:rPr>
          <w:rFonts w:hint="eastAsia" w:ascii="宋体" w:hAnsi="宋体" w:eastAsia="宋体" w:cs="宋体"/>
          <w:spacing w:val="-4"/>
          <w:kern w:val="2"/>
          <w:sz w:val="24"/>
          <w:szCs w:val="24"/>
        </w:rPr>
        <w:t>项目名称：</w:t>
      </w:r>
      <w:r>
        <w:rPr>
          <w:rFonts w:hint="eastAsia" w:ascii="宋体" w:hAnsi="宋体" w:eastAsia="宋体" w:cs="宋体"/>
          <w:spacing w:val="-4"/>
          <w:kern w:val="2"/>
          <w:sz w:val="24"/>
          <w:szCs w:val="24"/>
          <w:u w:val="single"/>
        </w:rPr>
        <w:t xml:space="preserve">                          </w:t>
      </w:r>
      <w:r>
        <w:rPr>
          <w:rFonts w:hint="eastAsia" w:ascii="宋体" w:hAnsi="宋体" w:eastAsia="宋体" w:cs="宋体"/>
          <w:spacing w:val="-4"/>
          <w:kern w:val="2"/>
          <w:sz w:val="24"/>
          <w:szCs w:val="24"/>
        </w:rPr>
        <w:t xml:space="preserve"> 项目编号：</w:t>
      </w:r>
      <w:r>
        <w:rPr>
          <w:rFonts w:hint="eastAsia" w:ascii="宋体" w:hAnsi="宋体" w:eastAsia="宋体" w:cs="宋体"/>
          <w:spacing w:val="-4"/>
          <w:kern w:val="2"/>
          <w:sz w:val="24"/>
          <w:szCs w:val="24"/>
          <w:u w:val="single"/>
        </w:rPr>
        <w:t xml:space="preserve">                 </w:t>
      </w:r>
      <w:r>
        <w:rPr>
          <w:rFonts w:hint="eastAsia" w:ascii="宋体" w:hAnsi="宋体" w:eastAsia="宋体" w:cs="宋体"/>
          <w:spacing w:val="-4"/>
          <w:kern w:val="2"/>
          <w:sz w:val="24"/>
          <w:szCs w:val="24"/>
        </w:rPr>
        <w:t xml:space="preserve">  标项：</w:t>
      </w:r>
      <w:r>
        <w:rPr>
          <w:rFonts w:hint="eastAsia" w:ascii="宋体" w:hAnsi="宋体" w:eastAsia="宋体" w:cs="宋体"/>
          <w:spacing w:val="-4"/>
          <w:kern w:val="2"/>
          <w:sz w:val="24"/>
          <w:szCs w:val="24"/>
          <w:u w:val="single"/>
        </w:rPr>
        <w:t xml:space="preserve">       </w:t>
      </w:r>
    </w:p>
    <w:p w14:paraId="005827EB">
      <w:pPr>
        <w:pStyle w:val="32"/>
        <w:snapToGrid w:val="0"/>
        <w:rPr>
          <w:rFonts w:hint="eastAsia" w:ascii="宋体" w:hAnsi="宋体" w:eastAsia="宋体" w:cs="宋体"/>
          <w:sz w:val="24"/>
          <w:szCs w:val="24"/>
        </w:rPr>
      </w:pPr>
      <w:r>
        <w:rPr>
          <w:rFonts w:hint="eastAsia" w:ascii="宋体" w:hAnsi="宋体" w:eastAsia="宋体" w:cs="宋体"/>
          <w:sz w:val="24"/>
          <w:szCs w:val="24"/>
        </w:rPr>
        <w:t>金额单位：人民币元</w:t>
      </w:r>
    </w:p>
    <w:tbl>
      <w:tblPr>
        <w:tblStyle w:val="63"/>
        <w:tblW w:w="10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544"/>
        <w:gridCol w:w="910"/>
        <w:gridCol w:w="1440"/>
        <w:gridCol w:w="1620"/>
        <w:gridCol w:w="1180"/>
        <w:gridCol w:w="1234"/>
        <w:gridCol w:w="1383"/>
      </w:tblGrid>
      <w:tr w14:paraId="2DC80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335B728F">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序号</w:t>
            </w:r>
          </w:p>
        </w:tc>
        <w:tc>
          <w:tcPr>
            <w:tcW w:w="2454" w:type="dxa"/>
            <w:gridSpan w:val="2"/>
            <w:tcBorders>
              <w:top w:val="single" w:color="auto" w:sz="4" w:space="0"/>
              <w:left w:val="single" w:color="auto" w:sz="4" w:space="0"/>
              <w:bottom w:val="single" w:color="auto" w:sz="4" w:space="0"/>
              <w:right w:val="single" w:color="auto" w:sz="4" w:space="0"/>
            </w:tcBorders>
            <w:noWrap w:val="0"/>
            <w:vAlign w:val="center"/>
          </w:tcPr>
          <w:p w14:paraId="7E7046EC">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F69090A">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单位</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20D7DAF">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数量（处）</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67975A70">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单价</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09D16448">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金额</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6D5C73AF">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备注</w:t>
            </w:r>
          </w:p>
        </w:tc>
      </w:tr>
      <w:tr w14:paraId="077BB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19652246">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lang w:val="en-US" w:eastAsia="zh-CN"/>
              </w:rPr>
              <w:t>1</w:t>
            </w:r>
          </w:p>
        </w:tc>
        <w:tc>
          <w:tcPr>
            <w:tcW w:w="2454" w:type="dxa"/>
            <w:gridSpan w:val="2"/>
            <w:tcBorders>
              <w:top w:val="single" w:color="auto" w:sz="4" w:space="0"/>
              <w:left w:val="single" w:color="auto" w:sz="4" w:space="0"/>
              <w:bottom w:val="single" w:color="auto" w:sz="4" w:space="0"/>
              <w:right w:val="single" w:color="auto" w:sz="4" w:space="0"/>
            </w:tcBorders>
            <w:noWrap w:val="0"/>
            <w:vAlign w:val="center"/>
          </w:tcPr>
          <w:p w14:paraId="1E4C0BD4">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前端监控运维</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E93EEF6">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lang w:val="en-US" w:eastAsia="zh-CN"/>
              </w:rPr>
              <w:t>项/年</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AEC9E3B">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lang w:val="en-US" w:eastAsia="zh-CN"/>
              </w:rPr>
              <w:t>271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5CBD955">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7A7823E">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14:paraId="77E2F6E8">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r>
      <w:tr w14:paraId="47679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4C07A161">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lang w:val="en-US" w:eastAsia="zh-CN"/>
              </w:rPr>
              <w:t>2</w:t>
            </w:r>
          </w:p>
        </w:tc>
        <w:tc>
          <w:tcPr>
            <w:tcW w:w="2454" w:type="dxa"/>
            <w:gridSpan w:val="2"/>
            <w:tcBorders>
              <w:top w:val="single" w:color="auto" w:sz="4" w:space="0"/>
              <w:left w:val="single" w:color="auto" w:sz="4" w:space="0"/>
              <w:bottom w:val="single" w:color="auto" w:sz="4" w:space="0"/>
              <w:right w:val="single" w:color="auto" w:sz="4" w:space="0"/>
            </w:tcBorders>
            <w:noWrap w:val="0"/>
            <w:vAlign w:val="center"/>
          </w:tcPr>
          <w:p w14:paraId="3E08DD7E">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高空点位运维</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61AD2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lang w:val="en-US" w:eastAsia="zh-CN"/>
              </w:rPr>
              <w:t>项/年</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4D9E3DA">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lang w:val="en-US" w:eastAsia="zh-CN"/>
              </w:rPr>
              <w:t>5</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77E1463">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2D7746D1">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14:paraId="2FB51646">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不含塔租赁费用</w:t>
            </w:r>
          </w:p>
        </w:tc>
      </w:tr>
      <w:tr w14:paraId="049F3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7F3891F">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lang w:val="en-US" w:eastAsia="zh-CN"/>
              </w:rPr>
              <w:t>3</w:t>
            </w:r>
          </w:p>
        </w:tc>
        <w:tc>
          <w:tcPr>
            <w:tcW w:w="2454" w:type="dxa"/>
            <w:gridSpan w:val="2"/>
            <w:tcBorders>
              <w:top w:val="single" w:color="auto" w:sz="4" w:space="0"/>
              <w:left w:val="single" w:color="auto" w:sz="4" w:space="0"/>
              <w:bottom w:val="single" w:color="auto" w:sz="4" w:space="0"/>
              <w:right w:val="single" w:color="auto" w:sz="4" w:space="0"/>
            </w:tcBorders>
            <w:noWrap w:val="0"/>
            <w:vAlign w:val="center"/>
          </w:tcPr>
          <w:p w14:paraId="631D9FA2">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裸光纤链路租赁</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C8874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lang w:val="en-US" w:eastAsia="zh-CN"/>
              </w:rPr>
              <w:t>项/年</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EFD3280">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lang w:val="en-US" w:eastAsia="zh-CN"/>
              </w:rPr>
            </w:pPr>
            <w:r>
              <w:rPr>
                <w:rFonts w:hint="eastAsia" w:ascii="宋体" w:hAnsi="宋体" w:eastAsia="宋体" w:cs="宋体"/>
                <w:spacing w:val="20"/>
                <w:sz w:val="24"/>
                <w:szCs w:val="24"/>
                <w:highlight w:val="none"/>
                <w:lang w:val="en-US" w:eastAsia="zh-CN"/>
              </w:rPr>
              <w:t>110</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81D2B04">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BD8A7CF">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14:paraId="76203E79">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前端至派出所</w:t>
            </w:r>
          </w:p>
        </w:tc>
      </w:tr>
      <w:tr w14:paraId="69145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top"/>
          </w:tcPr>
          <w:p w14:paraId="533B0ED0">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2454" w:type="dxa"/>
            <w:gridSpan w:val="2"/>
            <w:tcBorders>
              <w:top w:val="single" w:color="auto" w:sz="4" w:space="0"/>
              <w:left w:val="single" w:color="auto" w:sz="4" w:space="0"/>
              <w:bottom w:val="single" w:color="auto" w:sz="4" w:space="0"/>
              <w:right w:val="single" w:color="auto" w:sz="4" w:space="0"/>
            </w:tcBorders>
            <w:noWrap w:val="0"/>
            <w:vAlign w:val="top"/>
          </w:tcPr>
          <w:p w14:paraId="5CD1BB42">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39FBF1C">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B5715D2">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top"/>
          </w:tcPr>
          <w:p w14:paraId="2A206FBE">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14:paraId="0E813439">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383" w:type="dxa"/>
            <w:tcBorders>
              <w:top w:val="single" w:color="auto" w:sz="4" w:space="0"/>
              <w:left w:val="single" w:color="auto" w:sz="4" w:space="0"/>
              <w:bottom w:val="single" w:color="auto" w:sz="4" w:space="0"/>
              <w:right w:val="single" w:color="auto" w:sz="4" w:space="0"/>
            </w:tcBorders>
            <w:noWrap w:val="0"/>
            <w:vAlign w:val="top"/>
          </w:tcPr>
          <w:p w14:paraId="7A987824">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highlight w:val="none"/>
              </w:rPr>
            </w:pPr>
          </w:p>
        </w:tc>
      </w:tr>
      <w:tr w14:paraId="51EEF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top"/>
          </w:tcPr>
          <w:p w14:paraId="571B610B">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2454" w:type="dxa"/>
            <w:gridSpan w:val="2"/>
            <w:tcBorders>
              <w:top w:val="single" w:color="auto" w:sz="4" w:space="0"/>
              <w:left w:val="single" w:color="auto" w:sz="4" w:space="0"/>
              <w:bottom w:val="single" w:color="auto" w:sz="4" w:space="0"/>
              <w:right w:val="single" w:color="auto" w:sz="4" w:space="0"/>
            </w:tcBorders>
            <w:noWrap w:val="0"/>
            <w:vAlign w:val="top"/>
          </w:tcPr>
          <w:p w14:paraId="4ADBF943">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B0EE49D">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65B2B29">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top"/>
          </w:tcPr>
          <w:p w14:paraId="01058DCB">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14:paraId="3C455757">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c>
          <w:tcPr>
            <w:tcW w:w="1383" w:type="dxa"/>
            <w:tcBorders>
              <w:top w:val="single" w:color="auto" w:sz="4" w:space="0"/>
              <w:left w:val="single" w:color="auto" w:sz="4" w:space="0"/>
              <w:bottom w:val="single" w:color="auto" w:sz="4" w:space="0"/>
              <w:right w:val="single" w:color="auto" w:sz="4" w:space="0"/>
            </w:tcBorders>
            <w:noWrap w:val="0"/>
            <w:vAlign w:val="top"/>
          </w:tcPr>
          <w:p w14:paraId="1627732A">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r>
      <w:tr w14:paraId="744A8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30" w:type="dxa"/>
            <w:gridSpan w:val="2"/>
            <w:tcBorders>
              <w:top w:val="single" w:color="auto" w:sz="4" w:space="0"/>
              <w:left w:val="single" w:color="auto" w:sz="4" w:space="0"/>
              <w:bottom w:val="single" w:color="auto" w:sz="4" w:space="0"/>
              <w:right w:val="single" w:color="auto" w:sz="4" w:space="0"/>
            </w:tcBorders>
            <w:noWrap w:val="0"/>
            <w:vAlign w:val="top"/>
          </w:tcPr>
          <w:p w14:paraId="11C97882">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r>
              <w:rPr>
                <w:rFonts w:hint="eastAsia" w:ascii="宋体" w:hAnsi="宋体" w:cs="宋体"/>
                <w:spacing w:val="20"/>
                <w:sz w:val="24"/>
                <w:szCs w:val="24"/>
                <w:highlight w:val="none"/>
                <w:lang w:val="en-US" w:eastAsia="zh-CN"/>
              </w:rPr>
              <w:t>报价合计</w:t>
            </w:r>
            <w:r>
              <w:rPr>
                <w:rFonts w:hint="eastAsia" w:ascii="宋体" w:hAnsi="宋体" w:eastAsia="宋体" w:cs="宋体"/>
                <w:spacing w:val="20"/>
                <w:sz w:val="24"/>
                <w:szCs w:val="24"/>
                <w:highlight w:val="none"/>
              </w:rPr>
              <w:t>（元</w:t>
            </w:r>
            <w:r>
              <w:rPr>
                <w:rFonts w:hint="eastAsia" w:ascii="宋体" w:hAnsi="宋体" w:eastAsia="宋体" w:cs="宋体"/>
                <w:spacing w:val="20"/>
                <w:sz w:val="24"/>
                <w:szCs w:val="24"/>
                <w:highlight w:val="none"/>
                <w:lang w:val="en-US" w:eastAsia="zh-CN"/>
              </w:rPr>
              <w:t>/年</w:t>
            </w:r>
            <w:r>
              <w:rPr>
                <w:rFonts w:hint="eastAsia" w:ascii="宋体" w:hAnsi="宋体" w:eastAsia="宋体" w:cs="宋体"/>
                <w:spacing w:val="20"/>
                <w:sz w:val="24"/>
                <w:szCs w:val="24"/>
                <w:highlight w:val="none"/>
              </w:rPr>
              <w:t>）</w:t>
            </w:r>
          </w:p>
        </w:tc>
        <w:tc>
          <w:tcPr>
            <w:tcW w:w="7767" w:type="dxa"/>
            <w:gridSpan w:val="6"/>
            <w:tcBorders>
              <w:top w:val="single" w:color="auto" w:sz="4" w:space="0"/>
              <w:left w:val="single" w:color="auto" w:sz="4" w:space="0"/>
              <w:bottom w:val="single" w:color="auto" w:sz="4" w:space="0"/>
              <w:right w:val="single" w:color="auto" w:sz="4" w:space="0"/>
            </w:tcBorders>
            <w:noWrap w:val="0"/>
            <w:vAlign w:val="top"/>
          </w:tcPr>
          <w:p w14:paraId="1BD2EF5E">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highlight w:val="none"/>
              </w:rPr>
            </w:pPr>
          </w:p>
        </w:tc>
      </w:tr>
    </w:tbl>
    <w:p w14:paraId="6B4E5495">
      <w:pPr>
        <w:spacing w:line="580" w:lineRule="exact"/>
        <w:ind w:right="25" w:rightChars="1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备注：至少应包含上述内容。</w:t>
      </w:r>
    </w:p>
    <w:p w14:paraId="21A7D7A6">
      <w:pPr>
        <w:spacing w:line="580" w:lineRule="exact"/>
        <w:ind w:right="25" w:rightChars="12"/>
        <w:rPr>
          <w:rFonts w:ascii="宋体" w:hAnsi="宋体" w:cs="宋体"/>
          <w:sz w:val="24"/>
        </w:rPr>
      </w:pPr>
    </w:p>
    <w:p w14:paraId="0771013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BD804D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5EFF03D">
      <w:pPr>
        <w:pStyle w:val="12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440" w:bottom="1440" w:left="1440" w:header="850" w:footer="992" w:gutter="0"/>
          <w:pgBorders>
            <w:top w:val="none" w:sz="0" w:space="0"/>
            <w:left w:val="none" w:sz="0" w:space="0"/>
            <w:bottom w:val="none" w:sz="0" w:space="0"/>
            <w:right w:val="none" w:sz="0" w:space="0"/>
          </w:pgBorders>
          <w:cols w:space="0" w:num="1"/>
          <w:titlePg/>
          <w:rtlGutter w:val="0"/>
          <w:docGrid w:linePitch="312" w:charSpace="0"/>
        </w:sectPr>
      </w:pPr>
    </w:p>
    <w:p w14:paraId="75994375">
      <w:pPr>
        <w:pStyle w:val="3"/>
        <w:keepNext w:val="0"/>
        <w:keepLines w:val="0"/>
        <w:pageBreakBefore/>
        <w:widowControl/>
        <w:numPr>
          <w:ilvl w:val="0"/>
          <w:numId w:val="0"/>
        </w:numPr>
        <w:tabs>
          <w:tab w:val="clear" w:pos="432"/>
        </w:tabs>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bookmarkEnd w:id="224"/>
    </w:p>
    <w:p w14:paraId="3546737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CA1EA88">
      <w:pPr>
        <w:adjustRightInd/>
        <w:spacing w:line="360" w:lineRule="auto"/>
        <w:jc w:val="center"/>
        <w:outlineLvl w:val="0"/>
        <w:rPr>
          <w:rFonts w:ascii="宋体" w:hAnsi="宋体" w:cs="仿宋_GB2312"/>
          <w:b/>
          <w:sz w:val="28"/>
          <w:szCs w:val="28"/>
        </w:rPr>
      </w:pPr>
      <w:bookmarkStart w:id="225" w:name="_Toc30002"/>
      <w:bookmarkStart w:id="226" w:name="OLE_LINK13"/>
      <w:bookmarkStart w:id="227" w:name="OLE_LINK14"/>
      <w:r>
        <w:rPr>
          <w:rFonts w:hint="eastAsia" w:ascii="宋体" w:hAnsi="宋体" w:cs="仿宋_GB2312"/>
          <w:b/>
          <w:sz w:val="28"/>
          <w:szCs w:val="28"/>
        </w:rPr>
        <w:t>中小企业声明函（服务）</w:t>
      </w:r>
      <w:bookmarkEnd w:id="225"/>
    </w:p>
    <w:p w14:paraId="6E7D51E2">
      <w:pPr>
        <w:spacing w:line="360" w:lineRule="auto"/>
        <w:ind w:firstLine="360" w:firstLineChars="150"/>
        <w:jc w:val="left"/>
        <w:rPr>
          <w:rFonts w:ascii="宋体" w:hAnsi="宋体" w:cs="宋体"/>
          <w:sz w:val="24"/>
          <w:szCs w:val="24"/>
        </w:rPr>
      </w:pPr>
      <w:r>
        <w:rPr>
          <w:rFonts w:hint="eastAsia" w:ascii="宋体" w:hAnsi="宋体" w:cs="宋体"/>
          <w:sz w:val="24"/>
          <w:szCs w:val="24"/>
        </w:rPr>
        <w:t xml:space="preserve">本公司（联合体）郑重声明，根据《政府采购促进中小企业发展管理办法》（财库﹝2020﹞46 号）的规定，本公司（联合体）参加 </w:t>
      </w:r>
      <w:r>
        <w:rPr>
          <w:rFonts w:hint="eastAsia" w:ascii="宋体" w:hAnsi="宋体" w:cs="宋体"/>
          <w:sz w:val="24"/>
          <w:szCs w:val="24"/>
          <w:u w:val="single"/>
        </w:rPr>
        <w:t xml:space="preserve">（采购人） </w:t>
      </w:r>
      <w:r>
        <w:rPr>
          <w:rFonts w:hint="eastAsia" w:ascii="宋体" w:hAnsi="宋体" w:cs="宋体"/>
          <w:sz w:val="24"/>
          <w:szCs w:val="24"/>
        </w:rPr>
        <w:t>的</w:t>
      </w:r>
      <w:r>
        <w:rPr>
          <w:rFonts w:ascii="宋体" w:hAnsi="宋体" w:cs="宋体"/>
          <w:sz w:val="24"/>
          <w:szCs w:val="24"/>
          <w:u w:val="single"/>
        </w:rPr>
        <w:t xml:space="preserve"> （项目</w:t>
      </w:r>
      <w:r>
        <w:rPr>
          <w:rFonts w:hint="eastAsia" w:ascii="宋体" w:hAnsi="宋体" w:cs="宋体"/>
          <w:sz w:val="24"/>
          <w:szCs w:val="24"/>
          <w:u w:val="single"/>
        </w:rPr>
        <w:t xml:space="preserve">名称） </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BF5A58F">
      <w:pPr>
        <w:numPr>
          <w:ilvl w:val="0"/>
          <w:numId w:val="21"/>
        </w:numPr>
        <w:spacing w:line="360" w:lineRule="auto"/>
        <w:ind w:firstLine="480" w:firstLineChars="200"/>
        <w:jc w:val="left"/>
        <w:rPr>
          <w:rFonts w:ascii="宋体" w:hAnsi="宋体" w:cs="宋体"/>
          <w:sz w:val="24"/>
          <w:szCs w:val="24"/>
        </w:rPr>
      </w:pPr>
      <w:r>
        <w:rPr>
          <w:rFonts w:hint="eastAsia" w:ascii="宋体" w:hAnsi="宋体" w:cs="宋体"/>
          <w:sz w:val="24"/>
          <w:szCs w:val="24"/>
        </w:rPr>
        <w:t>鄞州经济开发区管委会监控维保，属于</w:t>
      </w:r>
      <w:r>
        <w:rPr>
          <w:rFonts w:hint="eastAsia" w:ascii="宋体" w:hAnsi="宋体" w:cs="宋体"/>
          <w:sz w:val="24"/>
          <w:szCs w:val="24"/>
          <w:u w:val="single"/>
        </w:rPr>
        <w:t xml:space="preserve"> </w:t>
      </w:r>
      <w:r>
        <w:rPr>
          <w:rFonts w:ascii="宋体" w:hAnsi="宋体" w:cs="宋体"/>
          <w:b/>
          <w:bCs/>
          <w:sz w:val="24"/>
          <w:szCs w:val="24"/>
          <w:u w:val="single"/>
        </w:rPr>
        <w:t>软件和信息技术服务业</w:t>
      </w:r>
      <w:r>
        <w:rPr>
          <w:rFonts w:hint="eastAsia" w:ascii="宋体" w:hAnsi="宋体" w:cs="宋体"/>
          <w:sz w:val="24"/>
          <w:szCs w:val="24"/>
          <w:u w:val="single"/>
        </w:rPr>
        <w:t xml:space="preserve"> </w:t>
      </w:r>
      <w:r>
        <w:rPr>
          <w:rFonts w:hint="eastAsia" w:ascii="宋体" w:hAnsi="宋体" w:cs="宋体"/>
          <w:sz w:val="24"/>
          <w:szCs w:val="24"/>
        </w:rPr>
        <w:t xml:space="preserve">；承建（承接）企业为 </w:t>
      </w:r>
      <w:r>
        <w:rPr>
          <w:rFonts w:hint="eastAsia" w:ascii="宋体" w:hAnsi="宋体" w:cs="宋体"/>
          <w:sz w:val="24"/>
          <w:szCs w:val="24"/>
          <w:u w:val="single"/>
        </w:rPr>
        <w:t>（企业名称）</w:t>
      </w:r>
      <w:r>
        <w:rPr>
          <w:rFonts w:hint="eastAsia" w:ascii="宋体" w:hAnsi="宋体" w:cs="宋体"/>
          <w:sz w:val="24"/>
          <w:szCs w:val="24"/>
        </w:rPr>
        <w:t xml:space="preserve"> ，从业人员</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w:t>
      </w:r>
      <w:r>
        <w:rPr>
          <w:rFonts w:hint="eastAsia" w:ascii="宋体" w:hAnsi="宋体" w:cs="宋体"/>
          <w:sz w:val="24"/>
          <w:szCs w:val="24"/>
        </w:rPr>
        <w:t>（中型企业、小型企业、微型企业）；</w:t>
      </w:r>
    </w:p>
    <w:p w14:paraId="55AA00DD">
      <w:pPr>
        <w:spacing w:line="360" w:lineRule="auto"/>
        <w:ind w:firstLine="480" w:firstLineChars="200"/>
        <w:rPr>
          <w:rFonts w:ascii="宋体" w:hAnsi="宋体" w:cs="宋体"/>
          <w:sz w:val="24"/>
          <w:szCs w:val="24"/>
        </w:rPr>
      </w:pPr>
      <w:r>
        <w:rPr>
          <w:rFonts w:hint="eastAsia" w:ascii="宋体" w:hAnsi="宋体" w:cs="宋体"/>
          <w:sz w:val="24"/>
          <w:szCs w:val="24"/>
        </w:rPr>
        <w:t>......</w:t>
      </w:r>
    </w:p>
    <w:p w14:paraId="0518E87C">
      <w:pPr>
        <w:spacing w:line="360" w:lineRule="auto"/>
        <w:ind w:firstLine="480" w:firstLineChars="200"/>
        <w:jc w:val="left"/>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0203FF3B">
      <w:pPr>
        <w:spacing w:line="360" w:lineRule="auto"/>
        <w:ind w:firstLine="480" w:firstLineChars="200"/>
        <w:jc w:val="left"/>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78A3E795">
      <w:pPr>
        <w:spacing w:line="360" w:lineRule="auto"/>
        <w:ind w:right="1760"/>
        <w:jc w:val="right"/>
        <w:rPr>
          <w:rFonts w:hint="eastAsia" w:ascii="宋体" w:hAnsi="宋体" w:cs="宋体"/>
          <w:sz w:val="24"/>
          <w:szCs w:val="24"/>
        </w:rPr>
      </w:pPr>
    </w:p>
    <w:p w14:paraId="036E800C">
      <w:pPr>
        <w:spacing w:line="360" w:lineRule="auto"/>
        <w:ind w:right="1760"/>
        <w:jc w:val="right"/>
        <w:rPr>
          <w:rFonts w:ascii="宋体" w:hAnsi="宋体" w:cs="宋体"/>
          <w:sz w:val="24"/>
          <w:szCs w:val="24"/>
        </w:rPr>
      </w:pPr>
      <w:r>
        <w:rPr>
          <w:rFonts w:hint="eastAsia" w:ascii="宋体" w:hAnsi="宋体" w:cs="宋体"/>
          <w:sz w:val="24"/>
          <w:szCs w:val="24"/>
        </w:rPr>
        <w:t>供应商名称（电子签章）：</w:t>
      </w:r>
    </w:p>
    <w:p w14:paraId="0D117A2D">
      <w:pPr>
        <w:spacing w:line="360" w:lineRule="auto"/>
        <w:ind w:right="1120" w:firstLine="4680" w:firstLineChars="1950"/>
        <w:rPr>
          <w:rFonts w:ascii="宋体" w:hAnsi="宋体" w:cs="宋体"/>
          <w:sz w:val="24"/>
          <w:szCs w:val="24"/>
        </w:rPr>
      </w:pPr>
      <w:r>
        <w:rPr>
          <w:rFonts w:hint="eastAsia" w:ascii="宋体" w:hAnsi="宋体" w:cs="宋体"/>
          <w:sz w:val="24"/>
          <w:szCs w:val="24"/>
        </w:rPr>
        <w:t>日 期：</w:t>
      </w:r>
    </w:p>
    <w:p w14:paraId="4DE74839">
      <w:pPr>
        <w:spacing w:line="360" w:lineRule="auto"/>
        <w:ind w:right="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从业人员、营业收入、资产总额填报上一年度数据，无上一年度数据的新成立企业可不填报。</w:t>
      </w:r>
    </w:p>
    <w:p w14:paraId="35D0E982">
      <w:pPr>
        <w:spacing w:line="360" w:lineRule="auto"/>
        <w:ind w:right="420"/>
        <w:rPr>
          <w:rFonts w:ascii="宋体" w:hAnsi="宋体" w:cs="宋体"/>
          <w:b/>
          <w:bCs/>
          <w:color w:val="auto"/>
          <w:sz w:val="24"/>
          <w:highlight w:val="none"/>
        </w:rPr>
      </w:pPr>
      <w:r>
        <w:rPr>
          <w:rFonts w:hint="eastAsia" w:ascii="宋体" w:hAnsi="宋体" w:cs="宋体"/>
          <w:b/>
          <w:bCs/>
          <w:color w:val="auto"/>
          <w:sz w:val="24"/>
          <w:highlight w:val="none"/>
        </w:rPr>
        <w:t>注：1、填写要求：①“标的名称”、“采购文件中明确的所属行业”依据采购文件第</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E3C4078">
      <w:pPr>
        <w:spacing w:line="360" w:lineRule="auto"/>
        <w:ind w:right="420" w:firstLine="482" w:firstLineChars="200"/>
        <w:rPr>
          <w:rFonts w:hint="eastAsia" w:ascii="宋体" w:hAnsi="宋体" w:eastAsia="宋体" w:cs="宋体"/>
          <w:b w:val="0"/>
          <w:bCs w:val="0"/>
          <w:sz w:val="21"/>
          <w:szCs w:val="21"/>
          <w:u w:val="single"/>
          <w:lang w:val="en-US"/>
        </w:rPr>
      </w:pPr>
      <w:r>
        <w:rPr>
          <w:rFonts w:hint="eastAsia" w:ascii="宋体" w:hAnsi="宋体" w:cs="宋体"/>
          <w:b/>
          <w:bCs/>
          <w:color w:val="auto"/>
          <w:sz w:val="24"/>
          <w:highlight w:val="none"/>
          <w:lang w:val="en-US" w:eastAsia="zh-CN"/>
        </w:rPr>
        <w:t>软件和信息技术服务</w:t>
      </w:r>
      <w:r>
        <w:rPr>
          <w:rFonts w:hint="eastAsia" w:ascii="宋体" w:hAnsi="宋体" w:eastAsia="宋体" w:cs="宋体"/>
          <w:b/>
          <w:bCs/>
          <w:color w:val="auto"/>
          <w:sz w:val="24"/>
          <w:highlight w:val="none"/>
          <w:lang w:val="en-US"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B5D3B3F">
      <w:pPr>
        <w:spacing w:line="360" w:lineRule="auto"/>
        <w:ind w:right="42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A27CCF7">
      <w:pPr>
        <w:spacing w:line="360" w:lineRule="auto"/>
        <w:jc w:val="center"/>
        <w:rPr>
          <w:rFonts w:ascii="宋体" w:hAnsi="宋体" w:cs="宋体"/>
          <w:b/>
          <w:color w:val="auto"/>
          <w:sz w:val="32"/>
          <w:szCs w:val="32"/>
          <w:highlight w:val="none"/>
        </w:rPr>
      </w:pPr>
    </w:p>
    <w:p w14:paraId="73373E9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FBF738A">
      <w:pPr>
        <w:autoSpaceDE w:val="0"/>
        <w:autoSpaceDN w:val="0"/>
        <w:jc w:val="both"/>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w:t>
      </w:r>
    </w:p>
    <w:p w14:paraId="0FE67912">
      <w:pPr>
        <w:spacing w:line="360" w:lineRule="auto"/>
        <w:jc w:val="both"/>
        <w:rPr>
          <w:rFonts w:hint="eastAsia" w:ascii="宋体" w:hAnsi="宋体" w:cs="宋体"/>
          <w:b/>
          <w:color w:val="auto"/>
          <w:spacing w:val="6"/>
          <w:sz w:val="32"/>
          <w:szCs w:val="32"/>
          <w:highlight w:val="none"/>
        </w:rPr>
      </w:pPr>
    </w:p>
    <w:p w14:paraId="0F0E60E3">
      <w:pPr>
        <w:spacing w:line="360" w:lineRule="auto"/>
        <w:jc w:val="center"/>
        <w:rPr>
          <w:rFonts w:ascii="宋体" w:hAnsi="宋体" w:cs="宋体"/>
          <w:b/>
          <w:color w:val="auto"/>
          <w:spacing w:val="6"/>
          <w:sz w:val="30"/>
          <w:szCs w:val="30"/>
          <w:highlight w:val="none"/>
        </w:rPr>
      </w:pPr>
      <w:r>
        <w:rPr>
          <w:rFonts w:hint="eastAsia" w:ascii="宋体" w:hAnsi="宋体" w:cs="宋体"/>
          <w:b/>
          <w:color w:val="auto"/>
          <w:spacing w:val="6"/>
          <w:sz w:val="32"/>
          <w:szCs w:val="32"/>
          <w:highlight w:val="none"/>
        </w:rPr>
        <w:t>残疾人福利性单位声明函</w:t>
      </w:r>
      <w:bookmarkEnd w:id="226"/>
      <w:bookmarkEnd w:id="227"/>
    </w:p>
    <w:p w14:paraId="0582D2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D284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67C27DF">
      <w:pPr>
        <w:spacing w:line="360" w:lineRule="auto"/>
        <w:ind w:firstLine="480" w:firstLineChars="200"/>
        <w:rPr>
          <w:rFonts w:ascii="宋体" w:hAnsi="宋体" w:cs="宋体"/>
          <w:color w:val="auto"/>
          <w:sz w:val="24"/>
          <w:highlight w:val="none"/>
        </w:rPr>
      </w:pPr>
    </w:p>
    <w:p w14:paraId="78A8079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55B9C35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F259A17">
      <w:pPr>
        <w:spacing w:line="360" w:lineRule="auto"/>
        <w:ind w:firstLine="480" w:firstLineChars="200"/>
        <w:rPr>
          <w:rFonts w:ascii="宋体" w:hAnsi="宋体" w:cs="宋体"/>
          <w:color w:val="auto"/>
          <w:sz w:val="24"/>
          <w:highlight w:val="none"/>
        </w:rPr>
      </w:pPr>
    </w:p>
    <w:p w14:paraId="6CA1853D">
      <w:pPr>
        <w:pStyle w:val="120"/>
        <w:keepNext w:val="0"/>
        <w:pageBreakBefore w:val="0"/>
        <w:tabs>
          <w:tab w:val="clear" w:pos="720"/>
        </w:tabs>
        <w:adjustRightInd/>
        <w:jc w:val="both"/>
        <w:outlineLvl w:val="9"/>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注：享受政府采购支持政策的残疾人福利性单位应当同时满足以下条件：</w:t>
      </w:r>
    </w:p>
    <w:p w14:paraId="2AFFF34A">
      <w:pPr>
        <w:pStyle w:val="120"/>
        <w:keepNext w:val="0"/>
        <w:pageBreakBefore w:val="0"/>
        <w:tabs>
          <w:tab w:val="clear" w:pos="720"/>
        </w:tabs>
        <w:adjustRightInd/>
        <w:jc w:val="both"/>
        <w:outlineLvl w:val="9"/>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（一）安置的残疾人占本单位在职职工人数的比例不低于25%（含25%），并且安置的残疾人人数不少于10人（含10人）；</w:t>
      </w:r>
    </w:p>
    <w:p w14:paraId="284F05D3">
      <w:pPr>
        <w:pStyle w:val="120"/>
        <w:keepNext w:val="0"/>
        <w:pageBreakBefore w:val="0"/>
        <w:tabs>
          <w:tab w:val="clear" w:pos="720"/>
        </w:tabs>
        <w:adjustRightInd/>
        <w:jc w:val="both"/>
        <w:outlineLvl w:val="9"/>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（二）依法与安置的每位残疾人签订了一年以上（含一年）的劳动合同或服务协议；</w:t>
      </w:r>
    </w:p>
    <w:p w14:paraId="30CF6474">
      <w:pPr>
        <w:pStyle w:val="120"/>
        <w:keepNext w:val="0"/>
        <w:pageBreakBefore w:val="0"/>
        <w:tabs>
          <w:tab w:val="clear" w:pos="720"/>
        </w:tabs>
        <w:adjustRightInd/>
        <w:jc w:val="both"/>
        <w:outlineLvl w:val="9"/>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（三）为安置的每位残疾人按月足额缴纳了基本养老保险、基本医疗保险、失业保险、工伤保险和生育保险等社会保险费；</w:t>
      </w:r>
    </w:p>
    <w:p w14:paraId="67AAF4C2">
      <w:pPr>
        <w:pStyle w:val="120"/>
        <w:keepNext w:val="0"/>
        <w:pageBreakBefore w:val="0"/>
        <w:tabs>
          <w:tab w:val="clear" w:pos="720"/>
        </w:tabs>
        <w:adjustRightInd/>
        <w:jc w:val="both"/>
        <w:outlineLvl w:val="9"/>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（四）通过银行等金融机构向安置的每位残疾人，按月支付了不低于单位所在区县适用的经省级人民政府批准的月最低工资标准的工资；</w:t>
      </w:r>
    </w:p>
    <w:p w14:paraId="7DDB2995">
      <w:pPr>
        <w:pStyle w:val="120"/>
        <w:keepNext w:val="0"/>
        <w:pageBreakBefore w:val="0"/>
        <w:tabs>
          <w:tab w:val="clear" w:pos="720"/>
        </w:tabs>
        <w:adjustRightInd/>
        <w:jc w:val="both"/>
        <w:outlineLvl w:val="9"/>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（五）提供本单位制造的货物、承担的工程或者服务（以下简称产品），或者提供其他残疾人福利性单位制造的货物（不包括使用非残疾人福利性单位注册商标的货物）。</w:t>
      </w:r>
    </w:p>
    <w:p w14:paraId="10C339A1">
      <w:pPr>
        <w:spacing w:line="360" w:lineRule="auto"/>
        <w:ind w:firstLine="482" w:firstLineChars="200"/>
        <w:rPr>
          <w:rFonts w:ascii="宋体" w:hAnsi="宋体" w:cs="宋体"/>
          <w:color w:val="auto"/>
          <w:highlight w:val="none"/>
        </w:rPr>
      </w:pPr>
      <w:r>
        <w:rPr>
          <w:rFonts w:hint="eastAsia" w:ascii="宋体" w:hAnsi="宋体" w:cs="宋体"/>
          <w:b/>
          <w:bCs/>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E70C58">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2EA18D2">
      <w:pPr>
        <w:autoSpaceDE w:val="0"/>
        <w:autoSpaceDN w:val="0"/>
        <w:jc w:val="both"/>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p>
    <w:p w14:paraId="023EACB5">
      <w:pPr>
        <w:autoSpaceDE w:val="0"/>
        <w:autoSpaceDN w:val="0"/>
        <w:jc w:val="both"/>
        <w:rPr>
          <w:rFonts w:hint="eastAsia" w:ascii="宋体" w:hAnsi="宋体" w:cs="宋体"/>
          <w:b/>
          <w:bCs/>
          <w:color w:val="auto"/>
          <w:sz w:val="32"/>
          <w:szCs w:val="32"/>
          <w:highlight w:val="none"/>
        </w:rPr>
      </w:pPr>
    </w:p>
    <w:p w14:paraId="12D9D928">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75C326E8">
      <w:pPr>
        <w:spacing w:line="360" w:lineRule="auto"/>
        <w:rPr>
          <w:rFonts w:ascii="宋体" w:hAnsi="宋体" w:cs="宋体"/>
          <w:color w:val="auto"/>
          <w:sz w:val="24"/>
          <w:highlight w:val="none"/>
          <w:u w:val="single"/>
        </w:rPr>
      </w:pPr>
    </w:p>
    <w:p w14:paraId="6D0F3D4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single"/>
          <w:lang w:eastAsia="zh-CN"/>
        </w:rPr>
        <w:t>宁波市鄞州经济开发区管理委员会</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宁波中基国际招标有限公司</w:t>
      </w:r>
    </w:p>
    <w:p w14:paraId="4E8DF46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鄞州经济开发区管委会监控维保项目</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CBNB-20252091G</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采购</w:t>
      </w:r>
      <w:r>
        <w:rPr>
          <w:rFonts w:hint="eastAsia" w:ascii="宋体" w:hAnsi="宋体" w:cs="宋体"/>
          <w:bCs/>
          <w:color w:val="auto"/>
          <w:sz w:val="24"/>
          <w:highlight w:val="none"/>
        </w:rPr>
        <w:t>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98C4D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4F8C947">
      <w:pPr>
        <w:spacing w:line="360" w:lineRule="auto"/>
        <w:ind w:firstLine="494"/>
        <w:rPr>
          <w:rFonts w:ascii="宋体" w:hAnsi="宋体" w:cs="宋体"/>
          <w:color w:val="auto"/>
          <w:sz w:val="24"/>
          <w:highlight w:val="none"/>
        </w:rPr>
      </w:pPr>
    </w:p>
    <w:p w14:paraId="66629552">
      <w:pPr>
        <w:spacing w:line="360" w:lineRule="auto"/>
        <w:ind w:firstLine="494"/>
        <w:rPr>
          <w:rFonts w:ascii="宋体" w:hAnsi="宋体" w:cs="宋体"/>
          <w:color w:val="auto"/>
          <w:sz w:val="24"/>
          <w:highlight w:val="none"/>
        </w:rPr>
      </w:pPr>
    </w:p>
    <w:p w14:paraId="7FDB591D">
      <w:pPr>
        <w:spacing w:line="360" w:lineRule="auto"/>
        <w:ind w:firstLine="494"/>
        <w:rPr>
          <w:rFonts w:ascii="宋体" w:hAnsi="宋体" w:cs="宋体"/>
          <w:color w:val="auto"/>
          <w:sz w:val="24"/>
          <w:highlight w:val="none"/>
        </w:rPr>
      </w:pPr>
    </w:p>
    <w:p w14:paraId="286746DF">
      <w:pPr>
        <w:spacing w:line="360" w:lineRule="auto"/>
        <w:ind w:firstLine="494"/>
        <w:rPr>
          <w:rFonts w:ascii="宋体" w:hAnsi="宋体" w:cs="宋体"/>
          <w:color w:val="auto"/>
          <w:sz w:val="24"/>
          <w:highlight w:val="none"/>
        </w:rPr>
      </w:pPr>
    </w:p>
    <w:p w14:paraId="4BE541D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5E86F0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41F49F1">
      <w:pPr>
        <w:rPr>
          <w:rFonts w:ascii="宋体" w:hAnsi="宋体" w:cs="宋体"/>
          <w:color w:val="auto"/>
          <w:sz w:val="24"/>
          <w:highlight w:val="none"/>
        </w:rPr>
      </w:pPr>
      <w:r>
        <w:rPr>
          <w:rFonts w:hint="eastAsia" w:ascii="宋体" w:hAnsi="宋体" w:cs="宋体"/>
          <w:b/>
          <w:bCs/>
          <w:color w:val="auto"/>
          <w:sz w:val="24"/>
          <w:highlight w:val="none"/>
        </w:rPr>
        <w:t>附：</w:t>
      </w:r>
    </w:p>
    <w:p w14:paraId="46552F79">
      <w:pPr>
        <w:spacing w:line="360" w:lineRule="auto"/>
        <w:rPr>
          <w:rFonts w:ascii="宋体" w:hAnsi="宋体" w:cs="宋体"/>
          <w:bCs/>
          <w:color w:val="auto"/>
          <w:sz w:val="24"/>
          <w:highlight w:val="none"/>
        </w:rPr>
      </w:pPr>
      <w:r>
        <w:rPr>
          <w:rFonts w:ascii="宋体" w:hAnsi="宋体" w:cs="宋体"/>
          <w:b w:val="0"/>
          <w:bCs w:val="0"/>
          <w:color w:val="auto"/>
          <w:sz w:val="24"/>
          <w:highlight w:val="none"/>
        </w:rPr>
        <mc:AlternateContent>
          <mc:Choice Requires="wps">
            <w:drawing>
              <wp:anchor distT="0" distB="0" distL="114300" distR="114300" simplePos="0" relativeHeight="25168281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95B8EFA">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36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XpPkzACAACA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yXpPkzACAACABAAADgAAAAAAAAABACAAAAAnAQAAZHJzL2Uyb0RvYy54&#10;bWxQSwUGAAAAAAYABgBZAQAAyQUAAAAA&#10;">
                <v:fill on="t" focussize="0,0"/>
                <v:stroke color="#000000" miterlimit="2" joinstyle="miter"/>
                <v:imagedata o:title=""/>
                <o:lock v:ext="edit" aspectratio="f"/>
                <v:textbox>
                  <w:txbxContent>
                    <w:p w14:paraId="295B8EFA">
                      <w:pPr>
                        <w:jc w:val="center"/>
                      </w:pPr>
                    </w:p>
                  </w:txbxContent>
                </v:textbox>
              </v:rect>
            </w:pict>
          </mc:Fallback>
        </mc:AlternateContent>
      </w:r>
      <w:r>
        <w:rPr>
          <w:rFonts w:ascii="宋体" w:hAnsi="宋体" w:cs="宋体"/>
          <w:b w:val="0"/>
          <w:bCs w:val="0"/>
          <w:color w:val="auto"/>
          <w:sz w:val="24"/>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9BF7CF8">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9BF7CF8">
                      <w:pPr>
                        <w:jc w:val="center"/>
                      </w:pPr>
                    </w:p>
                  </w:txbxContent>
                </v:textbox>
              </v:rect>
            </w:pict>
          </mc:Fallback>
        </mc:AlternateContent>
      </w:r>
      <w:r>
        <w:rPr>
          <w:rFonts w:hint="eastAsia" w:ascii="宋体" w:hAnsi="宋体" w:cs="宋体"/>
          <w:b w:val="0"/>
          <w:bCs w:val="0"/>
          <w:color w:val="auto"/>
          <w:sz w:val="24"/>
          <w:highlight w:val="none"/>
        </w:rPr>
        <w:t>供应商</w:t>
      </w:r>
      <w:r>
        <w:rPr>
          <w:rFonts w:hint="eastAsia" w:ascii="宋体" w:hAnsi="宋体" w:cs="宋体"/>
          <w:color w:val="auto"/>
          <w:sz w:val="24"/>
          <w:highlight w:val="none"/>
        </w:rPr>
        <w:t>法定名称章（印模）                供应商“XX专用章”（印模）</w:t>
      </w:r>
    </w:p>
    <w:p w14:paraId="2DB1E249">
      <w:pPr>
        <w:autoSpaceDE w:val="0"/>
        <w:autoSpaceDN w:val="0"/>
        <w:jc w:val="center"/>
        <w:rPr>
          <w:rFonts w:ascii="宋体" w:hAnsi="宋体" w:cs="宋体"/>
          <w:b/>
          <w:color w:val="auto"/>
          <w:spacing w:val="6"/>
          <w:sz w:val="32"/>
          <w:szCs w:val="32"/>
          <w:highlight w:val="none"/>
        </w:rPr>
      </w:pPr>
    </w:p>
    <w:p w14:paraId="5C8D2540">
      <w:pPr>
        <w:autoSpaceDE w:val="0"/>
        <w:autoSpaceDN w:val="0"/>
        <w:jc w:val="center"/>
        <w:rPr>
          <w:rFonts w:ascii="宋体" w:hAnsi="宋体" w:cs="宋体"/>
          <w:b/>
          <w:color w:val="auto"/>
          <w:spacing w:val="6"/>
          <w:sz w:val="32"/>
          <w:szCs w:val="32"/>
          <w:highlight w:val="none"/>
        </w:rPr>
      </w:pPr>
    </w:p>
    <w:p w14:paraId="464ECE58">
      <w:pPr>
        <w:autoSpaceDE w:val="0"/>
        <w:autoSpaceDN w:val="0"/>
        <w:jc w:val="center"/>
        <w:rPr>
          <w:rFonts w:ascii="宋体" w:hAnsi="宋体" w:cs="宋体"/>
          <w:b/>
          <w:color w:val="auto"/>
          <w:spacing w:val="6"/>
          <w:sz w:val="32"/>
          <w:szCs w:val="32"/>
          <w:highlight w:val="none"/>
        </w:rPr>
      </w:pPr>
    </w:p>
    <w:p w14:paraId="6F029771">
      <w:pPr>
        <w:autoSpaceDE w:val="0"/>
        <w:autoSpaceDN w:val="0"/>
        <w:jc w:val="center"/>
        <w:rPr>
          <w:rFonts w:ascii="宋体" w:hAnsi="宋体" w:cs="宋体"/>
          <w:b/>
          <w:color w:val="auto"/>
          <w:spacing w:val="6"/>
          <w:sz w:val="32"/>
          <w:szCs w:val="32"/>
          <w:highlight w:val="none"/>
        </w:rPr>
      </w:pPr>
    </w:p>
    <w:p w14:paraId="7E188F24">
      <w:pPr>
        <w:autoSpaceDE w:val="0"/>
        <w:autoSpaceDN w:val="0"/>
        <w:jc w:val="center"/>
        <w:rPr>
          <w:rFonts w:ascii="宋体" w:hAnsi="宋体" w:cs="宋体"/>
          <w:b/>
          <w:color w:val="auto"/>
          <w:spacing w:val="6"/>
          <w:sz w:val="32"/>
          <w:szCs w:val="32"/>
          <w:highlight w:val="none"/>
        </w:rPr>
      </w:pPr>
    </w:p>
    <w:p w14:paraId="766ED081">
      <w:pPr>
        <w:autoSpaceDE w:val="0"/>
        <w:autoSpaceDN w:val="0"/>
        <w:jc w:val="center"/>
        <w:rPr>
          <w:rFonts w:ascii="宋体" w:hAnsi="宋体" w:cs="宋体"/>
          <w:b/>
          <w:color w:val="auto"/>
          <w:spacing w:val="6"/>
          <w:sz w:val="32"/>
          <w:szCs w:val="32"/>
          <w:highlight w:val="none"/>
        </w:rPr>
      </w:pPr>
    </w:p>
    <w:p w14:paraId="2F7FCA83">
      <w:pPr>
        <w:autoSpaceDE w:val="0"/>
        <w:autoSpaceDN w:val="0"/>
        <w:jc w:val="center"/>
        <w:rPr>
          <w:rFonts w:ascii="宋体" w:hAnsi="宋体" w:cs="宋体"/>
          <w:b/>
          <w:color w:val="auto"/>
          <w:spacing w:val="6"/>
          <w:sz w:val="32"/>
          <w:szCs w:val="32"/>
          <w:highlight w:val="none"/>
        </w:rPr>
      </w:pPr>
    </w:p>
    <w:p w14:paraId="7E4CDC19">
      <w:pPr>
        <w:autoSpaceDE w:val="0"/>
        <w:autoSpaceDN w:val="0"/>
        <w:jc w:val="center"/>
        <w:rPr>
          <w:rFonts w:ascii="宋体" w:hAnsi="宋体" w:cs="宋体"/>
          <w:b/>
          <w:color w:val="auto"/>
          <w:spacing w:val="6"/>
          <w:sz w:val="32"/>
          <w:szCs w:val="32"/>
          <w:highlight w:val="none"/>
        </w:rPr>
      </w:pPr>
    </w:p>
    <w:p w14:paraId="19D7901C">
      <w:pPr>
        <w:autoSpaceDE w:val="0"/>
        <w:autoSpaceDN w:val="0"/>
        <w:jc w:val="center"/>
        <w:rPr>
          <w:rFonts w:ascii="宋体" w:hAnsi="宋体" w:cs="宋体"/>
          <w:b/>
          <w:color w:val="auto"/>
          <w:spacing w:val="6"/>
          <w:sz w:val="32"/>
          <w:szCs w:val="32"/>
          <w:highlight w:val="none"/>
        </w:rPr>
      </w:pPr>
    </w:p>
    <w:p w14:paraId="362B14DF">
      <w:pPr>
        <w:autoSpaceDE w:val="0"/>
        <w:autoSpaceDN w:val="0"/>
        <w:jc w:val="center"/>
        <w:rPr>
          <w:rFonts w:ascii="宋体" w:hAnsi="宋体" w:cs="宋体"/>
          <w:b/>
          <w:color w:val="auto"/>
          <w:spacing w:val="6"/>
          <w:sz w:val="32"/>
          <w:szCs w:val="32"/>
          <w:highlight w:val="none"/>
        </w:rPr>
      </w:pPr>
    </w:p>
    <w:p w14:paraId="28C8B769">
      <w:pPr>
        <w:autoSpaceDE w:val="0"/>
        <w:autoSpaceDN w:val="0"/>
        <w:jc w:val="center"/>
        <w:rPr>
          <w:rFonts w:ascii="宋体" w:hAnsi="宋体" w:cs="宋体"/>
          <w:b/>
          <w:color w:val="auto"/>
          <w:spacing w:val="6"/>
          <w:sz w:val="32"/>
          <w:szCs w:val="32"/>
          <w:highlight w:val="none"/>
        </w:rPr>
      </w:pPr>
    </w:p>
    <w:p w14:paraId="3FB0666B">
      <w:pPr>
        <w:autoSpaceDE w:val="0"/>
        <w:autoSpaceDN w:val="0"/>
        <w:jc w:val="center"/>
        <w:rPr>
          <w:rFonts w:ascii="宋体" w:hAnsi="宋体" w:cs="宋体"/>
          <w:b/>
          <w:color w:val="auto"/>
          <w:spacing w:val="6"/>
          <w:sz w:val="32"/>
          <w:szCs w:val="32"/>
          <w:highlight w:val="none"/>
        </w:rPr>
      </w:pPr>
    </w:p>
    <w:p w14:paraId="7F86D6C4">
      <w:pPr>
        <w:autoSpaceDE w:val="0"/>
        <w:autoSpaceDN w:val="0"/>
        <w:jc w:val="center"/>
        <w:rPr>
          <w:rFonts w:ascii="宋体" w:hAnsi="宋体" w:cs="宋体"/>
          <w:b/>
          <w:color w:val="auto"/>
          <w:spacing w:val="6"/>
          <w:sz w:val="32"/>
          <w:szCs w:val="32"/>
          <w:highlight w:val="none"/>
        </w:rPr>
      </w:pPr>
    </w:p>
    <w:p w14:paraId="15CEB1A4">
      <w:pPr>
        <w:autoSpaceDE w:val="0"/>
        <w:autoSpaceDN w:val="0"/>
        <w:jc w:val="both"/>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p>
    <w:p w14:paraId="03A899B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r>
        <w:rPr>
          <w:rFonts w:hint="eastAsia" w:ascii="宋体" w:hAnsi="宋体" w:cs="宋体"/>
          <w:b/>
          <w:color w:val="auto"/>
          <w:kern w:val="0"/>
          <w:sz w:val="32"/>
          <w:szCs w:val="32"/>
          <w:highlight w:val="none"/>
          <w:lang w:val="zh-CN"/>
        </w:rPr>
        <w:t>（</w:t>
      </w:r>
      <w:r>
        <w:rPr>
          <w:rFonts w:hint="eastAsia" w:ascii="宋体" w:hAnsi="宋体" w:cs="宋体"/>
          <w:b/>
          <w:color w:val="auto"/>
          <w:kern w:val="0"/>
          <w:sz w:val="32"/>
          <w:szCs w:val="32"/>
          <w:highlight w:val="none"/>
          <w:lang w:val="en-US" w:eastAsia="zh-CN"/>
        </w:rPr>
        <w:t>本项目不适用</w:t>
      </w:r>
      <w:r>
        <w:rPr>
          <w:rFonts w:hint="eastAsia" w:ascii="宋体" w:hAnsi="宋体" w:cs="宋体"/>
          <w:b/>
          <w:color w:val="auto"/>
          <w:kern w:val="0"/>
          <w:sz w:val="32"/>
          <w:szCs w:val="32"/>
          <w:highlight w:val="none"/>
          <w:lang w:val="zh-CN"/>
        </w:rPr>
        <w:t>）</w:t>
      </w:r>
    </w:p>
    <w:p w14:paraId="229A50B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29DAD5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val="en-US" w:eastAsia="zh-CN"/>
        </w:rPr>
        <w:t xml:space="preserve"> （项目名称） </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BD022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7706A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FCB7B3A">
      <w:pPr>
        <w:pStyle w:val="4"/>
        <w:ind w:left="664" w:leftChars="316" w:firstLine="229" w:firstLineChars="95"/>
        <w:rPr>
          <w:rFonts w:ascii="宋体" w:hAnsi="宋体" w:eastAsia="宋体" w:cs="宋体"/>
          <w:color w:val="auto"/>
          <w:kern w:val="0"/>
          <w:sz w:val="24"/>
          <w:szCs w:val="24"/>
          <w:highlight w:val="none"/>
        </w:rPr>
      </w:pPr>
      <w:bookmarkStart w:id="228" w:name="_Toc13973"/>
      <w:bookmarkStart w:id="229" w:name="_Toc7437"/>
      <w:r>
        <w:rPr>
          <w:rFonts w:hint="eastAsia" w:ascii="宋体" w:hAnsi="宋体" w:eastAsia="宋体" w:cs="宋体"/>
          <w:color w:val="auto"/>
          <w:kern w:val="0"/>
          <w:sz w:val="24"/>
          <w:szCs w:val="24"/>
          <w:highlight w:val="none"/>
        </w:rPr>
        <w:t>……</w:t>
      </w:r>
      <w:bookmarkEnd w:id="228"/>
      <w:bookmarkEnd w:id="229"/>
    </w:p>
    <w:p w14:paraId="3D8946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26309E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6E0DB4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01FF0D0">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D92AD2B">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11B3430">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B38773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C82D6C">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2960B1C">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6EB550">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9F4B5EA">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A90252">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6ED1680">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68E60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6438058F">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21DC973B">
      <w:pPr>
        <w:autoSpaceDE/>
        <w:autoSpaceDN/>
        <w:spacing w:line="360" w:lineRule="auto"/>
        <w:jc w:val="center"/>
        <w:rPr>
          <w:rFonts w:ascii="宋体" w:hAnsi="宋体" w:cs="宋体"/>
          <w:b/>
          <w:color w:val="auto"/>
          <w:spacing w:val="6"/>
          <w:sz w:val="32"/>
          <w:szCs w:val="32"/>
          <w:highlight w:val="none"/>
        </w:rPr>
      </w:pPr>
      <w:r>
        <w:rPr>
          <w:rFonts w:hint="eastAsia" w:ascii="宋体" w:hAnsi="宋体" w:cs="宋体"/>
          <w:color w:val="auto"/>
          <w:kern w:val="0"/>
          <w:sz w:val="24"/>
          <w:highlight w:val="none"/>
          <w:lang w:val="zh-CN"/>
        </w:rPr>
        <w:t xml:space="preserve">                                      日期：  年  月   日</w:t>
      </w:r>
    </w:p>
    <w:p w14:paraId="06AFEA07">
      <w:pPr>
        <w:autoSpaceDE w:val="0"/>
        <w:autoSpaceDN w:val="0"/>
        <w:jc w:val="center"/>
        <w:rPr>
          <w:rFonts w:ascii="宋体" w:hAnsi="宋体" w:cs="宋体"/>
          <w:b/>
          <w:color w:val="auto"/>
          <w:spacing w:val="6"/>
          <w:sz w:val="32"/>
          <w:szCs w:val="32"/>
          <w:highlight w:val="none"/>
        </w:rPr>
        <w:sectPr>
          <w:footerReference r:id="rId22" w:type="first"/>
          <w:headerReference r:id="rId20" w:type="default"/>
          <w:footerReference r:id="rId21" w:type="default"/>
          <w:pgSz w:w="11905" w:h="16838"/>
          <w:pgMar w:top="1440" w:right="1440" w:bottom="1440" w:left="1440" w:header="850" w:footer="992" w:gutter="0"/>
          <w:pgBorders>
            <w:top w:val="none" w:sz="0" w:space="0"/>
            <w:left w:val="none" w:sz="0" w:space="0"/>
            <w:bottom w:val="none" w:sz="0" w:space="0"/>
            <w:right w:val="none" w:sz="0" w:space="0"/>
          </w:pgBorders>
          <w:cols w:space="0" w:num="1"/>
          <w:titlePg/>
          <w:rtlGutter w:val="0"/>
          <w:docGrid w:linePitch="312" w:charSpace="0"/>
        </w:sectPr>
      </w:pPr>
    </w:p>
    <w:p w14:paraId="6E032532">
      <w:pPr>
        <w:rPr>
          <w:color w:val="auto"/>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cs="宋体"/>
          <w:b/>
          <w:color w:val="auto"/>
          <w:spacing w:val="6"/>
          <w:sz w:val="32"/>
          <w:szCs w:val="32"/>
          <w:highlight w:val="none"/>
        </w:rPr>
        <w:t>：</w:t>
      </w:r>
    </w:p>
    <w:p w14:paraId="3EF049BB">
      <w:pPr>
        <w:pStyle w:val="58"/>
        <w:spacing w:before="0" w:beforeAutospacing="0" w:after="0" w:afterAutospacing="0" w:line="360" w:lineRule="auto"/>
        <w:jc w:val="center"/>
        <w:rPr>
          <w:rFonts w:hint="eastAsia" w:ascii="宋体" w:hAnsi="宋体" w:eastAsia="宋体" w:cs="宋体"/>
          <w:color w:val="auto"/>
          <w:highlight w:val="none"/>
        </w:rPr>
      </w:pPr>
      <w:r>
        <w:rPr>
          <w:rFonts w:hint="eastAsia" w:ascii="宋体" w:hAnsi="宋体" w:eastAsia="宋体" w:cs="宋体"/>
          <w:b/>
          <w:bCs/>
          <w:color w:val="auto"/>
          <w:kern w:val="2"/>
          <w:highlight w:val="none"/>
        </w:rPr>
        <w:t>加强政府采购售后服务、质量管理须知</w:t>
      </w:r>
    </w:p>
    <w:p w14:paraId="11D58C31">
      <w:pPr>
        <w:pStyle w:val="58"/>
        <w:spacing w:before="0" w:beforeAutospacing="0" w:after="0" w:afterAutospacing="0" w:line="360" w:lineRule="auto"/>
        <w:rPr>
          <w:rFonts w:hint="eastAsia" w:ascii="宋体" w:hAnsi="宋体" w:eastAsia="宋体" w:cs="宋体"/>
          <w:bCs/>
          <w:color w:val="auto"/>
          <w:kern w:val="2"/>
          <w:sz w:val="21"/>
          <w:szCs w:val="21"/>
          <w:highlight w:val="none"/>
        </w:rPr>
      </w:pPr>
    </w:p>
    <w:p w14:paraId="4D7A60F0">
      <w:pPr>
        <w:pStyle w:val="58"/>
        <w:spacing w:before="0" w:beforeAutospacing="0" w:after="0" w:afterAutospacing="0" w:line="360" w:lineRule="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本招标文件就有关政府采购合同履行、质量及服务事项告知如下：</w:t>
      </w:r>
    </w:p>
    <w:p w14:paraId="34FE77D3">
      <w:pPr>
        <w:pStyle w:val="58"/>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一、 政府采购售后服务联系须知</w:t>
      </w:r>
    </w:p>
    <w:p w14:paraId="24B2E06E">
      <w:pPr>
        <w:pStyle w:val="58"/>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    《鄞州区政府采购售后服务联系单》由鄞州区财政局采购办按统一格式制作，中标或成交</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向招标机构领取、填写并粘贴在设备醒目位置（不适合粘贴的除外），工程和服务项目由采购人和</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协商解决，保证采购人在遇到售后服务问题时能及时便利与</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联系。</w:t>
      </w:r>
    </w:p>
    <w:p w14:paraId="13CE7344">
      <w:pPr>
        <w:pStyle w:val="58"/>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二、政府采购质量跟踪和检查须知   </w:t>
      </w:r>
    </w:p>
    <w:p w14:paraId="1D76152C">
      <w:pPr>
        <w:pStyle w:val="58"/>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鄞州区财政局采购办将根据不定期检查的情况或采购人填写的《鄞州区政府采购质量、服务存在问题反馈表》的反馈情况，聘请质量监督部门、政府采购专家和有关单位鉴定供货（服务）质量，检查是否符合和满足招标文件的要求和配置，</w:t>
      </w:r>
      <w:r>
        <w:rPr>
          <w:rFonts w:hint="eastAsia" w:cs="宋体"/>
          <w:bCs/>
          <w:color w:val="auto"/>
          <w:kern w:val="2"/>
          <w:sz w:val="24"/>
          <w:szCs w:val="24"/>
          <w:highlight w:val="none"/>
          <w:lang w:eastAsia="zh-CN"/>
        </w:rPr>
        <w:t>是否</w:t>
      </w:r>
      <w:r>
        <w:rPr>
          <w:rFonts w:hint="eastAsia" w:ascii="宋体" w:hAnsi="宋体" w:eastAsia="宋体" w:cs="宋体"/>
          <w:bCs/>
          <w:color w:val="auto"/>
          <w:kern w:val="2"/>
          <w:sz w:val="24"/>
          <w:szCs w:val="24"/>
          <w:highlight w:val="none"/>
        </w:rPr>
        <w:t>存在以次充好、弄虚作假、售后服务工作不到位、不负责任或故意推诿、拖延等情节。</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应自觉接受并积极配合政府采购产品质量监督检查，如实反映情况。</w:t>
      </w:r>
    </w:p>
    <w:p w14:paraId="571FDD9E">
      <w:pPr>
        <w:pStyle w:val="58"/>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    三、</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监督管理须知</w:t>
      </w:r>
    </w:p>
    <w:p w14:paraId="346E8173">
      <w:pPr>
        <w:pStyle w:val="58"/>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   1.对不按规定在政府采购货物上粘贴售后服务联系单（不适合粘贴的除外）的</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，第一次发现的由监管部门予以书面警告并责令改正；第二次发现的作为该</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下次参加投标时的评分依据之一；</w:t>
      </w:r>
    </w:p>
    <w:p w14:paraId="2D28B062">
      <w:pPr>
        <w:pStyle w:val="58"/>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2.对不按招标文件、投标承诺及政府采购合同要求供货，偷工减料或降低供货质量的</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一经查实，即列入不良行为记录名单，第一次发现且合同额在人民币50万元以下的在一年内禁止参加鄞州区政府采购活动；第一次发现且合同额在人民币50万元（含）以上的在两年内禁止参加鄞州区政府采购活动；第二次发现且合同额在人民币50万元以下的在两年内禁止参加鄞州区政府采购活动；第二次发现且合同额在人民币50万元（含）以上的在三年内禁止参加鄞州区政府采购活动。拒不改正的除由采购人按有关法规要求</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按招标文件、投标承诺及政府采购合同要求供货外，将无限期禁止参加鄞州区政府采购活动。</w:t>
      </w:r>
    </w:p>
    <w:p w14:paraId="5ABC7260">
      <w:pPr>
        <w:pStyle w:val="58"/>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3.对不按招标文件、投标承诺及政府采购合同要求向采购人提供完整的售后服务，对采购人的工作造成影响的</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，经查实，第一次发现的由监管部门予以书面警告并责令改正，并作为该</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下次参加投标时的评分依据之一；第二次发现的即由监管部门列入不良行为记录名单，两年内禁止参加鄞州区政府采购活动。拒不改正的除由采购人按有关法规要求</w:t>
      </w:r>
      <w:r>
        <w:rPr>
          <w:rFonts w:hint="eastAsia"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按招标文件、投标承诺及政府采购合同要求提供完整的售后服务外，将无限期禁止参加鄞州区政府采购活动。</w:t>
      </w:r>
    </w:p>
    <w:p w14:paraId="564946BD">
      <w:pPr>
        <w:pStyle w:val="58"/>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4.对不按招标文件、投标承诺及政府采购合同要求供货造成人身、财产损害的，应当承担民事赔偿责任；构成犯罪的，移送司法部门依法追究其刑事责任。</w:t>
      </w:r>
    </w:p>
    <w:p w14:paraId="63561DC3">
      <w:pPr>
        <w:pStyle w:val="58"/>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p>
    <w:p w14:paraId="38B74830">
      <w:pPr>
        <w:rPr>
          <w:rFonts w:hint="eastAsia" w:ascii="宋体" w:hAnsi="宋体" w:eastAsia="宋体" w:cs="宋体"/>
          <w:b/>
          <w:bCs/>
          <w:color w:val="auto"/>
          <w:kern w:val="2"/>
          <w:sz w:val="24"/>
          <w:szCs w:val="24"/>
          <w:highlight w:val="none"/>
        </w:rPr>
      </w:pPr>
      <w:bookmarkStart w:id="230" w:name="_Toc10059"/>
      <w:r>
        <w:rPr>
          <w:rFonts w:hint="eastAsia" w:ascii="宋体" w:hAnsi="宋体" w:eastAsia="宋体" w:cs="宋体"/>
          <w:b/>
          <w:bCs/>
          <w:color w:val="auto"/>
          <w:kern w:val="2"/>
          <w:sz w:val="24"/>
          <w:szCs w:val="24"/>
          <w:highlight w:val="none"/>
        </w:rPr>
        <w:br w:type="page"/>
      </w:r>
    </w:p>
    <w:p w14:paraId="42F8A324">
      <w:pPr>
        <w:rPr>
          <w:rFonts w:hint="eastAsia"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rPr>
        <w:t>附件</w:t>
      </w:r>
      <w:bookmarkEnd w:id="230"/>
      <w:r>
        <w:rPr>
          <w:rFonts w:hint="eastAsia" w:ascii="宋体" w:hAnsi="宋体" w:cs="宋体"/>
          <w:b/>
          <w:color w:val="auto"/>
          <w:spacing w:val="6"/>
          <w:sz w:val="32"/>
          <w:szCs w:val="32"/>
          <w:highlight w:val="none"/>
          <w:lang w:val="en-US" w:eastAsia="zh-CN"/>
        </w:rPr>
        <w:t>6</w:t>
      </w:r>
    </w:p>
    <w:p w14:paraId="055CDE56">
      <w:pPr>
        <w:pStyle w:val="58"/>
        <w:spacing w:before="0" w:beforeAutospacing="0" w:after="0" w:afterAutospacing="0" w:line="360" w:lineRule="auto"/>
        <w:jc w:val="center"/>
        <w:outlineLvl w:val="0"/>
        <w:rPr>
          <w:rFonts w:hint="eastAsia" w:ascii="宋体" w:hAnsi="宋体" w:eastAsia="宋体" w:cs="宋体"/>
          <w:b/>
          <w:color w:val="auto"/>
          <w:highlight w:val="none"/>
        </w:rPr>
      </w:pPr>
      <w:bookmarkStart w:id="231" w:name="_Toc21938"/>
      <w:r>
        <w:rPr>
          <w:rFonts w:hint="eastAsia" w:ascii="宋体" w:hAnsi="宋体" w:eastAsia="宋体" w:cs="宋体"/>
          <w:b/>
          <w:bCs/>
          <w:color w:val="auto"/>
          <w:kern w:val="2"/>
          <w:highlight w:val="none"/>
        </w:rPr>
        <w:t>特 别 告 知 函</w:t>
      </w:r>
      <w:bookmarkEnd w:id="231"/>
    </w:p>
    <w:p w14:paraId="7DEF7F31">
      <w:pPr>
        <w:pStyle w:val="58"/>
        <w:adjustRightInd w:val="0"/>
        <w:spacing w:before="0" w:beforeAutospacing="0" w:after="0" w:afterAutospacing="0"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各</w:t>
      </w:r>
      <w:r>
        <w:rPr>
          <w:rFonts w:hint="eastAsia" w:cs="宋体"/>
          <w:bCs/>
          <w:color w:val="auto"/>
          <w:kern w:val="2"/>
          <w:sz w:val="24"/>
          <w:szCs w:val="24"/>
          <w:highlight w:val="none"/>
          <w:lang w:val="en-US" w:eastAsia="zh-CN"/>
        </w:rPr>
        <w:t>供应商</w:t>
      </w:r>
      <w:r>
        <w:rPr>
          <w:rFonts w:hint="eastAsia" w:ascii="宋体" w:hAnsi="宋体" w:eastAsia="宋体" w:cs="宋体"/>
          <w:bCs/>
          <w:color w:val="auto"/>
          <w:kern w:val="2"/>
          <w:sz w:val="24"/>
          <w:szCs w:val="24"/>
          <w:highlight w:val="none"/>
        </w:rPr>
        <w:t>：</w:t>
      </w:r>
    </w:p>
    <w:p w14:paraId="2CF550C2">
      <w:pPr>
        <w:pStyle w:val="58"/>
        <w:adjustRightInd w:val="0"/>
        <w:spacing w:before="0" w:beforeAutospacing="0" w:after="0" w:afterAutospacing="0" w:line="360" w:lineRule="auto"/>
        <w:ind w:left="359" w:leftChars="171" w:firstLine="600" w:firstLineChars="25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根据《关于进一步加强政府采购检测验收工作的意见》（鄞财</w:t>
      </w:r>
      <w:r>
        <w:rPr>
          <w:rFonts w:hint="eastAsia" w:cs="宋体"/>
          <w:bCs/>
          <w:color w:val="auto"/>
          <w:kern w:val="2"/>
          <w:sz w:val="24"/>
          <w:szCs w:val="24"/>
          <w:highlight w:val="none"/>
          <w:lang w:eastAsia="zh-CN"/>
        </w:rPr>
        <w:t>〔2009〕</w:t>
      </w:r>
      <w:r>
        <w:rPr>
          <w:rFonts w:hint="eastAsia" w:ascii="宋体" w:hAnsi="宋体" w:eastAsia="宋体" w:cs="宋体"/>
          <w:bCs/>
          <w:color w:val="auto"/>
          <w:kern w:val="2"/>
          <w:sz w:val="24"/>
          <w:szCs w:val="24"/>
          <w:highlight w:val="none"/>
        </w:rPr>
        <w:t>1号）文件精神和国家、省有关部门等相关规定，我区自2009年11月开始对单项预算10万元以上货物类采购项目统一由区质量技术监督检测中心进行验收（标准额以下的货物类采购个别项目也视情况实行），来进一步规范加强政府采购的供货验收文件。</w:t>
      </w:r>
    </w:p>
    <w:p w14:paraId="35C17F94">
      <w:pPr>
        <w:pStyle w:val="58"/>
        <w:adjustRightInd w:val="0"/>
        <w:spacing w:before="0" w:beforeAutospacing="0" w:after="0" w:afterAutospacing="0" w:line="360" w:lineRule="auto"/>
        <w:ind w:left="359" w:leftChars="171" w:firstLine="120" w:firstLineChars="5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   对验收中发现不按</w:t>
      </w:r>
      <w:r>
        <w:rPr>
          <w:rFonts w:hint="eastAsia" w:cs="宋体"/>
          <w:bCs/>
          <w:color w:val="auto"/>
          <w:kern w:val="2"/>
          <w:sz w:val="24"/>
          <w:szCs w:val="24"/>
          <w:highlight w:val="none"/>
          <w:lang w:val="en-US" w:eastAsia="zh-CN"/>
        </w:rPr>
        <w:t>采购</w:t>
      </w:r>
      <w:r>
        <w:rPr>
          <w:rFonts w:hint="eastAsia" w:ascii="宋体" w:hAnsi="宋体" w:eastAsia="宋体" w:cs="宋体"/>
          <w:bCs/>
          <w:color w:val="auto"/>
          <w:kern w:val="2"/>
          <w:sz w:val="24"/>
          <w:szCs w:val="24"/>
          <w:highlight w:val="none"/>
        </w:rPr>
        <w:t>文件、</w:t>
      </w:r>
      <w:r>
        <w:rPr>
          <w:rFonts w:hint="eastAsia" w:cs="宋体"/>
          <w:bCs/>
          <w:color w:val="auto"/>
          <w:kern w:val="2"/>
          <w:sz w:val="24"/>
          <w:szCs w:val="24"/>
          <w:highlight w:val="none"/>
          <w:lang w:val="en-US" w:eastAsia="zh-CN"/>
        </w:rPr>
        <w:t>响应</w:t>
      </w:r>
      <w:r>
        <w:rPr>
          <w:rFonts w:hint="eastAsia" w:ascii="宋体" w:hAnsi="宋体" w:eastAsia="宋体" w:cs="宋体"/>
          <w:bCs/>
          <w:color w:val="auto"/>
          <w:kern w:val="2"/>
          <w:sz w:val="24"/>
          <w:szCs w:val="24"/>
          <w:highlight w:val="none"/>
        </w:rPr>
        <w:t>承诺及政府采购合同要求供货的</w:t>
      </w:r>
      <w:r>
        <w:rPr>
          <w:rFonts w:hint="eastAsia" w:cs="宋体"/>
          <w:bCs/>
          <w:color w:val="auto"/>
          <w:kern w:val="2"/>
          <w:sz w:val="24"/>
          <w:szCs w:val="24"/>
          <w:highlight w:val="none"/>
          <w:lang w:val="en-US" w:eastAsia="zh-CN"/>
        </w:rPr>
        <w:t>供应商</w:t>
      </w:r>
      <w:r>
        <w:rPr>
          <w:rFonts w:hint="eastAsia" w:ascii="宋体" w:hAnsi="宋体" w:eastAsia="宋体" w:cs="宋体"/>
          <w:bCs/>
          <w:color w:val="auto"/>
          <w:kern w:val="2"/>
          <w:sz w:val="24"/>
          <w:szCs w:val="24"/>
          <w:highlight w:val="none"/>
        </w:rPr>
        <w:t>，将给予列入不良行为记录名单和1至3年内禁止参加鄞州区政府采购活动的处罚，拒不改正的除按有关法规处理外，将无限期禁止其参加鄞州区政府采购活动，同时将处罚结果上网进行公示。</w:t>
      </w:r>
    </w:p>
    <w:p w14:paraId="024706B6">
      <w:pPr>
        <w:pStyle w:val="58"/>
        <w:adjustRightInd w:val="0"/>
        <w:spacing w:before="0" w:beforeAutospacing="0" w:after="0" w:afterAutospacing="0" w:line="360" w:lineRule="auto"/>
        <w:ind w:left="359" w:leftChars="171"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因此希望各</w:t>
      </w:r>
      <w:r>
        <w:rPr>
          <w:rFonts w:hint="eastAsia" w:cs="宋体"/>
          <w:bCs/>
          <w:color w:val="auto"/>
          <w:kern w:val="2"/>
          <w:sz w:val="24"/>
          <w:szCs w:val="24"/>
          <w:highlight w:val="none"/>
          <w:lang w:val="en-US" w:eastAsia="zh-CN"/>
        </w:rPr>
        <w:t>供应商必须</w:t>
      </w:r>
      <w:r>
        <w:rPr>
          <w:rFonts w:hint="eastAsia" w:ascii="宋体" w:hAnsi="宋体" w:eastAsia="宋体" w:cs="宋体"/>
          <w:bCs/>
          <w:color w:val="auto"/>
          <w:kern w:val="2"/>
          <w:sz w:val="24"/>
          <w:szCs w:val="24"/>
          <w:highlight w:val="none"/>
        </w:rPr>
        <w:t>严格按</w:t>
      </w:r>
      <w:r>
        <w:rPr>
          <w:rFonts w:hint="eastAsia" w:cs="宋体"/>
          <w:bCs/>
          <w:color w:val="auto"/>
          <w:kern w:val="2"/>
          <w:sz w:val="24"/>
          <w:szCs w:val="24"/>
          <w:highlight w:val="none"/>
          <w:lang w:val="en-US" w:eastAsia="zh-CN"/>
        </w:rPr>
        <w:t>采购</w:t>
      </w:r>
      <w:r>
        <w:rPr>
          <w:rFonts w:hint="eastAsia" w:ascii="宋体" w:hAnsi="宋体" w:eastAsia="宋体" w:cs="宋体"/>
          <w:bCs/>
          <w:color w:val="auto"/>
          <w:kern w:val="2"/>
          <w:sz w:val="24"/>
          <w:szCs w:val="24"/>
          <w:highlight w:val="none"/>
        </w:rPr>
        <w:t>文件要求计算</w:t>
      </w:r>
      <w:r>
        <w:rPr>
          <w:rFonts w:hint="eastAsia" w:cs="宋体"/>
          <w:bCs/>
          <w:color w:val="auto"/>
          <w:kern w:val="2"/>
          <w:sz w:val="24"/>
          <w:szCs w:val="24"/>
          <w:highlight w:val="none"/>
          <w:lang w:val="en-US" w:eastAsia="zh-CN"/>
        </w:rPr>
        <w:t>响应</w:t>
      </w:r>
      <w:r>
        <w:rPr>
          <w:rFonts w:hint="eastAsia" w:ascii="宋体" w:hAnsi="宋体" w:eastAsia="宋体" w:cs="宋体"/>
          <w:bCs/>
          <w:color w:val="auto"/>
          <w:kern w:val="2"/>
          <w:sz w:val="24"/>
          <w:szCs w:val="24"/>
          <w:highlight w:val="none"/>
        </w:rPr>
        <w:t>报价并保证供货质量，否则将被严肃处理，得不偿失。特此告知。</w:t>
      </w:r>
    </w:p>
    <w:p w14:paraId="4C48118D">
      <w:pPr>
        <w:spacing w:line="360" w:lineRule="auto"/>
        <w:rPr>
          <w:rFonts w:hint="eastAsia" w:ascii="宋体" w:hAnsi="宋体" w:eastAsia="宋体" w:cs="宋体"/>
          <w:bCs/>
          <w:color w:val="auto"/>
          <w:sz w:val="24"/>
          <w:szCs w:val="24"/>
          <w:highlight w:val="none"/>
        </w:rPr>
      </w:pPr>
    </w:p>
    <w:p w14:paraId="3C75BEBA">
      <w:pPr>
        <w:spacing w:line="360" w:lineRule="auto"/>
        <w:ind w:right="320"/>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鄞州区政府采购管理办公室</w:t>
      </w:r>
    </w:p>
    <w:p w14:paraId="349E89AD">
      <w:pPr>
        <w:spacing w:line="360" w:lineRule="auto"/>
        <w:rPr>
          <w:rFonts w:hint="eastAsia" w:ascii="宋体" w:hAnsi="宋体" w:eastAsia="宋体" w:cs="宋体"/>
          <w:bCs/>
          <w:color w:val="auto"/>
          <w:sz w:val="24"/>
          <w:szCs w:val="24"/>
          <w:highlight w:val="none"/>
        </w:rPr>
      </w:pPr>
    </w:p>
    <w:p w14:paraId="5026B7AB">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46D1B818">
      <w:pPr>
        <w:rPr>
          <w:rFonts w:hint="default"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lang w:val="en-US" w:eastAsia="zh-CN"/>
        </w:rPr>
        <w:t>附件</w:t>
      </w:r>
      <w:r>
        <w:rPr>
          <w:rFonts w:hint="eastAsia" w:ascii="宋体" w:hAnsi="宋体" w:cs="宋体"/>
          <w:b/>
          <w:color w:val="auto"/>
          <w:spacing w:val="6"/>
          <w:sz w:val="32"/>
          <w:szCs w:val="32"/>
          <w:highlight w:val="none"/>
          <w:lang w:val="en-US" w:eastAsia="zh-CN"/>
        </w:rPr>
        <w:t>7</w:t>
      </w:r>
    </w:p>
    <w:p w14:paraId="228D96B7">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《政府采购现场活动确认书》</w:t>
      </w:r>
    </w:p>
    <w:p w14:paraId="5A5EE993">
      <w:pPr>
        <w:snapToGrid w:val="0"/>
        <w:spacing w:line="360" w:lineRule="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宁波中基国际招标有限公司：</w:t>
      </w:r>
    </w:p>
    <w:p w14:paraId="6EAF4406">
      <w:pPr>
        <w:snapToGrid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（授权代表姓名），经由</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（单位）</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（法定代表人姓名）合法授权参加</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6"/>
          <w:sz w:val="22"/>
          <w:szCs w:val="22"/>
          <w:highlight w:val="none"/>
        </w:rPr>
        <w:t xml:space="preserve">）政府采购活动，经与本单位法人代表（负责人）联系确认，现就有关公平竞争事项郑重声明如下： </w:t>
      </w:r>
    </w:p>
    <w:p w14:paraId="298D2C6E">
      <w:pPr>
        <w:widowControl/>
        <w:numPr>
          <w:ilvl w:val="0"/>
          <w:numId w:val="22"/>
        </w:numPr>
        <w:snapToGrid w:val="0"/>
        <w:spacing w:line="360" w:lineRule="auto"/>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本单位与采购人之间 □不存在利害关系 □存在下列利害关系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25A9BAAF">
      <w:pPr>
        <w:widowControl/>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A.投资关系    B.行政隶属关系    C.业务指导关系</w:t>
      </w:r>
    </w:p>
    <w:p w14:paraId="32C2740E">
      <w:pPr>
        <w:widowControl/>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D.其他可能影响采购公正的利害关系（如有，请如实说明）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462E24ED">
      <w:pPr>
        <w:widowControl/>
        <w:numPr>
          <w:ilvl w:val="0"/>
          <w:numId w:val="22"/>
        </w:numPr>
        <w:snapToGrid w:val="0"/>
        <w:spacing w:line="360" w:lineRule="auto"/>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现已清楚知道参加本项目采购活动的其他所有供应商名称，本单位 □与其他所有供应商之间均不存在利害关系 □与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（供应商名称）之间存在下列利害关系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5834192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A.法定代表人或负责人或实际控制人是同一人</w:t>
      </w:r>
    </w:p>
    <w:p w14:paraId="71F46845">
      <w:pPr>
        <w:snapToGrid w:val="0"/>
        <w:spacing w:line="360" w:lineRule="auto"/>
        <w:ind w:firstLine="440"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B.法定代表人或负责人或实际控制人是夫妻关系</w:t>
      </w:r>
    </w:p>
    <w:p w14:paraId="5CD431E3">
      <w:pPr>
        <w:snapToGrid w:val="0"/>
        <w:spacing w:line="360" w:lineRule="auto"/>
        <w:ind w:firstLine="440"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C.法定代表人或负责人或实际控制人是直系血亲关系</w:t>
      </w:r>
    </w:p>
    <w:p w14:paraId="4309C06E">
      <w:pPr>
        <w:snapToGrid w:val="0"/>
        <w:spacing w:line="360" w:lineRule="auto"/>
        <w:ind w:firstLine="440"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D.法定代表人或负责人或实际控制人存在三代以内旁系血亲关系</w:t>
      </w:r>
    </w:p>
    <w:p w14:paraId="72404731">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E.法定代表人或负责人或实际控制人存在近姻亲关系</w:t>
      </w:r>
    </w:p>
    <w:p w14:paraId="2449705C">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F.法定代表人或负责人或实际控制人存在股份控制或实际控制关系</w:t>
      </w:r>
    </w:p>
    <w:p w14:paraId="662338F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G.存在共同直接或间接投资设立子公司、联营企业和合营企业情况</w:t>
      </w:r>
    </w:p>
    <w:p w14:paraId="50F9A5F0">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14:paraId="25C10DFB">
      <w:pPr>
        <w:snapToGrid w:val="0"/>
        <w:spacing w:line="360" w:lineRule="auto"/>
        <w:ind w:firstLine="440"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2C681ED1">
      <w:pPr>
        <w:widowControl/>
        <w:numPr>
          <w:ilvl w:val="0"/>
          <w:numId w:val="23"/>
        </w:numPr>
        <w:snapToGrid w:val="0"/>
        <w:spacing w:line="360" w:lineRule="auto"/>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现已清楚知道并严格遵守政府采购法律法规和现场纪律。</w:t>
      </w:r>
    </w:p>
    <w:p w14:paraId="276FA0EE">
      <w:pPr>
        <w:widowControl/>
        <w:numPr>
          <w:ilvl w:val="0"/>
          <w:numId w:val="23"/>
        </w:numPr>
        <w:snapToGrid w:val="0"/>
        <w:spacing w:line="360" w:lineRule="auto"/>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我发现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供应商之间存在或可能存在上述第二条第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项利害关系。</w:t>
      </w:r>
    </w:p>
    <w:p w14:paraId="357C477B">
      <w:pPr>
        <w:pStyle w:val="637"/>
        <w:snapToGrid w:val="0"/>
        <w:spacing w:line="360" w:lineRule="auto"/>
        <w:ind w:firstLine="440" w:firstLineChars="200"/>
        <w:rPr>
          <w:rFonts w:hint="eastAsia" w:ascii="宋体" w:hAnsi="宋体" w:eastAsia="宋体" w:cs="宋体"/>
          <w:color w:val="auto"/>
          <w:sz w:val="22"/>
          <w:szCs w:val="22"/>
          <w:highlight w:val="none"/>
        </w:rPr>
      </w:pPr>
    </w:p>
    <w:p w14:paraId="6C603B44">
      <w:pPr>
        <w:pStyle w:val="637"/>
        <w:snapToGrid w:val="0"/>
        <w:spacing w:line="360" w:lineRule="auto"/>
        <w:ind w:firstLine="1430" w:firstLineChars="65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0957DA09">
      <w:pPr>
        <w:spacing w:line="360" w:lineRule="auto"/>
        <w:ind w:firstLine="1381" w:firstLineChars="628"/>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年   月   日</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填写磋商当天日期</w:t>
      </w:r>
      <w:r>
        <w:rPr>
          <w:rFonts w:hint="eastAsia" w:ascii="宋体" w:hAnsi="宋体" w:cs="宋体"/>
          <w:color w:val="auto"/>
          <w:sz w:val="22"/>
          <w:szCs w:val="22"/>
          <w:highlight w:val="none"/>
          <w:lang w:eastAsia="zh-CN"/>
        </w:rPr>
        <w:t>）</w:t>
      </w:r>
    </w:p>
    <w:p w14:paraId="40524394">
      <w:pPr>
        <w:spacing w:line="360" w:lineRule="auto"/>
        <w:ind w:firstLine="431" w:firstLineChars="19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注：（1）供应商解密响应文件及获知其他供应商信息进行如实声明并盖章或授权代表签名后，以扫描件形式通过邮件方式发送至邮箱：1061816448@qq.com。</w:t>
      </w:r>
    </w:p>
    <w:p w14:paraId="12B6A620">
      <w:pPr>
        <w:spacing w:line="360" w:lineRule="auto"/>
        <w:ind w:firstLine="431" w:firstLineChars="19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（2）在电子响应文件解密后供应商可看到所参与标项的供应商名称，在确认与采购人和其他供应商不</w:t>
      </w:r>
      <w:r>
        <w:rPr>
          <w:rFonts w:hint="eastAsia" w:ascii="宋体" w:hAnsi="宋体" w:cs="宋体"/>
          <w:b/>
          <w:color w:val="auto"/>
          <w:sz w:val="22"/>
          <w:szCs w:val="22"/>
          <w:highlight w:val="none"/>
          <w:lang w:eastAsia="zh-CN"/>
        </w:rPr>
        <w:t>存在</w:t>
      </w:r>
      <w:r>
        <w:rPr>
          <w:rFonts w:hint="eastAsia" w:ascii="宋体" w:hAnsi="宋体" w:eastAsia="宋体" w:cs="宋体"/>
          <w:b/>
          <w:color w:val="auto"/>
          <w:sz w:val="22"/>
          <w:szCs w:val="22"/>
          <w:highlight w:val="none"/>
        </w:rPr>
        <w:t>声明书中所列利害关系的情况下，请在一中的“□不存在利害关系”打钩，二中的“□与其他所有供应商之间均不存在利害关系”打钩，四中的2个下划线用斜杠“/”划掉。</w:t>
      </w:r>
    </w:p>
    <w:p w14:paraId="5FB88DFB">
      <w:pPr>
        <w:spacing w:line="360" w:lineRule="auto"/>
        <w:ind w:firstLine="431" w:firstLineChars="195"/>
        <w:rPr>
          <w:rFonts w:hint="eastAsia"/>
          <w:color w:val="auto"/>
          <w:highlight w:val="none"/>
          <w:lang w:val="en-US" w:eastAsia="zh-CN"/>
        </w:rPr>
      </w:pPr>
      <w:r>
        <w:rPr>
          <w:rFonts w:hint="eastAsia" w:ascii="宋体" w:hAnsi="宋体" w:eastAsia="宋体" w:cs="宋体"/>
          <w:b/>
          <w:color w:val="auto"/>
          <w:sz w:val="22"/>
          <w:szCs w:val="22"/>
          <w:highlight w:val="none"/>
        </w:rPr>
        <w:t>（3）此声明书非响应文件的组成内容，无需编入响应文件中。</w:t>
      </w:r>
    </w:p>
    <w:sectPr>
      <w:headerReference r:id="rId24" w:type="first"/>
      <w:footerReference r:id="rId26" w:type="first"/>
      <w:headerReference r:id="rId23" w:type="default"/>
      <w:footerReference r:id="rId25" w:type="default"/>
      <w:pgSz w:w="11905" w:h="16838"/>
      <w:pgMar w:top="1440" w:right="1440" w:bottom="1440" w:left="1440" w:header="850"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B0A41">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F9A3C">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0F81">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D0714">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851C">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8D57">
    <w:pPr>
      <w:pStyle w:val="38"/>
      <w:framePr w:wrap="around" w:vAnchor="text" w:hAnchor="margin" w:xAlign="right" w:y="1"/>
      <w:rPr>
        <w:rStyle w:val="67"/>
      </w:rPr>
    </w:pPr>
    <w:r>
      <w:fldChar w:fldCharType="begin"/>
    </w:r>
    <w:r>
      <w:rPr>
        <w:rStyle w:val="67"/>
      </w:rPr>
      <w:instrText xml:space="preserve">PAGE  </w:instrText>
    </w:r>
    <w:r>
      <w:fldChar w:fldCharType="end"/>
    </w:r>
  </w:p>
  <w:p w14:paraId="25232860">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31EE">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F8FE2">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9785C2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A1486">
    <w:pPr>
      <w:pStyle w:val="38"/>
      <w:jc w:val="center"/>
    </w:pPr>
    <w:r>
      <w:fldChar w:fldCharType="begin"/>
    </w:r>
    <w:r>
      <w:instrText xml:space="preserve"> PAGE   \* MERGEFORMAT </w:instrText>
    </w:r>
    <w:r>
      <w:fldChar w:fldCharType="separate"/>
    </w:r>
    <w:r>
      <w:rPr>
        <w:lang w:val="zh-CN"/>
      </w:rPr>
      <w:t>9</w:t>
    </w:r>
    <w:r>
      <w:rPr>
        <w:lang w:val="zh-CN"/>
      </w:rPr>
      <w:fldChar w:fldCharType="end"/>
    </w:r>
  </w:p>
  <w:p w14:paraId="7AFCFE1A">
    <w:pPr>
      <w:pStyle w:val="3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DF8D">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1BE7">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232" w:name="_Toc164085800"/>
    <w:bookmarkStart w:id="233" w:name="_Toc131845147"/>
    <w:bookmarkStart w:id="234" w:name="_Toc36110187"/>
    <w:bookmarkStart w:id="235" w:name="_Toc91899912"/>
    <w:r>
      <w:rPr>
        <w:rFonts w:hint="eastAsia" w:ascii="仿宋_GB2312" w:eastAsia="仿宋_GB2312"/>
        <w:kern w:val="0"/>
        <w:szCs w:val="21"/>
      </w:rPr>
      <w:t xml:space="preserve"> 页</w:t>
    </w:r>
    <w:bookmarkEnd w:id="232"/>
    <w:bookmarkEnd w:id="233"/>
    <w:bookmarkEnd w:id="234"/>
    <w:bookmarkEnd w:id="235"/>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F535A">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A2E4D">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39B7">
    <w:pPr>
      <w:pStyle w:val="59"/>
      <w:ind w:firstLine="180" w:firstLineChars="100"/>
      <w:jc w:val="both"/>
      <w:rPr>
        <w:rFonts w:hint="default" w:ascii="仿宋_GB2312" w:eastAsia="宋体"/>
        <w:b w:val="0"/>
        <w:i/>
        <w:sz w:val="18"/>
        <w:u w:val="single"/>
        <w:lang w:val="en-US"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CDDB2">
    <w:pPr>
      <w:pStyle w:val="40"/>
      <w:pBdr>
        <w:bottom w:val="none" w:color="auto" w:sz="0" w:space="1"/>
      </w:pBdr>
      <w:jc w:val="both"/>
      <w:rPr>
        <w:rFonts w:eastAsia="仿宋_GB231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4537">
    <w:pPr>
      <w:pStyle w:val="40"/>
      <w:pBdr>
        <w:bottom w:val="none" w:color="auto" w:sz="0" w:space="1"/>
      </w:pBdr>
      <w:jc w:val="both"/>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D98FB">
    <w:pPr>
      <w:pStyle w:val="40"/>
      <w:pBdr>
        <w:bottom w:val="none" w:color="auto" w:sz="0" w:space="1"/>
      </w:pBdr>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47BC6">
    <w:pPr>
      <w:pStyle w:val="40"/>
      <w:pBdr>
        <w:bottom w:val="none" w:color="auto" w:sz="0" w:space="1"/>
      </w:pBdr>
      <w:jc w:val="right"/>
      <w:rPr>
        <w:rFonts w:ascii="仿宋_GB2312" w:eastAsia="仿宋_GB2312"/>
        <w:b/>
        <w:i/>
        <w:u w:val="single"/>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567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C050">
    <w:pPr>
      <w:pStyle w:val="40"/>
      <w:pBdr>
        <w:bottom w:val="none" w:color="auto" w:sz="0" w:space="1"/>
      </w:pBdr>
      <w:jc w:val="both"/>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71E5">
    <w:pPr>
      <w:pStyle w:val="40"/>
      <w:pBdr>
        <w:bottom w:val="none" w:color="auto" w:sz="0" w:space="1"/>
      </w:pBdr>
      <w:jc w:val="both"/>
      <w:rPr>
        <w:rFonts w:eastAsia="仿宋_GB23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BCF">
    <w:pPr>
      <w:pStyle w:val="40"/>
      <w:pBdr>
        <w:bottom w:val="none" w:color="auto" w:sz="0" w:space="1"/>
      </w:pBdr>
      <w:jc w:val="both"/>
      <w:rPr>
        <w:rFonts w:eastAsia="仿宋_GB23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7B24B">
    <w:pPr>
      <w:pStyle w:val="40"/>
      <w:pBdr>
        <w:bottom w:val="none" w:color="auto" w:sz="0" w:space="1"/>
      </w:pBdr>
      <w:jc w:val="both"/>
      <w:rPr>
        <w:rFonts w:eastAsia="仿宋_GB231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A0D0">
    <w:pPr>
      <w:pStyle w:val="40"/>
      <w:pBdr>
        <w:bottom w:val="single" w:color="auto" w:sz="6" w:space="0"/>
      </w:pBdr>
      <w:tabs>
        <w:tab w:val="center" w:pos="4535"/>
        <w:tab w:val="right" w:pos="9070"/>
        <w:tab w:val="clear" w:pos="4153"/>
        <w:tab w:val="clear" w:pos="8306"/>
      </w:tabs>
      <w:jc w:val="right"/>
      <w:rPr>
        <w:rFonts w:ascii="仿宋_GB2312"/>
        <w:b/>
        <w:i/>
        <w:iCs/>
        <w:u w:val="single"/>
      </w:rPr>
    </w:pPr>
    <w:r>
      <w:rPr>
        <w:lang w:val="zh-CN"/>
      </w:rPr>
      <w:t>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63D33"/>
    <w:multiLevelType w:val="singleLevel"/>
    <w:tmpl w:val="86C63D33"/>
    <w:lvl w:ilvl="0" w:tentative="0">
      <w:start w:val="2"/>
      <w:numFmt w:val="decimal"/>
      <w:suff w:val="space"/>
      <w:lvlText w:val="%1."/>
      <w:lvlJc w:val="left"/>
    </w:lvl>
  </w:abstractNum>
  <w:abstractNum w:abstractNumId="1">
    <w:nsid w:val="8F797B84"/>
    <w:multiLevelType w:val="singleLevel"/>
    <w:tmpl w:val="8F797B84"/>
    <w:lvl w:ilvl="0" w:tentative="0">
      <w:start w:val="1"/>
      <w:numFmt w:val="decimal"/>
      <w:suff w:val="space"/>
      <w:lvlText w:val="%1."/>
      <w:lvlJc w:val="left"/>
    </w:lvl>
  </w:abstractNum>
  <w:abstractNum w:abstractNumId="2">
    <w:nsid w:val="C515FEE3"/>
    <w:multiLevelType w:val="singleLevel"/>
    <w:tmpl w:val="C515FEE3"/>
    <w:lvl w:ilvl="0" w:tentative="0">
      <w:start w:val="1"/>
      <w:numFmt w:val="bullet"/>
      <w:lvlText w:val=""/>
      <w:lvlJc w:val="left"/>
      <w:pPr>
        <w:ind w:left="420" w:hanging="420"/>
      </w:pPr>
      <w:rPr>
        <w:rFonts w:hint="default" w:ascii="Wingdings" w:hAnsi="Wingdings"/>
      </w:rPr>
    </w:lvl>
  </w:abstractNum>
  <w:abstractNum w:abstractNumId="3">
    <w:nsid w:val="C60875A9"/>
    <w:multiLevelType w:val="singleLevel"/>
    <w:tmpl w:val="C60875A9"/>
    <w:lvl w:ilvl="0" w:tentative="0">
      <w:start w:val="1"/>
      <w:numFmt w:val="decimal"/>
      <w:suff w:val="nothing"/>
      <w:lvlText w:val="（%1）"/>
      <w:lvlJc w:val="left"/>
    </w:lvl>
  </w:abstractNum>
  <w:abstractNum w:abstractNumId="4">
    <w:nsid w:val="EDECA019"/>
    <w:multiLevelType w:val="singleLevel"/>
    <w:tmpl w:val="EDECA019"/>
    <w:lvl w:ilvl="0" w:tentative="0">
      <w:start w:val="1"/>
      <w:numFmt w:val="bullet"/>
      <w:lvlText w:val=""/>
      <w:lvlJc w:val="left"/>
      <w:pPr>
        <w:ind w:left="420" w:hanging="420"/>
      </w:pPr>
      <w:rPr>
        <w:rFonts w:hint="default" w:ascii="Wingdings" w:hAnsi="Wingdings"/>
      </w:rPr>
    </w:lvl>
  </w:abstractNum>
  <w:abstractNum w:abstractNumId="5">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4"/>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0000018"/>
    <w:multiLevelType w:val="singleLevel"/>
    <w:tmpl w:val="00000018"/>
    <w:lvl w:ilvl="0" w:tentative="0">
      <w:start w:val="1"/>
      <w:numFmt w:val="decimal"/>
      <w:suff w:val="space"/>
      <w:lvlText w:val="（%1）"/>
      <w:lvlJc w:val="left"/>
    </w:lvl>
  </w:abstractNum>
  <w:abstractNum w:abstractNumId="9">
    <w:nsid w:val="026A5C22"/>
    <w:multiLevelType w:val="singleLevel"/>
    <w:tmpl w:val="026A5C22"/>
    <w:lvl w:ilvl="0" w:tentative="0">
      <w:start w:val="1"/>
      <w:numFmt w:val="bullet"/>
      <w:lvlText w:val=""/>
      <w:lvlJc w:val="left"/>
      <w:pPr>
        <w:ind w:left="420" w:hanging="420"/>
      </w:pPr>
      <w:rPr>
        <w:rFonts w:hint="default" w:ascii="Wingdings" w:hAnsi="Wingdings"/>
      </w:rPr>
    </w:lvl>
  </w:abstractNum>
  <w:abstractNum w:abstractNumId="10">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1">
    <w:nsid w:val="19D1A4B7"/>
    <w:multiLevelType w:val="singleLevel"/>
    <w:tmpl w:val="19D1A4B7"/>
    <w:lvl w:ilvl="0" w:tentative="0">
      <w:start w:val="4"/>
      <w:numFmt w:val="decimal"/>
      <w:lvlText w:val="%1."/>
      <w:lvlJc w:val="left"/>
      <w:pPr>
        <w:tabs>
          <w:tab w:val="left" w:pos="312"/>
        </w:tabs>
      </w:pPr>
    </w:lvl>
  </w:abstractNum>
  <w:abstractNum w:abstractNumId="12">
    <w:nsid w:val="29925193"/>
    <w:multiLevelType w:val="singleLevel"/>
    <w:tmpl w:val="29925193"/>
    <w:lvl w:ilvl="0" w:tentative="0">
      <w:start w:val="6"/>
      <w:numFmt w:val="chineseCounting"/>
      <w:suff w:val="nothing"/>
      <w:lvlText w:val="%1、"/>
      <w:lvlJc w:val="left"/>
      <w:rPr>
        <w:rFonts w:hint="eastAsia"/>
      </w:rPr>
    </w:lvl>
  </w:abstractNum>
  <w:abstractNum w:abstractNumId="13">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4">
    <w:nsid w:val="372135F1"/>
    <w:multiLevelType w:val="multilevel"/>
    <w:tmpl w:val="372135F1"/>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5">
    <w:nsid w:val="394E6663"/>
    <w:multiLevelType w:val="singleLevel"/>
    <w:tmpl w:val="394E6663"/>
    <w:lvl w:ilvl="0" w:tentative="0">
      <w:start w:val="1"/>
      <w:numFmt w:val="decimal"/>
      <w:suff w:val="nothing"/>
      <w:lvlText w:val="（%1）"/>
      <w:lvlJc w:val="left"/>
    </w:lvl>
  </w:abstractNum>
  <w:abstractNum w:abstractNumId="1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7">
    <w:nsid w:val="54F403B5"/>
    <w:multiLevelType w:val="singleLevel"/>
    <w:tmpl w:val="54F403B5"/>
    <w:lvl w:ilvl="0" w:tentative="0">
      <w:start w:val="1"/>
      <w:numFmt w:val="chineseCounting"/>
      <w:suff w:val="nothing"/>
      <w:lvlText w:val="%1、"/>
      <w:lvlJc w:val="left"/>
    </w:lvl>
  </w:abstractNum>
  <w:abstractNum w:abstractNumId="18">
    <w:nsid w:val="557FD3DA"/>
    <w:multiLevelType w:val="singleLevel"/>
    <w:tmpl w:val="557FD3DA"/>
    <w:lvl w:ilvl="0" w:tentative="0">
      <w:start w:val="3"/>
      <w:numFmt w:val="chineseCounting"/>
      <w:suff w:val="nothing"/>
      <w:lvlText w:val="%1、"/>
      <w:lvlJc w:val="left"/>
    </w:lvl>
  </w:abstractNum>
  <w:abstractNum w:abstractNumId="19">
    <w:nsid w:val="578B3BD2"/>
    <w:multiLevelType w:val="multilevel"/>
    <w:tmpl w:val="578B3BD2"/>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1">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0"/>
  </w:num>
  <w:num w:numId="2">
    <w:abstractNumId w:val="7"/>
  </w:num>
  <w:num w:numId="3">
    <w:abstractNumId w:val="5"/>
  </w:num>
  <w:num w:numId="4">
    <w:abstractNumId w:val="6"/>
  </w:num>
  <w:num w:numId="5">
    <w:abstractNumId w:val="19"/>
  </w:num>
  <w:num w:numId="6">
    <w:abstractNumId w:val="21"/>
  </w:num>
  <w:num w:numId="7">
    <w:abstractNumId w:val="11"/>
  </w:num>
  <w:num w:numId="8">
    <w:abstractNumId w:val="22"/>
  </w:num>
  <w:num w:numId="9">
    <w:abstractNumId w:val="15"/>
  </w:num>
  <w:num w:numId="10">
    <w:abstractNumId w:val="3"/>
  </w:num>
  <w:num w:numId="11">
    <w:abstractNumId w:val="0"/>
  </w:num>
  <w:num w:numId="12">
    <w:abstractNumId w:val="1"/>
  </w:num>
  <w:num w:numId="13">
    <w:abstractNumId w:val="9"/>
  </w:num>
  <w:num w:numId="14">
    <w:abstractNumId w:val="4"/>
  </w:num>
  <w:num w:numId="15">
    <w:abstractNumId w:val="14"/>
  </w:num>
  <w:num w:numId="16">
    <w:abstractNumId w:val="2"/>
  </w:num>
  <w:num w:numId="17">
    <w:abstractNumId w:val="13"/>
  </w:num>
  <w:num w:numId="18">
    <w:abstractNumId w:val="20"/>
  </w:num>
  <w:num w:numId="19">
    <w:abstractNumId w:val="16"/>
  </w:num>
  <w:num w:numId="20">
    <w:abstractNumId w:val="12"/>
  </w:num>
  <w:num w:numId="21">
    <w:abstractNumId w:val="8"/>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deafb2fd-fff3-4e83-a356-736f72022689"/>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6D08"/>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41D0"/>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01E5"/>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D37272"/>
    <w:rsid w:val="01FA283D"/>
    <w:rsid w:val="02555ED9"/>
    <w:rsid w:val="026E0506"/>
    <w:rsid w:val="029A6E6A"/>
    <w:rsid w:val="02DA0C0E"/>
    <w:rsid w:val="02EB4148"/>
    <w:rsid w:val="03047232"/>
    <w:rsid w:val="033C7F09"/>
    <w:rsid w:val="03920A67"/>
    <w:rsid w:val="03A74512"/>
    <w:rsid w:val="03DD35E4"/>
    <w:rsid w:val="03F84D6E"/>
    <w:rsid w:val="045333AF"/>
    <w:rsid w:val="04E32FDC"/>
    <w:rsid w:val="05B41F41"/>
    <w:rsid w:val="05E56F9D"/>
    <w:rsid w:val="065A6178"/>
    <w:rsid w:val="0694136B"/>
    <w:rsid w:val="06AF36FF"/>
    <w:rsid w:val="06F75296"/>
    <w:rsid w:val="075562B7"/>
    <w:rsid w:val="07F6164B"/>
    <w:rsid w:val="081D5D10"/>
    <w:rsid w:val="083762B0"/>
    <w:rsid w:val="087A1B7A"/>
    <w:rsid w:val="08940F91"/>
    <w:rsid w:val="08953023"/>
    <w:rsid w:val="09572F13"/>
    <w:rsid w:val="096B2097"/>
    <w:rsid w:val="0A00735D"/>
    <w:rsid w:val="0A08184F"/>
    <w:rsid w:val="0A5B7E63"/>
    <w:rsid w:val="0A616D4B"/>
    <w:rsid w:val="0A642B2B"/>
    <w:rsid w:val="0B770E0E"/>
    <w:rsid w:val="0B845139"/>
    <w:rsid w:val="0BC3149D"/>
    <w:rsid w:val="0C1E37A0"/>
    <w:rsid w:val="0C2219BD"/>
    <w:rsid w:val="0C6534BF"/>
    <w:rsid w:val="0C87121B"/>
    <w:rsid w:val="0D0C76C6"/>
    <w:rsid w:val="0D136DC4"/>
    <w:rsid w:val="0D4C1170"/>
    <w:rsid w:val="0D853554"/>
    <w:rsid w:val="0DF702FE"/>
    <w:rsid w:val="0E140D02"/>
    <w:rsid w:val="0E3F698B"/>
    <w:rsid w:val="0E701649"/>
    <w:rsid w:val="0E8727D2"/>
    <w:rsid w:val="0E8F05F8"/>
    <w:rsid w:val="0ED7326D"/>
    <w:rsid w:val="0F06542C"/>
    <w:rsid w:val="0F21508F"/>
    <w:rsid w:val="0F816ACD"/>
    <w:rsid w:val="0F8C5F99"/>
    <w:rsid w:val="0FB94501"/>
    <w:rsid w:val="0FC90307"/>
    <w:rsid w:val="0FCE0CDD"/>
    <w:rsid w:val="0FCF5F6A"/>
    <w:rsid w:val="0FE60171"/>
    <w:rsid w:val="100D77A5"/>
    <w:rsid w:val="10AD57B2"/>
    <w:rsid w:val="10B047CF"/>
    <w:rsid w:val="10DD0E16"/>
    <w:rsid w:val="10FC16EA"/>
    <w:rsid w:val="1172701D"/>
    <w:rsid w:val="11755C50"/>
    <w:rsid w:val="117E4117"/>
    <w:rsid w:val="118963A1"/>
    <w:rsid w:val="11F41592"/>
    <w:rsid w:val="127723A9"/>
    <w:rsid w:val="12A762DD"/>
    <w:rsid w:val="13072A44"/>
    <w:rsid w:val="137739C4"/>
    <w:rsid w:val="13D92766"/>
    <w:rsid w:val="13F97BA9"/>
    <w:rsid w:val="14380C8E"/>
    <w:rsid w:val="145044FA"/>
    <w:rsid w:val="145B51A4"/>
    <w:rsid w:val="14BB5EB3"/>
    <w:rsid w:val="14F5146C"/>
    <w:rsid w:val="15A77F2B"/>
    <w:rsid w:val="162B4968"/>
    <w:rsid w:val="163065E9"/>
    <w:rsid w:val="16A50D85"/>
    <w:rsid w:val="17281D04"/>
    <w:rsid w:val="172E7E37"/>
    <w:rsid w:val="17385300"/>
    <w:rsid w:val="1768461C"/>
    <w:rsid w:val="17BE03D3"/>
    <w:rsid w:val="186742B0"/>
    <w:rsid w:val="18A24263"/>
    <w:rsid w:val="18D953BD"/>
    <w:rsid w:val="18E70654"/>
    <w:rsid w:val="18EE7022"/>
    <w:rsid w:val="19A15D46"/>
    <w:rsid w:val="1A580C11"/>
    <w:rsid w:val="1A5F461C"/>
    <w:rsid w:val="1AB57476"/>
    <w:rsid w:val="1AD35B0C"/>
    <w:rsid w:val="1B2A271F"/>
    <w:rsid w:val="1B4A2F21"/>
    <w:rsid w:val="1B554249"/>
    <w:rsid w:val="1B890139"/>
    <w:rsid w:val="1CC715D6"/>
    <w:rsid w:val="1CC730D8"/>
    <w:rsid w:val="1CFF2E33"/>
    <w:rsid w:val="1D266CE1"/>
    <w:rsid w:val="1D3963AF"/>
    <w:rsid w:val="1DAA30B1"/>
    <w:rsid w:val="1DB775F0"/>
    <w:rsid w:val="1DBA0A4B"/>
    <w:rsid w:val="1E1D10FC"/>
    <w:rsid w:val="1E2B384A"/>
    <w:rsid w:val="1E714A66"/>
    <w:rsid w:val="1E8C2760"/>
    <w:rsid w:val="1ED94CD3"/>
    <w:rsid w:val="1F057687"/>
    <w:rsid w:val="1F732F0E"/>
    <w:rsid w:val="1FE868A9"/>
    <w:rsid w:val="1FF35910"/>
    <w:rsid w:val="20713A86"/>
    <w:rsid w:val="20784910"/>
    <w:rsid w:val="20B856DF"/>
    <w:rsid w:val="20DD736E"/>
    <w:rsid w:val="20E82165"/>
    <w:rsid w:val="211E26D6"/>
    <w:rsid w:val="21283D08"/>
    <w:rsid w:val="21DC5877"/>
    <w:rsid w:val="220A681D"/>
    <w:rsid w:val="22F4608C"/>
    <w:rsid w:val="23F549CE"/>
    <w:rsid w:val="248C1C53"/>
    <w:rsid w:val="24B228BF"/>
    <w:rsid w:val="24E201A6"/>
    <w:rsid w:val="254E6001"/>
    <w:rsid w:val="25532A91"/>
    <w:rsid w:val="25944BDA"/>
    <w:rsid w:val="25B440B3"/>
    <w:rsid w:val="25EF4144"/>
    <w:rsid w:val="260333D3"/>
    <w:rsid w:val="26A62B79"/>
    <w:rsid w:val="26F647E0"/>
    <w:rsid w:val="275B7F64"/>
    <w:rsid w:val="27A209C9"/>
    <w:rsid w:val="27D81A8C"/>
    <w:rsid w:val="28094EEC"/>
    <w:rsid w:val="28A5329E"/>
    <w:rsid w:val="29334083"/>
    <w:rsid w:val="29A6314F"/>
    <w:rsid w:val="29E65B65"/>
    <w:rsid w:val="2A685EFA"/>
    <w:rsid w:val="2AA1365A"/>
    <w:rsid w:val="2AC1011E"/>
    <w:rsid w:val="2AC97147"/>
    <w:rsid w:val="2AD76456"/>
    <w:rsid w:val="2B774ADB"/>
    <w:rsid w:val="2B817AE7"/>
    <w:rsid w:val="2B900F4A"/>
    <w:rsid w:val="2C0E0D23"/>
    <w:rsid w:val="2C6426F1"/>
    <w:rsid w:val="2CDF7FCA"/>
    <w:rsid w:val="2D020EA0"/>
    <w:rsid w:val="2D273F6A"/>
    <w:rsid w:val="2DBE36F7"/>
    <w:rsid w:val="2DCB2288"/>
    <w:rsid w:val="2DD15014"/>
    <w:rsid w:val="2DDC77EC"/>
    <w:rsid w:val="2DDF5E3D"/>
    <w:rsid w:val="2EF7599D"/>
    <w:rsid w:val="2F0B3779"/>
    <w:rsid w:val="2F9A484E"/>
    <w:rsid w:val="2FB41BE1"/>
    <w:rsid w:val="2FCC27F9"/>
    <w:rsid w:val="2FD25781"/>
    <w:rsid w:val="301466BF"/>
    <w:rsid w:val="311F5F52"/>
    <w:rsid w:val="319C6071"/>
    <w:rsid w:val="31EA0D19"/>
    <w:rsid w:val="31EC5663"/>
    <w:rsid w:val="31EE2E91"/>
    <w:rsid w:val="320927FD"/>
    <w:rsid w:val="3255145A"/>
    <w:rsid w:val="32DB72BE"/>
    <w:rsid w:val="32DD144F"/>
    <w:rsid w:val="33833DA5"/>
    <w:rsid w:val="33B80642"/>
    <w:rsid w:val="33DA08E7"/>
    <w:rsid w:val="33DA6B2A"/>
    <w:rsid w:val="341C48E8"/>
    <w:rsid w:val="342E63AB"/>
    <w:rsid w:val="34317936"/>
    <w:rsid w:val="345D260B"/>
    <w:rsid w:val="3491429F"/>
    <w:rsid w:val="349E57AE"/>
    <w:rsid w:val="3566572C"/>
    <w:rsid w:val="360B4516"/>
    <w:rsid w:val="365302AE"/>
    <w:rsid w:val="3679013B"/>
    <w:rsid w:val="36BE4581"/>
    <w:rsid w:val="375C3656"/>
    <w:rsid w:val="37DB7102"/>
    <w:rsid w:val="37ED00DB"/>
    <w:rsid w:val="37F142D2"/>
    <w:rsid w:val="37F717C5"/>
    <w:rsid w:val="380337A4"/>
    <w:rsid w:val="38090A18"/>
    <w:rsid w:val="3844049E"/>
    <w:rsid w:val="38526D02"/>
    <w:rsid w:val="38C420A7"/>
    <w:rsid w:val="39215805"/>
    <w:rsid w:val="394F0B0C"/>
    <w:rsid w:val="398752B2"/>
    <w:rsid w:val="39A13F14"/>
    <w:rsid w:val="39BD1573"/>
    <w:rsid w:val="3A8A1143"/>
    <w:rsid w:val="3AEE3A65"/>
    <w:rsid w:val="3AF13073"/>
    <w:rsid w:val="3B8242DB"/>
    <w:rsid w:val="3C061EBA"/>
    <w:rsid w:val="3C1361CC"/>
    <w:rsid w:val="3C5F759A"/>
    <w:rsid w:val="3C6B3734"/>
    <w:rsid w:val="3CA2433F"/>
    <w:rsid w:val="3D5C78D4"/>
    <w:rsid w:val="3E41232F"/>
    <w:rsid w:val="3EAD674A"/>
    <w:rsid w:val="3EBE05AD"/>
    <w:rsid w:val="3EF31F58"/>
    <w:rsid w:val="3F7B238A"/>
    <w:rsid w:val="3FF35E0E"/>
    <w:rsid w:val="3FFF72A6"/>
    <w:rsid w:val="40115C15"/>
    <w:rsid w:val="405A435B"/>
    <w:rsid w:val="406A6E03"/>
    <w:rsid w:val="40B9571D"/>
    <w:rsid w:val="40F46B54"/>
    <w:rsid w:val="40FA18BA"/>
    <w:rsid w:val="410C362B"/>
    <w:rsid w:val="41265D6F"/>
    <w:rsid w:val="41B810BD"/>
    <w:rsid w:val="421541F8"/>
    <w:rsid w:val="428072A5"/>
    <w:rsid w:val="42D40595"/>
    <w:rsid w:val="42E1381E"/>
    <w:rsid w:val="43520606"/>
    <w:rsid w:val="43C3709C"/>
    <w:rsid w:val="43F002E7"/>
    <w:rsid w:val="43FB717C"/>
    <w:rsid w:val="447300EE"/>
    <w:rsid w:val="451E447A"/>
    <w:rsid w:val="45345B76"/>
    <w:rsid w:val="45F420B3"/>
    <w:rsid w:val="45FC3543"/>
    <w:rsid w:val="462A3FE2"/>
    <w:rsid w:val="46402B8B"/>
    <w:rsid w:val="46B0390B"/>
    <w:rsid w:val="47185291"/>
    <w:rsid w:val="472467E8"/>
    <w:rsid w:val="47307808"/>
    <w:rsid w:val="4766336A"/>
    <w:rsid w:val="476E221E"/>
    <w:rsid w:val="480D50FD"/>
    <w:rsid w:val="486F747C"/>
    <w:rsid w:val="489E7D07"/>
    <w:rsid w:val="48DF2FCB"/>
    <w:rsid w:val="49764039"/>
    <w:rsid w:val="499E45FC"/>
    <w:rsid w:val="49B83D5B"/>
    <w:rsid w:val="49F7299F"/>
    <w:rsid w:val="4A160883"/>
    <w:rsid w:val="4AD87125"/>
    <w:rsid w:val="4B8C78B9"/>
    <w:rsid w:val="4BEE392E"/>
    <w:rsid w:val="4C124497"/>
    <w:rsid w:val="4C464366"/>
    <w:rsid w:val="4C4C58CD"/>
    <w:rsid w:val="4C8853A9"/>
    <w:rsid w:val="4CB94791"/>
    <w:rsid w:val="4CDF5732"/>
    <w:rsid w:val="4D592622"/>
    <w:rsid w:val="4D861CF6"/>
    <w:rsid w:val="4DC8085E"/>
    <w:rsid w:val="4E0C2050"/>
    <w:rsid w:val="4E110BAB"/>
    <w:rsid w:val="4E54487E"/>
    <w:rsid w:val="4E8E1906"/>
    <w:rsid w:val="4ECA3572"/>
    <w:rsid w:val="4EEE3181"/>
    <w:rsid w:val="4F134B35"/>
    <w:rsid w:val="4F670256"/>
    <w:rsid w:val="4FC621FB"/>
    <w:rsid w:val="4FE30DC1"/>
    <w:rsid w:val="50313F0E"/>
    <w:rsid w:val="50631323"/>
    <w:rsid w:val="50EA3D97"/>
    <w:rsid w:val="512428A6"/>
    <w:rsid w:val="512B2F53"/>
    <w:rsid w:val="51800850"/>
    <w:rsid w:val="51A0432A"/>
    <w:rsid w:val="51D266DD"/>
    <w:rsid w:val="51E47906"/>
    <w:rsid w:val="51F872B4"/>
    <w:rsid w:val="520470F0"/>
    <w:rsid w:val="520E24F1"/>
    <w:rsid w:val="527140E5"/>
    <w:rsid w:val="5292508F"/>
    <w:rsid w:val="529B6D5D"/>
    <w:rsid w:val="52A96B6F"/>
    <w:rsid w:val="5314032E"/>
    <w:rsid w:val="536A2433"/>
    <w:rsid w:val="54232D0E"/>
    <w:rsid w:val="54A35137"/>
    <w:rsid w:val="550334E7"/>
    <w:rsid w:val="550764A4"/>
    <w:rsid w:val="551926E0"/>
    <w:rsid w:val="5552317F"/>
    <w:rsid w:val="55590826"/>
    <w:rsid w:val="55757499"/>
    <w:rsid w:val="557E77AB"/>
    <w:rsid w:val="559C06FA"/>
    <w:rsid w:val="55D343BA"/>
    <w:rsid w:val="55E22177"/>
    <w:rsid w:val="55E22755"/>
    <w:rsid w:val="5606092B"/>
    <w:rsid w:val="561279B9"/>
    <w:rsid w:val="564F7A92"/>
    <w:rsid w:val="56515F3B"/>
    <w:rsid w:val="57212FAC"/>
    <w:rsid w:val="572B71CA"/>
    <w:rsid w:val="57622473"/>
    <w:rsid w:val="57826F9A"/>
    <w:rsid w:val="579F6FEE"/>
    <w:rsid w:val="58AE4F0C"/>
    <w:rsid w:val="590A0142"/>
    <w:rsid w:val="590D09EF"/>
    <w:rsid w:val="597B7283"/>
    <w:rsid w:val="59BA7C09"/>
    <w:rsid w:val="59E6535B"/>
    <w:rsid w:val="5A2A7C7B"/>
    <w:rsid w:val="5AAF2D34"/>
    <w:rsid w:val="5ABE3BC9"/>
    <w:rsid w:val="5AF54CD9"/>
    <w:rsid w:val="5B5155CB"/>
    <w:rsid w:val="5B59594D"/>
    <w:rsid w:val="5BA9186D"/>
    <w:rsid w:val="5BF74317"/>
    <w:rsid w:val="5C230F74"/>
    <w:rsid w:val="5C651580"/>
    <w:rsid w:val="5C80234E"/>
    <w:rsid w:val="5CB402B5"/>
    <w:rsid w:val="5CF03729"/>
    <w:rsid w:val="5D8142AD"/>
    <w:rsid w:val="5DD1193F"/>
    <w:rsid w:val="5DD5494D"/>
    <w:rsid w:val="5DF50456"/>
    <w:rsid w:val="5DF94AE0"/>
    <w:rsid w:val="5E1229F9"/>
    <w:rsid w:val="5E1929B8"/>
    <w:rsid w:val="5E2552C4"/>
    <w:rsid w:val="5E261785"/>
    <w:rsid w:val="5E3510CB"/>
    <w:rsid w:val="5E5D4F0E"/>
    <w:rsid w:val="5EC24FAE"/>
    <w:rsid w:val="5F051025"/>
    <w:rsid w:val="5F2A050E"/>
    <w:rsid w:val="5F563A58"/>
    <w:rsid w:val="5F750405"/>
    <w:rsid w:val="5F92321B"/>
    <w:rsid w:val="5FBD1662"/>
    <w:rsid w:val="5FCC5339"/>
    <w:rsid w:val="5FE70807"/>
    <w:rsid w:val="60214AC3"/>
    <w:rsid w:val="6043643D"/>
    <w:rsid w:val="605E50CE"/>
    <w:rsid w:val="60771CEC"/>
    <w:rsid w:val="60BF2C01"/>
    <w:rsid w:val="60E53485"/>
    <w:rsid w:val="61054A27"/>
    <w:rsid w:val="61147781"/>
    <w:rsid w:val="611D2366"/>
    <w:rsid w:val="61A06CED"/>
    <w:rsid w:val="61DD47F0"/>
    <w:rsid w:val="621C2EF3"/>
    <w:rsid w:val="62885958"/>
    <w:rsid w:val="62B60AA3"/>
    <w:rsid w:val="62F614A1"/>
    <w:rsid w:val="632B47CD"/>
    <w:rsid w:val="63620609"/>
    <w:rsid w:val="636F56D3"/>
    <w:rsid w:val="63842E4C"/>
    <w:rsid w:val="63A9066C"/>
    <w:rsid w:val="64220C67"/>
    <w:rsid w:val="645547EC"/>
    <w:rsid w:val="645A5BAC"/>
    <w:rsid w:val="645B38E5"/>
    <w:rsid w:val="64CE2EAA"/>
    <w:rsid w:val="64D023EE"/>
    <w:rsid w:val="65102E3B"/>
    <w:rsid w:val="651C2609"/>
    <w:rsid w:val="656653BF"/>
    <w:rsid w:val="658314DA"/>
    <w:rsid w:val="658F2AB3"/>
    <w:rsid w:val="65BF01FD"/>
    <w:rsid w:val="65FC2D84"/>
    <w:rsid w:val="66145AFF"/>
    <w:rsid w:val="662E75B1"/>
    <w:rsid w:val="66342C2E"/>
    <w:rsid w:val="663E784C"/>
    <w:rsid w:val="66A8393F"/>
    <w:rsid w:val="66D9725C"/>
    <w:rsid w:val="66E74BF8"/>
    <w:rsid w:val="672A7DA1"/>
    <w:rsid w:val="676631D4"/>
    <w:rsid w:val="67A240D1"/>
    <w:rsid w:val="685867EC"/>
    <w:rsid w:val="68F8162B"/>
    <w:rsid w:val="693B7D53"/>
    <w:rsid w:val="69D93AF2"/>
    <w:rsid w:val="6A265138"/>
    <w:rsid w:val="6A676DB6"/>
    <w:rsid w:val="6AA2635C"/>
    <w:rsid w:val="6ACF764A"/>
    <w:rsid w:val="6ADA2EE7"/>
    <w:rsid w:val="6B2036AC"/>
    <w:rsid w:val="6B2C5C40"/>
    <w:rsid w:val="6C5A7FFE"/>
    <w:rsid w:val="6C5C6920"/>
    <w:rsid w:val="6C7F5258"/>
    <w:rsid w:val="6C896767"/>
    <w:rsid w:val="6CD96F0E"/>
    <w:rsid w:val="6D360A02"/>
    <w:rsid w:val="6D5F75CF"/>
    <w:rsid w:val="6E6F38F9"/>
    <w:rsid w:val="6E8E12EF"/>
    <w:rsid w:val="6F095ED0"/>
    <w:rsid w:val="6F3D3E33"/>
    <w:rsid w:val="6F5C254F"/>
    <w:rsid w:val="6FBE7937"/>
    <w:rsid w:val="703419A7"/>
    <w:rsid w:val="70B84386"/>
    <w:rsid w:val="716B31A7"/>
    <w:rsid w:val="718A7996"/>
    <w:rsid w:val="71D43752"/>
    <w:rsid w:val="72273D81"/>
    <w:rsid w:val="722F68CA"/>
    <w:rsid w:val="7237344F"/>
    <w:rsid w:val="72846D31"/>
    <w:rsid w:val="72A9188C"/>
    <w:rsid w:val="731D2A29"/>
    <w:rsid w:val="733E2423"/>
    <w:rsid w:val="73677C34"/>
    <w:rsid w:val="73DD6243"/>
    <w:rsid w:val="73EB236A"/>
    <w:rsid w:val="743337E7"/>
    <w:rsid w:val="749C4185"/>
    <w:rsid w:val="74A5075E"/>
    <w:rsid w:val="751D45A8"/>
    <w:rsid w:val="75291A94"/>
    <w:rsid w:val="753C695A"/>
    <w:rsid w:val="7544268D"/>
    <w:rsid w:val="756D573F"/>
    <w:rsid w:val="75DA2C18"/>
    <w:rsid w:val="765148CB"/>
    <w:rsid w:val="76674D66"/>
    <w:rsid w:val="76793BFD"/>
    <w:rsid w:val="767A2C9B"/>
    <w:rsid w:val="76832D41"/>
    <w:rsid w:val="768B6FD7"/>
    <w:rsid w:val="76D41CF9"/>
    <w:rsid w:val="770305EA"/>
    <w:rsid w:val="775319EF"/>
    <w:rsid w:val="77821AE1"/>
    <w:rsid w:val="77CA5E3C"/>
    <w:rsid w:val="781F6A99"/>
    <w:rsid w:val="78E018DC"/>
    <w:rsid w:val="790F1C77"/>
    <w:rsid w:val="79306089"/>
    <w:rsid w:val="79371F22"/>
    <w:rsid w:val="797A000D"/>
    <w:rsid w:val="797D4244"/>
    <w:rsid w:val="798B797D"/>
    <w:rsid w:val="7A232CD0"/>
    <w:rsid w:val="7A67303B"/>
    <w:rsid w:val="7AAB1D04"/>
    <w:rsid w:val="7AAF73E7"/>
    <w:rsid w:val="7ABA4368"/>
    <w:rsid w:val="7AC202DC"/>
    <w:rsid w:val="7AC92660"/>
    <w:rsid w:val="7B1E6D01"/>
    <w:rsid w:val="7B22088A"/>
    <w:rsid w:val="7B2526C0"/>
    <w:rsid w:val="7B257FFD"/>
    <w:rsid w:val="7B34036D"/>
    <w:rsid w:val="7B806C5B"/>
    <w:rsid w:val="7B9504FB"/>
    <w:rsid w:val="7C2B1DA5"/>
    <w:rsid w:val="7C3B49D1"/>
    <w:rsid w:val="7C9E771C"/>
    <w:rsid w:val="7CE42970"/>
    <w:rsid w:val="7D92659D"/>
    <w:rsid w:val="7DDC070D"/>
    <w:rsid w:val="7DF4317E"/>
    <w:rsid w:val="7E472433"/>
    <w:rsid w:val="7E64308B"/>
    <w:rsid w:val="7E982A8F"/>
    <w:rsid w:val="7EA76A27"/>
    <w:rsid w:val="7EBB5FA0"/>
    <w:rsid w:val="7ED401E9"/>
    <w:rsid w:val="7EE42D2F"/>
    <w:rsid w:val="7F5B0CFF"/>
    <w:rsid w:val="7F7A3B39"/>
    <w:rsid w:val="7FE5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3"/>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7"/>
    <w:link w:val="60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7"/>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5"/>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5"/>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479"/>
    <w:qFormat/>
    <w:uiPriority w:val="0"/>
    <w:pPr>
      <w:spacing w:line="480" w:lineRule="exact"/>
      <w:ind w:firstLine="480" w:firstLineChars="200"/>
    </w:pPr>
    <w:rPr>
      <w:rFonts w:ascii="宋体" w:hAnsi="宋体"/>
      <w:sz w:val="24"/>
    </w:rPr>
  </w:style>
  <w:style w:type="paragraph" w:customStyle="1" w:styleId="7">
    <w:name w:val="*正文"/>
    <w:basedOn w:val="8"/>
    <w:qFormat/>
    <w:uiPriority w:val="0"/>
    <w:pPr>
      <w:snapToGrid w:val="0"/>
      <w:spacing w:line="360" w:lineRule="auto"/>
      <w:ind w:firstLine="482"/>
      <w:jc w:val="left"/>
    </w:pPr>
    <w:rPr>
      <w:rFonts w:ascii="宋体" w:hAnsi="宋体"/>
      <w:kern w:val="0"/>
      <w:sz w:val="24"/>
      <w:szCs w:val="20"/>
    </w:rPr>
  </w:style>
  <w:style w:type="paragraph" w:styleId="8">
    <w:name w:val="Normal Indent"/>
    <w:basedOn w:val="1"/>
    <w:next w:val="1"/>
    <w:link w:val="617"/>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8"/>
    <w:qFormat/>
    <w:uiPriority w:val="99"/>
    <w:pPr>
      <w:jc w:val="left"/>
    </w:pPr>
  </w:style>
  <w:style w:type="paragraph" w:styleId="22">
    <w:name w:val="Salutation"/>
    <w:basedOn w:val="1"/>
    <w:next w:val="1"/>
    <w:link w:val="486"/>
    <w:qFormat/>
    <w:uiPriority w:val="0"/>
    <w:rPr>
      <w:rFonts w:ascii="仿宋_GB2312" w:eastAsia="仿宋_GB2312"/>
      <w:sz w:val="28"/>
      <w:szCs w:val="20"/>
    </w:rPr>
  </w:style>
  <w:style w:type="paragraph" w:styleId="23">
    <w:name w:val="Body Text 3"/>
    <w:basedOn w:val="1"/>
    <w:link w:val="585"/>
    <w:qFormat/>
    <w:uiPriority w:val="0"/>
    <w:pPr>
      <w:jc w:val="center"/>
    </w:pPr>
    <w:rPr>
      <w:szCs w:val="20"/>
    </w:rPr>
  </w:style>
  <w:style w:type="paragraph" w:styleId="24">
    <w:name w:val="Body Text"/>
    <w:basedOn w:val="1"/>
    <w:next w:val="1"/>
    <w:link w:val="516"/>
    <w:qFormat/>
    <w:uiPriority w:val="0"/>
    <w:pPr>
      <w:autoSpaceDE w:val="0"/>
      <w:autoSpaceDN w:val="0"/>
      <w:spacing w:line="360" w:lineRule="auto"/>
    </w:pPr>
    <w:rPr>
      <w:rFonts w:ascii="宋体"/>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3"/>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02"/>
    <w:qFormat/>
    <w:uiPriority w:val="0"/>
    <w:pPr>
      <w:ind w:left="100" w:leftChars="2500"/>
    </w:pPr>
    <w:rPr>
      <w:rFonts w:ascii="宋体"/>
      <w:sz w:val="24"/>
      <w:szCs w:val="21"/>
      <w:lang w:val="zh-CN"/>
    </w:rPr>
  </w:style>
  <w:style w:type="paragraph" w:styleId="36">
    <w:name w:val="Body Text Indent 2"/>
    <w:basedOn w:val="1"/>
    <w:link w:val="507"/>
    <w:qFormat/>
    <w:uiPriority w:val="0"/>
    <w:pPr>
      <w:spacing w:line="360" w:lineRule="auto"/>
      <w:ind w:firstLine="601"/>
      <w:textAlignment w:val="baseline"/>
    </w:pPr>
    <w:rPr>
      <w:rFonts w:ascii="宋体"/>
      <w:kern w:val="0"/>
      <w:sz w:val="28"/>
      <w:szCs w:val="20"/>
    </w:rPr>
  </w:style>
  <w:style w:type="paragraph" w:styleId="37">
    <w:name w:val="Balloon Text"/>
    <w:basedOn w:val="1"/>
    <w:link w:val="619"/>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envelope return"/>
    <w:basedOn w:val="1"/>
    <w:qFormat/>
    <w:uiPriority w:val="0"/>
    <w:pPr>
      <w:snapToGrid w:val="0"/>
    </w:pPr>
    <w:rPr>
      <w:rFonts w:ascii="Arial" w:hAnsi="Arial"/>
    </w:rPr>
  </w:style>
  <w:style w:type="paragraph" w:styleId="40">
    <w:name w:val="header"/>
    <w:basedOn w:val="1"/>
    <w:next w:val="41"/>
    <w:qFormat/>
    <w:uiPriority w:val="0"/>
    <w:pPr>
      <w:pBdr>
        <w:bottom w:val="single" w:color="auto" w:sz="6" w:space="1"/>
      </w:pBdr>
      <w:tabs>
        <w:tab w:val="center" w:pos="4153"/>
        <w:tab w:val="right" w:pos="8306"/>
      </w:tabs>
      <w:snapToGrid w:val="0"/>
      <w:jc w:val="center"/>
    </w:pPr>
    <w:rPr>
      <w:sz w:val="18"/>
      <w:szCs w:val="18"/>
    </w:rPr>
  </w:style>
  <w:style w:type="paragraph" w:customStyle="1" w:styleId="4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2">
    <w:name w:val="Signature"/>
    <w:basedOn w:val="1"/>
    <w:link w:val="43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8"/>
    <w:link w:val="477"/>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9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semiHidden/>
    <w:qFormat/>
    <w:uiPriority w:val="0"/>
    <w:rPr>
      <w:b/>
      <w:bCs/>
    </w:rPr>
  </w:style>
  <w:style w:type="paragraph" w:styleId="61">
    <w:name w:val="Body Text First Indent"/>
    <w:basedOn w:val="24"/>
    <w:next w:val="1"/>
    <w:link w:val="549"/>
    <w:qFormat/>
    <w:uiPriority w:val="0"/>
    <w:pPr>
      <w:ind w:firstLine="420"/>
    </w:pPr>
    <w:rPr>
      <w:szCs w:val="20"/>
    </w:rPr>
  </w:style>
  <w:style w:type="paragraph" w:styleId="62">
    <w:name w:val="Body Text First Indent 2"/>
    <w:basedOn w:val="2"/>
    <w:link w:val="506"/>
    <w:qFormat/>
    <w:uiPriority w:val="0"/>
    <w:pPr>
      <w:adjustRightInd/>
      <w:spacing w:after="120" w:line="240" w:lineRule="auto"/>
      <w:ind w:left="420" w:leftChars="200" w:firstLine="210"/>
    </w:pPr>
    <w:rPr>
      <w:sz w:val="21"/>
    </w:rPr>
  </w:style>
  <w:style w:type="table" w:styleId="64">
    <w:name w:val="Table Grid"/>
    <w:basedOn w:val="6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paragraph" w:customStyle="1" w:styleId="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样式3"/>
    <w:basedOn w:val="32"/>
    <w:next w:val="1"/>
    <w:qFormat/>
    <w:uiPriority w:val="0"/>
    <w:pPr>
      <w:tabs>
        <w:tab w:val="left" w:pos="2790"/>
        <w:tab w:val="left" w:pos="4230"/>
      </w:tabs>
      <w:spacing w:before="312" w:beforeLines="100"/>
      <w:jc w:val="left"/>
    </w:pPr>
  </w:style>
  <w:style w:type="paragraph" w:customStyle="1" w:styleId="7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104"/>
    <w:next w:val="104"/>
    <w:qFormat/>
    <w:uiPriority w:val="0"/>
    <w:pPr>
      <w:spacing w:after="68"/>
    </w:pPr>
    <w:rPr>
      <w:rFonts w:ascii="FHLHE E+ Futura Bk" w:eastAsia="FHLHE E+ Futura Bk" w:cs="Times New Roman"/>
      <w:color w:val="auto"/>
    </w:rPr>
  </w:style>
  <w:style w:type="paragraph" w:customStyle="1" w:styleId="104">
    <w:name w:val="Default"/>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0">
    <w:name w:val="List Paragraph"/>
    <w:basedOn w:val="1"/>
    <w:qFormat/>
    <w:uiPriority w:val="0"/>
    <w:pPr>
      <w:spacing w:line="360" w:lineRule="auto"/>
      <w:ind w:firstLine="200" w:firstLineChars="200"/>
    </w:pPr>
    <w:rPr>
      <w:rFonts w:eastAsia="楷体_GB2312" w:cs="Lucida Sans"/>
      <w:sz w:val="24"/>
    </w:rPr>
  </w:style>
  <w:style w:type="paragraph" w:customStyle="1" w:styleId="11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5"/>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qFormat/>
    <w:uiPriority w:val="0"/>
    <w:pPr>
      <w:tabs>
        <w:tab w:val="left" w:pos="2356"/>
      </w:tabs>
    </w:pPr>
  </w:style>
  <w:style w:type="paragraph" w:customStyle="1" w:styleId="175">
    <w:name w:val="样式 标题 4h4H4Fab-4T5Ref Heading 1rh1Heading sqlsect 1.2.3...."/>
    <w:basedOn w:val="6"/>
    <w:link w:val="56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0" w:beforeLines="0" w:after="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6"/>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6"/>
    <w:qFormat/>
    <w:uiPriority w:val="0"/>
    <w:pPr>
      <w:snapToGrid w:val="0"/>
      <w:spacing w:line="360" w:lineRule="auto"/>
    </w:pPr>
    <w:rPr>
      <w:rFonts w:ascii="宋体"/>
      <w:b/>
      <w:sz w:val="24"/>
      <w:szCs w:val="20"/>
    </w:rPr>
  </w:style>
  <w:style w:type="paragraph" w:customStyle="1" w:styleId="234">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6"/>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36"/>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4"/>
    <w:next w:val="104"/>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5"/>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5"/>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6"/>
    <w:link w:val="55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20"/>
    <w:qFormat/>
    <w:uiPriority w:val="0"/>
    <w:pPr>
      <w:snapToGrid w:val="0"/>
      <w:spacing w:line="360" w:lineRule="auto"/>
    </w:pPr>
  </w:style>
  <w:style w:type="paragraph" w:customStyle="1" w:styleId="37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6"/>
    <w:next w:val="143"/>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9"/>
    <w:next w:val="1"/>
    <w:qFormat/>
    <w:uiPriority w:val="0"/>
    <w:pPr>
      <w:numPr>
        <w:numId w:val="5"/>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411">
    <w:name w:val="0"/>
    <w:basedOn w:val="1"/>
    <w:qFormat/>
    <w:uiPriority w:val="0"/>
    <w:pPr>
      <w:widowControl/>
    </w:pPr>
    <w:rPr>
      <w:kern w:val="0"/>
      <w:sz w:val="24"/>
      <w:szCs w:val="20"/>
    </w:rPr>
  </w:style>
  <w:style w:type="paragraph" w:customStyle="1" w:styleId="412">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9"/>
    <w:qFormat/>
    <w:uiPriority w:val="0"/>
    <w:pPr>
      <w:numPr>
        <w:numId w:val="4"/>
      </w:numPr>
      <w:tabs>
        <w:tab w:val="left" w:pos="840"/>
        <w:tab w:val="left" w:pos="2520"/>
        <w:tab w:val="clear" w:pos="1008"/>
      </w:tabs>
      <w:adjustRightInd/>
    </w:pPr>
  </w:style>
  <w:style w:type="paragraph" w:customStyle="1" w:styleId="415">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3"/>
    <w:next w:val="1"/>
    <w:qFormat/>
    <w:uiPriority w:val="0"/>
    <w:pPr>
      <w:numPr>
        <w:numId w:val="5"/>
      </w:numPr>
      <w:tabs>
        <w:tab w:val="left" w:pos="480"/>
        <w:tab w:val="clear" w:pos="432"/>
      </w:tabs>
    </w:pPr>
  </w:style>
  <w:style w:type="paragraph" w:customStyle="1" w:styleId="41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3"/>
    <w:qFormat/>
    <w:uiPriority w:val="0"/>
    <w:pPr>
      <w:numPr>
        <w:numId w:val="0"/>
      </w:numPr>
      <w:tabs>
        <w:tab w:val="left" w:pos="840"/>
        <w:tab w:val="clear" w:pos="432"/>
      </w:tabs>
      <w:adjustRightInd/>
      <w:ind w:left="840" w:hanging="420"/>
    </w:pPr>
  </w:style>
  <w:style w:type="paragraph" w:customStyle="1" w:styleId="426">
    <w:name w:val="Char Char Char Char Char Char Char Char1"/>
    <w:basedOn w:val="1"/>
    <w:qFormat/>
    <w:uiPriority w:val="0"/>
    <w:pPr>
      <w:tabs>
        <w:tab w:val="left" w:pos="360"/>
      </w:tabs>
    </w:pPr>
    <w:rPr>
      <w:sz w:val="24"/>
      <w:szCs w:val="20"/>
    </w:rPr>
  </w:style>
  <w:style w:type="paragraph" w:customStyle="1" w:styleId="42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qFormat/>
    <w:uiPriority w:val="0"/>
    <w:pPr>
      <w:widowControl/>
      <w:adjustRightInd/>
      <w:spacing w:after="160" w:line="240" w:lineRule="exact"/>
      <w:jc w:val="left"/>
    </w:pPr>
    <w:rPr>
      <w:szCs w:val="20"/>
    </w:rPr>
  </w:style>
  <w:style w:type="paragraph" w:customStyle="1" w:styleId="429">
    <w:name w:val="Char Char12"/>
    <w:basedOn w:val="1"/>
    <w:qFormat/>
    <w:uiPriority w:val="0"/>
    <w:pPr>
      <w:widowControl/>
      <w:spacing w:after="160" w:line="240" w:lineRule="exact"/>
      <w:jc w:val="left"/>
    </w:pPr>
    <w:rPr>
      <w:rFonts w:eastAsia="仿宋_GB2312"/>
      <w:sz w:val="28"/>
    </w:rPr>
  </w:style>
  <w:style w:type="paragraph" w:customStyle="1" w:styleId="43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qFormat/>
    <w:uiPriority w:val="0"/>
    <w:pPr>
      <w:adjustRightInd/>
      <w:spacing w:line="360" w:lineRule="auto"/>
    </w:pPr>
    <w:rPr>
      <w:sz w:val="24"/>
    </w:rPr>
  </w:style>
  <w:style w:type="paragraph" w:customStyle="1" w:styleId="43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qFormat/>
    <w:uiPriority w:val="0"/>
    <w:rPr>
      <w:rFonts w:eastAsia="宋体"/>
      <w:kern w:val="2"/>
      <w:sz w:val="24"/>
      <w:szCs w:val="24"/>
      <w:lang w:val="en-US" w:eastAsia="zh-CN" w:bidi="ar-SA"/>
    </w:rPr>
  </w:style>
  <w:style w:type="character" w:customStyle="1" w:styleId="437">
    <w:name w:val="myp1111"/>
    <w:qFormat/>
    <w:uiPriority w:val="0"/>
    <w:rPr>
      <w:rFonts w:hint="default" w:ascii="ˎ̥" w:hAnsi="ˎ̥"/>
      <w:color w:val="000000"/>
      <w:sz w:val="20"/>
      <w:szCs w:val="20"/>
      <w:u w:val="none"/>
    </w:rPr>
  </w:style>
  <w:style w:type="character" w:customStyle="1" w:styleId="438">
    <w:name w:val="mdeck"/>
    <w:qFormat/>
    <w:uiPriority w:val="0"/>
    <w:rPr>
      <w:rFonts w:ascii="仿宋_GB2312" w:eastAsia="微软雅黑"/>
      <w:b/>
      <w:kern w:val="2"/>
      <w:sz w:val="32"/>
      <w:szCs w:val="32"/>
      <w:lang w:val="en-US" w:eastAsia="zh-CN" w:bidi="ar-SA"/>
    </w:rPr>
  </w:style>
  <w:style w:type="character" w:customStyle="1" w:styleId="439">
    <w:name w:val="签名 Char"/>
    <w:link w:val="42"/>
    <w:qFormat/>
    <w:uiPriority w:val="0"/>
    <w:rPr>
      <w:rFonts w:eastAsia="仿宋_GB2312"/>
      <w:sz w:val="24"/>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semiHidden/>
    <w:qFormat/>
    <w:locked/>
    <w:uiPriority w:val="0"/>
    <w:rPr>
      <w:rFonts w:eastAsia="宋体"/>
      <w:kern w:val="2"/>
      <w:sz w:val="18"/>
      <w:szCs w:val="18"/>
      <w:lang w:val="en-US" w:eastAsia="zh-CN" w:bidi="ar-SA"/>
    </w:rPr>
  </w:style>
  <w:style w:type="character" w:customStyle="1" w:styleId="443">
    <w:name w:val="正文非缩进 Char"/>
    <w:qFormat/>
    <w:uiPriority w:val="0"/>
    <w:rPr>
      <w:rFonts w:ascii="宋体" w:eastAsia="宋体"/>
      <w:snapToGrid w:val="0"/>
      <w:color w:val="000000"/>
      <w:kern w:val="28"/>
      <w:sz w:val="28"/>
      <w:lang w:val="en-US" w:eastAsia="zh-CN" w:bidi="ar-SA"/>
    </w:rPr>
  </w:style>
  <w:style w:type="character" w:customStyle="1" w:styleId="444">
    <w:name w:val="此正文 Char"/>
    <w:link w:val="359"/>
    <w:qFormat/>
    <w:uiPriority w:val="0"/>
    <w:rPr>
      <w:kern w:val="2"/>
      <w:sz w:val="24"/>
      <w:szCs w:val="24"/>
    </w:rPr>
  </w:style>
  <w:style w:type="character" w:customStyle="1" w:styleId="445">
    <w:name w:val="Ò³Ã¼ Char Char"/>
    <w:qFormat/>
    <w:uiPriority w:val="0"/>
    <w:rPr>
      <w:rFonts w:eastAsia="宋体"/>
      <w:kern w:val="2"/>
      <w:sz w:val="18"/>
      <w:lang w:val="en-US" w:eastAsia="zh-CN" w:bidi="ar-SA"/>
    </w:rPr>
  </w:style>
  <w:style w:type="character" w:customStyle="1" w:styleId="446">
    <w:name w:val="style91"/>
    <w:qFormat/>
    <w:uiPriority w:val="0"/>
    <w:rPr>
      <w:color w:val="333333"/>
    </w:rPr>
  </w:style>
  <w:style w:type="character" w:customStyle="1" w:styleId="447">
    <w:name w:val="标书1 Char"/>
    <w:qFormat/>
    <w:uiPriority w:val="0"/>
    <w:rPr>
      <w:rFonts w:eastAsia="宋体"/>
      <w:b/>
      <w:bCs/>
      <w:kern w:val="44"/>
      <w:sz w:val="44"/>
      <w:szCs w:val="44"/>
      <w:lang w:val="en-US" w:eastAsia="zh-CN" w:bidi="ar-SA"/>
    </w:rPr>
  </w:style>
  <w:style w:type="character" w:customStyle="1" w:styleId="448">
    <w:name w:val="ca-131"/>
    <w:qFormat/>
    <w:uiPriority w:val="0"/>
    <w:rPr>
      <w:rFonts w:hint="eastAsia" w:ascii="仿宋_GB2312" w:eastAsia="仿宋_GB2312"/>
      <w:b/>
      <w:bCs/>
      <w:color w:val="000000"/>
      <w:spacing w:val="-20"/>
      <w:sz w:val="24"/>
      <w:szCs w:val="24"/>
    </w:rPr>
  </w:style>
  <w:style w:type="character" w:customStyle="1" w:styleId="449">
    <w:name w:val="标书正文格式 Char"/>
    <w:qFormat/>
    <w:uiPriority w:val="0"/>
    <w:rPr>
      <w:rFonts w:eastAsia="楷体_GB2312"/>
      <w:kern w:val="2"/>
      <w:sz w:val="24"/>
      <w:szCs w:val="24"/>
      <w:lang w:bidi="ar-SA"/>
    </w:rPr>
  </w:style>
  <w:style w:type="character" w:customStyle="1" w:styleId="450">
    <w:name w:val="Char Char6"/>
    <w:qFormat/>
    <w:uiPriority w:val="0"/>
    <w:rPr>
      <w:rFonts w:eastAsia="宋体"/>
      <w:kern w:val="2"/>
      <w:sz w:val="21"/>
      <w:szCs w:val="24"/>
      <w:lang w:val="en-US" w:eastAsia="zh-CN" w:bidi="ar-SA"/>
    </w:rPr>
  </w:style>
  <w:style w:type="character" w:customStyle="1" w:styleId="451">
    <w:name w:val="正文2 Char Char"/>
    <w:link w:val="398"/>
    <w:qFormat/>
    <w:uiPriority w:val="0"/>
    <w:rPr>
      <w:rFonts w:eastAsia="宋体"/>
      <w:kern w:val="2"/>
      <w:sz w:val="24"/>
      <w:lang w:val="en-US" w:eastAsia="zh-CN" w:bidi="ar-SA"/>
    </w:rPr>
  </w:style>
  <w:style w:type="character" w:customStyle="1" w:styleId="452">
    <w:name w:val="content"/>
    <w:qFormat/>
    <w:uiPriority w:val="0"/>
  </w:style>
  <w:style w:type="character" w:customStyle="1" w:styleId="453">
    <w:name w:val="正文文本 2 Char"/>
    <w:qFormat/>
    <w:uiPriority w:val="0"/>
    <w:rPr>
      <w:rFonts w:eastAsia="宋体"/>
      <w:kern w:val="2"/>
      <w:sz w:val="21"/>
      <w:szCs w:val="24"/>
      <w:lang w:val="en-US" w:eastAsia="zh-CN" w:bidi="ar-SA"/>
    </w:rPr>
  </w:style>
  <w:style w:type="character" w:customStyle="1" w:styleId="454">
    <w:name w:val="Heading 2 Hidden Char"/>
    <w:qFormat/>
    <w:uiPriority w:val="0"/>
    <w:rPr>
      <w:rFonts w:ascii="仿宋_GB2312" w:eastAsia="仿宋_GB2312"/>
      <w:b/>
      <w:bCs/>
      <w:kern w:val="2"/>
      <w:sz w:val="24"/>
      <w:szCs w:val="24"/>
      <w:lang w:val="zh-CN" w:eastAsia="zh-CN" w:bidi="ar-SA"/>
    </w:rPr>
  </w:style>
  <w:style w:type="character" w:customStyle="1" w:styleId="455">
    <w:name w:val="首行缩进 Char"/>
    <w:qFormat/>
    <w:uiPriority w:val="0"/>
    <w:rPr>
      <w:rFonts w:ascii="宋体" w:eastAsia="宋体"/>
      <w:kern w:val="2"/>
      <w:sz w:val="24"/>
      <w:lang w:val="en-US" w:eastAsia="zh-CN" w:bidi="ar-SA"/>
    </w:rPr>
  </w:style>
  <w:style w:type="character" w:customStyle="1" w:styleId="4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qFormat/>
    <w:uiPriority w:val="0"/>
    <w:rPr>
      <w:rFonts w:ascii="宋体" w:hAnsi="Courier New"/>
      <w:kern w:val="2"/>
      <w:sz w:val="21"/>
    </w:rPr>
  </w:style>
  <w:style w:type="character" w:customStyle="1" w:styleId="458">
    <w:name w:val="Footer-Even Char"/>
    <w:qFormat/>
    <w:uiPriority w:val="0"/>
    <w:rPr>
      <w:rFonts w:eastAsia="宋体"/>
      <w:kern w:val="2"/>
      <w:sz w:val="18"/>
      <w:lang w:val="en-US" w:eastAsia="zh-CN" w:bidi="ar-SA"/>
    </w:rPr>
  </w:style>
  <w:style w:type="character" w:customStyle="1" w:styleId="459">
    <w:name w:val="dandyren_title1"/>
    <w:qFormat/>
    <w:uiPriority w:val="0"/>
    <w:rPr>
      <w:b/>
      <w:bCs/>
      <w:color w:val="FF6633"/>
      <w:sz w:val="18"/>
      <w:szCs w:val="18"/>
    </w:rPr>
  </w:style>
  <w:style w:type="character" w:customStyle="1" w:styleId="460">
    <w:name w:val="标题 3 Char2"/>
    <w:qFormat/>
    <w:uiPriority w:val="0"/>
    <w:rPr>
      <w:rFonts w:eastAsia="宋体"/>
      <w:b/>
      <w:bCs/>
      <w:kern w:val="2"/>
      <w:sz w:val="32"/>
      <w:szCs w:val="32"/>
      <w:lang w:val="en-US" w:eastAsia="zh-CN" w:bidi="ar-SA"/>
    </w:rPr>
  </w:style>
  <w:style w:type="character" w:customStyle="1" w:styleId="461">
    <w:name w:val="gray6"/>
    <w:basedOn w:val="65"/>
    <w:qFormat/>
    <w:uiPriority w:val="0"/>
  </w:style>
  <w:style w:type="character" w:customStyle="1" w:styleId="462">
    <w:name w:val="标准正文格式 Char"/>
    <w:qFormat/>
    <w:uiPriority w:val="0"/>
    <w:rPr>
      <w:rFonts w:ascii="宋体" w:eastAsia="仿宋_GB2312" w:cs="宋体"/>
      <w:color w:val="000000"/>
      <w:sz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px14"/>
    <w:qFormat/>
    <w:uiPriority w:val="0"/>
    <w:rPr>
      <w:rFonts w:ascii="仿宋_GB2312" w:eastAsia="微软雅黑" w:cs="Times New Roman"/>
      <w:b/>
      <w:kern w:val="2"/>
      <w:sz w:val="32"/>
      <w:szCs w:val="32"/>
      <w:lang w:val="en-US" w:eastAsia="zh-CN" w:bidi="ar-SA"/>
    </w:rPr>
  </w:style>
  <w:style w:type="character" w:customStyle="1" w:styleId="465">
    <w:name w:val="txt"/>
    <w:qFormat/>
    <w:uiPriority w:val="0"/>
    <w:rPr>
      <w:rFonts w:ascii="仿宋_GB2312" w:eastAsia="微软雅黑"/>
      <w:b/>
      <w:kern w:val="2"/>
      <w:sz w:val="32"/>
      <w:szCs w:val="32"/>
      <w:lang w:val="en-US" w:eastAsia="zh-CN" w:bidi="ar-SA"/>
    </w:rPr>
  </w:style>
  <w:style w:type="character" w:customStyle="1" w:styleId="466">
    <w:name w:val="仿宋正文 Char"/>
    <w:link w:val="343"/>
    <w:qFormat/>
    <w:uiPriority w:val="0"/>
    <w:rPr>
      <w:rFonts w:ascii="仿宋_GB2312" w:eastAsia="仿宋_GB2312"/>
      <w:kern w:val="2"/>
      <w:sz w:val="24"/>
      <w:lang w:val="en-US" w:eastAsia="zh-CN" w:bidi="ar-SA"/>
    </w:rPr>
  </w:style>
  <w:style w:type="character" w:customStyle="1" w:styleId="467">
    <w:name w:val="Comment Text Char"/>
    <w:semiHidden/>
    <w:qFormat/>
    <w:locked/>
    <w:uiPriority w:val="0"/>
    <w:rPr>
      <w:rFonts w:ascii="宋体" w:hAnsi="宋体" w:eastAsia="宋体"/>
      <w:kern w:val="2"/>
      <w:sz w:val="24"/>
      <w:lang w:val="en-US" w:eastAsia="zh-CN" w:bidi="ar-SA"/>
    </w:rPr>
  </w:style>
  <w:style w:type="character" w:customStyle="1" w:styleId="468">
    <w:name w:val="tw4winExternal"/>
    <w:qFormat/>
    <w:uiPriority w:val="0"/>
    <w:rPr>
      <w:rFonts w:ascii="Courier New" w:hAnsi="Courier New" w:cs="Courier New"/>
      <w:color w:val="808080"/>
    </w:rPr>
  </w:style>
  <w:style w:type="character" w:customStyle="1" w:styleId="469">
    <w:name w:val="Char Char10"/>
    <w:semiHidden/>
    <w:qFormat/>
    <w:uiPriority w:val="0"/>
    <w:rPr>
      <w:rFonts w:ascii="宋体" w:hAnsi="宋体"/>
      <w:kern w:val="2"/>
      <w:sz w:val="21"/>
      <w:szCs w:val="24"/>
    </w:rPr>
  </w:style>
  <w:style w:type="character" w:customStyle="1" w:styleId="470">
    <w:name w:val="Bold"/>
    <w:qFormat/>
    <w:uiPriority w:val="0"/>
    <w:rPr>
      <w:rFonts w:ascii="Arial" w:hAnsi="Arial" w:eastAsia="黑体" w:cs="Times New Roman"/>
      <w:b/>
      <w:kern w:val="2"/>
      <w:sz w:val="32"/>
      <w:szCs w:val="32"/>
      <w:lang w:val="en-US" w:eastAsia="zh-CN" w:bidi="ar-SA"/>
    </w:rPr>
  </w:style>
  <w:style w:type="character" w:customStyle="1" w:styleId="471">
    <w:name w:val="Font Style82"/>
    <w:qFormat/>
    <w:uiPriority w:val="99"/>
    <w:rPr>
      <w:rFonts w:ascii="宋体" w:eastAsia="宋体" w:cs="宋体"/>
      <w:color w:val="000000"/>
      <w:sz w:val="14"/>
      <w:szCs w:val="14"/>
    </w:rPr>
  </w:style>
  <w:style w:type="character" w:customStyle="1" w:styleId="472">
    <w:name w:val="标题 2 Char"/>
    <w:qFormat/>
    <w:uiPriority w:val="0"/>
    <w:rPr>
      <w:rFonts w:ascii="Arial" w:hAnsi="Arial" w:eastAsia="黑体"/>
      <w:b/>
      <w:kern w:val="2"/>
      <w:sz w:val="32"/>
      <w:lang w:val="en-US" w:eastAsia="zh-CN"/>
    </w:rPr>
  </w:style>
  <w:style w:type="character" w:customStyle="1" w:styleId="473">
    <w:name w:val="h3 Char"/>
    <w:qFormat/>
    <w:uiPriority w:val="0"/>
    <w:rPr>
      <w:rFonts w:eastAsia="宋体"/>
      <w:b/>
      <w:kern w:val="2"/>
      <w:sz w:val="32"/>
      <w:lang w:val="en-US" w:eastAsia="zh-CN" w:bidi="ar-SA"/>
    </w:rPr>
  </w:style>
  <w:style w:type="character" w:customStyle="1" w:styleId="474">
    <w:name w:val="页眉 Char1"/>
    <w:qFormat/>
    <w:uiPriority w:val="0"/>
    <w:rPr>
      <w:rFonts w:eastAsia="宋体"/>
      <w:kern w:val="2"/>
      <w:sz w:val="18"/>
      <w:szCs w:val="18"/>
      <w:lang w:val="en-US" w:eastAsia="zh-CN" w:bidi="ar-SA"/>
    </w:rPr>
  </w:style>
  <w:style w:type="character" w:customStyle="1" w:styleId="475">
    <w:name w:val="标题 8 Char"/>
    <w:link w:val="12"/>
    <w:qFormat/>
    <w:uiPriority w:val="0"/>
    <w:rPr>
      <w:rFonts w:ascii="Arial" w:hAnsi="Arial" w:eastAsia="黑体"/>
      <w:kern w:val="2"/>
      <w:sz w:val="24"/>
      <w:szCs w:val="24"/>
    </w:rPr>
  </w:style>
  <w:style w:type="character" w:customStyle="1" w:styleId="476">
    <w:name w:val="冯广丽 Char"/>
    <w:link w:val="239"/>
    <w:qFormat/>
    <w:uiPriority w:val="0"/>
    <w:rPr>
      <w:rFonts w:ascii="宋体" w:hAnsi="宋体"/>
      <w:kern w:val="2"/>
      <w:sz w:val="24"/>
      <w:szCs w:val="22"/>
    </w:rPr>
  </w:style>
  <w:style w:type="character" w:customStyle="1" w:styleId="477">
    <w:name w:val="脚注文本 Char"/>
    <w:link w:val="50"/>
    <w:qFormat/>
    <w:uiPriority w:val="0"/>
    <w:rPr>
      <w:color w:val="0000FF"/>
      <w:sz w:val="21"/>
    </w:rPr>
  </w:style>
  <w:style w:type="character" w:customStyle="1" w:styleId="478">
    <w:name w:val="font12gray1"/>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
    <w:qFormat/>
    <w:uiPriority w:val="0"/>
    <w:rPr>
      <w:rFonts w:ascii="宋体" w:hAnsi="宋体"/>
      <w:kern w:val="2"/>
      <w:sz w:val="24"/>
      <w:szCs w:val="24"/>
    </w:rPr>
  </w:style>
  <w:style w:type="character" w:customStyle="1" w:styleId="480">
    <w:name w:val="方案正文 Char"/>
    <w:qFormat/>
    <w:uiPriority w:val="0"/>
    <w:rPr>
      <w:rFonts w:ascii="仿宋_GB2312" w:eastAsia="仿宋_GB2312"/>
      <w:b/>
      <w:color w:val="000000"/>
      <w:kern w:val="2"/>
      <w:sz w:val="24"/>
      <w:lang w:val="en-US" w:eastAsia="zh-CN" w:bidi="ar-SA"/>
    </w:rPr>
  </w:style>
  <w:style w:type="character" w:customStyle="1" w:styleId="481">
    <w:name w:val="Item List Char"/>
    <w:link w:val="266"/>
    <w:qFormat/>
    <w:uiPriority w:val="0"/>
    <w:rPr>
      <w:rFonts w:ascii="Arial"/>
      <w:bCs/>
      <w:sz w:val="21"/>
      <w:szCs w:val="21"/>
      <w:lang w:val="en-US" w:eastAsia="zh-CN" w:bidi="ar-SA"/>
    </w:rPr>
  </w:style>
  <w:style w:type="character" w:customStyle="1" w:styleId="482">
    <w:name w:val="Normal Indent Char Char"/>
    <w:qFormat/>
    <w:uiPriority w:val="0"/>
    <w:rPr>
      <w:rFonts w:eastAsia="宋体"/>
      <w:kern w:val="2"/>
      <w:sz w:val="21"/>
      <w:lang w:val="en-US" w:eastAsia="zh-CN" w:bidi="ar-SA"/>
    </w:rPr>
  </w:style>
  <w:style w:type="character" w:customStyle="1" w:styleId="483">
    <w:name w:val="t21"/>
    <w:qFormat/>
    <w:uiPriority w:val="0"/>
    <w:rPr>
      <w:rFonts w:ascii="仿宋_GB2312" w:eastAsia="微软雅黑"/>
      <w:b/>
      <w:kern w:val="2"/>
      <w:sz w:val="23"/>
      <w:szCs w:val="23"/>
      <w:lang w:val="en-US" w:eastAsia="zh-CN" w:bidi="ar-SA"/>
    </w:rPr>
  </w:style>
  <w:style w:type="character" w:customStyle="1" w:styleId="484">
    <w:name w:val="Char Char121"/>
    <w:qFormat/>
    <w:uiPriority w:val="0"/>
    <w:rPr>
      <w:rFonts w:ascii="仿宋_GB2312" w:eastAsia="仿宋_GB2312"/>
      <w:b/>
      <w:bCs/>
      <w:kern w:val="2"/>
      <w:sz w:val="24"/>
      <w:szCs w:val="24"/>
      <w:lang w:val="zh-CN" w:eastAsia="zh-CN" w:bidi="ar-SA"/>
    </w:rPr>
  </w:style>
  <w:style w:type="character" w:customStyle="1" w:styleId="485">
    <w:name w:val="标题 7 Char"/>
    <w:link w:val="11"/>
    <w:qFormat/>
    <w:uiPriority w:val="0"/>
    <w:rPr>
      <w:b/>
      <w:bCs/>
      <w:kern w:val="2"/>
      <w:sz w:val="24"/>
      <w:szCs w:val="24"/>
    </w:rPr>
  </w:style>
  <w:style w:type="character" w:customStyle="1" w:styleId="486">
    <w:name w:val="称呼 Char"/>
    <w:link w:val="22"/>
    <w:qFormat/>
    <w:uiPriority w:val="0"/>
    <w:rPr>
      <w:rFonts w:ascii="仿宋_GB2312" w:eastAsia="仿宋_GB2312"/>
      <w:kern w:val="2"/>
      <w:sz w:val="28"/>
    </w:rPr>
  </w:style>
  <w:style w:type="character" w:customStyle="1" w:styleId="487">
    <w:name w:val="正文 项目 Char"/>
    <w:qFormat/>
    <w:uiPriority w:val="0"/>
    <w:rPr>
      <w:rFonts w:ascii="仿宋_GB2312" w:hAnsi="仿宋_GB2312" w:eastAsia="仿宋_GB2312"/>
      <w:kern w:val="2"/>
      <w:sz w:val="24"/>
      <w:lang w:bidi="ar-SA"/>
    </w:rPr>
  </w:style>
  <w:style w:type="character" w:customStyle="1" w:styleId="488">
    <w:name w:val="普通文字 Char1"/>
    <w:qFormat/>
    <w:uiPriority w:val="0"/>
    <w:rPr>
      <w:rFonts w:ascii="宋体" w:hAnsi="Courier New" w:eastAsia="宋体"/>
      <w:kern w:val="2"/>
      <w:sz w:val="21"/>
      <w:lang w:val="en-US" w:eastAsia="zh-CN"/>
    </w:rPr>
  </w:style>
  <w:style w:type="character" w:customStyle="1" w:styleId="489">
    <w:name w:val="正文1 Char1"/>
    <w:qFormat/>
    <w:uiPriority w:val="0"/>
    <w:rPr>
      <w:rFonts w:ascii="仿宋_GB2312" w:hAnsi="Courier New" w:eastAsia="仿宋_GB2312"/>
      <w:kern w:val="28"/>
      <w:sz w:val="24"/>
      <w:szCs w:val="24"/>
    </w:rPr>
  </w:style>
  <w:style w:type="character" w:customStyle="1" w:styleId="490">
    <w:name w:val="hei16b1"/>
    <w:qFormat/>
    <w:uiPriority w:val="0"/>
    <w:rPr>
      <w:rFonts w:hint="default" w:ascii="Arial" w:hAnsi="Arial" w:cs="Arial"/>
      <w:b/>
      <w:bCs/>
      <w:color w:val="000000"/>
      <w:sz w:val="24"/>
      <w:szCs w:val="24"/>
    </w:rPr>
  </w:style>
  <w:style w:type="character" w:customStyle="1" w:styleId="491">
    <w:name w:val="c7 style3"/>
    <w:qFormat/>
    <w:uiPriority w:val="0"/>
  </w:style>
  <w:style w:type="character" w:customStyle="1" w:styleId="492">
    <w:name w:val="副标题 Char"/>
    <w:link w:val="47"/>
    <w:qFormat/>
    <w:uiPriority w:val="0"/>
    <w:rPr>
      <w:rFonts w:ascii="Arial" w:hAnsi="Arial" w:eastAsia="隶书"/>
      <w:b/>
      <w:bCs/>
      <w:kern w:val="28"/>
      <w:sz w:val="44"/>
      <w:szCs w:val="32"/>
      <w:lang w:val="en-US" w:eastAsia="zh-CN" w:bidi="ar-SA"/>
    </w:rPr>
  </w:style>
  <w:style w:type="character" w:customStyle="1" w:styleId="49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4">
    <w:name w:val="表正文 Char1"/>
    <w:qFormat/>
    <w:uiPriority w:val="0"/>
    <w:rPr>
      <w:rFonts w:ascii="宋体" w:eastAsia="宋体"/>
      <w:snapToGrid w:val="0"/>
      <w:color w:val="000000"/>
      <w:kern w:val="28"/>
      <w:sz w:val="28"/>
    </w:rPr>
  </w:style>
  <w:style w:type="character" w:customStyle="1" w:styleId="495">
    <w:name w:val="Char Char5"/>
    <w:qFormat/>
    <w:uiPriority w:val="0"/>
    <w:rPr>
      <w:rFonts w:ascii="宋体" w:hAnsi="Courier New" w:eastAsia="宋体"/>
      <w:kern w:val="2"/>
      <w:sz w:val="21"/>
      <w:lang w:val="en-US" w:eastAsia="zh-CN"/>
    </w:rPr>
  </w:style>
  <w:style w:type="character" w:customStyle="1" w:styleId="496">
    <w:name w:val="标题 1 Char Char"/>
    <w:qFormat/>
    <w:uiPriority w:val="0"/>
    <w:rPr>
      <w:rFonts w:hint="eastAsia" w:ascii="宋体" w:hAnsi="宋体" w:eastAsia="宋体"/>
      <w:b/>
      <w:spacing w:val="-2"/>
      <w:sz w:val="24"/>
      <w:lang w:val="en-US" w:eastAsia="zh-CN" w:bidi="ar-SA"/>
    </w:rPr>
  </w:style>
  <w:style w:type="character" w:customStyle="1" w:styleId="497">
    <w:name w:val="Char Char4"/>
    <w:qFormat/>
    <w:uiPriority w:val="0"/>
    <w:rPr>
      <w:rFonts w:eastAsia="宋体"/>
      <w:b/>
      <w:sz w:val="24"/>
      <w:lang w:val="en-GB" w:eastAsia="zh-CN" w:bidi="ar-SA"/>
    </w:rPr>
  </w:style>
  <w:style w:type="character" w:customStyle="1" w:styleId="498">
    <w:name w:val="zbggmain style9"/>
    <w:qFormat/>
    <w:uiPriority w:val="0"/>
  </w:style>
  <w:style w:type="character" w:customStyle="1" w:styleId="499">
    <w:name w:val="Header Char"/>
    <w:semiHidden/>
    <w:qFormat/>
    <w:locked/>
    <w:uiPriority w:val="0"/>
    <w:rPr>
      <w:rFonts w:eastAsia="宋体"/>
      <w:kern w:val="2"/>
      <w:sz w:val="18"/>
      <w:szCs w:val="18"/>
      <w:lang w:val="en-US" w:eastAsia="zh-CN" w:bidi="ar-SA"/>
    </w:rPr>
  </w:style>
  <w:style w:type="character" w:customStyle="1" w:styleId="500">
    <w:name w:val="样式 宋体"/>
    <w:qFormat/>
    <w:uiPriority w:val="0"/>
    <w:rPr>
      <w:rFonts w:ascii="宋体" w:hAnsi="宋体"/>
      <w:sz w:val="24"/>
    </w:rPr>
  </w:style>
  <w:style w:type="character" w:customStyle="1" w:styleId="501">
    <w:name w:val="哈哈正文 Char"/>
    <w:link w:val="317"/>
    <w:qFormat/>
    <w:uiPriority w:val="0"/>
    <w:rPr>
      <w:rFonts w:ascii="宋体" w:hAnsi="宋体" w:eastAsia="宋体"/>
      <w:kern w:val="2"/>
      <w:sz w:val="24"/>
      <w:lang w:bidi="ar-SA"/>
    </w:rPr>
  </w:style>
  <w:style w:type="character" w:customStyle="1" w:styleId="502">
    <w:name w:val="标题 Char"/>
    <w:qFormat/>
    <w:uiPriority w:val="0"/>
    <w:rPr>
      <w:rFonts w:eastAsia="宋体"/>
      <w:b/>
      <w:sz w:val="24"/>
      <w:lang w:val="en-GB" w:eastAsia="zh-CN" w:bidi="ar-SA"/>
    </w:rPr>
  </w:style>
  <w:style w:type="character" w:customStyle="1" w:styleId="503">
    <w:name w:val="纯文本 Char Char Char"/>
    <w:qFormat/>
    <w:uiPriority w:val="0"/>
    <w:rPr>
      <w:rFonts w:ascii="宋体" w:hAnsi="Courier New" w:eastAsia="宋体"/>
      <w:kern w:val="2"/>
      <w:sz w:val="21"/>
      <w:lang w:val="en-US" w:eastAsia="zh-CN" w:bidi="ar-SA"/>
    </w:rPr>
  </w:style>
  <w:style w:type="character" w:customStyle="1" w:styleId="504">
    <w:name w:val="正文 编号 Char"/>
    <w:qFormat/>
    <w:uiPriority w:val="0"/>
    <w:rPr>
      <w:rFonts w:ascii="仿宋_GB2312" w:hAnsi="仿宋_GB2312" w:eastAsia="仿宋_GB2312"/>
      <w:kern w:val="2"/>
      <w:sz w:val="24"/>
      <w:lang w:bidi="ar-SA"/>
    </w:rPr>
  </w:style>
  <w:style w:type="character" w:customStyle="1" w:styleId="505">
    <w:name w:val="插图说明 Char"/>
    <w:qFormat/>
    <w:uiPriority w:val="0"/>
    <w:rPr>
      <w:rFonts w:eastAsia="黑体"/>
      <w:sz w:val="24"/>
      <w:lang w:val="en-US" w:eastAsia="zh-CN"/>
    </w:rPr>
  </w:style>
  <w:style w:type="character" w:customStyle="1" w:styleId="506">
    <w:name w:val="正文首行缩进 2 Char"/>
    <w:link w:val="62"/>
    <w:qFormat/>
    <w:uiPriority w:val="0"/>
    <w:rPr>
      <w:rFonts w:ascii="宋体" w:hAnsi="宋体"/>
      <w:kern w:val="2"/>
      <w:sz w:val="21"/>
      <w:szCs w:val="24"/>
    </w:rPr>
  </w:style>
  <w:style w:type="character" w:customStyle="1" w:styleId="507">
    <w:name w:val="正文文本缩进 2 Char"/>
    <w:link w:val="36"/>
    <w:qFormat/>
    <w:uiPriority w:val="0"/>
    <w:rPr>
      <w:rFonts w:ascii="宋体"/>
      <w:sz w:val="28"/>
    </w:rPr>
  </w:style>
  <w:style w:type="character" w:customStyle="1" w:styleId="508">
    <w:name w:val="公文正文 Char"/>
    <w:qFormat/>
    <w:uiPriority w:val="0"/>
    <w:rPr>
      <w:rFonts w:ascii="仿宋_GB2312" w:eastAsia="仿宋_GB2312"/>
      <w:kern w:val="2"/>
      <w:sz w:val="24"/>
      <w:szCs w:val="24"/>
      <w:lang w:val="en-US" w:eastAsia="zh-CN" w:bidi="ar-SA"/>
    </w:rPr>
  </w:style>
  <w:style w:type="character" w:customStyle="1" w:styleId="509">
    <w:name w:val="Char Char41"/>
    <w:qFormat/>
    <w:uiPriority w:val="0"/>
    <w:rPr>
      <w:rFonts w:eastAsia="宋体"/>
      <w:b/>
      <w:sz w:val="24"/>
      <w:lang w:val="en-GB" w:eastAsia="zh-CN" w:bidi="ar-SA"/>
    </w:rPr>
  </w:style>
  <w:style w:type="character" w:customStyle="1" w:styleId="510">
    <w:name w:val="unnamed31"/>
    <w:qFormat/>
    <w:uiPriority w:val="0"/>
    <w:rPr>
      <w:rFonts w:ascii="Tahoma" w:hAnsi="Tahoma" w:eastAsia="宋体"/>
      <w:b/>
      <w:kern w:val="2"/>
      <w:sz w:val="24"/>
      <w:szCs w:val="32"/>
      <w:u w:val="none"/>
      <w:lang w:val="en-US" w:eastAsia="zh-CN" w:bidi="ar-SA"/>
    </w:rPr>
  </w:style>
  <w:style w:type="character" w:customStyle="1" w:styleId="511">
    <w:name w:val="Char Char91"/>
    <w:qFormat/>
    <w:uiPriority w:val="0"/>
    <w:rPr>
      <w:rFonts w:eastAsia="宋体"/>
      <w:kern w:val="2"/>
      <w:sz w:val="18"/>
      <w:szCs w:val="18"/>
      <w:lang w:val="en-US" w:eastAsia="zh-CN" w:bidi="ar-SA"/>
    </w:rPr>
  </w:style>
  <w:style w:type="character" w:customStyle="1" w:styleId="512">
    <w:name w:val="Footer-Even Char1"/>
    <w:qFormat/>
    <w:uiPriority w:val="0"/>
    <w:rPr>
      <w:rFonts w:eastAsia="宋体"/>
      <w:kern w:val="2"/>
      <w:sz w:val="18"/>
      <w:szCs w:val="18"/>
      <w:lang w:val="en-US" w:eastAsia="zh-CN" w:bidi="ar-SA"/>
    </w:rPr>
  </w:style>
  <w:style w:type="character" w:customStyle="1" w:styleId="513">
    <w:name w:val="gf正文1 Char"/>
    <w:qFormat/>
    <w:uiPriority w:val="0"/>
    <w:rPr>
      <w:rFonts w:ascii="宋体" w:hAnsi="宋体" w:eastAsia="宋体" w:cs="宋体"/>
      <w:kern w:val="2"/>
      <w:sz w:val="24"/>
      <w:szCs w:val="24"/>
      <w:lang w:val="en-US" w:eastAsia="zh-CN" w:bidi="ar-SA"/>
    </w:rPr>
  </w:style>
  <w:style w:type="character" w:customStyle="1" w:styleId="514">
    <w:name w:val="javascript"/>
    <w:qFormat/>
    <w:uiPriority w:val="0"/>
  </w:style>
  <w:style w:type="character" w:customStyle="1" w:styleId="515">
    <w:name w:val="列出段落 Char"/>
    <w:qFormat/>
    <w:uiPriority w:val="34"/>
    <w:rPr>
      <w:rFonts w:eastAsia="楷体_GB2312" w:cs="Lucida Sans"/>
      <w:kern w:val="2"/>
      <w:sz w:val="24"/>
      <w:szCs w:val="24"/>
      <w:lang w:val="en-US" w:eastAsia="zh-CN" w:bidi="ar-SA"/>
    </w:rPr>
  </w:style>
  <w:style w:type="character" w:customStyle="1" w:styleId="516">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qFormat/>
    <w:uiPriority w:val="0"/>
    <w:rPr>
      <w:kern w:val="2"/>
      <w:sz w:val="21"/>
      <w:szCs w:val="24"/>
      <w:lang w:bidi="ar-SA"/>
    </w:rPr>
  </w:style>
  <w:style w:type="character" w:customStyle="1" w:styleId="518">
    <w:name w:val="普通文字 Char3"/>
    <w:qFormat/>
    <w:uiPriority w:val="0"/>
    <w:rPr>
      <w:rFonts w:ascii="宋体" w:hAnsi="Courier New" w:eastAsia="宋体"/>
      <w:kern w:val="2"/>
      <w:sz w:val="21"/>
      <w:lang w:val="en-US" w:eastAsia="zh-CN" w:bidi="ar-SA"/>
    </w:rPr>
  </w:style>
  <w:style w:type="character" w:customStyle="1" w:styleId="519">
    <w:name w:val="h Char Char1"/>
    <w:qFormat/>
    <w:uiPriority w:val="0"/>
    <w:rPr>
      <w:rFonts w:eastAsia="宋体"/>
      <w:kern w:val="2"/>
      <w:sz w:val="18"/>
      <w:szCs w:val="18"/>
      <w:lang w:val="en-US" w:eastAsia="zh-CN" w:bidi="ar-SA"/>
    </w:rPr>
  </w:style>
  <w:style w:type="character" w:customStyle="1" w:styleId="520">
    <w:name w:val="冯 Char"/>
    <w:link w:val="79"/>
    <w:qFormat/>
    <w:uiPriority w:val="0"/>
    <w:rPr>
      <w:rFonts w:ascii="宋体" w:hAnsi="宋体"/>
      <w:color w:val="000000"/>
      <w:sz w:val="24"/>
      <w:szCs w:val="24"/>
    </w:rPr>
  </w:style>
  <w:style w:type="character" w:customStyle="1" w:styleId="521">
    <w:name w:val="highlight1"/>
    <w:qFormat/>
    <w:uiPriority w:val="0"/>
    <w:rPr>
      <w:rFonts w:ascii="仿宋_GB2312" w:eastAsia="微软雅黑"/>
      <w:b/>
      <w:kern w:val="2"/>
      <w:sz w:val="23"/>
      <w:szCs w:val="23"/>
      <w:lang w:val="en-US" w:eastAsia="zh-CN" w:bidi="ar-SA"/>
    </w:rPr>
  </w:style>
  <w:style w:type="character" w:customStyle="1" w:styleId="522">
    <w:name w:val="样式6 Char"/>
    <w:qFormat/>
    <w:uiPriority w:val="0"/>
    <w:rPr>
      <w:rFonts w:ascii="仿宋_GB2312" w:hAnsi="宋体" w:eastAsia="仿宋_GB2312"/>
      <w:b/>
      <w:bCs/>
      <w:kern w:val="2"/>
      <w:sz w:val="24"/>
      <w:szCs w:val="24"/>
      <w:lang w:val="en-US" w:eastAsia="zh-CN" w:bidi="ar-SA"/>
    </w:rPr>
  </w:style>
  <w:style w:type="character" w:customStyle="1" w:styleId="523">
    <w:name w:val="标题 9 Char"/>
    <w:link w:val="13"/>
    <w:qFormat/>
    <w:uiPriority w:val="0"/>
    <w:rPr>
      <w:rFonts w:ascii="Arial" w:hAnsi="Arial" w:eastAsia="黑体"/>
      <w:kern w:val="2"/>
      <w:sz w:val="21"/>
      <w:szCs w:val="21"/>
    </w:rPr>
  </w:style>
  <w:style w:type="character" w:customStyle="1" w:styleId="524">
    <w:name w:val="md"/>
    <w:basedOn w:val="65"/>
    <w:qFormat/>
    <w:uiPriority w:val="0"/>
  </w:style>
  <w:style w:type="character" w:customStyle="1" w:styleId="525">
    <w:name w:val="myp11"/>
    <w:qFormat/>
    <w:uiPriority w:val="0"/>
    <w:rPr>
      <w:rFonts w:ascii="仿宋_GB2312" w:eastAsia="微软雅黑"/>
      <w:b/>
      <w:kern w:val="2"/>
      <w:sz w:val="32"/>
      <w:szCs w:val="32"/>
      <w:lang w:val="en-US" w:eastAsia="zh-CN" w:bidi="ar-SA"/>
    </w:rPr>
  </w:style>
  <w:style w:type="character" w:customStyle="1" w:styleId="526">
    <w:name w:val="Ò³Ã¼ Char Char1"/>
    <w:qFormat/>
    <w:uiPriority w:val="0"/>
    <w:rPr>
      <w:rFonts w:eastAsia="宋体"/>
      <w:kern w:val="2"/>
      <w:sz w:val="18"/>
      <w:szCs w:val="18"/>
      <w:lang w:val="en-US" w:eastAsia="zh-CN" w:bidi="ar-SA"/>
    </w:rPr>
  </w:style>
  <w:style w:type="character" w:customStyle="1" w:styleId="527">
    <w:name w:val="tw4winTerm"/>
    <w:qFormat/>
    <w:uiPriority w:val="0"/>
    <w:rPr>
      <w:color w:val="0000FF"/>
    </w:rPr>
  </w:style>
  <w:style w:type="character" w:customStyle="1" w:styleId="528">
    <w:name w:val="表格 Char Char"/>
    <w:qFormat/>
    <w:uiPriority w:val="0"/>
    <w:rPr>
      <w:rFonts w:ascii="宋体" w:hAnsi="宋体" w:eastAsia="宋体"/>
      <w:lang w:bidi="ar-SA"/>
    </w:rPr>
  </w:style>
  <w:style w:type="character" w:customStyle="1" w:styleId="529">
    <w:name w:val="样式8 Char"/>
    <w:qFormat/>
    <w:uiPriority w:val="0"/>
    <w:rPr>
      <w:rFonts w:ascii="仿宋_GB2312" w:hAnsi="宋体" w:eastAsia="仿宋_GB2312"/>
      <w:b/>
      <w:bCs/>
      <w:kern w:val="2"/>
      <w:sz w:val="24"/>
      <w:szCs w:val="24"/>
    </w:rPr>
  </w:style>
  <w:style w:type="character" w:customStyle="1" w:styleId="530">
    <w:name w:val="样式5 Char"/>
    <w:qFormat/>
    <w:uiPriority w:val="0"/>
    <w:rPr>
      <w:rFonts w:ascii="仿宋_GB2312" w:hAnsi="仿宋" w:eastAsia="仿宋_GB2312"/>
      <w:kern w:val="2"/>
      <w:sz w:val="24"/>
      <w:szCs w:val="24"/>
    </w:rPr>
  </w:style>
  <w:style w:type="character" w:customStyle="1" w:styleId="531">
    <w:name w:val="页脚 Char1"/>
    <w:qFormat/>
    <w:uiPriority w:val="0"/>
    <w:rPr>
      <w:rFonts w:eastAsia="宋体"/>
      <w:kern w:val="2"/>
      <w:sz w:val="18"/>
      <w:szCs w:val="18"/>
      <w:lang w:val="en-US" w:eastAsia="zh-CN" w:bidi="ar-SA"/>
    </w:rPr>
  </w:style>
  <w:style w:type="character" w:customStyle="1" w:styleId="532">
    <w:name w:val="tw4winJump"/>
    <w:qFormat/>
    <w:uiPriority w:val="0"/>
    <w:rPr>
      <w:rFonts w:ascii="Courier New" w:hAnsi="Courier New" w:cs="Courier New"/>
      <w:color w:val="008080"/>
    </w:rPr>
  </w:style>
  <w:style w:type="character" w:customStyle="1" w:styleId="533">
    <w:name w:val="批注文字 Char"/>
    <w:qFormat/>
    <w:uiPriority w:val="99"/>
    <w:rPr>
      <w:kern w:val="2"/>
      <w:sz w:val="21"/>
      <w:szCs w:val="24"/>
    </w:rPr>
  </w:style>
  <w:style w:type="character" w:customStyle="1" w:styleId="534">
    <w:name w:val="Char Char122"/>
    <w:qFormat/>
    <w:uiPriority w:val="0"/>
    <w:rPr>
      <w:rFonts w:ascii="仿宋_GB2312" w:eastAsia="仿宋_GB2312"/>
      <w:b/>
      <w:bCs/>
      <w:kern w:val="2"/>
      <w:sz w:val="24"/>
      <w:szCs w:val="24"/>
      <w:lang w:val="zh-CN" w:eastAsia="zh-CN" w:bidi="ar-SA"/>
    </w:rPr>
  </w:style>
  <w:style w:type="character" w:customStyle="1" w:styleId="535">
    <w:name w:val="No Spacing Char"/>
    <w:link w:val="173"/>
    <w:qFormat/>
    <w:uiPriority w:val="1"/>
    <w:rPr>
      <w:rFonts w:ascii="Calibri" w:hAnsi="Calibri"/>
      <w:sz w:val="22"/>
      <w:szCs w:val="22"/>
      <w:lang w:val="en-US" w:eastAsia="zh-CN" w:bidi="ar-SA"/>
    </w:rPr>
  </w:style>
  <w:style w:type="character" w:customStyle="1" w:styleId="536">
    <w:name w:val="Char Char21"/>
    <w:qFormat/>
    <w:uiPriority w:val="0"/>
    <w:rPr>
      <w:rFonts w:ascii="宋体" w:hAnsi="Courier New" w:eastAsia="宋体"/>
      <w:kern w:val="2"/>
      <w:sz w:val="21"/>
      <w:lang w:val="en-US" w:eastAsia="zh-CN" w:bidi="ar-SA"/>
    </w:rPr>
  </w:style>
  <w:style w:type="character" w:customStyle="1" w:styleId="537">
    <w:name w:val="Char Char8"/>
    <w:qFormat/>
    <w:uiPriority w:val="0"/>
    <w:rPr>
      <w:rFonts w:eastAsia="宋体"/>
      <w:b/>
      <w:sz w:val="24"/>
      <w:lang w:val="en-GB" w:eastAsia="zh-CN"/>
    </w:rPr>
  </w:style>
  <w:style w:type="character" w:customStyle="1" w:styleId="538">
    <w:name w:val="font21"/>
    <w:qFormat/>
    <w:uiPriority w:val="0"/>
    <w:rPr>
      <w:rFonts w:hint="eastAsia" w:ascii="宋体" w:hAnsi="宋体" w:eastAsia="宋体"/>
      <w:kern w:val="2"/>
      <w:sz w:val="28"/>
      <w:szCs w:val="28"/>
      <w:lang w:val="en-US" w:eastAsia="zh-CN" w:bidi="ar-SA"/>
    </w:rPr>
  </w:style>
  <w:style w:type="character" w:customStyle="1" w:styleId="539">
    <w:name w:val="正文2 Char"/>
    <w:qFormat/>
    <w:uiPriority w:val="0"/>
    <w:rPr>
      <w:rFonts w:eastAsia="宋体"/>
      <w:kern w:val="2"/>
      <w:sz w:val="24"/>
      <w:lang w:val="en-US" w:eastAsia="zh-CN" w:bidi="ar-SA"/>
    </w:rPr>
  </w:style>
  <w:style w:type="character" w:customStyle="1" w:styleId="540">
    <w:name w:val="big1"/>
    <w:qFormat/>
    <w:uiPriority w:val="0"/>
    <w:rPr>
      <w:rFonts w:hint="eastAsia" w:ascii="宋体" w:hAnsi="宋体" w:eastAsia="宋体"/>
      <w:color w:val="333333"/>
      <w:sz w:val="22"/>
      <w:szCs w:val="22"/>
    </w:rPr>
  </w:style>
  <w:style w:type="character" w:customStyle="1" w:styleId="541">
    <w:name w:val="Body Text(ch) Char Char"/>
    <w:qFormat/>
    <w:uiPriority w:val="0"/>
    <w:rPr>
      <w:rFonts w:ascii="宋体"/>
      <w:kern w:val="2"/>
      <w:sz w:val="24"/>
      <w:szCs w:val="21"/>
      <w:lang w:val="zh-CN"/>
    </w:rPr>
  </w:style>
  <w:style w:type="character" w:customStyle="1" w:styleId="542">
    <w:name w:val="blue1"/>
    <w:basedOn w:val="65"/>
    <w:qFormat/>
    <w:uiPriority w:val="0"/>
  </w:style>
  <w:style w:type="character" w:customStyle="1" w:styleId="543">
    <w:name w:val="正文 项目2 Char"/>
    <w:basedOn w:val="487"/>
    <w:qFormat/>
    <w:uiPriority w:val="0"/>
    <w:rPr>
      <w:rFonts w:ascii="仿宋_GB2312" w:hAnsi="仿宋_GB2312" w:eastAsia="仿宋_GB2312"/>
      <w:kern w:val="2"/>
      <w:sz w:val="24"/>
      <w:lang w:bidi="ar-SA"/>
    </w:rPr>
  </w:style>
  <w:style w:type="character" w:customStyle="1" w:styleId="544">
    <w:name w:val="solutionfonts"/>
    <w:qFormat/>
    <w:uiPriority w:val="0"/>
  </w:style>
  <w:style w:type="character" w:customStyle="1" w:styleId="545">
    <w:name w:val="Char Char81"/>
    <w:qFormat/>
    <w:uiPriority w:val="0"/>
    <w:rPr>
      <w:rFonts w:eastAsia="宋体"/>
      <w:b/>
      <w:sz w:val="24"/>
      <w:lang w:val="en-GB" w:eastAsia="zh-CN"/>
    </w:rPr>
  </w:style>
  <w:style w:type="character" w:customStyle="1" w:styleId="546">
    <w:name w:val="Char Char2"/>
    <w:qFormat/>
    <w:uiPriority w:val="0"/>
    <w:rPr>
      <w:rFonts w:eastAsia="宋体"/>
      <w:b/>
      <w:bCs/>
      <w:kern w:val="2"/>
      <w:sz w:val="21"/>
      <w:szCs w:val="24"/>
      <w:lang w:val="en-US" w:eastAsia="zh-CN" w:bidi="ar-SA"/>
    </w:rPr>
  </w:style>
  <w:style w:type="character" w:customStyle="1" w:styleId="547">
    <w:name w:val="HTML 预设格式 Char"/>
    <w:link w:val="57"/>
    <w:qFormat/>
    <w:uiPriority w:val="0"/>
    <w:rPr>
      <w:rFonts w:ascii="黑体" w:hAnsi="Courier New" w:eastAsia="黑体"/>
    </w:rPr>
  </w:style>
  <w:style w:type="character" w:customStyle="1" w:styleId="548">
    <w:name w:val="Heading 7 Char"/>
    <w:qFormat/>
    <w:locked/>
    <w:uiPriority w:val="0"/>
    <w:rPr>
      <w:rFonts w:ascii="宋体" w:hAnsi="宋体" w:eastAsia="宋体"/>
      <w:b/>
      <w:bCs/>
      <w:kern w:val="2"/>
      <w:sz w:val="24"/>
      <w:szCs w:val="24"/>
      <w:lang w:val="en-US" w:eastAsia="zh-CN" w:bidi="ar-SA"/>
    </w:rPr>
  </w:style>
  <w:style w:type="character" w:customStyle="1" w:styleId="549">
    <w:name w:val="正文首行缩进 Char"/>
    <w:link w:val="61"/>
    <w:qFormat/>
    <w:uiPriority w:val="0"/>
    <w:rPr>
      <w:rFonts w:ascii="宋体"/>
      <w:kern w:val="2"/>
      <w:sz w:val="24"/>
      <w:lang w:val="zh-CN"/>
    </w:rPr>
  </w:style>
  <w:style w:type="character" w:customStyle="1" w:styleId="550">
    <w:name w:val="标题 2 Char Char"/>
    <w:qFormat/>
    <w:uiPriority w:val="0"/>
    <w:rPr>
      <w:rFonts w:ascii="楷体_GB2312" w:hAnsi="Arial" w:eastAsia="楷体_GB2312"/>
      <w:b/>
      <w:bCs/>
      <w:kern w:val="2"/>
      <w:sz w:val="24"/>
      <w:szCs w:val="32"/>
      <w:lang w:val="en-US" w:eastAsia="zh-CN" w:bidi="ar-SA"/>
    </w:rPr>
  </w:style>
  <w:style w:type="character" w:customStyle="1" w:styleId="551">
    <w:name w:val="pt141"/>
    <w:qFormat/>
    <w:uiPriority w:val="0"/>
    <w:rPr>
      <w:color w:val="330066"/>
      <w:sz w:val="22"/>
      <w:szCs w:val="22"/>
    </w:rPr>
  </w:style>
  <w:style w:type="character" w:customStyle="1" w:styleId="552">
    <w:name w:val="h Char Char"/>
    <w:qFormat/>
    <w:uiPriority w:val="0"/>
    <w:rPr>
      <w:rFonts w:eastAsia="宋体"/>
      <w:kern w:val="2"/>
      <w:sz w:val="18"/>
      <w:lang w:val="en-US" w:eastAsia="zh-CN" w:bidi="ar-SA"/>
    </w:rPr>
  </w:style>
  <w:style w:type="character" w:customStyle="1" w:styleId="553">
    <w:name w:val="标题 1 Char"/>
    <w:link w:val="3"/>
    <w:qFormat/>
    <w:uiPriority w:val="0"/>
    <w:rPr>
      <w:b/>
      <w:bCs/>
      <w:kern w:val="44"/>
      <w:sz w:val="44"/>
      <w:szCs w:val="44"/>
    </w:rPr>
  </w:style>
  <w:style w:type="character" w:customStyle="1" w:styleId="554">
    <w:name w:val="页眉 Char"/>
    <w:qFormat/>
    <w:uiPriority w:val="0"/>
    <w:rPr>
      <w:rFonts w:eastAsia="仿宋_GB2312"/>
      <w:kern w:val="2"/>
      <w:sz w:val="18"/>
      <w:lang w:val="en-US" w:eastAsia="zh-CN"/>
    </w:rPr>
  </w:style>
  <w:style w:type="character" w:customStyle="1" w:styleId="555">
    <w:name w:val="b11_01b Char"/>
    <w:link w:val="413"/>
    <w:qFormat/>
    <w:uiPriority w:val="0"/>
    <w:rPr>
      <w:rFonts w:ascii="Verdana" w:hAnsi="Verdana"/>
      <w:b/>
      <w:bCs/>
      <w:color w:val="4A82CA"/>
      <w:sz w:val="17"/>
      <w:szCs w:val="17"/>
    </w:rPr>
  </w:style>
  <w:style w:type="character" w:customStyle="1" w:styleId="556">
    <w:name w:val="标题4-dyf Char"/>
    <w:link w:val="351"/>
    <w:qFormat/>
    <w:uiPriority w:val="0"/>
    <w:rPr>
      <w:rFonts w:ascii="Cambria" w:hAnsi="Cambria"/>
      <w:b/>
      <w:bCs/>
      <w:color w:val="000000"/>
      <w:kern w:val="2"/>
      <w:sz w:val="21"/>
      <w:szCs w:val="21"/>
    </w:rPr>
  </w:style>
  <w:style w:type="character" w:customStyle="1" w:styleId="557">
    <w:name w:val="批注主题 Char"/>
    <w:qFormat/>
    <w:uiPriority w:val="0"/>
    <w:rPr>
      <w:rFonts w:eastAsia="宋体"/>
      <w:b/>
      <w:bCs/>
      <w:kern w:val="2"/>
      <w:sz w:val="21"/>
      <w:szCs w:val="24"/>
      <w:lang w:val="en-US" w:eastAsia="zh-CN" w:bidi="ar-SA"/>
    </w:rPr>
  </w:style>
  <w:style w:type="character" w:customStyle="1" w:styleId="5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qFormat/>
    <w:uiPriority w:val="0"/>
    <w:rPr>
      <w:sz w:val="24"/>
      <w:szCs w:val="24"/>
      <w:lang w:val="en-US" w:eastAsia="zh-CN" w:bidi="ar-SA"/>
    </w:rPr>
  </w:style>
  <w:style w:type="character" w:customStyle="1" w:styleId="560">
    <w:name w:val="Char Char51"/>
    <w:qFormat/>
    <w:uiPriority w:val="0"/>
    <w:rPr>
      <w:rFonts w:ascii="宋体" w:hAnsi="Courier New" w:eastAsia="宋体"/>
      <w:kern w:val="2"/>
      <w:sz w:val="21"/>
      <w:lang w:val="en-US" w:eastAsia="zh-CN"/>
    </w:rPr>
  </w:style>
  <w:style w:type="character" w:customStyle="1" w:styleId="561">
    <w:name w:val="带编号样式 Char"/>
    <w:qFormat/>
    <w:uiPriority w:val="0"/>
    <w:rPr>
      <w:rFonts w:ascii="仿宋_GB2312" w:eastAsia="仿宋_GB2312"/>
      <w:color w:val="000000"/>
      <w:sz w:val="24"/>
      <w:lang w:bidi="ar-SA"/>
    </w:rPr>
  </w:style>
  <w:style w:type="character" w:customStyle="1" w:styleId="562">
    <w:name w:val="样式4 Char"/>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4">
    <w:name w:val="PI Char"/>
    <w:qFormat/>
    <w:uiPriority w:val="0"/>
    <w:rPr>
      <w:rFonts w:ascii="宋体" w:hAnsi="宋体" w:eastAsia="宋体"/>
      <w:kern w:val="2"/>
      <w:sz w:val="24"/>
      <w:szCs w:val="24"/>
      <w:lang w:val="en-US" w:eastAsia="zh-CN" w:bidi="ar-SA"/>
    </w:rPr>
  </w:style>
  <w:style w:type="character" w:customStyle="1" w:styleId="565">
    <w:name w:val="Char Char111"/>
    <w:qFormat/>
    <w:locked/>
    <w:uiPriority w:val="0"/>
    <w:rPr>
      <w:rFonts w:ascii="宋体" w:hAnsi="宋体" w:eastAsia="宋体"/>
      <w:b/>
      <w:kern w:val="2"/>
      <w:sz w:val="24"/>
      <w:szCs w:val="24"/>
      <w:lang w:val="en-US" w:eastAsia="zh-CN" w:bidi="ar-SA"/>
    </w:rPr>
  </w:style>
  <w:style w:type="character" w:customStyle="1" w:styleId="566">
    <w:name w:val="Document Map Char"/>
    <w:semiHidden/>
    <w:qFormat/>
    <w:locked/>
    <w:uiPriority w:val="0"/>
    <w:rPr>
      <w:rFonts w:eastAsia="宋体"/>
      <w:kern w:val="2"/>
      <w:sz w:val="21"/>
      <w:szCs w:val="24"/>
      <w:lang w:val="en-US" w:eastAsia="zh-CN" w:bidi="ar-SA"/>
    </w:rPr>
  </w:style>
  <w:style w:type="character" w:customStyle="1" w:styleId="567">
    <w:name w:val="正文文本缩进 Char"/>
    <w:qFormat/>
    <w:uiPriority w:val="0"/>
    <w:rPr>
      <w:rFonts w:ascii="宋体" w:hAnsi="宋体"/>
      <w:kern w:val="2"/>
      <w:sz w:val="24"/>
      <w:szCs w:val="24"/>
    </w:rPr>
  </w:style>
  <w:style w:type="character" w:customStyle="1" w:styleId="568">
    <w:name w:val="文本正文 Char Char"/>
    <w:qFormat/>
    <w:locked/>
    <w:uiPriority w:val="0"/>
    <w:rPr>
      <w:sz w:val="24"/>
      <w:lang w:bidi="ar-SA"/>
    </w:rPr>
  </w:style>
  <w:style w:type="character" w:customStyle="1" w:styleId="569">
    <w:name w:val="样式7 Char"/>
    <w:qFormat/>
    <w:uiPriority w:val="0"/>
    <w:rPr>
      <w:rFonts w:ascii="仿宋_GB2312" w:hAnsi="仿宋" w:eastAsia="仿宋_GB2312"/>
      <w:b/>
      <w:kern w:val="2"/>
      <w:sz w:val="24"/>
      <w:szCs w:val="24"/>
    </w:rPr>
  </w:style>
  <w:style w:type="character" w:customStyle="1" w:styleId="570">
    <w:name w:val="样式3 Char"/>
    <w:basedOn w:val="571"/>
    <w:qFormat/>
    <w:uiPriority w:val="0"/>
    <w:rPr>
      <w:rFonts w:ascii="仿宋_GB2312" w:hAnsi="仿宋" w:eastAsia="仿宋_GB2312" w:cs="仿宋_GB2312"/>
      <w:sz w:val="32"/>
      <w:szCs w:val="30"/>
      <w:lang w:val="zh-CN"/>
    </w:rPr>
  </w:style>
  <w:style w:type="character" w:customStyle="1" w:styleId="571">
    <w:name w:val="样式2 Char"/>
    <w:qFormat/>
    <w:uiPriority w:val="0"/>
    <w:rPr>
      <w:rFonts w:ascii="仿宋_GB2312" w:hAnsi="仿宋" w:eastAsia="仿宋_GB2312" w:cs="仿宋_GB2312"/>
      <w:b/>
      <w:bCs/>
      <w:sz w:val="32"/>
      <w:szCs w:val="30"/>
      <w:lang w:val="zh-CN"/>
    </w:rPr>
  </w:style>
  <w:style w:type="character" w:customStyle="1" w:styleId="572">
    <w:name w:val="二级标题 Char Char"/>
    <w:qFormat/>
    <w:uiPriority w:val="0"/>
    <w:rPr>
      <w:rFonts w:ascii="宋体" w:hAnsi="宋体" w:eastAsia="宋体"/>
      <w:b/>
      <w:snapToGrid w:val="0"/>
      <w:kern w:val="2"/>
      <w:sz w:val="24"/>
      <w:szCs w:val="24"/>
      <w:lang w:val="en-US" w:eastAsia="zh-CN" w:bidi="ar-SA"/>
    </w:rPr>
  </w:style>
  <w:style w:type="character" w:customStyle="1" w:styleId="573">
    <w:name w:val="Table Text Char1"/>
    <w:qFormat/>
    <w:uiPriority w:val="0"/>
    <w:rPr>
      <w:rFonts w:eastAsia="宋体"/>
      <w:sz w:val="24"/>
      <w:szCs w:val="24"/>
      <w:lang w:val="en-US" w:eastAsia="zh-CN" w:bidi="ar-SA"/>
    </w:rPr>
  </w:style>
  <w:style w:type="character" w:customStyle="1" w:styleId="574">
    <w:name w:val="shadow11"/>
    <w:qFormat/>
    <w:uiPriority w:val="0"/>
    <w:rPr>
      <w:color w:val="000000"/>
      <w:sz w:val="21"/>
    </w:rPr>
  </w:style>
  <w:style w:type="character" w:customStyle="1" w:styleId="575">
    <w:name w:val="HTML 地址 Char"/>
    <w:link w:val="29"/>
    <w:qFormat/>
    <w:uiPriority w:val="0"/>
    <w:rPr>
      <w:rFonts w:ascii="宋体" w:hAnsi="宋体"/>
      <w:i/>
      <w:iCs/>
      <w:sz w:val="24"/>
      <w:szCs w:val="24"/>
    </w:rPr>
  </w:style>
  <w:style w:type="character" w:customStyle="1" w:styleId="576">
    <w:name w:val="Char Char22"/>
    <w:qFormat/>
    <w:uiPriority w:val="0"/>
    <w:rPr>
      <w:rFonts w:eastAsia="宋体"/>
      <w:b/>
      <w:bCs/>
      <w:kern w:val="2"/>
      <w:sz w:val="21"/>
      <w:szCs w:val="24"/>
      <w:lang w:val="en-US" w:eastAsia="zh-CN" w:bidi="ar-SA"/>
    </w:rPr>
  </w:style>
  <w:style w:type="character" w:customStyle="1" w:styleId="577">
    <w:name w:val="标题 5 Char"/>
    <w:link w:val="9"/>
    <w:qFormat/>
    <w:uiPriority w:val="0"/>
    <w:rPr>
      <w:b/>
      <w:bCs/>
      <w:kern w:val="2"/>
      <w:sz w:val="28"/>
      <w:szCs w:val="28"/>
    </w:rPr>
  </w:style>
  <w:style w:type="character" w:customStyle="1" w:styleId="578">
    <w:name w:val="h3 Char1"/>
    <w:qFormat/>
    <w:uiPriority w:val="0"/>
    <w:rPr>
      <w:rFonts w:eastAsia="宋体"/>
      <w:b/>
      <w:bCs/>
      <w:kern w:val="2"/>
      <w:sz w:val="32"/>
      <w:szCs w:val="32"/>
      <w:lang w:bidi="ar-SA"/>
    </w:rPr>
  </w:style>
  <w:style w:type="character" w:customStyle="1" w:styleId="579">
    <w:name w:val="FA正文 Char Char"/>
    <w:qFormat/>
    <w:uiPriority w:val="0"/>
    <w:rPr>
      <w:rFonts w:hAnsi="宋体"/>
      <w:kern w:val="2"/>
      <w:sz w:val="24"/>
      <w:lang w:bidi="ar-SA"/>
    </w:rPr>
  </w:style>
  <w:style w:type="character" w:customStyle="1" w:styleId="580">
    <w:name w:val="Char Char7"/>
    <w:semiHidden/>
    <w:qFormat/>
    <w:uiPriority w:val="0"/>
    <w:rPr>
      <w:rFonts w:eastAsia="宋体"/>
      <w:kern w:val="2"/>
      <w:sz w:val="21"/>
      <w:szCs w:val="24"/>
      <w:lang w:val="en-US" w:eastAsia="zh-CN" w:bidi="ar-SA"/>
    </w:rPr>
  </w:style>
  <w:style w:type="character" w:customStyle="1" w:styleId="581">
    <w:name w:val="hui"/>
    <w:basedOn w:val="65"/>
    <w:qFormat/>
    <w:uiPriority w:val="0"/>
  </w:style>
  <w:style w:type="character" w:customStyle="1" w:styleId="582">
    <w:name w:val="正文缩进 Char"/>
    <w:qFormat/>
    <w:uiPriority w:val="0"/>
    <w:rPr>
      <w:rFonts w:eastAsia="宋体"/>
      <w:kern w:val="2"/>
      <w:sz w:val="21"/>
      <w:lang w:val="en-US" w:eastAsia="zh-CN"/>
    </w:rPr>
  </w:style>
  <w:style w:type="character" w:customStyle="1" w:styleId="583">
    <w:name w:val="正文1 Char"/>
    <w:qFormat/>
    <w:uiPriority w:val="0"/>
    <w:rPr>
      <w:rFonts w:ascii="宋体" w:eastAsia="宋体"/>
      <w:snapToGrid w:val="0"/>
      <w:color w:val="000000"/>
      <w:kern w:val="28"/>
      <w:sz w:val="28"/>
      <w:lang w:val="en-US" w:eastAsia="zh-CN" w:bidi="ar-SA"/>
    </w:rPr>
  </w:style>
  <w:style w:type="character" w:customStyle="1" w:styleId="584">
    <w:name w:val="Char Char61"/>
    <w:qFormat/>
    <w:uiPriority w:val="0"/>
    <w:rPr>
      <w:rFonts w:eastAsia="宋体"/>
      <w:kern w:val="2"/>
      <w:sz w:val="21"/>
      <w:szCs w:val="24"/>
      <w:lang w:val="en-US" w:eastAsia="zh-CN" w:bidi="ar-SA"/>
    </w:rPr>
  </w:style>
  <w:style w:type="character" w:customStyle="1" w:styleId="585">
    <w:name w:val="正文文本 3 Char"/>
    <w:link w:val="23"/>
    <w:qFormat/>
    <w:uiPriority w:val="0"/>
    <w:rPr>
      <w:kern w:val="2"/>
      <w:sz w:val="21"/>
    </w:rPr>
  </w:style>
  <w:style w:type="character" w:customStyle="1" w:styleId="586">
    <w:name w:val="message1"/>
    <w:qFormat/>
    <w:uiPriority w:val="0"/>
    <w:rPr>
      <w:rFonts w:hint="default" w:ascii="Tahoma" w:hAnsi="Tahoma" w:cs="Tahoma"/>
      <w:sz w:val="18"/>
      <w:szCs w:val="18"/>
    </w:rPr>
  </w:style>
  <w:style w:type="character" w:customStyle="1" w:styleId="587">
    <w:name w:val="DO_NOT_TRANSLATE"/>
    <w:qFormat/>
    <w:uiPriority w:val="0"/>
    <w:rPr>
      <w:rFonts w:ascii="Courier New" w:hAnsi="Courier New" w:cs="Courier New"/>
      <w:color w:val="800000"/>
    </w:rPr>
  </w:style>
  <w:style w:type="character" w:customStyle="1" w:styleId="588">
    <w:name w:val="unnamed11"/>
    <w:qFormat/>
    <w:uiPriority w:val="0"/>
    <w:rPr>
      <w:sz w:val="20"/>
      <w:szCs w:val="20"/>
    </w:rPr>
  </w:style>
  <w:style w:type="character" w:customStyle="1" w:styleId="589">
    <w:name w:val="tw4winInternal"/>
    <w:qFormat/>
    <w:uiPriority w:val="0"/>
    <w:rPr>
      <w:rFonts w:ascii="Courier New" w:hAnsi="Courier New" w:cs="Courier New"/>
      <w:color w:val="FF0000"/>
    </w:rPr>
  </w:style>
  <w:style w:type="character" w:customStyle="1" w:styleId="590">
    <w:name w:val="正文（缩进2汉字） Char"/>
    <w:link w:val="330"/>
    <w:qFormat/>
    <w:uiPriority w:val="0"/>
    <w:rPr>
      <w:rFonts w:ascii="宋体"/>
    </w:rPr>
  </w:style>
  <w:style w:type="character" w:customStyle="1" w:styleId="591">
    <w:name w:val="页脚 Char"/>
    <w:qFormat/>
    <w:uiPriority w:val="0"/>
    <w:rPr>
      <w:rFonts w:eastAsia="仿宋_GB2312"/>
      <w:kern w:val="2"/>
      <w:sz w:val="18"/>
      <w:lang w:val="en-US" w:eastAsia="zh-CN"/>
    </w:rPr>
  </w:style>
  <w:style w:type="character" w:customStyle="1" w:styleId="592">
    <w:name w:val="正文文本缩进 3 Char"/>
    <w:link w:val="53"/>
    <w:qFormat/>
    <w:uiPriority w:val="0"/>
    <w:rPr>
      <w:kern w:val="2"/>
      <w:sz w:val="24"/>
    </w:rPr>
  </w:style>
  <w:style w:type="character" w:customStyle="1" w:styleId="593">
    <w:name w:val="正文缩进 Char1"/>
    <w:qFormat/>
    <w:uiPriority w:val="0"/>
    <w:rPr>
      <w:rFonts w:ascii="宋体" w:eastAsia="宋体"/>
      <w:snapToGrid w:val="0"/>
      <w:color w:val="000000"/>
      <w:kern w:val="28"/>
      <w:sz w:val="28"/>
      <w:lang w:val="en-US" w:eastAsia="zh-CN" w:bidi="ar-SA"/>
    </w:rPr>
  </w:style>
  <w:style w:type="character" w:customStyle="1" w:styleId="594">
    <w:name w:val="style36"/>
    <w:basedOn w:val="65"/>
    <w:qFormat/>
    <w:uiPriority w:val="0"/>
  </w:style>
  <w:style w:type="character" w:customStyle="1" w:styleId="595">
    <w:name w:val="hui3"/>
    <w:qFormat/>
    <w:uiPriority w:val="0"/>
    <w:rPr>
      <w:color w:val="333333"/>
    </w:rPr>
  </w:style>
  <w:style w:type="character" w:customStyle="1" w:styleId="596">
    <w:name w:val="apple-converted-space"/>
    <w:qFormat/>
    <w:uiPriority w:val="0"/>
  </w:style>
  <w:style w:type="character" w:customStyle="1" w:styleId="597">
    <w:name w:val="文档结构图 Char"/>
    <w:qFormat/>
    <w:uiPriority w:val="0"/>
    <w:rPr>
      <w:rFonts w:eastAsia="宋体"/>
      <w:kern w:val="2"/>
      <w:sz w:val="21"/>
      <w:szCs w:val="24"/>
      <w:lang w:val="en-US" w:eastAsia="zh-CN" w:bidi="ar-SA"/>
    </w:rPr>
  </w:style>
  <w:style w:type="character" w:customStyle="1" w:styleId="598">
    <w:name w:val="正文非缩进 Char3"/>
    <w:qFormat/>
    <w:uiPriority w:val="0"/>
    <w:rPr>
      <w:rFonts w:ascii="宋体" w:eastAsia="宋体"/>
      <w:snapToGrid w:val="0"/>
      <w:color w:val="000000"/>
      <w:kern w:val="28"/>
      <w:sz w:val="28"/>
      <w:lang w:val="en-US" w:eastAsia="zh-CN" w:bidi="ar-SA"/>
    </w:rPr>
  </w:style>
  <w:style w:type="character" w:customStyle="1" w:styleId="599">
    <w:name w:val="dectext1"/>
    <w:qFormat/>
    <w:uiPriority w:val="0"/>
    <w:rPr>
      <w:rFonts w:ascii="宋体" w:hAnsi="宋体" w:eastAsia="宋体"/>
      <w:color w:val="333333"/>
      <w:sz w:val="21"/>
      <w:szCs w:val="21"/>
      <w:u w:val="none"/>
    </w:rPr>
  </w:style>
  <w:style w:type="character" w:customStyle="1" w:styleId="600">
    <w:name w:val="副标题 Char1"/>
    <w:qFormat/>
    <w:uiPriority w:val="0"/>
    <w:rPr>
      <w:rFonts w:ascii="Cambria" w:hAnsi="Cambria" w:eastAsia="宋体" w:cs="Times New Roman"/>
      <w:b/>
      <w:bCs/>
      <w:snapToGrid w:val="0"/>
      <w:kern w:val="28"/>
      <w:sz w:val="32"/>
      <w:szCs w:val="32"/>
    </w:rPr>
  </w:style>
  <w:style w:type="character" w:customStyle="1" w:styleId="601">
    <w:name w:val="f141"/>
    <w:qFormat/>
    <w:uiPriority w:val="0"/>
    <w:rPr>
      <w:rFonts w:ascii="Tahoma" w:hAnsi="Tahoma" w:eastAsia="宋体"/>
      <w:b/>
      <w:kern w:val="2"/>
      <w:sz w:val="21"/>
      <w:szCs w:val="21"/>
      <w:lang w:val="en-US" w:eastAsia="zh-CN" w:bidi="ar-SA"/>
    </w:rPr>
  </w:style>
  <w:style w:type="character" w:customStyle="1" w:styleId="602">
    <w:name w:val="日期 Char"/>
    <w:link w:val="35"/>
    <w:qFormat/>
    <w:uiPriority w:val="0"/>
    <w:rPr>
      <w:rFonts w:ascii="宋体"/>
      <w:kern w:val="2"/>
      <w:sz w:val="24"/>
      <w:szCs w:val="21"/>
      <w:lang w:val="zh-CN"/>
    </w:rPr>
  </w:style>
  <w:style w:type="character" w:customStyle="1" w:styleId="603">
    <w:name w:val="标题 4 Char"/>
    <w:link w:val="6"/>
    <w:qFormat/>
    <w:uiPriority w:val="0"/>
    <w:rPr>
      <w:rFonts w:ascii="Arial" w:hAnsi="Arial" w:eastAsia="黑体"/>
      <w:b/>
      <w:bCs/>
      <w:kern w:val="2"/>
      <w:sz w:val="28"/>
      <w:szCs w:val="28"/>
      <w:lang w:val="zh-CN"/>
    </w:rPr>
  </w:style>
  <w:style w:type="character" w:customStyle="1" w:styleId="604">
    <w:name w:val="链接"/>
    <w:qFormat/>
    <w:uiPriority w:val="0"/>
    <w:rPr>
      <w:color w:val="0000FF"/>
      <w:sz w:val="21"/>
      <w:szCs w:val="21"/>
      <w:u w:val="single"/>
    </w:rPr>
  </w:style>
  <w:style w:type="character" w:customStyle="1" w:styleId="605">
    <w:name w:val="正文首行缩进 Char Char Char Char Char Char"/>
    <w:qFormat/>
    <w:uiPriority w:val="0"/>
    <w:rPr>
      <w:rFonts w:ascii="宋体" w:eastAsia="宋体"/>
      <w:kern w:val="2"/>
      <w:sz w:val="24"/>
      <w:lang w:val="zh-CN" w:bidi="ar-SA"/>
    </w:rPr>
  </w:style>
  <w:style w:type="character" w:customStyle="1" w:styleId="606">
    <w:name w:val="tw4winError"/>
    <w:qFormat/>
    <w:uiPriority w:val="0"/>
    <w:rPr>
      <w:rFonts w:ascii="Courier New" w:hAnsi="Courier New" w:cs="Courier New"/>
      <w:color w:val="00FF00"/>
      <w:sz w:val="40"/>
      <w:szCs w:val="40"/>
    </w:rPr>
  </w:style>
  <w:style w:type="character" w:customStyle="1" w:styleId="607">
    <w:name w:val="Used by Word for text of Help footnotes Char Char"/>
    <w:semiHidden/>
    <w:qFormat/>
    <w:uiPriority w:val="0"/>
    <w:rPr>
      <w:rFonts w:ascii="Times New Roman" w:hAnsi="Times New Roman" w:eastAsia="宋体" w:cs="Times New Roman"/>
      <w:sz w:val="20"/>
      <w:szCs w:val="20"/>
    </w:rPr>
  </w:style>
  <w:style w:type="character" w:customStyle="1" w:styleId="608">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qFormat/>
    <w:uiPriority w:val="0"/>
    <w:rPr>
      <w:rFonts w:ascii="宋体" w:eastAsia="宋体"/>
      <w:snapToGrid w:val="0"/>
      <w:color w:val="000000"/>
      <w:kern w:val="28"/>
      <w:sz w:val="28"/>
      <w:lang w:val="en-US" w:eastAsia="zh-CN" w:bidi="ar-SA"/>
    </w:rPr>
  </w:style>
  <w:style w:type="character" w:customStyle="1" w:styleId="610">
    <w:name w:val="普通文字 Char1 Char"/>
    <w:qFormat/>
    <w:uiPriority w:val="0"/>
    <w:rPr>
      <w:rFonts w:ascii="宋体" w:hAnsi="Courier New" w:eastAsia="宋体"/>
      <w:kern w:val="2"/>
      <w:sz w:val="21"/>
      <w:szCs w:val="24"/>
      <w:lang w:val="en-US" w:eastAsia="zh-CN" w:bidi="ar-SA"/>
    </w:rPr>
  </w:style>
  <w:style w:type="character" w:customStyle="1" w:styleId="611">
    <w:name w:val="pt9"/>
    <w:qFormat/>
    <w:uiPriority w:val="0"/>
    <w:rPr>
      <w:rFonts w:ascii="仿宋_GB2312" w:eastAsia="微软雅黑"/>
      <w:b/>
      <w:kern w:val="2"/>
      <w:sz w:val="32"/>
      <w:szCs w:val="32"/>
      <w:lang w:val="en-US" w:eastAsia="zh-CN" w:bidi="ar-SA"/>
    </w:rPr>
  </w:style>
  <w:style w:type="character" w:customStyle="1" w:styleId="612">
    <w:name w:val="large1"/>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4">
    <w:name w:val="标题 4 Char1"/>
    <w:semiHidden/>
    <w:qFormat/>
    <w:uiPriority w:val="9"/>
    <w:rPr>
      <w:rFonts w:ascii="Cambria" w:hAnsi="Cambria" w:eastAsia="宋体" w:cs="Times New Roman"/>
      <w:b/>
      <w:bCs/>
      <w:kern w:val="2"/>
      <w:sz w:val="28"/>
      <w:szCs w:val="28"/>
    </w:rPr>
  </w:style>
  <w:style w:type="character" w:customStyle="1" w:styleId="615">
    <w:name w:val="tw4winPopup"/>
    <w:qFormat/>
    <w:uiPriority w:val="0"/>
    <w:rPr>
      <w:rFonts w:ascii="Courier New" w:hAnsi="Courier New" w:cs="Courier New"/>
      <w:color w:val="008000"/>
    </w:rPr>
  </w:style>
  <w:style w:type="character" w:customStyle="1" w:styleId="616">
    <w:name w:val="标题 6 Char"/>
    <w:link w:val="10"/>
    <w:qFormat/>
    <w:uiPriority w:val="0"/>
    <w:rPr>
      <w:rFonts w:ascii="Arial" w:hAnsi="Arial" w:eastAsia="黑体"/>
      <w:b/>
      <w:bCs/>
      <w:kern w:val="2"/>
      <w:sz w:val="24"/>
      <w:szCs w:val="24"/>
    </w:rPr>
  </w:style>
  <w:style w:type="character" w:customStyle="1" w:styleId="617">
    <w:name w:val="正文缩进 Char2"/>
    <w:link w:val="8"/>
    <w:qFormat/>
    <w:uiPriority w:val="0"/>
    <w:rPr>
      <w:rFonts w:ascii="宋体" w:eastAsia="宋体"/>
      <w:snapToGrid w:val="0"/>
      <w:color w:val="000000"/>
      <w:kern w:val="28"/>
      <w:sz w:val="28"/>
      <w:lang w:val="en-US" w:eastAsia="zh-CN" w:bidi="ar-SA"/>
    </w:rPr>
  </w:style>
  <w:style w:type="character" w:customStyle="1" w:styleId="618">
    <w:name w:val="批注文字 Char1"/>
    <w:link w:val="21"/>
    <w:qFormat/>
    <w:uiPriority w:val="99"/>
    <w:rPr>
      <w:kern w:val="2"/>
      <w:sz w:val="21"/>
      <w:szCs w:val="24"/>
    </w:rPr>
  </w:style>
  <w:style w:type="character" w:customStyle="1" w:styleId="619">
    <w:name w:val="批注框文本 Char"/>
    <w:link w:val="37"/>
    <w:semiHidden/>
    <w:qFormat/>
    <w:uiPriority w:val="0"/>
    <w:rPr>
      <w:kern w:val="2"/>
      <w:sz w:val="18"/>
      <w:szCs w:val="18"/>
    </w:rPr>
  </w:style>
  <w:style w:type="character" w:customStyle="1" w:styleId="620">
    <w:name w:val="Footer Char"/>
    <w:qFormat/>
    <w:locked/>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qFormat/>
    <w:uiPriority w:val="0"/>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qFormat/>
    <w:uiPriority w:val="0"/>
    <w:pPr>
      <w:adjustRightInd/>
    </w:pPr>
    <w:rPr>
      <w:rFonts w:ascii="宋体" w:hAnsi="Courier New"/>
      <w:szCs w:val="21"/>
    </w:rPr>
  </w:style>
  <w:style w:type="character" w:customStyle="1" w:styleId="625">
    <w:name w:val="纯文本 Char_0"/>
    <w:link w:val="624"/>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1"/>
    <w:link w:val="626"/>
    <w:qFormat/>
    <w:uiPriority w:val="0"/>
    <w:pPr>
      <w:adjustRightInd/>
    </w:pPr>
    <w:rPr>
      <w:rFonts w:ascii="宋体" w:hAnsi="Courier New"/>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104"/>
    <w:qFormat/>
    <w:uiPriority w:val="0"/>
    <w:rPr>
      <w:rFonts w:ascii="仿宋_GB2312" w:eastAsia="仿宋_GB2312" w:cs="仿宋_GB2312"/>
      <w:color w:val="000000"/>
      <w:sz w:val="24"/>
      <w:szCs w:val="24"/>
    </w:rPr>
  </w:style>
  <w:style w:type="paragraph" w:customStyle="1" w:styleId="6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5"/>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5"/>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正文 "/>
    <w:basedOn w:val="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paragraph" w:customStyle="1" w:styleId="637">
    <w:name w:val="Plain Text1"/>
    <w:basedOn w:val="1"/>
    <w:qFormat/>
    <w:uiPriority w:val="0"/>
    <w:pPr>
      <w:spacing w:line="240" w:lineRule="auto"/>
    </w:pPr>
    <w:rPr>
      <w:rFonts w:ascii="Times New Roman" w:hAnsi="Courier New" w:eastAsia="楷体_GB2312" w:cs="Times New Roman"/>
      <w:kern w:val="2"/>
      <w:sz w:val="28"/>
      <w:szCs w:val="20"/>
    </w:rPr>
  </w:style>
  <w:style w:type="table" w:customStyle="1" w:styleId="638">
    <w:name w:val="Table Normal"/>
    <w:semiHidden/>
    <w:unhideWhenUsed/>
    <w:qFormat/>
    <w:uiPriority w:val="0"/>
    <w:tblPr>
      <w:tblCellMar>
        <w:top w:w="0" w:type="dxa"/>
        <w:left w:w="0" w:type="dxa"/>
        <w:bottom w:w="0" w:type="dxa"/>
        <w:right w:w="0" w:type="dxa"/>
      </w:tblCellMar>
    </w:tblPr>
  </w:style>
  <w:style w:type="character" w:customStyle="1" w:styleId="639">
    <w:name w:val="font31"/>
    <w:qFormat/>
    <w:uiPriority w:val="0"/>
    <w:rPr>
      <w:rFonts w:hint="eastAsia" w:ascii="仿宋" w:hAnsi="仿宋" w:eastAsia="仿宋" w:cs="仿宋"/>
      <w:color w:val="000000"/>
      <w:sz w:val="20"/>
      <w:szCs w:val="20"/>
      <w:u w:val="none"/>
    </w:rPr>
  </w:style>
  <w:style w:type="character" w:customStyle="1" w:styleId="640">
    <w:name w:val="font41"/>
    <w:basedOn w:val="65"/>
    <w:qFormat/>
    <w:uiPriority w:val="0"/>
    <w:rPr>
      <w:rFonts w:hint="eastAsia" w:ascii="仿宋_GB2312" w:eastAsia="仿宋_GB2312" w:cs="仿宋_GB2312"/>
      <w:color w:val="000000"/>
      <w:sz w:val="22"/>
      <w:szCs w:val="22"/>
      <w:u w:val="none"/>
    </w:rPr>
  </w:style>
  <w:style w:type="paragraph" w:customStyle="1" w:styleId="641">
    <w:name w:val="样式 首行缩进:  0 字符"/>
    <w:basedOn w:val="1"/>
    <w:qFormat/>
    <w:uiPriority w:val="0"/>
    <w:pPr>
      <w:adjustRightInd/>
      <w:spacing w:line="360" w:lineRule="auto"/>
      <w:ind w:firstLine="200" w:firstLineChars="200"/>
    </w:pPr>
    <w:rPr>
      <w:rFonts w:ascii="Arial" w:hAnsi="Arial"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emf"/><Relationship Id="rId3" Type="http://schemas.openxmlformats.org/officeDocument/2006/relationships/header" Target="header1.xml"/><Relationship Id="rId29" Type="http://schemas.openxmlformats.org/officeDocument/2006/relationships/image" Target="media/image2.emf"/><Relationship Id="rId28" Type="http://schemas.openxmlformats.org/officeDocument/2006/relationships/image" Target="media/image1.emf"/><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24169</Words>
  <Characters>25279</Characters>
  <Lines>379</Lines>
  <Paragraphs>106</Paragraphs>
  <TotalTime>19</TotalTime>
  <ScaleCrop>false</ScaleCrop>
  <LinksUpToDate>false</LinksUpToDate>
  <CharactersWithSpaces>25677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DELL</dc:creator>
  <cp:lastModifiedBy>s</cp:lastModifiedBy>
  <cp:lastPrinted>2021-10-22T18:37:00Z</cp:lastPrinted>
  <dcterms:modified xsi:type="dcterms:W3CDTF">2025-07-03T08:39:37Z</dcterms:modified>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6A928544E570466BA1D384EEBEB901AC_13</vt:lpwstr>
  </property>
  <property fmtid="{D5CDD505-2E9C-101B-9397-08002B2CF9AE}" pid="4" name="KSOTemplateDocerSaveRecord">
    <vt:lpwstr>eyJoZGlkIjoiMTFjNzgwMjYzMDYwODkxNTc2YzUyYjgyZGE2ZmM1NWYiLCJ1c2VySWQiOiIxNTIwNDAyNjc2In0=</vt:lpwstr>
  </property>
</Properties>
</file>