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宋体" w:hAnsi="宋体" w:eastAsia="宋体" w:cs="宋体"/>
          <w:sz w:val="32"/>
          <w:szCs w:val="32"/>
          <w:highlight w:val="none"/>
        </w:rPr>
      </w:pPr>
      <w:bookmarkStart w:id="31" w:name="_GoBack"/>
      <w:bookmarkEnd w:id="31"/>
    </w:p>
    <w:p>
      <w:pPr>
        <w:spacing w:line="600" w:lineRule="exact"/>
        <w:jc w:val="center"/>
        <w:rPr>
          <w:rFonts w:hint="eastAsia" w:ascii="宋体" w:hAnsi="宋体" w:eastAsia="宋体" w:cs="宋体"/>
          <w:sz w:val="32"/>
          <w:szCs w:val="32"/>
          <w:highlight w:val="none"/>
        </w:rPr>
      </w:pPr>
    </w:p>
    <w:p>
      <w:pPr>
        <w:spacing w:before="156" w:beforeLines="50"/>
        <w:jc w:val="center"/>
        <w:rPr>
          <w:rFonts w:hint="eastAsia" w:ascii="宋体" w:hAnsi="宋体" w:eastAsia="宋体" w:cs="宋体"/>
          <w:b/>
          <w:sz w:val="48"/>
          <w:szCs w:val="48"/>
          <w:highlight w:val="none"/>
          <w:lang w:eastAsia="zh-CN"/>
        </w:rPr>
      </w:pPr>
      <w:r>
        <w:rPr>
          <w:rFonts w:hint="eastAsia" w:ascii="宋体" w:hAnsi="宋体" w:eastAsia="宋体" w:cs="宋体"/>
          <w:b/>
          <w:sz w:val="48"/>
          <w:szCs w:val="48"/>
          <w:highlight w:val="none"/>
          <w:lang w:eastAsia="zh-CN"/>
        </w:rPr>
        <w:t>涌金大厦无线对讲机通信基站新建项目</w:t>
      </w:r>
    </w:p>
    <w:p>
      <w:pPr>
        <w:spacing w:before="156" w:beforeLines="50"/>
        <w:jc w:val="center"/>
        <w:rPr>
          <w:rFonts w:hint="eastAsia" w:ascii="宋体" w:hAnsi="宋体" w:eastAsia="宋体" w:cs="宋体"/>
          <w:b/>
          <w:sz w:val="48"/>
          <w:szCs w:val="48"/>
          <w:highlight w:val="none"/>
        </w:rPr>
      </w:pPr>
    </w:p>
    <w:p>
      <w:pPr>
        <w:spacing w:before="156" w:beforeLines="50"/>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竞争性磋商采购文件</w:t>
      </w:r>
    </w:p>
    <w:p>
      <w:pPr>
        <w:snapToGrid w:val="0"/>
        <w:spacing w:before="156" w:beforeLines="50" w:line="360" w:lineRule="auto"/>
        <w:rPr>
          <w:rFonts w:hint="eastAsia" w:ascii="宋体" w:hAnsi="宋体" w:eastAsia="宋体" w:cs="宋体"/>
          <w:sz w:val="30"/>
          <w:szCs w:val="72"/>
          <w:highlight w:val="none"/>
        </w:rPr>
      </w:pPr>
    </w:p>
    <w:p>
      <w:pPr>
        <w:snapToGrid w:val="0"/>
        <w:spacing w:before="156" w:beforeLines="50"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（采购编号：</w:t>
      </w:r>
      <w:r>
        <w:rPr>
          <w:rFonts w:hint="eastAsia" w:ascii="宋体" w:hAnsi="宋体" w:eastAsia="宋体" w:cs="宋体"/>
          <w:sz w:val="24"/>
          <w:highlight w:val="none"/>
          <w:lang w:eastAsia="zh-CN"/>
        </w:rPr>
        <w:t>NBGZZB121080</w:t>
      </w:r>
      <w:r>
        <w:rPr>
          <w:rFonts w:hint="eastAsia" w:ascii="宋体" w:hAnsi="宋体" w:eastAsia="宋体" w:cs="宋体"/>
          <w:sz w:val="24"/>
          <w:highlight w:val="none"/>
        </w:rPr>
        <w:t>）</w:t>
      </w:r>
    </w:p>
    <w:p>
      <w:pPr>
        <w:snapToGrid w:val="0"/>
        <w:spacing w:before="156" w:beforeLines="50" w:line="360" w:lineRule="auto"/>
        <w:rPr>
          <w:rFonts w:hint="eastAsia" w:ascii="宋体" w:hAnsi="宋体" w:eastAsia="宋体" w:cs="宋体"/>
          <w:sz w:val="30"/>
          <w:szCs w:val="72"/>
          <w:highlight w:val="none"/>
        </w:rPr>
      </w:pPr>
    </w:p>
    <w:p>
      <w:pPr>
        <w:snapToGrid w:val="0"/>
        <w:spacing w:before="156" w:beforeLines="50" w:line="360" w:lineRule="auto"/>
        <w:rPr>
          <w:rFonts w:hint="eastAsia" w:ascii="宋体" w:hAnsi="宋体" w:eastAsia="宋体" w:cs="宋体"/>
          <w:sz w:val="30"/>
          <w:szCs w:val="72"/>
          <w:highlight w:val="none"/>
        </w:rPr>
      </w:pPr>
    </w:p>
    <w:p>
      <w:pPr>
        <w:snapToGrid w:val="0"/>
        <w:spacing w:before="156" w:beforeLines="50" w:line="360" w:lineRule="auto"/>
        <w:rPr>
          <w:rFonts w:hint="eastAsia" w:ascii="宋体" w:hAnsi="宋体" w:eastAsia="宋体" w:cs="宋体"/>
          <w:sz w:val="30"/>
          <w:szCs w:val="72"/>
          <w:highlight w:val="none"/>
        </w:rPr>
      </w:pPr>
    </w:p>
    <w:p>
      <w:pPr>
        <w:snapToGrid w:val="0"/>
        <w:spacing w:before="156" w:beforeLines="50" w:line="360" w:lineRule="auto"/>
        <w:rPr>
          <w:rFonts w:hint="eastAsia" w:ascii="宋体" w:hAnsi="宋体" w:eastAsia="宋体" w:cs="宋体"/>
          <w:sz w:val="30"/>
          <w:szCs w:val="72"/>
          <w:highlight w:val="none"/>
        </w:rPr>
      </w:pPr>
    </w:p>
    <w:p>
      <w:pPr>
        <w:pStyle w:val="41"/>
        <w:widowControl w:val="0"/>
        <w:snapToGrid w:val="0"/>
        <w:spacing w:before="156" w:beforeLines="50" w:beforeAutospacing="0" w:after="156" w:afterLines="50" w:afterAutospacing="0" w:line="500" w:lineRule="exact"/>
        <w:ind w:left="2212" w:hanging="2223" w:hangingChars="650"/>
        <w:rPr>
          <w:rFonts w:hint="eastAsia" w:ascii="宋体" w:hAnsi="宋体" w:eastAsia="宋体" w:cs="宋体"/>
          <w:bCs/>
          <w:w w:val="95"/>
          <w:kern w:val="2"/>
          <w:sz w:val="36"/>
          <w:szCs w:val="36"/>
          <w:highlight w:val="none"/>
          <w:lang w:eastAsia="zh-CN"/>
        </w:rPr>
      </w:pPr>
      <w:r>
        <w:rPr>
          <w:rFonts w:hint="eastAsia" w:ascii="宋体" w:hAnsi="宋体" w:eastAsia="宋体" w:cs="宋体"/>
          <w:bCs/>
          <w:w w:val="95"/>
          <w:kern w:val="2"/>
          <w:sz w:val="36"/>
          <w:szCs w:val="36"/>
          <w:highlight w:val="none"/>
        </w:rPr>
        <w:t xml:space="preserve">    采购单位：</w:t>
      </w:r>
      <w:r>
        <w:rPr>
          <w:rFonts w:hint="eastAsia" w:ascii="宋体" w:hAnsi="宋体" w:eastAsia="宋体" w:cs="宋体"/>
          <w:bCs/>
          <w:w w:val="95"/>
          <w:kern w:val="2"/>
          <w:sz w:val="36"/>
          <w:szCs w:val="36"/>
          <w:highlight w:val="none"/>
          <w:lang w:eastAsia="zh-CN"/>
        </w:rPr>
        <w:t>宁波市公安局高新技术开发区分局</w:t>
      </w:r>
    </w:p>
    <w:p>
      <w:pPr>
        <w:pStyle w:val="41"/>
        <w:widowControl w:val="0"/>
        <w:snapToGrid w:val="0"/>
        <w:spacing w:before="156" w:beforeLines="50" w:beforeAutospacing="0" w:after="156" w:afterLines="50" w:afterAutospacing="0" w:line="500" w:lineRule="exact"/>
        <w:rPr>
          <w:rFonts w:hint="eastAsia" w:ascii="宋体" w:hAnsi="宋体" w:eastAsia="宋体" w:cs="宋体"/>
          <w:bCs/>
          <w:w w:val="95"/>
          <w:kern w:val="2"/>
          <w:sz w:val="36"/>
          <w:szCs w:val="36"/>
          <w:highlight w:val="none"/>
        </w:rPr>
      </w:pPr>
      <w:r>
        <w:rPr>
          <w:rFonts w:hint="eastAsia" w:ascii="宋体" w:hAnsi="宋体" w:eastAsia="宋体" w:cs="宋体"/>
          <w:bCs/>
          <w:w w:val="95"/>
          <w:kern w:val="2"/>
          <w:sz w:val="36"/>
          <w:szCs w:val="36"/>
          <w:highlight w:val="none"/>
        </w:rPr>
        <w:t xml:space="preserve">              </w:t>
      </w:r>
    </w:p>
    <w:p>
      <w:pPr>
        <w:pStyle w:val="41"/>
        <w:widowControl w:val="0"/>
        <w:snapToGrid w:val="0"/>
        <w:spacing w:before="156" w:beforeLines="50" w:beforeAutospacing="0" w:after="156" w:afterLines="50" w:afterAutospacing="0" w:line="500" w:lineRule="exact"/>
        <w:rPr>
          <w:rFonts w:hint="eastAsia" w:ascii="宋体" w:hAnsi="宋体" w:eastAsia="宋体" w:cs="宋体"/>
          <w:bCs/>
          <w:w w:val="95"/>
          <w:sz w:val="36"/>
          <w:szCs w:val="36"/>
          <w:highlight w:val="none"/>
        </w:rPr>
      </w:pPr>
      <w:r>
        <w:rPr>
          <w:rFonts w:hint="eastAsia" w:ascii="宋体" w:hAnsi="宋体" w:eastAsia="宋体" w:cs="宋体"/>
          <w:bCs/>
          <w:w w:val="95"/>
          <w:kern w:val="2"/>
          <w:sz w:val="36"/>
          <w:szCs w:val="36"/>
          <w:highlight w:val="none"/>
        </w:rPr>
        <w:t xml:space="preserve">    代理机构：宁波国咨工程造价咨询有限公司</w:t>
      </w:r>
    </w:p>
    <w:p>
      <w:pPr>
        <w:spacing w:line="360" w:lineRule="auto"/>
        <w:jc w:val="center"/>
        <w:rPr>
          <w:rFonts w:hint="eastAsia" w:ascii="宋体" w:hAnsi="宋体" w:eastAsia="宋体" w:cs="宋体"/>
          <w:bCs/>
          <w:w w:val="95"/>
          <w:sz w:val="36"/>
          <w:szCs w:val="36"/>
          <w:highlight w:val="none"/>
        </w:rPr>
      </w:pPr>
    </w:p>
    <w:p>
      <w:pPr>
        <w:spacing w:line="360" w:lineRule="auto"/>
        <w:jc w:val="center"/>
        <w:rPr>
          <w:rFonts w:hint="eastAsia" w:ascii="宋体" w:hAnsi="宋体" w:eastAsia="宋体" w:cs="宋体"/>
          <w:bCs/>
          <w:w w:val="95"/>
          <w:sz w:val="36"/>
          <w:szCs w:val="36"/>
          <w:highlight w:val="none"/>
        </w:rPr>
      </w:pPr>
      <w:r>
        <w:rPr>
          <w:rFonts w:hint="eastAsia" w:ascii="宋体" w:hAnsi="宋体" w:eastAsia="宋体" w:cs="宋体"/>
          <w:bCs/>
          <w:w w:val="95"/>
          <w:sz w:val="36"/>
          <w:szCs w:val="36"/>
          <w:highlight w:val="none"/>
        </w:rPr>
        <w:t>二O二一年</w:t>
      </w:r>
      <w:r>
        <w:rPr>
          <w:rFonts w:hint="eastAsia" w:ascii="宋体" w:hAnsi="宋体" w:eastAsia="宋体" w:cs="宋体"/>
          <w:bCs/>
          <w:w w:val="95"/>
          <w:sz w:val="36"/>
          <w:szCs w:val="36"/>
          <w:highlight w:val="none"/>
          <w:lang w:val="en-US" w:eastAsia="zh-CN"/>
        </w:rPr>
        <w:t>十</w:t>
      </w:r>
      <w:r>
        <w:rPr>
          <w:rFonts w:hint="eastAsia" w:ascii="宋体" w:hAnsi="宋体" w:eastAsia="宋体" w:cs="宋体"/>
          <w:bCs/>
          <w:w w:val="95"/>
          <w:sz w:val="36"/>
          <w:szCs w:val="36"/>
          <w:highlight w:val="none"/>
        </w:rPr>
        <w:t>月</w:t>
      </w:r>
    </w:p>
    <w:p>
      <w:pPr>
        <w:spacing w:before="156" w:beforeLines="50"/>
        <w:rPr>
          <w:rFonts w:hint="eastAsia" w:ascii="宋体" w:hAnsi="宋体" w:eastAsia="宋体" w:cs="宋体"/>
          <w:b/>
          <w:sz w:val="30"/>
          <w:szCs w:val="72"/>
          <w:highlight w:val="none"/>
        </w:rPr>
      </w:pPr>
    </w:p>
    <w:p>
      <w:pPr>
        <w:spacing w:before="156" w:beforeLines="50"/>
        <w:rPr>
          <w:rFonts w:hint="eastAsia" w:ascii="宋体" w:hAnsi="宋体" w:eastAsia="宋体" w:cs="宋体"/>
          <w:b/>
          <w:sz w:val="30"/>
          <w:szCs w:val="72"/>
          <w:highlight w:val="none"/>
        </w:rPr>
      </w:pPr>
    </w:p>
    <w:p>
      <w:pPr>
        <w:spacing w:before="156" w:beforeLines="50"/>
        <w:rPr>
          <w:rFonts w:hint="eastAsia" w:ascii="宋体" w:hAnsi="宋体" w:eastAsia="宋体" w:cs="宋体"/>
          <w:b/>
          <w:sz w:val="30"/>
          <w:szCs w:val="72"/>
          <w:highlight w:val="none"/>
        </w:rPr>
      </w:pPr>
    </w:p>
    <w:p>
      <w:pPr>
        <w:snapToGrid w:val="0"/>
        <w:spacing w:before="156" w:beforeLines="50" w:line="360" w:lineRule="auto"/>
        <w:jc w:val="center"/>
        <w:rPr>
          <w:rFonts w:hint="eastAsia" w:ascii="宋体" w:hAnsi="宋体" w:eastAsia="宋体" w:cs="宋体"/>
          <w:b/>
          <w:bCs/>
          <w:sz w:val="30"/>
          <w:szCs w:val="30"/>
          <w:highlight w:val="none"/>
        </w:rPr>
      </w:pPr>
    </w:p>
    <w:p>
      <w:pPr>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val="zh-CN"/>
        </w:rPr>
        <w:t>目   录</w:t>
      </w:r>
    </w:p>
    <w:p>
      <w:pPr>
        <w:pStyle w:val="32"/>
        <w:tabs>
          <w:tab w:val="right" w:leader="dot" w:pos="8846"/>
        </w:tabs>
        <w:rPr>
          <w:rFonts w:hint="eastAsia" w:ascii="宋体" w:hAnsi="宋体" w:eastAsia="宋体" w:cs="宋体"/>
          <w:b w:val="0"/>
          <w:sz w:val="21"/>
          <w:szCs w:val="22"/>
          <w:highlight w:val="none"/>
          <w:lang/>
        </w:rPr>
      </w:pPr>
      <w:r>
        <w:rPr>
          <w:rFonts w:hint="eastAsia" w:ascii="宋体" w:hAnsi="宋体" w:eastAsia="宋体" w:cs="宋体"/>
          <w:b w:val="0"/>
          <w:highlight w:val="none"/>
        </w:rPr>
        <w:fldChar w:fldCharType="begin"/>
      </w:r>
      <w:r>
        <w:rPr>
          <w:rFonts w:hint="eastAsia" w:ascii="宋体" w:hAnsi="宋体" w:eastAsia="宋体" w:cs="宋体"/>
          <w:b w:val="0"/>
          <w:highlight w:val="none"/>
        </w:rPr>
        <w:instrText xml:space="preserve"> TOC \o "1-3" \h \z \u </w:instrText>
      </w:r>
      <w:r>
        <w:rPr>
          <w:rFonts w:hint="eastAsia" w:ascii="宋体" w:hAnsi="宋体" w:eastAsia="宋体" w:cs="宋体"/>
          <w:b w:val="0"/>
          <w:highlight w:val="none"/>
        </w:rPr>
        <w:fldChar w:fldCharType="separate"/>
      </w:r>
      <w:r>
        <w:rPr>
          <w:rFonts w:hint="eastAsia" w:ascii="宋体" w:hAnsi="宋体" w:eastAsia="宋体" w:cs="宋体"/>
          <w:b w:val="0"/>
          <w:highlight w:val="none"/>
          <w:lang/>
        </w:rPr>
        <w:fldChar w:fldCharType="begin"/>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instrText xml:space="preserve">HYPERLINK \l "_Toc46489004"</w:instrText>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fldChar w:fldCharType="separate"/>
      </w:r>
      <w:r>
        <w:rPr>
          <w:rStyle w:val="51"/>
          <w:rFonts w:hint="eastAsia" w:ascii="宋体" w:hAnsi="宋体" w:eastAsia="宋体" w:cs="宋体"/>
          <w:b w:val="0"/>
          <w:color w:val="auto"/>
          <w:highlight w:val="none"/>
          <w:lang/>
        </w:rPr>
        <w:t>第一章  竞争性磋商公告</w:t>
      </w:r>
      <w:r>
        <w:rPr>
          <w:rFonts w:hint="eastAsia" w:ascii="宋体" w:hAnsi="宋体" w:eastAsia="宋体" w:cs="宋体"/>
          <w:b w:val="0"/>
          <w:highlight w:val="none"/>
          <w:lang/>
        </w:rPr>
        <w:tab/>
      </w:r>
      <w:r>
        <w:rPr>
          <w:rFonts w:hint="eastAsia" w:ascii="宋体" w:hAnsi="宋体" w:eastAsia="宋体" w:cs="宋体"/>
          <w:b w:val="0"/>
          <w:highlight w:val="none"/>
          <w:lang/>
        </w:rPr>
        <w:fldChar w:fldCharType="begin"/>
      </w:r>
      <w:r>
        <w:rPr>
          <w:rFonts w:hint="eastAsia" w:ascii="宋体" w:hAnsi="宋体" w:eastAsia="宋体" w:cs="宋体"/>
          <w:b w:val="0"/>
          <w:highlight w:val="none"/>
          <w:lang/>
        </w:rPr>
        <w:instrText xml:space="preserve"> PAGEREF _Toc46489004 \h </w:instrText>
      </w:r>
      <w:r>
        <w:rPr>
          <w:rFonts w:hint="eastAsia" w:ascii="宋体" w:hAnsi="宋体" w:eastAsia="宋体" w:cs="宋体"/>
          <w:b w:val="0"/>
          <w:highlight w:val="none"/>
          <w:lang/>
        </w:rPr>
        <w:fldChar w:fldCharType="separate"/>
      </w:r>
      <w:r>
        <w:rPr>
          <w:rFonts w:hint="eastAsia" w:ascii="宋体" w:hAnsi="宋体" w:eastAsia="宋体" w:cs="宋体"/>
          <w:b w:val="0"/>
          <w:highlight w:val="none"/>
          <w:lang/>
        </w:rPr>
        <w:t>3</w:t>
      </w:r>
      <w:r>
        <w:rPr>
          <w:rFonts w:hint="eastAsia" w:ascii="宋体" w:hAnsi="宋体" w:eastAsia="宋体" w:cs="宋体"/>
          <w:b w:val="0"/>
          <w:highlight w:val="none"/>
          <w:lang/>
        </w:rPr>
        <w:fldChar w:fldCharType="end"/>
      </w:r>
      <w:r>
        <w:rPr>
          <w:rFonts w:hint="eastAsia" w:ascii="宋体" w:hAnsi="宋体" w:eastAsia="宋体" w:cs="宋体"/>
          <w:b w:val="0"/>
          <w:highlight w:val="none"/>
          <w:lang/>
        </w:rPr>
        <w:fldChar w:fldCharType="end"/>
      </w:r>
    </w:p>
    <w:p>
      <w:pPr>
        <w:pStyle w:val="32"/>
        <w:tabs>
          <w:tab w:val="right" w:leader="dot" w:pos="8846"/>
        </w:tabs>
        <w:rPr>
          <w:rFonts w:hint="eastAsia" w:ascii="宋体" w:hAnsi="宋体" w:eastAsia="宋体" w:cs="宋体"/>
          <w:b w:val="0"/>
          <w:sz w:val="21"/>
          <w:szCs w:val="22"/>
          <w:highlight w:val="none"/>
          <w:lang/>
        </w:rPr>
      </w:pPr>
      <w:r>
        <w:rPr>
          <w:rFonts w:hint="eastAsia" w:ascii="宋体" w:hAnsi="宋体" w:eastAsia="宋体" w:cs="宋体"/>
          <w:b w:val="0"/>
          <w:highlight w:val="none"/>
          <w:lang/>
        </w:rPr>
        <w:fldChar w:fldCharType="begin"/>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instrText xml:space="preserve">HYPERLINK \l "_Toc46489005"</w:instrText>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fldChar w:fldCharType="separate"/>
      </w:r>
      <w:r>
        <w:rPr>
          <w:rStyle w:val="51"/>
          <w:rFonts w:hint="eastAsia" w:ascii="宋体" w:hAnsi="宋体" w:eastAsia="宋体" w:cs="宋体"/>
          <w:b w:val="0"/>
          <w:color w:val="auto"/>
          <w:highlight w:val="none"/>
          <w:lang/>
        </w:rPr>
        <w:t>第二章  采购需求</w:t>
      </w:r>
      <w:r>
        <w:rPr>
          <w:rFonts w:hint="eastAsia" w:ascii="宋体" w:hAnsi="宋体" w:eastAsia="宋体" w:cs="宋体"/>
          <w:b w:val="0"/>
          <w:highlight w:val="none"/>
          <w:lang/>
        </w:rPr>
        <w:tab/>
      </w:r>
      <w:r>
        <w:rPr>
          <w:rFonts w:hint="eastAsia" w:ascii="宋体" w:hAnsi="宋体" w:eastAsia="宋体" w:cs="宋体"/>
          <w:b w:val="0"/>
          <w:highlight w:val="none"/>
          <w:lang/>
        </w:rPr>
        <w:fldChar w:fldCharType="end"/>
      </w:r>
      <w:r>
        <w:rPr>
          <w:rFonts w:hint="eastAsia" w:ascii="宋体" w:hAnsi="宋体" w:eastAsia="宋体" w:cs="宋体"/>
          <w:b w:val="0"/>
          <w:highlight w:val="none"/>
          <w:lang/>
        </w:rPr>
        <w:t>9</w:t>
      </w:r>
    </w:p>
    <w:p>
      <w:pPr>
        <w:pStyle w:val="32"/>
        <w:tabs>
          <w:tab w:val="right" w:leader="dot" w:pos="8846"/>
        </w:tabs>
        <w:rPr>
          <w:rFonts w:hint="default" w:ascii="宋体" w:hAnsi="宋体" w:eastAsia="宋体" w:cs="宋体"/>
          <w:b w:val="0"/>
          <w:sz w:val="21"/>
          <w:szCs w:val="22"/>
          <w:highlight w:val="none"/>
          <w:lang w:val="en-US" w:eastAsia="zh-CN"/>
        </w:rPr>
      </w:pPr>
      <w:r>
        <w:rPr>
          <w:rFonts w:hint="eastAsia" w:ascii="宋体" w:hAnsi="宋体" w:eastAsia="宋体" w:cs="宋体"/>
          <w:b w:val="0"/>
          <w:highlight w:val="none"/>
          <w:lang/>
        </w:rPr>
        <w:fldChar w:fldCharType="begin"/>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instrText xml:space="preserve">HYPERLINK \l "_Toc46489023"</w:instrText>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fldChar w:fldCharType="separate"/>
      </w:r>
      <w:r>
        <w:rPr>
          <w:rStyle w:val="51"/>
          <w:rFonts w:hint="eastAsia" w:ascii="宋体" w:hAnsi="宋体" w:eastAsia="宋体" w:cs="宋体"/>
          <w:b w:val="0"/>
          <w:color w:val="auto"/>
          <w:highlight w:val="none"/>
          <w:lang/>
        </w:rPr>
        <w:t>第三章  供应商须知</w:t>
      </w:r>
      <w:r>
        <w:rPr>
          <w:rFonts w:hint="eastAsia" w:ascii="宋体" w:hAnsi="宋体" w:eastAsia="宋体" w:cs="宋体"/>
          <w:b w:val="0"/>
          <w:highlight w:val="none"/>
          <w:lang/>
        </w:rPr>
        <w:tab/>
      </w:r>
      <w:r>
        <w:rPr>
          <w:rFonts w:hint="eastAsia" w:ascii="宋体" w:hAnsi="宋体" w:eastAsia="宋体" w:cs="宋体"/>
          <w:b w:val="0"/>
          <w:highlight w:val="none"/>
          <w:lang/>
        </w:rPr>
        <w:fldChar w:fldCharType="end"/>
      </w:r>
      <w:r>
        <w:rPr>
          <w:rFonts w:hint="eastAsia" w:ascii="宋体" w:hAnsi="宋体" w:eastAsia="宋体" w:cs="宋体"/>
          <w:b w:val="0"/>
          <w:highlight w:val="none"/>
          <w:lang w:val="en-US" w:eastAsia="zh-CN"/>
        </w:rPr>
        <w:t>2</w:t>
      </w:r>
      <w:r>
        <w:rPr>
          <w:rFonts w:hint="eastAsia" w:ascii="宋体" w:hAnsi="宋体" w:eastAsia="宋体" w:cs="宋体"/>
          <w:b w:val="0"/>
          <w:highlight w:val="none"/>
          <w:lang w:val="en-US" w:eastAsia="zh-CN"/>
        </w:rPr>
        <w:t>2</w:t>
      </w:r>
    </w:p>
    <w:p>
      <w:pPr>
        <w:pStyle w:val="32"/>
        <w:tabs>
          <w:tab w:val="right" w:leader="dot" w:pos="8846"/>
        </w:tabs>
        <w:rPr>
          <w:rFonts w:hint="default" w:ascii="宋体" w:hAnsi="宋体" w:eastAsia="宋体" w:cs="宋体"/>
          <w:b w:val="0"/>
          <w:sz w:val="21"/>
          <w:szCs w:val="22"/>
          <w:highlight w:val="none"/>
          <w:lang w:val="en-US" w:eastAsia="zh-CN"/>
        </w:rPr>
      </w:pPr>
      <w:r>
        <w:rPr>
          <w:rFonts w:hint="eastAsia" w:ascii="宋体" w:hAnsi="宋体" w:eastAsia="宋体" w:cs="宋体"/>
          <w:b w:val="0"/>
          <w:highlight w:val="none"/>
          <w:lang/>
        </w:rPr>
        <w:fldChar w:fldCharType="begin"/>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instrText xml:space="preserve">HYPERLINK \l "_Toc46489035"</w:instrText>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fldChar w:fldCharType="separate"/>
      </w:r>
      <w:r>
        <w:rPr>
          <w:rStyle w:val="51"/>
          <w:rFonts w:hint="eastAsia" w:ascii="宋体" w:hAnsi="宋体" w:eastAsia="宋体" w:cs="宋体"/>
          <w:b w:val="0"/>
          <w:color w:val="auto"/>
          <w:highlight w:val="none"/>
          <w:lang/>
        </w:rPr>
        <w:t>第四章  评审办法及评分标准</w:t>
      </w:r>
      <w:r>
        <w:rPr>
          <w:rFonts w:hint="eastAsia" w:ascii="宋体" w:hAnsi="宋体" w:eastAsia="宋体" w:cs="宋体"/>
          <w:b w:val="0"/>
          <w:highlight w:val="none"/>
          <w:lang/>
        </w:rPr>
        <w:tab/>
      </w:r>
      <w:r>
        <w:rPr>
          <w:rFonts w:hint="eastAsia" w:ascii="宋体" w:hAnsi="宋体" w:eastAsia="宋体" w:cs="宋体"/>
          <w:b w:val="0"/>
          <w:highlight w:val="none"/>
          <w:lang/>
        </w:rPr>
        <w:fldChar w:fldCharType="end"/>
      </w:r>
      <w:r>
        <w:rPr>
          <w:rFonts w:hint="eastAsia" w:ascii="宋体" w:hAnsi="宋体" w:eastAsia="宋体" w:cs="宋体"/>
          <w:b w:val="0"/>
          <w:highlight w:val="none"/>
          <w:lang w:val="en-US" w:eastAsia="zh-CN"/>
        </w:rPr>
        <w:t>3</w:t>
      </w:r>
      <w:r>
        <w:rPr>
          <w:rFonts w:hint="eastAsia" w:ascii="宋体" w:hAnsi="宋体" w:eastAsia="宋体" w:cs="宋体"/>
          <w:b w:val="0"/>
          <w:highlight w:val="none"/>
          <w:lang w:val="en-US" w:eastAsia="zh-CN"/>
        </w:rPr>
        <w:t>7</w:t>
      </w:r>
    </w:p>
    <w:p>
      <w:pPr>
        <w:pStyle w:val="32"/>
        <w:tabs>
          <w:tab w:val="right" w:leader="dot" w:pos="8846"/>
        </w:tabs>
        <w:rPr>
          <w:rFonts w:hint="eastAsia" w:ascii="宋体" w:hAnsi="宋体" w:eastAsia="宋体" w:cs="宋体"/>
          <w:b w:val="0"/>
          <w:sz w:val="21"/>
          <w:szCs w:val="22"/>
          <w:highlight w:val="none"/>
          <w:lang w:eastAsia="zh-CN"/>
        </w:rPr>
      </w:pPr>
      <w:r>
        <w:rPr>
          <w:rFonts w:hint="eastAsia" w:ascii="宋体" w:hAnsi="宋体" w:eastAsia="宋体" w:cs="宋体"/>
          <w:b w:val="0"/>
          <w:highlight w:val="none"/>
          <w:lang/>
        </w:rPr>
        <w:fldChar w:fldCharType="begin"/>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instrText xml:space="preserve">HYPERLINK \l "_Toc46489038"</w:instrText>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fldChar w:fldCharType="separate"/>
      </w:r>
      <w:r>
        <w:rPr>
          <w:rStyle w:val="51"/>
          <w:rFonts w:hint="eastAsia" w:ascii="宋体" w:hAnsi="宋体" w:eastAsia="宋体" w:cs="宋体"/>
          <w:b w:val="0"/>
          <w:color w:val="auto"/>
          <w:highlight w:val="none"/>
          <w:lang/>
        </w:rPr>
        <w:t>第五章  采购合同草案条款</w:t>
      </w:r>
      <w:r>
        <w:rPr>
          <w:rFonts w:hint="eastAsia" w:ascii="宋体" w:hAnsi="宋体" w:eastAsia="宋体" w:cs="宋体"/>
          <w:b w:val="0"/>
          <w:highlight w:val="none"/>
          <w:lang/>
        </w:rPr>
        <w:tab/>
      </w:r>
      <w:r>
        <w:rPr>
          <w:rFonts w:hint="eastAsia" w:ascii="宋体" w:hAnsi="宋体" w:eastAsia="宋体" w:cs="宋体"/>
          <w:b w:val="0"/>
          <w:highlight w:val="none"/>
          <w:lang w:val="en-US" w:eastAsia="zh-CN"/>
        </w:rPr>
        <w:t>4</w:t>
      </w:r>
      <w:r>
        <w:rPr>
          <w:rFonts w:hint="eastAsia" w:ascii="宋体" w:hAnsi="宋体" w:eastAsia="宋体" w:cs="宋体"/>
          <w:b w:val="0"/>
          <w:highlight w:val="none"/>
          <w:lang/>
        </w:rPr>
        <w:fldChar w:fldCharType="end"/>
      </w:r>
      <w:r>
        <w:rPr>
          <w:rFonts w:hint="eastAsia" w:ascii="宋体" w:hAnsi="宋体" w:eastAsia="宋体" w:cs="宋体"/>
          <w:b w:val="0"/>
          <w:highlight w:val="none"/>
          <w:lang w:val="en-US" w:eastAsia="zh-CN"/>
        </w:rPr>
        <w:t>3</w:t>
      </w:r>
    </w:p>
    <w:p>
      <w:pPr>
        <w:pStyle w:val="32"/>
        <w:tabs>
          <w:tab w:val="right" w:leader="dot" w:pos="8846"/>
        </w:tabs>
        <w:rPr>
          <w:rFonts w:hint="eastAsia" w:ascii="宋体" w:hAnsi="宋体" w:eastAsia="宋体" w:cs="宋体"/>
          <w:b w:val="0"/>
          <w:sz w:val="21"/>
          <w:szCs w:val="22"/>
          <w:highlight w:val="none"/>
          <w:lang w:val="en-US" w:eastAsia="zh-CN"/>
        </w:rPr>
      </w:pPr>
      <w:r>
        <w:rPr>
          <w:rFonts w:hint="eastAsia" w:ascii="宋体" w:hAnsi="宋体" w:eastAsia="宋体" w:cs="宋体"/>
          <w:b w:val="0"/>
          <w:highlight w:val="none"/>
          <w:lang/>
        </w:rPr>
        <w:fldChar w:fldCharType="begin"/>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instrText xml:space="preserve">HYPERLINK \l "_Toc46489040"</w:instrText>
      </w:r>
      <w:r>
        <w:rPr>
          <w:rStyle w:val="51"/>
          <w:rFonts w:hint="eastAsia" w:ascii="宋体" w:hAnsi="宋体" w:eastAsia="宋体" w:cs="宋体"/>
          <w:b w:val="0"/>
          <w:color w:val="auto"/>
          <w:highlight w:val="none"/>
          <w:lang/>
        </w:rPr>
        <w:instrText xml:space="preserve"> </w:instrText>
      </w:r>
      <w:r>
        <w:rPr>
          <w:rFonts w:hint="eastAsia" w:ascii="宋体" w:hAnsi="宋体" w:eastAsia="宋体" w:cs="宋体"/>
          <w:b w:val="0"/>
          <w:highlight w:val="none"/>
          <w:lang/>
        </w:rPr>
        <w:fldChar w:fldCharType="separate"/>
      </w:r>
      <w:r>
        <w:rPr>
          <w:rStyle w:val="51"/>
          <w:rFonts w:hint="eastAsia" w:ascii="宋体" w:hAnsi="宋体" w:eastAsia="宋体" w:cs="宋体"/>
          <w:b w:val="0"/>
          <w:color w:val="auto"/>
          <w:highlight w:val="none"/>
          <w:lang/>
        </w:rPr>
        <w:t>第六章  响应文件格式</w:t>
      </w:r>
      <w:r>
        <w:rPr>
          <w:rFonts w:hint="eastAsia" w:ascii="宋体" w:hAnsi="宋体" w:eastAsia="宋体" w:cs="宋体"/>
          <w:b w:val="0"/>
          <w:highlight w:val="none"/>
          <w:lang/>
        </w:rPr>
        <w:tab/>
      </w:r>
      <w:r>
        <w:rPr>
          <w:rFonts w:hint="eastAsia" w:ascii="宋体" w:hAnsi="宋体" w:eastAsia="宋体" w:cs="宋体"/>
          <w:b w:val="0"/>
          <w:highlight w:val="none"/>
          <w:lang w:val="en-US" w:eastAsia="zh-CN"/>
        </w:rPr>
        <w:t>4</w:t>
      </w:r>
      <w:r>
        <w:rPr>
          <w:rFonts w:hint="eastAsia" w:ascii="宋体" w:hAnsi="宋体" w:eastAsia="宋体" w:cs="宋体"/>
          <w:b w:val="0"/>
          <w:highlight w:val="none"/>
          <w:lang/>
        </w:rPr>
        <w:fldChar w:fldCharType="end"/>
      </w:r>
      <w:r>
        <w:rPr>
          <w:rFonts w:hint="eastAsia" w:ascii="宋体" w:hAnsi="宋体" w:eastAsia="宋体" w:cs="宋体"/>
          <w:b w:val="0"/>
          <w:highlight w:val="none"/>
        </w:rPr>
        <w:fldChar w:fldCharType="end"/>
      </w:r>
      <w:r>
        <w:rPr>
          <w:rFonts w:hint="eastAsia" w:ascii="宋体" w:hAnsi="宋体" w:eastAsia="宋体" w:cs="宋体"/>
          <w:b w:val="0"/>
          <w:highlight w:val="none"/>
          <w:lang w:val="en-US" w:eastAsia="zh-CN"/>
        </w:rPr>
        <w:t>7</w:t>
      </w:r>
    </w:p>
    <w:p>
      <w:pPr>
        <w:pStyle w:val="2"/>
        <w:spacing w:before="120" w:beforeLines="0" w:after="120" w:afterLines="0" w:line="360" w:lineRule="auto"/>
        <w:jc w:val="center"/>
        <w:rPr>
          <w:rFonts w:hint="eastAsia" w:ascii="宋体" w:hAnsi="宋体" w:eastAsia="宋体" w:cs="宋体"/>
          <w:b/>
          <w:sz w:val="30"/>
          <w:szCs w:val="30"/>
          <w:highlight w:val="none"/>
        </w:rPr>
      </w:pPr>
    </w:p>
    <w:p>
      <w:pPr>
        <w:spacing w:line="360" w:lineRule="exact"/>
        <w:jc w:val="center"/>
        <w:rPr>
          <w:rFonts w:hint="eastAsia" w:ascii="宋体" w:hAnsi="宋体" w:eastAsia="宋体" w:cs="宋体"/>
          <w:b/>
          <w:sz w:val="30"/>
          <w:szCs w:val="30"/>
          <w:highlight w:val="none"/>
        </w:rPr>
        <w:sectPr>
          <w:footerReference r:id="rId4" w:type="first"/>
          <w:footerReference r:id="rId3" w:type="default"/>
          <w:pgSz w:w="11906" w:h="16838"/>
          <w:pgMar w:top="1440" w:right="1440" w:bottom="1440" w:left="1610" w:header="851" w:footer="992" w:gutter="0"/>
          <w:pgNumType w:start="1"/>
          <w:cols w:space="720" w:num="1"/>
          <w:titlePg/>
          <w:docGrid w:type="lines" w:linePitch="312" w:charSpace="0"/>
        </w:sectPr>
      </w:pPr>
    </w:p>
    <w:p>
      <w:pPr>
        <w:pStyle w:val="3"/>
        <w:spacing w:line="460" w:lineRule="exact"/>
        <w:rPr>
          <w:rFonts w:hint="eastAsia" w:ascii="宋体" w:hAnsi="宋体" w:eastAsia="宋体" w:cs="宋体"/>
          <w:sz w:val="21"/>
          <w:szCs w:val="21"/>
          <w:highlight w:val="none"/>
        </w:rPr>
      </w:pPr>
      <w:bookmarkStart w:id="0" w:name="_Toc46489004"/>
      <w:r>
        <w:rPr>
          <w:rFonts w:hint="eastAsia" w:ascii="宋体" w:hAnsi="宋体" w:eastAsia="宋体" w:cs="宋体"/>
          <w:highlight w:val="none"/>
        </w:rPr>
        <w:t>第一章  竞争性磋商公告</w:t>
      </w:r>
      <w:bookmarkEnd w:id="0"/>
    </w:p>
    <w:p>
      <w:pPr>
        <w:pBdr>
          <w:top w:val="single" w:color="auto" w:sz="4" w:space="1"/>
          <w:left w:val="single" w:color="auto" w:sz="4" w:space="4"/>
          <w:bottom w:val="single" w:color="auto" w:sz="4" w:space="1"/>
          <w:right w:val="single" w:color="auto" w:sz="4" w:space="4"/>
        </w:pBd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项目概况</w:t>
      </w:r>
    </w:p>
    <w:p>
      <w:pPr>
        <w:pBdr>
          <w:top w:val="single" w:color="auto" w:sz="4" w:space="1"/>
          <w:left w:val="single" w:color="auto" w:sz="4" w:space="4"/>
          <w:bottom w:val="single" w:color="auto" w:sz="4" w:space="1"/>
          <w:right w:val="single" w:color="auto" w:sz="4" w:space="4"/>
        </w:pBd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u w:val="single"/>
          <w:lang w:eastAsia="zh-CN"/>
        </w:rPr>
        <w:t>涌金大厦无线对讲机通信基站新建项目</w:t>
      </w:r>
      <w:r>
        <w:rPr>
          <w:rFonts w:hint="eastAsia" w:ascii="宋体" w:hAnsi="宋体" w:eastAsia="宋体" w:cs="宋体"/>
          <w:szCs w:val="21"/>
          <w:highlight w:val="none"/>
        </w:rPr>
        <w:t>的潜在供应商应在</w:t>
      </w:r>
      <w:r>
        <w:rPr>
          <w:rFonts w:hint="eastAsia" w:ascii="宋体" w:hAnsi="宋体" w:eastAsia="宋体" w:cs="宋体"/>
          <w:szCs w:val="21"/>
          <w:highlight w:val="none"/>
          <w:u w:val="single"/>
        </w:rPr>
        <w:t>“浙江政府采购网（www.zcygov.cn）“政采云”系统</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获取采购文件，并于</w:t>
      </w:r>
      <w:r>
        <w:rPr>
          <w:rFonts w:hint="eastAsia" w:ascii="宋体" w:hAnsi="宋体" w:eastAsia="宋体" w:cs="宋体"/>
          <w:b/>
          <w:szCs w:val="21"/>
          <w:highlight w:val="none"/>
          <w:u w:val="single"/>
        </w:rPr>
        <w:t>2021</w:t>
      </w:r>
      <w:r>
        <w:rPr>
          <w:rFonts w:hint="eastAsia" w:ascii="宋体" w:hAnsi="宋体" w:eastAsia="宋体" w:cs="宋体"/>
          <w:b/>
          <w:bCs/>
          <w:szCs w:val="21"/>
          <w:highlight w:val="none"/>
          <w:u w:val="single"/>
        </w:rPr>
        <w:t>年</w:t>
      </w:r>
      <w:r>
        <w:rPr>
          <w:rFonts w:hint="eastAsia" w:ascii="宋体" w:hAnsi="宋体" w:eastAsia="宋体" w:cs="宋体"/>
          <w:b/>
          <w:bCs/>
          <w:szCs w:val="21"/>
          <w:highlight w:val="none"/>
          <w:u w:val="single"/>
          <w:lang w:val="en-US" w:eastAsia="zh-CN"/>
        </w:rPr>
        <w:t>1</w:t>
      </w:r>
      <w:r>
        <w:rPr>
          <w:rFonts w:hint="eastAsia" w:ascii="宋体" w:hAnsi="宋体" w:eastAsia="宋体" w:cs="宋体"/>
          <w:b/>
          <w:bCs/>
          <w:szCs w:val="21"/>
          <w:highlight w:val="none"/>
          <w:u w:val="single"/>
          <w:lang w:val="en-US" w:eastAsia="zh-CN"/>
        </w:rPr>
        <w:t>1</w:t>
      </w:r>
      <w:r>
        <w:rPr>
          <w:rFonts w:hint="eastAsia" w:ascii="宋体" w:hAnsi="宋体" w:eastAsia="宋体" w:cs="宋体"/>
          <w:b/>
          <w:bCs/>
          <w:szCs w:val="21"/>
          <w:highlight w:val="none"/>
          <w:u w:val="single"/>
        </w:rPr>
        <w:t>月</w:t>
      </w:r>
      <w:r>
        <w:rPr>
          <w:rFonts w:hint="eastAsia" w:ascii="宋体" w:hAnsi="宋体" w:eastAsia="宋体" w:cs="宋体"/>
          <w:b/>
          <w:bCs/>
          <w:szCs w:val="21"/>
          <w:highlight w:val="none"/>
          <w:u w:val="single"/>
          <w:lang w:val="en-US" w:eastAsia="zh-CN"/>
        </w:rPr>
        <w:t>8</w:t>
      </w:r>
      <w:r>
        <w:rPr>
          <w:rFonts w:hint="eastAsia" w:ascii="宋体" w:hAnsi="宋体" w:eastAsia="宋体" w:cs="宋体"/>
          <w:b/>
          <w:bCs/>
          <w:szCs w:val="21"/>
          <w:highlight w:val="none"/>
          <w:u w:val="single"/>
        </w:rPr>
        <w:t>日</w:t>
      </w:r>
      <w:r>
        <w:rPr>
          <w:rFonts w:hint="eastAsia" w:ascii="宋体" w:hAnsi="宋体" w:eastAsia="宋体" w:cs="宋体"/>
          <w:b/>
          <w:bCs/>
          <w:szCs w:val="21"/>
          <w:highlight w:val="none"/>
          <w:u w:val="single"/>
          <w:lang w:val="en-US" w:eastAsia="zh-CN"/>
        </w:rPr>
        <w:t>1</w:t>
      </w:r>
      <w:r>
        <w:rPr>
          <w:rFonts w:hint="eastAsia" w:ascii="宋体" w:hAnsi="宋体" w:eastAsia="宋体" w:cs="宋体"/>
          <w:b/>
          <w:bCs/>
          <w:szCs w:val="21"/>
          <w:highlight w:val="none"/>
          <w:u w:val="single"/>
          <w:lang w:val="en-US" w:eastAsia="zh-CN"/>
        </w:rPr>
        <w:t>4</w:t>
      </w:r>
      <w:r>
        <w:rPr>
          <w:rFonts w:hint="eastAsia" w:ascii="宋体" w:hAnsi="宋体" w:eastAsia="宋体" w:cs="宋体"/>
          <w:b/>
          <w:bCs/>
          <w:szCs w:val="21"/>
          <w:highlight w:val="none"/>
          <w:u w:val="single"/>
        </w:rPr>
        <w:t>点</w:t>
      </w:r>
      <w:r>
        <w:rPr>
          <w:rFonts w:hint="eastAsia" w:ascii="宋体" w:hAnsi="宋体" w:eastAsia="宋体" w:cs="宋体"/>
          <w:b/>
          <w:bCs/>
          <w:szCs w:val="21"/>
          <w:highlight w:val="none"/>
          <w:u w:val="single"/>
          <w:lang w:val="en-US" w:eastAsia="zh-CN"/>
        </w:rPr>
        <w:t>0</w:t>
      </w:r>
      <w:r>
        <w:rPr>
          <w:rFonts w:hint="eastAsia" w:ascii="宋体" w:hAnsi="宋体" w:eastAsia="宋体" w:cs="宋体"/>
          <w:b/>
          <w:bCs/>
          <w:szCs w:val="21"/>
          <w:highlight w:val="none"/>
          <w:u w:val="single"/>
          <w:lang w:val="en-US" w:eastAsia="zh-CN"/>
        </w:rPr>
        <w:t>0</w:t>
      </w:r>
      <w:r>
        <w:rPr>
          <w:rFonts w:hint="eastAsia" w:ascii="宋体" w:hAnsi="宋体" w:eastAsia="宋体" w:cs="宋体"/>
          <w:b/>
          <w:bCs/>
          <w:szCs w:val="21"/>
          <w:highlight w:val="none"/>
          <w:u w:val="single"/>
        </w:rPr>
        <w:t>分（北京时间）</w:t>
      </w:r>
      <w:r>
        <w:rPr>
          <w:rFonts w:hint="eastAsia" w:ascii="宋体" w:hAnsi="宋体" w:eastAsia="宋体" w:cs="宋体"/>
          <w:szCs w:val="21"/>
          <w:highlight w:val="none"/>
        </w:rPr>
        <w:t>前提交（上传）响应文件。</w:t>
      </w:r>
    </w:p>
    <w:p>
      <w:pPr>
        <w:spacing w:line="460" w:lineRule="exact"/>
        <w:ind w:firstLine="200"/>
        <w:rPr>
          <w:rFonts w:hint="eastAsia" w:ascii="宋体" w:hAnsi="宋体" w:eastAsia="宋体" w:cs="宋体"/>
          <w:b/>
          <w:szCs w:val="21"/>
          <w:highlight w:val="none"/>
        </w:rPr>
      </w:pPr>
      <w:r>
        <w:rPr>
          <w:rFonts w:hint="eastAsia" w:ascii="宋体" w:hAnsi="宋体" w:eastAsia="宋体" w:cs="宋体"/>
          <w:b/>
          <w:szCs w:val="21"/>
          <w:highlight w:val="none"/>
        </w:rPr>
        <w:t>一、项目基本情况</w:t>
      </w:r>
    </w:p>
    <w:p>
      <w:pPr>
        <w:spacing w:line="460" w:lineRule="exact"/>
        <w:ind w:firstLine="200"/>
        <w:rPr>
          <w:rFonts w:hint="eastAsia" w:ascii="宋体" w:hAnsi="宋体" w:eastAsia="宋体" w:cs="宋体"/>
          <w:szCs w:val="21"/>
          <w:highlight w:val="none"/>
          <w:lang w:eastAsia="zh-CN"/>
        </w:rPr>
      </w:pPr>
      <w:r>
        <w:rPr>
          <w:rFonts w:hint="eastAsia" w:ascii="宋体" w:hAnsi="宋体" w:eastAsia="宋体" w:cs="宋体"/>
          <w:szCs w:val="21"/>
          <w:highlight w:val="none"/>
        </w:rPr>
        <w:t>项目编号：</w:t>
      </w:r>
      <w:r>
        <w:rPr>
          <w:rFonts w:hint="eastAsia" w:ascii="宋体" w:hAnsi="宋体" w:eastAsia="宋体" w:cs="宋体"/>
          <w:szCs w:val="21"/>
          <w:highlight w:val="none"/>
          <w:lang w:eastAsia="zh-CN"/>
        </w:rPr>
        <w:t>NBGZZB121080</w:t>
      </w:r>
    </w:p>
    <w:p>
      <w:pPr>
        <w:spacing w:line="460" w:lineRule="exact"/>
        <w:ind w:firstLine="200"/>
        <w:rPr>
          <w:rFonts w:hint="eastAsia" w:ascii="宋体" w:hAnsi="宋体" w:eastAsia="宋体" w:cs="宋体"/>
          <w:szCs w:val="21"/>
          <w:highlight w:val="none"/>
          <w:lang w:eastAsia="zh-CN"/>
        </w:rPr>
      </w:pPr>
      <w:r>
        <w:rPr>
          <w:rFonts w:hint="eastAsia" w:ascii="宋体" w:hAnsi="宋体" w:eastAsia="宋体" w:cs="宋体"/>
          <w:szCs w:val="21"/>
          <w:highlight w:val="none"/>
        </w:rPr>
        <w:t>项目名称：</w:t>
      </w:r>
      <w:r>
        <w:rPr>
          <w:rFonts w:hint="eastAsia" w:ascii="宋体" w:hAnsi="宋体" w:eastAsia="宋体" w:cs="宋体"/>
          <w:szCs w:val="21"/>
          <w:highlight w:val="none"/>
          <w:lang w:eastAsia="zh-CN"/>
        </w:rPr>
        <w:t>涌金大厦无线对讲机通信基站新建项目</w:t>
      </w:r>
    </w:p>
    <w:p>
      <w:pPr>
        <w:spacing w:line="460" w:lineRule="exact"/>
        <w:ind w:firstLine="200"/>
        <w:rPr>
          <w:rFonts w:hint="eastAsia" w:ascii="宋体" w:hAnsi="宋体" w:eastAsia="宋体" w:cs="宋体"/>
          <w:szCs w:val="21"/>
          <w:highlight w:val="none"/>
        </w:rPr>
      </w:pPr>
      <w:r>
        <w:rPr>
          <w:rFonts w:hint="eastAsia" w:ascii="宋体" w:hAnsi="宋体" w:eastAsia="宋体" w:cs="宋体"/>
          <w:szCs w:val="21"/>
          <w:highlight w:val="none"/>
        </w:rPr>
        <w:t>采购方式：竞争性磋商</w:t>
      </w:r>
    </w:p>
    <w:p>
      <w:pPr>
        <w:spacing w:line="460" w:lineRule="exact"/>
        <w:ind w:firstLine="200"/>
        <w:rPr>
          <w:rFonts w:hint="eastAsia" w:ascii="宋体" w:hAnsi="宋体" w:eastAsia="宋体" w:cs="宋体"/>
          <w:szCs w:val="21"/>
          <w:highlight w:val="none"/>
          <w:lang w:eastAsia="zh-CN"/>
        </w:rPr>
      </w:pPr>
      <w:r>
        <w:rPr>
          <w:rFonts w:hint="eastAsia" w:ascii="宋体" w:hAnsi="宋体" w:eastAsia="宋体" w:cs="宋体"/>
          <w:szCs w:val="21"/>
          <w:highlight w:val="none"/>
        </w:rPr>
        <w:t>预算金额（元）：</w:t>
      </w:r>
      <w:r>
        <w:rPr>
          <w:rFonts w:hint="eastAsia" w:ascii="宋体" w:hAnsi="宋体" w:eastAsia="宋体" w:cs="宋体"/>
          <w:szCs w:val="21"/>
          <w:highlight w:val="none"/>
          <w:lang w:eastAsia="zh-CN"/>
        </w:rPr>
        <w:t>400000</w:t>
      </w:r>
    </w:p>
    <w:p>
      <w:pPr>
        <w:spacing w:line="460" w:lineRule="exact"/>
        <w:ind w:firstLine="200"/>
        <w:rPr>
          <w:rFonts w:hint="eastAsia" w:ascii="宋体" w:hAnsi="宋体" w:eastAsia="宋体" w:cs="宋体"/>
          <w:szCs w:val="21"/>
          <w:highlight w:val="none"/>
          <w:lang w:eastAsia="zh-CN"/>
        </w:rPr>
      </w:pPr>
      <w:r>
        <w:rPr>
          <w:rFonts w:hint="eastAsia" w:ascii="宋体" w:hAnsi="宋体" w:eastAsia="宋体" w:cs="宋体"/>
          <w:szCs w:val="21"/>
          <w:highlight w:val="none"/>
        </w:rPr>
        <w:t>最高限价（元）：</w:t>
      </w:r>
      <w:r>
        <w:rPr>
          <w:rFonts w:hint="eastAsia" w:ascii="宋体" w:hAnsi="宋体" w:eastAsia="宋体" w:cs="宋体"/>
          <w:szCs w:val="21"/>
          <w:highlight w:val="none"/>
          <w:lang w:eastAsia="zh-CN"/>
        </w:rPr>
        <w:t>400000</w:t>
      </w:r>
    </w:p>
    <w:p>
      <w:pPr>
        <w:spacing w:line="460" w:lineRule="exact"/>
        <w:ind w:firstLine="200"/>
        <w:rPr>
          <w:rFonts w:hint="eastAsia" w:ascii="宋体" w:hAnsi="宋体" w:eastAsia="宋体" w:cs="宋体"/>
          <w:szCs w:val="21"/>
          <w:highlight w:val="none"/>
        </w:rPr>
      </w:pPr>
      <w:r>
        <w:rPr>
          <w:rFonts w:hint="eastAsia" w:ascii="宋体" w:hAnsi="宋体" w:eastAsia="宋体" w:cs="宋体"/>
          <w:szCs w:val="21"/>
          <w:highlight w:val="none"/>
        </w:rPr>
        <w:t xml:space="preserve">采购需求： </w:t>
      </w:r>
    </w:p>
    <w:p>
      <w:pPr>
        <w:spacing w:line="400" w:lineRule="exact"/>
        <w:ind w:firstLine="630" w:firstLineChars="300"/>
        <w:rPr>
          <w:rFonts w:hint="eastAsia" w:ascii="宋体" w:hAnsi="宋体" w:eastAsia="宋体" w:cs="宋体"/>
          <w:szCs w:val="21"/>
          <w:highlight w:val="none"/>
        </w:rPr>
      </w:pPr>
      <w:r>
        <w:rPr>
          <w:rFonts w:hint="eastAsia" w:ascii="宋体" w:hAnsi="宋体" w:eastAsia="宋体" w:cs="宋体"/>
          <w:szCs w:val="21"/>
          <w:highlight w:val="none"/>
        </w:rPr>
        <w:t>标项一：</w:t>
      </w:r>
    </w:p>
    <w:p>
      <w:pPr>
        <w:spacing w:line="400" w:lineRule="exact"/>
        <w:ind w:firstLine="630" w:firstLineChars="300"/>
        <w:rPr>
          <w:rFonts w:hint="eastAsia" w:ascii="宋体" w:hAnsi="宋体" w:eastAsia="宋体" w:cs="宋体"/>
          <w:bCs/>
          <w:szCs w:val="21"/>
          <w:highlight w:val="none"/>
          <w:u w:val="none"/>
          <w:lang w:val="en-US"/>
        </w:rPr>
      </w:pPr>
      <w:r>
        <w:rPr>
          <w:rFonts w:hint="eastAsia" w:ascii="宋体" w:hAnsi="宋体" w:eastAsia="宋体" w:cs="宋体"/>
          <w:szCs w:val="21"/>
          <w:highlight w:val="none"/>
        </w:rPr>
        <w:t>标项名称：</w:t>
      </w:r>
      <w:r>
        <w:rPr>
          <w:rFonts w:hint="eastAsia" w:ascii="宋体" w:hAnsi="宋体" w:eastAsia="宋体" w:cs="宋体"/>
          <w:szCs w:val="21"/>
          <w:highlight w:val="none"/>
          <w:u w:val="none"/>
          <w:lang w:eastAsia="zh-CN"/>
        </w:rPr>
        <w:t>涌金大厦无线对讲机通信基站新建项目</w:t>
      </w:r>
      <w:r>
        <w:rPr>
          <w:rFonts w:hint="eastAsia" w:ascii="宋体" w:hAnsi="宋体" w:eastAsia="宋体" w:cs="宋体"/>
          <w:szCs w:val="21"/>
          <w:highlight w:val="none"/>
          <w:u w:val="none"/>
          <w:lang w:val="en-US" w:eastAsia="zh-CN"/>
        </w:rPr>
        <w:t xml:space="preserve"> </w:t>
      </w:r>
    </w:p>
    <w:p>
      <w:pPr>
        <w:spacing w:line="400" w:lineRule="exact"/>
        <w:ind w:firstLine="630" w:firstLineChars="300"/>
        <w:rPr>
          <w:rFonts w:hint="eastAsia" w:ascii="宋体" w:hAnsi="宋体" w:eastAsia="宋体" w:cs="宋体"/>
          <w:bCs/>
          <w:kern w:val="0"/>
          <w:szCs w:val="21"/>
          <w:highlight w:val="none"/>
        </w:rPr>
      </w:pPr>
      <w:r>
        <w:rPr>
          <w:rFonts w:hint="eastAsia" w:ascii="宋体" w:hAnsi="宋体" w:eastAsia="宋体" w:cs="宋体"/>
          <w:szCs w:val="21"/>
          <w:highlight w:val="none"/>
        </w:rPr>
        <w:t>数量：</w:t>
      </w:r>
      <w:r>
        <w:rPr>
          <w:rFonts w:hint="eastAsia" w:ascii="宋体" w:hAnsi="宋体" w:eastAsia="宋体" w:cs="宋体"/>
          <w:bCs/>
          <w:kern w:val="0"/>
          <w:szCs w:val="21"/>
          <w:highlight w:val="none"/>
        </w:rPr>
        <w:t>1</w:t>
      </w:r>
    </w:p>
    <w:p>
      <w:pPr>
        <w:spacing w:line="400" w:lineRule="exact"/>
        <w:ind w:firstLine="630" w:firstLineChars="300"/>
        <w:rPr>
          <w:rFonts w:hint="eastAsia" w:ascii="宋体" w:hAnsi="宋体" w:eastAsia="宋体" w:cs="宋体"/>
          <w:szCs w:val="21"/>
          <w:highlight w:val="none"/>
          <w:lang w:eastAsia="zh-CN"/>
        </w:rPr>
      </w:pPr>
      <w:r>
        <w:rPr>
          <w:rFonts w:hint="eastAsia" w:ascii="宋体" w:hAnsi="宋体" w:eastAsia="宋体" w:cs="宋体"/>
          <w:szCs w:val="21"/>
          <w:highlight w:val="none"/>
        </w:rPr>
        <w:t>预算金额（元）：</w:t>
      </w:r>
      <w:r>
        <w:rPr>
          <w:rFonts w:hint="eastAsia" w:ascii="宋体" w:hAnsi="宋体" w:eastAsia="宋体" w:cs="宋体"/>
          <w:szCs w:val="21"/>
          <w:highlight w:val="none"/>
          <w:lang w:eastAsia="zh-CN"/>
        </w:rPr>
        <w:t>400000</w:t>
      </w:r>
    </w:p>
    <w:p>
      <w:pPr>
        <w:spacing w:line="400" w:lineRule="exact"/>
        <w:ind w:firstLine="630" w:firstLineChars="300"/>
        <w:rPr>
          <w:rFonts w:hint="eastAsia" w:ascii="宋体" w:hAnsi="宋体" w:eastAsia="宋体" w:cs="宋体"/>
          <w:bCs/>
          <w:spacing w:val="-2"/>
          <w:kern w:val="0"/>
          <w:szCs w:val="21"/>
          <w:highlight w:val="none"/>
        </w:rPr>
      </w:pPr>
      <w:r>
        <w:rPr>
          <w:rFonts w:hint="eastAsia" w:ascii="宋体" w:hAnsi="宋体" w:eastAsia="宋体" w:cs="宋体"/>
          <w:szCs w:val="21"/>
          <w:highlight w:val="none"/>
        </w:rPr>
        <w:t>简要规格描述或项目基本概况介绍、用途：</w:t>
      </w:r>
      <w:r>
        <w:rPr>
          <w:rFonts w:hint="eastAsia" w:ascii="宋体" w:hAnsi="宋体" w:eastAsia="宋体" w:cs="宋体"/>
          <w:highlight w:val="none"/>
          <w:lang w:eastAsia="zh-CN"/>
        </w:rPr>
        <w:t>涌金大厦无线对讲机通信基站新建项目</w:t>
      </w:r>
      <w:r>
        <w:rPr>
          <w:rFonts w:hint="eastAsia" w:ascii="宋体" w:hAnsi="宋体" w:eastAsia="宋体" w:cs="宋体"/>
          <w:highlight w:val="none"/>
        </w:rPr>
        <w:t>，具体内容见第二章采购需求。</w:t>
      </w:r>
    </w:p>
    <w:p>
      <w:pPr>
        <w:spacing w:line="400" w:lineRule="exact"/>
        <w:ind w:firstLine="630" w:firstLineChars="300"/>
        <w:rPr>
          <w:rFonts w:hint="eastAsia" w:ascii="宋体" w:hAnsi="宋体" w:eastAsia="宋体" w:cs="宋体"/>
          <w:bCs/>
          <w:spacing w:val="-2"/>
          <w:kern w:val="0"/>
          <w:szCs w:val="21"/>
          <w:highlight w:val="none"/>
        </w:rPr>
      </w:pPr>
      <w:r>
        <w:rPr>
          <w:rFonts w:hint="eastAsia" w:ascii="宋体" w:hAnsi="宋体" w:eastAsia="宋体" w:cs="宋体"/>
          <w:szCs w:val="21"/>
          <w:highlight w:val="none"/>
        </w:rPr>
        <w:t>备注：</w:t>
      </w:r>
      <w:r>
        <w:rPr>
          <w:rFonts w:hint="eastAsia" w:ascii="宋体" w:hAnsi="宋体" w:eastAsia="宋体" w:cs="宋体"/>
          <w:bCs/>
          <w:szCs w:val="21"/>
          <w:highlight w:val="none"/>
        </w:rPr>
        <w:t>无</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合同履行期限：</w:t>
      </w:r>
      <w:r>
        <w:rPr>
          <w:rFonts w:hint="eastAsia" w:ascii="宋体" w:hAnsi="宋体" w:eastAsia="宋体" w:cs="宋体"/>
          <w:bCs/>
          <w:highlight w:val="none"/>
          <w:lang w:val="en-US" w:eastAsia="zh-CN"/>
        </w:rPr>
        <w:t>项目需在合同签订后45日内将全部装备运送至采购人指定地点完成设备安装调试，通过竣工验收并交付使用。</w:t>
      </w:r>
    </w:p>
    <w:p>
      <w:pPr>
        <w:spacing w:line="460" w:lineRule="exact"/>
        <w:ind w:firstLine="409" w:firstLineChars="195"/>
        <w:rPr>
          <w:rFonts w:hint="eastAsia" w:ascii="宋体" w:hAnsi="宋体" w:eastAsia="宋体" w:cs="宋体"/>
          <w:szCs w:val="21"/>
          <w:highlight w:val="none"/>
        </w:rPr>
      </w:pPr>
      <w:r>
        <w:rPr>
          <w:rFonts w:hint="eastAsia" w:ascii="宋体" w:hAnsi="宋体" w:eastAsia="宋体" w:cs="宋体"/>
          <w:szCs w:val="21"/>
          <w:highlight w:val="none"/>
        </w:rPr>
        <w:t>本项目</w:t>
      </w:r>
      <w:r>
        <w:rPr>
          <w:rFonts w:hint="eastAsia" w:ascii="宋体" w:hAnsi="宋体" w:eastAsia="宋体" w:cs="宋体"/>
          <w:bCs/>
          <w:szCs w:val="21"/>
          <w:highlight w:val="none"/>
        </w:rPr>
        <w:t>（否）</w:t>
      </w:r>
      <w:r>
        <w:rPr>
          <w:rFonts w:hint="eastAsia" w:ascii="宋体" w:hAnsi="宋体" w:eastAsia="宋体" w:cs="宋体"/>
          <w:szCs w:val="21"/>
          <w:highlight w:val="none"/>
        </w:rPr>
        <w:t>接受联合体投标。</w:t>
      </w:r>
    </w:p>
    <w:p>
      <w:pPr>
        <w:spacing w:line="460" w:lineRule="exact"/>
        <w:ind w:firstLine="200"/>
        <w:rPr>
          <w:rFonts w:hint="eastAsia" w:ascii="宋体" w:hAnsi="宋体" w:eastAsia="宋体" w:cs="宋体"/>
          <w:b/>
          <w:szCs w:val="21"/>
          <w:highlight w:val="none"/>
        </w:rPr>
      </w:pPr>
      <w:r>
        <w:rPr>
          <w:rFonts w:hint="eastAsia" w:ascii="宋体" w:hAnsi="宋体" w:eastAsia="宋体" w:cs="宋体"/>
          <w:b/>
          <w:szCs w:val="21"/>
          <w:highlight w:val="none"/>
        </w:rPr>
        <w:t>二、申请人的资格要求</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rPr>
        <w:t>2.落实政府采购政策需满足的资格要求：</w:t>
      </w:r>
      <w:r>
        <w:rPr>
          <w:rFonts w:hint="eastAsia" w:ascii="宋体" w:hAnsi="宋体" w:eastAsia="宋体" w:cs="宋体"/>
          <w:szCs w:val="21"/>
          <w:highlight w:val="none"/>
          <w:u w:val="none"/>
        </w:rPr>
        <w:t>无</w:t>
      </w:r>
      <w:r>
        <w:rPr>
          <w:rFonts w:hint="eastAsia" w:ascii="宋体" w:hAnsi="宋体" w:eastAsia="宋体" w:cs="宋体"/>
          <w:szCs w:val="21"/>
          <w:highlight w:val="none"/>
          <w:u w:val="none"/>
          <w:lang w:eastAsia="zh-CN"/>
        </w:rPr>
        <w:t>。</w:t>
      </w:r>
    </w:p>
    <w:p>
      <w:pPr>
        <w:spacing w:line="460" w:lineRule="exact"/>
        <w:ind w:firstLine="420" w:firstLineChars="200"/>
        <w:rPr>
          <w:rFonts w:hint="eastAsia" w:ascii="宋体" w:hAnsi="宋体" w:eastAsia="宋体" w:cs="宋体"/>
          <w:b/>
          <w:bCs/>
          <w:szCs w:val="21"/>
          <w:highlight w:val="none"/>
          <w:u w:val="single"/>
        </w:rPr>
      </w:pPr>
      <w:r>
        <w:rPr>
          <w:rFonts w:hint="eastAsia" w:ascii="宋体" w:hAnsi="宋体" w:eastAsia="宋体" w:cs="宋体"/>
          <w:szCs w:val="21"/>
          <w:highlight w:val="none"/>
        </w:rPr>
        <w:t>3.本项目的特定资格要求：</w:t>
      </w:r>
      <w:r>
        <w:rPr>
          <w:rFonts w:hint="eastAsia" w:ascii="宋体" w:hAnsi="宋体" w:eastAsia="宋体" w:cs="宋体"/>
          <w:szCs w:val="21"/>
          <w:highlight w:val="none"/>
          <w:u w:val="none"/>
        </w:rPr>
        <w:t>标项一：无。</w:t>
      </w:r>
    </w:p>
    <w:p>
      <w:pPr>
        <w:spacing w:line="460" w:lineRule="exact"/>
        <w:ind w:firstLine="200"/>
        <w:rPr>
          <w:rFonts w:hint="eastAsia" w:ascii="宋体" w:hAnsi="宋体" w:eastAsia="宋体" w:cs="宋体"/>
          <w:b/>
          <w:szCs w:val="21"/>
          <w:highlight w:val="none"/>
        </w:rPr>
      </w:pPr>
      <w:r>
        <w:rPr>
          <w:rFonts w:hint="eastAsia" w:ascii="宋体" w:hAnsi="宋体" w:eastAsia="宋体" w:cs="宋体"/>
          <w:b/>
          <w:szCs w:val="21"/>
          <w:highlight w:val="none"/>
        </w:rPr>
        <w:t>三、获取采购文件</w:t>
      </w:r>
    </w:p>
    <w:p>
      <w:pPr>
        <w:pStyle w:val="41"/>
        <w:spacing w:before="0" w:beforeAutospacing="0" w:after="0" w:afterAutospacing="0" w:line="4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1、获取时间：</w:t>
      </w:r>
      <w:r>
        <w:rPr>
          <w:rFonts w:hint="eastAsia" w:ascii="宋体" w:hAnsi="宋体" w:eastAsia="宋体" w:cs="宋体"/>
          <w:b/>
          <w:sz w:val="21"/>
          <w:szCs w:val="21"/>
          <w:highlight w:val="none"/>
        </w:rPr>
        <w:t>2021年</w:t>
      </w:r>
      <w:r>
        <w:rPr>
          <w:rFonts w:hint="eastAsia" w:ascii="宋体" w:hAnsi="宋体" w:eastAsia="宋体" w:cs="宋体"/>
          <w:b/>
          <w:sz w:val="21"/>
          <w:szCs w:val="21"/>
          <w:highlight w:val="none"/>
          <w:lang w:val="en-US" w:eastAsia="zh-CN"/>
        </w:rPr>
        <w:t>1</w:t>
      </w:r>
      <w:r>
        <w:rPr>
          <w:rFonts w:hint="eastAsia" w:ascii="宋体" w:hAnsi="宋体" w:eastAsia="宋体" w:cs="宋体"/>
          <w:b/>
          <w:sz w:val="21"/>
          <w:szCs w:val="21"/>
          <w:highlight w:val="none"/>
          <w:lang w:val="en-US" w:eastAsia="zh-CN"/>
        </w:rPr>
        <w:t>0</w:t>
      </w:r>
      <w:r>
        <w:rPr>
          <w:rFonts w:hint="eastAsia" w:ascii="宋体" w:hAnsi="宋体" w:eastAsia="宋体" w:cs="宋体"/>
          <w:b/>
          <w:sz w:val="21"/>
          <w:szCs w:val="21"/>
          <w:highlight w:val="none"/>
        </w:rPr>
        <w:t>月</w:t>
      </w:r>
      <w:r>
        <w:rPr>
          <w:rFonts w:hint="eastAsia" w:ascii="宋体" w:hAnsi="宋体" w:eastAsia="宋体" w:cs="宋体"/>
          <w:b/>
          <w:sz w:val="21"/>
          <w:szCs w:val="21"/>
          <w:highlight w:val="none"/>
          <w:lang w:val="en-US" w:eastAsia="zh-CN"/>
        </w:rPr>
        <w:t>2</w:t>
      </w:r>
      <w:r>
        <w:rPr>
          <w:rFonts w:hint="eastAsia" w:ascii="宋体" w:hAnsi="宋体" w:eastAsia="宋体" w:cs="宋体"/>
          <w:b/>
          <w:sz w:val="21"/>
          <w:szCs w:val="21"/>
          <w:highlight w:val="none"/>
          <w:lang w:val="en-US" w:eastAsia="zh-CN"/>
        </w:rPr>
        <w:t>7</w:t>
      </w:r>
      <w:r>
        <w:rPr>
          <w:rFonts w:hint="eastAsia" w:ascii="宋体" w:hAnsi="宋体" w:eastAsia="宋体" w:cs="宋体"/>
          <w:b/>
          <w:sz w:val="21"/>
          <w:szCs w:val="21"/>
          <w:highlight w:val="none"/>
        </w:rPr>
        <w:t>日至2021年</w:t>
      </w:r>
      <w:r>
        <w:rPr>
          <w:rFonts w:hint="eastAsia" w:ascii="宋体" w:hAnsi="宋体" w:eastAsia="宋体" w:cs="宋体"/>
          <w:b/>
          <w:sz w:val="21"/>
          <w:szCs w:val="21"/>
          <w:highlight w:val="none"/>
          <w:lang w:val="en-US" w:eastAsia="zh-CN"/>
        </w:rPr>
        <w:t>1</w:t>
      </w:r>
      <w:r>
        <w:rPr>
          <w:rFonts w:hint="eastAsia" w:ascii="宋体" w:hAnsi="宋体" w:eastAsia="宋体" w:cs="宋体"/>
          <w:b/>
          <w:sz w:val="21"/>
          <w:szCs w:val="21"/>
          <w:highlight w:val="none"/>
          <w:lang w:val="en-US" w:eastAsia="zh-CN"/>
        </w:rPr>
        <w:t>1</w:t>
      </w:r>
      <w:r>
        <w:rPr>
          <w:rFonts w:hint="eastAsia" w:ascii="宋体" w:hAnsi="宋体" w:eastAsia="宋体" w:cs="宋体"/>
          <w:b/>
          <w:sz w:val="21"/>
          <w:szCs w:val="21"/>
          <w:highlight w:val="none"/>
        </w:rPr>
        <w:t>月</w:t>
      </w:r>
      <w:r>
        <w:rPr>
          <w:rFonts w:hint="eastAsia" w:ascii="宋体" w:hAnsi="宋体" w:eastAsia="宋体" w:cs="宋体"/>
          <w:b/>
          <w:sz w:val="21"/>
          <w:szCs w:val="21"/>
          <w:highlight w:val="none"/>
          <w:lang w:val="en-US" w:eastAsia="zh-CN"/>
        </w:rPr>
        <w:t>3</w:t>
      </w:r>
      <w:r>
        <w:rPr>
          <w:rFonts w:hint="eastAsia" w:ascii="宋体" w:hAnsi="宋体" w:eastAsia="宋体" w:cs="宋体"/>
          <w:b/>
          <w:sz w:val="21"/>
          <w:szCs w:val="21"/>
          <w:highlight w:val="none"/>
        </w:rPr>
        <w:t>日，</w:t>
      </w:r>
      <w:r>
        <w:rPr>
          <w:rFonts w:hint="eastAsia" w:ascii="宋体" w:hAnsi="宋体" w:eastAsia="宋体" w:cs="宋体"/>
          <w:sz w:val="21"/>
          <w:szCs w:val="21"/>
          <w:highlight w:val="none"/>
        </w:rPr>
        <w:t>每天上午00:00至12:00，下午12:00至23:59（北京时间）。</w:t>
      </w:r>
    </w:p>
    <w:p>
      <w:pPr>
        <w:pStyle w:val="41"/>
        <w:spacing w:before="0" w:beforeAutospacing="0" w:after="0" w:afterAutospacing="0" w:line="4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 地点（网址）：政府采购云平台（http://www.zcygov.cn/）。</w:t>
      </w:r>
    </w:p>
    <w:p>
      <w:pPr>
        <w:pStyle w:val="41"/>
        <w:spacing w:before="0" w:beforeAutospacing="0" w:after="0" w:afterAutospacing="0" w:line="4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 获取方式：（1）供应商登录政府采购云平台（www.zcygov.cn）的注册账号后，进入政采云系统“项目采购”模块“获取采购文件”菜单，进行网上获取竞争性磋商文件。如有疑问请及时咨询网站客服，咨询电话：4008817190。（2）获取竞争性磋商文件前，供应商应按照《浙江省政府采购供应商注册及诚信管理暂行办法》的规定在“浙江政府采购网（zfcg.czt.zj.gov.cn）”上进行供应商注册申请，并通过财政部门的终审后登记加入到“浙江省政府采购供应商库”。成交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竞争性磋商公告附件中的竞争性磋商文件仅供阅览使用，供应商应在规定的竞争性磋商文件提供期限内在政采云平台登录上述供应商注册的账号后获取竞争性磋商文件，未在规定的竞争性磋商文件提供期限内或未按上述方式获取竞争性磋商文件的，其投标均视为无效，并不得对竞争性磋商文件提起质疑投诉。</w:t>
      </w:r>
    </w:p>
    <w:p>
      <w:pPr>
        <w:pStyle w:val="41"/>
        <w:spacing w:before="0" w:beforeAutospacing="0" w:after="0" w:afterAutospacing="0" w:line="4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 售价：0元。</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四、响应文件</w:t>
      </w:r>
      <w:r>
        <w:rPr>
          <w:rFonts w:hint="eastAsia" w:ascii="宋体" w:hAnsi="宋体" w:eastAsia="宋体" w:cs="宋体"/>
          <w:b/>
          <w:bCs/>
          <w:szCs w:val="21"/>
          <w:highlight w:val="none"/>
        </w:rPr>
        <w:t>提交（上传）</w:t>
      </w:r>
    </w:p>
    <w:p>
      <w:pPr>
        <w:pStyle w:val="17"/>
        <w:spacing w:line="460" w:lineRule="exact"/>
        <w:ind w:firstLine="422" w:firstLineChars="200"/>
        <w:rPr>
          <w:rFonts w:hint="eastAsia" w:ascii="宋体" w:hAnsi="宋体" w:eastAsia="宋体" w:cs="宋体"/>
          <w:szCs w:val="21"/>
          <w:highlight w:val="none"/>
          <w:u w:val="single"/>
        </w:rPr>
      </w:pPr>
      <w:r>
        <w:rPr>
          <w:rFonts w:hint="eastAsia" w:ascii="宋体" w:hAnsi="宋体" w:eastAsia="宋体" w:cs="宋体"/>
          <w:b/>
          <w:szCs w:val="21"/>
          <w:highlight w:val="none"/>
        </w:rPr>
        <w:t>提交首次</w:t>
      </w:r>
      <w:r>
        <w:rPr>
          <w:rFonts w:hint="eastAsia" w:ascii="宋体" w:hAnsi="宋体" w:eastAsia="宋体" w:cs="宋体"/>
          <w:b/>
          <w:bCs/>
          <w:szCs w:val="21"/>
          <w:highlight w:val="none"/>
        </w:rPr>
        <w:t>响应文件的截止时间</w:t>
      </w:r>
      <w:r>
        <w:rPr>
          <w:rFonts w:hint="eastAsia" w:ascii="宋体" w:hAnsi="宋体" w:eastAsia="宋体" w:cs="宋体"/>
          <w:b/>
          <w:bCs w:val="0"/>
          <w:szCs w:val="21"/>
          <w:highlight w:val="none"/>
        </w:rPr>
        <w:t>：</w:t>
      </w:r>
      <w:r>
        <w:rPr>
          <w:rFonts w:hint="eastAsia" w:ascii="宋体" w:hAnsi="宋体" w:eastAsia="宋体" w:cs="宋体"/>
          <w:b/>
          <w:bCs w:val="0"/>
          <w:szCs w:val="21"/>
          <w:highlight w:val="none"/>
          <w:u w:val="single"/>
        </w:rPr>
        <w:t>2021年</w:t>
      </w:r>
      <w:r>
        <w:rPr>
          <w:rFonts w:hint="eastAsia" w:ascii="宋体" w:hAnsi="宋体" w:eastAsia="宋体" w:cs="宋体"/>
          <w:b/>
          <w:bCs w:val="0"/>
          <w:szCs w:val="21"/>
          <w:highlight w:val="none"/>
          <w:u w:val="single"/>
          <w:lang w:val="en-US" w:eastAsia="zh-CN"/>
        </w:rPr>
        <w:t>11</w:t>
      </w:r>
      <w:r>
        <w:rPr>
          <w:rFonts w:hint="eastAsia" w:ascii="宋体" w:hAnsi="宋体" w:eastAsia="宋体" w:cs="宋体"/>
          <w:b/>
          <w:bCs w:val="0"/>
          <w:szCs w:val="21"/>
          <w:highlight w:val="none"/>
          <w:u w:val="single"/>
        </w:rPr>
        <w:t>月</w:t>
      </w:r>
      <w:r>
        <w:rPr>
          <w:rFonts w:hint="eastAsia" w:ascii="宋体" w:hAnsi="宋体" w:eastAsia="宋体" w:cs="宋体"/>
          <w:b/>
          <w:bCs w:val="0"/>
          <w:szCs w:val="21"/>
          <w:highlight w:val="none"/>
          <w:u w:val="single"/>
          <w:lang w:val="en-US" w:eastAsia="zh-CN"/>
        </w:rPr>
        <w:t>8</w:t>
      </w:r>
      <w:r>
        <w:rPr>
          <w:rFonts w:hint="eastAsia" w:ascii="宋体" w:hAnsi="宋体" w:eastAsia="宋体" w:cs="宋体"/>
          <w:b/>
          <w:bCs w:val="0"/>
          <w:szCs w:val="21"/>
          <w:highlight w:val="none"/>
          <w:u w:val="single"/>
        </w:rPr>
        <w:t>日</w:t>
      </w:r>
      <w:r>
        <w:rPr>
          <w:rFonts w:hint="eastAsia" w:ascii="宋体" w:hAnsi="宋体" w:eastAsia="宋体" w:cs="宋体"/>
          <w:b/>
          <w:bCs w:val="0"/>
          <w:szCs w:val="21"/>
          <w:highlight w:val="none"/>
          <w:u w:val="single"/>
          <w:lang w:val="en-US" w:eastAsia="zh-CN"/>
        </w:rPr>
        <w:t>14</w:t>
      </w:r>
      <w:r>
        <w:rPr>
          <w:rFonts w:hint="eastAsia" w:ascii="宋体" w:hAnsi="宋体" w:eastAsia="宋体" w:cs="宋体"/>
          <w:b/>
          <w:bCs w:val="0"/>
          <w:szCs w:val="21"/>
          <w:highlight w:val="none"/>
          <w:u w:val="single"/>
        </w:rPr>
        <w:t>:00</w:t>
      </w:r>
      <w:r>
        <w:rPr>
          <w:rFonts w:hint="eastAsia" w:ascii="宋体" w:hAnsi="宋体" w:eastAsia="宋体" w:cs="宋体"/>
          <w:b/>
          <w:bCs w:val="0"/>
          <w:szCs w:val="21"/>
          <w:highlight w:val="none"/>
          <w:u w:val="none"/>
        </w:rPr>
        <w:t>。</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地点（网址）：供应商应在投标截止时间前将电子加密磋商响应文件上传到“政采云”平台，逾期上传或上传不成功的，其投标无效。</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五、开启</w:t>
      </w:r>
    </w:p>
    <w:p>
      <w:pPr>
        <w:spacing w:line="460" w:lineRule="exact"/>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1、开启响应文件时间：</w:t>
      </w:r>
      <w:r>
        <w:rPr>
          <w:rFonts w:hint="eastAsia" w:ascii="宋体" w:hAnsi="宋体" w:eastAsia="宋体" w:cs="宋体"/>
          <w:b/>
          <w:bCs/>
          <w:szCs w:val="21"/>
          <w:highlight w:val="none"/>
          <w:u w:val="single"/>
        </w:rPr>
        <w:t>2021年</w:t>
      </w:r>
      <w:r>
        <w:rPr>
          <w:rFonts w:hint="eastAsia" w:ascii="宋体" w:hAnsi="宋体" w:eastAsia="宋体" w:cs="宋体"/>
          <w:b/>
          <w:bCs/>
          <w:szCs w:val="21"/>
          <w:highlight w:val="none"/>
          <w:u w:val="single"/>
          <w:lang w:val="en-US" w:eastAsia="zh-CN"/>
        </w:rPr>
        <w:t>11</w:t>
      </w:r>
      <w:r>
        <w:rPr>
          <w:rFonts w:hint="eastAsia" w:ascii="宋体" w:hAnsi="宋体" w:eastAsia="宋体" w:cs="宋体"/>
          <w:b/>
          <w:bCs/>
          <w:szCs w:val="21"/>
          <w:highlight w:val="none"/>
          <w:u w:val="single"/>
        </w:rPr>
        <w:t>月</w:t>
      </w:r>
      <w:r>
        <w:rPr>
          <w:rFonts w:hint="eastAsia" w:ascii="宋体" w:hAnsi="宋体" w:eastAsia="宋体" w:cs="宋体"/>
          <w:b/>
          <w:bCs/>
          <w:szCs w:val="21"/>
          <w:highlight w:val="none"/>
          <w:u w:val="single"/>
          <w:lang w:val="en-US" w:eastAsia="zh-CN"/>
        </w:rPr>
        <w:t>8</w:t>
      </w:r>
      <w:r>
        <w:rPr>
          <w:rFonts w:hint="eastAsia" w:ascii="宋体" w:hAnsi="宋体" w:eastAsia="宋体" w:cs="宋体"/>
          <w:b/>
          <w:bCs/>
          <w:szCs w:val="21"/>
          <w:highlight w:val="none"/>
          <w:u w:val="single"/>
        </w:rPr>
        <w:t>日</w:t>
      </w:r>
      <w:r>
        <w:rPr>
          <w:rFonts w:hint="eastAsia" w:ascii="宋体" w:hAnsi="宋体" w:eastAsia="宋体" w:cs="宋体"/>
          <w:b/>
          <w:bCs/>
          <w:szCs w:val="21"/>
          <w:highlight w:val="none"/>
          <w:u w:val="single"/>
          <w:lang w:val="en-US" w:eastAsia="zh-CN"/>
        </w:rPr>
        <w:t>14</w:t>
      </w:r>
      <w:r>
        <w:rPr>
          <w:rFonts w:hint="eastAsia" w:ascii="宋体" w:hAnsi="宋体" w:eastAsia="宋体" w:cs="宋体"/>
          <w:b/>
          <w:bCs/>
          <w:szCs w:val="21"/>
          <w:highlight w:val="none"/>
          <w:u w:val="single"/>
        </w:rPr>
        <w:t>:00</w:t>
      </w:r>
      <w:r>
        <w:rPr>
          <w:rFonts w:hint="eastAsia" w:ascii="宋体" w:hAnsi="宋体" w:eastAsia="宋体" w:cs="宋体"/>
          <w:b/>
          <w:bCs/>
          <w:szCs w:val="21"/>
          <w:highlight w:val="none"/>
          <w:u w:val="single"/>
          <w:lang w:val="en-US" w:eastAsia="zh-CN"/>
        </w:rPr>
        <w:t xml:space="preserve"> </w:t>
      </w:r>
      <w:r>
        <w:rPr>
          <w:rFonts w:hint="eastAsia" w:ascii="宋体" w:hAnsi="宋体" w:eastAsia="宋体" w:cs="宋体"/>
          <w:b/>
          <w:bCs/>
          <w:szCs w:val="21"/>
          <w:highlight w:val="none"/>
        </w:rPr>
        <w:t>。</w:t>
      </w:r>
    </w:p>
    <w:p>
      <w:pPr>
        <w:spacing w:line="460" w:lineRule="exact"/>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2、</w:t>
      </w:r>
      <w:r>
        <w:rPr>
          <w:rFonts w:hint="eastAsia" w:ascii="宋体" w:hAnsi="宋体" w:eastAsia="宋体" w:cs="宋体"/>
          <w:szCs w:val="21"/>
          <w:highlight w:val="none"/>
          <w:lang w:val="en-US" w:eastAsia="zh-CN"/>
        </w:rPr>
        <w:t>开标</w:t>
      </w:r>
      <w:r>
        <w:rPr>
          <w:rFonts w:hint="eastAsia" w:ascii="宋体" w:hAnsi="宋体" w:eastAsia="宋体" w:cs="宋体"/>
          <w:szCs w:val="21"/>
          <w:highlight w:val="none"/>
        </w:rPr>
        <w:t>地点</w:t>
      </w:r>
      <w:r>
        <w:rPr>
          <w:rFonts w:hint="eastAsia" w:ascii="宋体" w:hAnsi="宋体" w:eastAsia="宋体" w:cs="宋体"/>
          <w:bCs/>
          <w:color w:val="auto"/>
          <w:kern w:val="0"/>
          <w:szCs w:val="21"/>
          <w:highlight w:val="none"/>
        </w:rPr>
        <w:t>（网址）</w:t>
      </w:r>
      <w:r>
        <w:rPr>
          <w:rFonts w:hint="eastAsia" w:ascii="宋体" w:hAnsi="宋体" w:eastAsia="宋体" w:cs="宋体"/>
          <w:szCs w:val="21"/>
          <w:highlight w:val="none"/>
        </w:rPr>
        <w:t>：</w:t>
      </w:r>
      <w:r>
        <w:rPr>
          <w:rFonts w:hint="eastAsia" w:ascii="宋体" w:hAnsi="宋体" w:eastAsia="宋体" w:cs="宋体"/>
          <w:szCs w:val="21"/>
          <w:highlight w:val="none"/>
          <w:u w:val="single"/>
        </w:rPr>
        <w:t>宁波高新区公共资源交易中心【宁波市高新区广贤路997号南楼三楼开标室</w:t>
      </w:r>
      <w:r>
        <w:rPr>
          <w:rFonts w:hint="eastAsia" w:ascii="宋体" w:hAnsi="宋体" w:eastAsia="宋体" w:cs="宋体"/>
          <w:szCs w:val="21"/>
          <w:highlight w:val="none"/>
          <w:u w:val="single"/>
          <w:lang w:val="en-US" w:eastAsia="zh-CN"/>
        </w:rPr>
        <w:t>一</w:t>
      </w:r>
      <w:r>
        <w:rPr>
          <w:rFonts w:hint="eastAsia" w:ascii="宋体" w:hAnsi="宋体" w:eastAsia="宋体" w:cs="宋体"/>
          <w:szCs w:val="21"/>
          <w:highlight w:val="none"/>
          <w:u w:val="single"/>
        </w:rPr>
        <w:t>】进行网上(www.zcygov.cn)开标。</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六、公告期限</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自本公告发布之日起3个工作日。</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七、其他补充事宜</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76" w:firstLineChars="227"/>
        <w:rPr>
          <w:rFonts w:hint="eastAsia" w:ascii="宋体" w:hAnsi="宋体" w:eastAsia="宋体" w:cs="宋体"/>
          <w:szCs w:val="21"/>
          <w:highlight w:val="none"/>
        </w:rPr>
      </w:pPr>
      <w:r>
        <w:rPr>
          <w:rFonts w:hint="eastAsia" w:ascii="宋体" w:hAnsi="宋体" w:eastAsia="宋体" w:cs="宋体"/>
          <w:szCs w:val="21"/>
          <w:highlight w:val="none"/>
        </w:rPr>
        <w:t>2、其他事项：</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2.1、在线询问及在线质疑操作方式</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2.1.1在线询问</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潜在供应商获取竞争性磋商文件后，对政府采购活动事项有疑问的，可对该项目进行在线询问及查看询问答复，访问路径如下：应用中心（登录首页）—项目采购—询问质疑投诉—询问列表；</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2.1.2在线质疑</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认为竞争性磋商、采购过程、中标或者成交结果使自己的权益受到损害的，可以在知道或者应知其权益受到损害之日起7个工作日内，对竞争性磋商、采购过程、采购结果进行在线质疑（需在线签章）并查看质疑答复，访问路径如下：</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应用中心（登录首页）—项目采购—询问质疑投诉—质疑列表；</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2.2、供应商应于提交响应文件截止时间前将电子加密响应文件上传到政府采购云平台www.zcygov.cn，未上传电子响应文件，视为供应商放弃投标。 </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2.3、供应商在“政府采购云平台”完成“电子加密响应文件”的上传递交之外，还可以（邮寄形式或派人现场提交，以招标代理机构联系人签收时间为准）在投标截止时间前提交以介质（U盘）存储的数据电文形式的“电子备份磋商响应文件”。</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（一）现场递交方式，供应商可安排一名“甬行码”为绿色的授权代表在提交首次磋商响应文件截止时间前将电子备份磋商响应文件送至宁波高新区公共资源交易中心【宁波市高新区广贤路997号南楼三楼开标室</w:t>
      </w:r>
      <w:r>
        <w:rPr>
          <w:rFonts w:hint="eastAsia" w:ascii="宋体" w:hAnsi="宋体" w:eastAsia="宋体" w:cs="宋体"/>
          <w:szCs w:val="21"/>
          <w:highlight w:val="none"/>
          <w:lang w:val="en-US" w:eastAsia="zh-CN"/>
        </w:rPr>
        <w:t>一</w:t>
      </w:r>
      <w:r>
        <w:rPr>
          <w:rFonts w:hint="eastAsia" w:ascii="宋体" w:hAnsi="宋体" w:eastAsia="宋体" w:cs="宋体"/>
          <w:szCs w:val="21"/>
          <w:highlight w:val="none"/>
        </w:rPr>
        <w:t>】，响应文件递交时须同时递交供应商的法定代表人（或其授权代表）联系方式，并保证开标期间联系方式畅通。</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二）供应商可以通过邮寄送达电子备份磋商响应文件，送达地址：宁波国咨工程造价咨询有限公司（宁波市鄞州区和源路510号宁兴国贸大厦20楼2020室），联系方式：0574-87312175。供应商邮寄后可将邮件单号发送至代理机构电子邮箱（电子邮箱：</w:t>
      </w:r>
      <w:r>
        <w:rPr>
          <w:rFonts w:hint="eastAsia" w:ascii="宋体" w:hAnsi="宋体" w:eastAsia="宋体" w:cs="宋体"/>
          <w:szCs w:val="21"/>
          <w:highlight w:val="none"/>
          <w:lang w:val="en-US" w:eastAsia="zh-CN"/>
        </w:rPr>
        <w:fldChar w:fldCharType="begin"/>
      </w:r>
      <w:r>
        <w:rPr>
          <w:rStyle w:val="51"/>
          <w:rFonts w:hint="eastAsia" w:ascii="宋体" w:hAnsi="宋体" w:eastAsia="宋体" w:cs="宋体"/>
          <w:szCs w:val="21"/>
          <w:highlight w:val="none"/>
          <w:lang w:val="en-US" w:eastAsia="zh-CN"/>
        </w:rPr>
        <w:instrText xml:space="preserve"> HYPERLINK "mailto:844793647@qq.com），以便采购代理机构查询物流记录。各供应商应当确保响应文件的密封包装在邮寄过程保持完好，并在邮寄包裹上注明项目名称，因邮寄造成响应文件密封破损而不符合采购文件对响应文件的密封要求、或邮寄过程中导致响应文件未按时送达的，代理机构将拒绝其响应文件。各供应商自行考虑邮寄在途时间，响应文件送达时间以采购代理机构工作人员实际签收时间为准。电子备份磋商响应文件邮寄送达截止时间2021年" </w:instrText>
      </w:r>
      <w:r>
        <w:rPr>
          <w:rFonts w:hint="eastAsia" w:ascii="宋体" w:hAnsi="宋体" w:eastAsia="宋体" w:cs="宋体"/>
          <w:szCs w:val="21"/>
          <w:highlight w:val="none"/>
          <w:lang w:val="en-US" w:eastAsia="zh-CN"/>
        </w:rPr>
        <w:fldChar w:fldCharType="separate"/>
      </w:r>
      <w:r>
        <w:rPr>
          <w:rStyle w:val="51"/>
          <w:rFonts w:hint="eastAsia" w:ascii="宋体" w:hAnsi="宋体" w:eastAsia="宋体" w:cs="宋体"/>
          <w:szCs w:val="21"/>
          <w:highlight w:val="none"/>
          <w:lang w:val="en-US" w:eastAsia="zh-CN"/>
        </w:rPr>
        <w:t>844793647</w:t>
      </w:r>
      <w:r>
        <w:rPr>
          <w:rStyle w:val="51"/>
          <w:rFonts w:hint="eastAsia" w:ascii="宋体" w:hAnsi="宋体" w:eastAsia="宋体" w:cs="宋体"/>
          <w:szCs w:val="21"/>
          <w:highlight w:val="none"/>
        </w:rPr>
        <w:t>@qq.com），以便采购代理机构查询物流记录。各供应商应当确保响应文件的密封包装在邮寄过程保持完好，并在邮寄包裹上注明项目名称，因邮寄造成响应文件密封破损而不符合采购文件对响应文件的密封要求、或邮寄过程中导致响应文件未按时送达的，代理机构将拒绝其响应文件。各供应商自行考虑邮寄在途时间，响应文件送达时间以采购代理机构工作人员实际签收时间为准。电子备份磋商响应文件邮寄送达截止时间2021年</w:t>
      </w:r>
      <w:r>
        <w:rPr>
          <w:rFonts w:hint="eastAsia" w:ascii="宋体" w:hAnsi="宋体" w:eastAsia="宋体" w:cs="宋体"/>
          <w:szCs w:val="21"/>
          <w:highlight w:val="none"/>
          <w:lang w:val="en-US" w:eastAsia="zh-CN"/>
        </w:rPr>
        <w:fldChar w:fldCharType="end"/>
      </w:r>
      <w:r>
        <w:rPr>
          <w:rStyle w:val="51"/>
          <w:rFonts w:hint="eastAsia" w:ascii="宋体" w:hAnsi="宋体" w:eastAsia="宋体" w:cs="宋体"/>
          <w:szCs w:val="21"/>
          <w:highlight w:val="none"/>
          <w:lang w:val="en-US" w:eastAsia="zh-CN"/>
        </w:rPr>
        <w:t>11</w:t>
      </w:r>
      <w:r>
        <w:rPr>
          <w:rStyle w:val="51"/>
          <w:rFonts w:hint="eastAsia" w:ascii="宋体" w:hAnsi="宋体" w:eastAsia="宋体" w:cs="宋体"/>
          <w:szCs w:val="21"/>
          <w:highlight w:val="none"/>
        </w:rPr>
        <w:t>月</w:t>
      </w:r>
      <w:r>
        <w:rPr>
          <w:rStyle w:val="51"/>
          <w:rFonts w:hint="eastAsia" w:ascii="宋体" w:hAnsi="宋体" w:eastAsia="宋体" w:cs="宋体"/>
          <w:szCs w:val="21"/>
          <w:highlight w:val="none"/>
          <w:lang w:val="en-US" w:eastAsia="zh-CN"/>
        </w:rPr>
        <w:t>5</w:t>
      </w:r>
      <w:r>
        <w:rPr>
          <w:rStyle w:val="51"/>
          <w:rFonts w:hint="eastAsia" w:ascii="宋体" w:hAnsi="宋体" w:eastAsia="宋体" w:cs="宋体"/>
          <w:szCs w:val="21"/>
          <w:highlight w:val="none"/>
        </w:rPr>
        <w:t>日</w:t>
      </w:r>
      <w:r>
        <w:rPr>
          <w:rStyle w:val="51"/>
          <w:rFonts w:hint="eastAsia" w:ascii="宋体" w:hAnsi="宋体" w:eastAsia="宋体" w:cs="宋体"/>
          <w:szCs w:val="21"/>
          <w:highlight w:val="none"/>
          <w:lang w:val="en-US" w:eastAsia="zh-CN"/>
        </w:rPr>
        <w:t>16</w:t>
      </w:r>
      <w:r>
        <w:rPr>
          <w:rStyle w:val="51"/>
          <w:rFonts w:hint="eastAsia" w:ascii="宋体" w:hAnsi="宋体" w:eastAsia="宋体" w:cs="宋体"/>
          <w:szCs w:val="21"/>
          <w:highlight w:val="none"/>
        </w:rPr>
        <w:t>:00</w:t>
      </w:r>
      <w:r>
        <w:rPr>
          <w:rFonts w:hint="eastAsia" w:ascii="宋体" w:hAnsi="宋体" w:eastAsia="宋体" w:cs="宋体"/>
          <w:szCs w:val="21"/>
          <w:highlight w:val="none"/>
        </w:rPr>
        <w:t>。</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bCs/>
          <w:highlight w:val="none"/>
        </w:rPr>
        <w:t>2.4</w:t>
      </w:r>
      <w:r>
        <w:rPr>
          <w:rFonts w:hint="eastAsia" w:ascii="宋体" w:hAnsi="宋体" w:eastAsia="宋体" w:cs="宋体"/>
          <w:bCs/>
          <w:highlight w:val="none"/>
          <w:lang w:eastAsia="zh-CN"/>
        </w:rPr>
        <w:t>、</w:t>
      </w:r>
      <w:r>
        <w:rPr>
          <w:rFonts w:hint="eastAsia" w:ascii="宋体" w:hAnsi="宋体" w:eastAsia="宋体" w:cs="宋体"/>
          <w:bCs/>
          <w:highlight w:val="none"/>
        </w:rPr>
        <w:t>提交首次磋商响应文件截止时间</w:t>
      </w:r>
      <w:r>
        <w:rPr>
          <w:rFonts w:hint="eastAsia" w:ascii="宋体" w:hAnsi="宋体" w:eastAsia="宋体" w:cs="宋体"/>
          <w:bCs/>
          <w:highlight w:val="none"/>
        </w:rPr>
        <w:t>后</w:t>
      </w:r>
      <w:r>
        <w:rPr>
          <w:rFonts w:hint="eastAsia" w:ascii="宋体" w:hAnsi="宋体" w:eastAsia="宋体" w:cs="宋体"/>
          <w:bCs/>
          <w:highlight w:val="none"/>
        </w:rPr>
        <w:t>（2021年</w:t>
      </w:r>
      <w:r>
        <w:rPr>
          <w:rFonts w:hint="eastAsia" w:ascii="宋体" w:hAnsi="宋体" w:eastAsia="宋体" w:cs="宋体"/>
          <w:bCs/>
          <w:highlight w:val="none"/>
          <w:lang w:val="en-US" w:eastAsia="zh-CN"/>
        </w:rPr>
        <w:t>1</w:t>
      </w:r>
      <w:r>
        <w:rPr>
          <w:rFonts w:hint="eastAsia" w:ascii="宋体" w:hAnsi="宋体" w:eastAsia="宋体" w:cs="宋体"/>
          <w:bCs/>
          <w:highlight w:val="none"/>
          <w:lang w:val="en-US" w:eastAsia="zh-CN"/>
        </w:rPr>
        <w:t>1</w:t>
      </w:r>
      <w:r>
        <w:rPr>
          <w:rFonts w:hint="eastAsia" w:ascii="宋体" w:hAnsi="宋体" w:eastAsia="宋体" w:cs="宋体"/>
          <w:bCs/>
          <w:highlight w:val="none"/>
        </w:rPr>
        <w:t>月</w:t>
      </w:r>
      <w:r>
        <w:rPr>
          <w:rFonts w:hint="eastAsia" w:ascii="宋体" w:hAnsi="宋体" w:eastAsia="宋体" w:cs="宋体"/>
          <w:bCs/>
          <w:highlight w:val="none"/>
          <w:lang w:val="en-US" w:eastAsia="zh-CN"/>
        </w:rPr>
        <w:t>8</w:t>
      </w:r>
      <w:r>
        <w:rPr>
          <w:rFonts w:hint="eastAsia" w:ascii="宋体" w:hAnsi="宋体" w:eastAsia="宋体" w:cs="宋体"/>
          <w:bCs/>
          <w:highlight w:val="none"/>
        </w:rPr>
        <w:t>日</w:t>
      </w:r>
      <w:r>
        <w:rPr>
          <w:rFonts w:hint="eastAsia" w:ascii="宋体" w:hAnsi="宋体" w:eastAsia="宋体" w:cs="宋体"/>
          <w:bCs/>
          <w:highlight w:val="none"/>
          <w:lang w:val="en-US" w:eastAsia="zh-CN"/>
        </w:rPr>
        <w:t>1</w:t>
      </w:r>
      <w:r>
        <w:rPr>
          <w:rFonts w:hint="eastAsia" w:ascii="宋体" w:hAnsi="宋体" w:eastAsia="宋体" w:cs="宋体"/>
          <w:bCs/>
          <w:highlight w:val="none"/>
          <w:lang w:val="en-US" w:eastAsia="zh-CN"/>
        </w:rPr>
        <w:t>4</w:t>
      </w:r>
      <w:r>
        <w:rPr>
          <w:rFonts w:hint="eastAsia" w:ascii="宋体" w:hAnsi="宋体" w:eastAsia="宋体" w:cs="宋体"/>
          <w:bCs/>
          <w:highlight w:val="none"/>
        </w:rPr>
        <w:t>:00</w:t>
      </w:r>
      <w:r>
        <w:rPr>
          <w:rFonts w:hint="eastAsia" w:ascii="宋体" w:hAnsi="宋体" w:eastAsia="宋体" w:cs="宋体"/>
          <w:bCs/>
          <w:highlight w:val="none"/>
          <w:lang w:val="en-US" w:eastAsia="zh-CN"/>
        </w:rPr>
        <w:t>前</w:t>
      </w:r>
      <w:r>
        <w:rPr>
          <w:rFonts w:hint="eastAsia" w:ascii="宋体" w:hAnsi="宋体" w:eastAsia="宋体" w:cs="宋体"/>
          <w:bCs/>
          <w:highlight w:val="none"/>
        </w:rPr>
        <w:t>），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int="eastAsia" w:ascii="宋体" w:hAnsi="宋体" w:eastAsia="宋体" w:cs="宋体"/>
          <w:b/>
          <w:bCs/>
          <w:highlight w:val="none"/>
          <w:u w:val="single"/>
          <w:lang w:val="en-US" w:eastAsia="zh-CN" w:bidi="ar"/>
        </w:rPr>
        <w:t>6</w:t>
      </w:r>
      <w:r>
        <w:rPr>
          <w:rFonts w:hint="eastAsia" w:ascii="宋体" w:hAnsi="宋体" w:eastAsia="宋体" w:cs="宋体"/>
          <w:b/>
          <w:bCs/>
          <w:highlight w:val="none"/>
          <w:u w:val="single"/>
          <w:lang w:val="en-US" w:eastAsia="zh-CN" w:bidi="ar"/>
        </w:rPr>
        <w:t>0</w:t>
      </w:r>
      <w:r>
        <w:rPr>
          <w:rFonts w:hint="eastAsia" w:ascii="宋体" w:hAnsi="宋体" w:eastAsia="宋体" w:cs="宋体"/>
          <w:b/>
          <w:bCs/>
          <w:highlight w:val="none"/>
          <w:lang w:bidi="ar"/>
        </w:rPr>
        <w:t>分钟</w:t>
      </w:r>
      <w:r>
        <w:rPr>
          <w:rFonts w:hint="eastAsia" w:ascii="宋体" w:hAnsi="宋体" w:eastAsia="宋体" w:cs="宋体"/>
          <w:bCs/>
          <w:highlight w:val="none"/>
        </w:rPr>
        <w:t>内</w:t>
      </w:r>
      <w:r>
        <w:rPr>
          <w:rFonts w:hint="eastAsia" w:ascii="宋体" w:hAnsi="宋体" w:eastAsia="宋体" w:cs="宋体"/>
          <w:bCs/>
          <w:highlight w:val="none"/>
        </w:rPr>
        <w:t>。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根据浙财采购监字（2009）28号文《浙江省财政厅关于印发浙江省政府采购供应商注册及诚信管理暂行办法的通知》的要求，凡参加磋商的供应商应于提交首次响应文件截止时间前到“浙江政府采购网（zfcg.czt.zj.gov.cn）”上进行供应商注册申请，并通过财政部门的终审后登记加入到“浙江省政府采购供应商库”。成交候选供应商必须注册并登记加入“浙江省政府采购供应商库”，否则将不能被确定成交供应商。具体要求及注册申请流程详见《浙江省政府采购供应商注册及诚信管理暂行办法》（浙财采监字{2009}28号）和浙江政府采购网“网上办事指南”的“供应商注册申请”。</w:t>
      </w:r>
    </w:p>
    <w:p>
      <w:pPr>
        <w:spacing w:line="46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投标与开标注意事项： 投标形式：本项目实行网上投标，采用电子响应文件。若供应商参与投标，自行承担投标一切费用。 标前准备：各供应商应在开标前应确保成为浙江省政府采购网正式注册入库供应商，并完成CA数字证书办理（供应商CA申领操作指南：</w:t>
      </w:r>
      <w:r>
        <w:rPr>
          <w:rFonts w:hint="eastAsia" w:ascii="宋体" w:hAnsi="宋体" w:eastAsia="宋体" w:cs="宋体"/>
          <w:bCs/>
          <w:szCs w:val="21"/>
          <w:highlight w:val="none"/>
        </w:rPr>
        <w:fldChar w:fldCharType="begin"/>
      </w:r>
      <w:r>
        <w:rPr>
          <w:rFonts w:hint="eastAsia" w:ascii="宋体" w:hAnsi="宋体" w:eastAsia="宋体" w:cs="宋体"/>
          <w:bCs/>
          <w:szCs w:val="21"/>
          <w:highlight w:val="none"/>
        </w:rPr>
        <w:instrText xml:space="preserve"> HYPERLINK "https://help.zcygov.cn/web/site_2/2018/11-29/2452.html，完成CA数字证书办理预计一周左右，请供应商自行把握时间）。因未注册入库、未办理CA数字证书等原因造成无法获取竞争性磋商文件、无法投标或投标失败等后果由供应商自行承担。" </w:instrText>
      </w:r>
      <w:r>
        <w:rPr>
          <w:rFonts w:hint="eastAsia" w:ascii="宋体" w:hAnsi="宋体" w:eastAsia="宋体" w:cs="宋体"/>
          <w:bCs/>
          <w:szCs w:val="21"/>
          <w:highlight w:val="none"/>
        </w:rPr>
        <w:fldChar w:fldCharType="separate"/>
      </w:r>
      <w:r>
        <w:rPr>
          <w:rStyle w:val="51"/>
          <w:rFonts w:hint="eastAsia" w:ascii="宋体" w:hAnsi="宋体" w:eastAsia="宋体" w:cs="宋体"/>
          <w:bCs/>
          <w:szCs w:val="21"/>
          <w:highlight w:val="none"/>
        </w:rPr>
        <w:t>https://help.zcygov.cn/web/site_2/2018/11-29/2452.html，完成CA数字证书办理预计一周左右，请供应商自行把握时间）。因未注册入库、未办理CA数字证书等原因造成无法获取竞争性磋商文件、无法投标或投标失败等后果由供应商自行承担。</w:t>
      </w:r>
      <w:r>
        <w:rPr>
          <w:rFonts w:hint="eastAsia" w:ascii="宋体" w:hAnsi="宋体" w:eastAsia="宋体" w:cs="宋体"/>
          <w:bCs/>
          <w:szCs w:val="21"/>
          <w:highlight w:val="none"/>
        </w:rPr>
        <w:fldChar w:fldCharType="end"/>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bCs/>
          <w:szCs w:val="21"/>
          <w:highlight w:val="none"/>
          <w:lang w:val="en-US" w:eastAsia="zh-CN"/>
        </w:rPr>
        <w:t>磋商响应</w:t>
      </w:r>
      <w:r>
        <w:rPr>
          <w:rFonts w:hint="eastAsia" w:ascii="宋体" w:hAnsi="宋体" w:eastAsia="宋体" w:cs="宋体"/>
          <w:bCs/>
          <w:szCs w:val="21"/>
          <w:highlight w:val="none"/>
        </w:rPr>
        <w:t>文件制作： 应按照本项目</w:t>
      </w:r>
      <w:r>
        <w:rPr>
          <w:rFonts w:hint="eastAsia" w:ascii="宋体" w:hAnsi="宋体" w:eastAsia="宋体" w:cs="宋体"/>
          <w:bCs/>
          <w:szCs w:val="21"/>
          <w:highlight w:val="none"/>
          <w:lang w:val="en-US" w:eastAsia="zh-CN"/>
        </w:rPr>
        <w:t>磋商</w:t>
      </w:r>
      <w:r>
        <w:rPr>
          <w:rFonts w:hint="eastAsia" w:ascii="宋体" w:hAnsi="宋体" w:eastAsia="宋体" w:cs="宋体"/>
          <w:bCs/>
          <w:szCs w:val="21"/>
          <w:highlight w:val="none"/>
        </w:rPr>
        <w:t>文件和政采云平台的要求编制、加密并递交</w:t>
      </w:r>
      <w:r>
        <w:rPr>
          <w:rFonts w:hint="eastAsia" w:ascii="宋体" w:hAnsi="宋体" w:eastAsia="宋体" w:cs="宋体"/>
          <w:bCs/>
          <w:szCs w:val="21"/>
          <w:highlight w:val="none"/>
          <w:lang w:val="en-US" w:eastAsia="zh-CN"/>
        </w:rPr>
        <w:t>响应</w:t>
      </w:r>
      <w:r>
        <w:rPr>
          <w:rFonts w:hint="eastAsia" w:ascii="宋体" w:hAnsi="宋体" w:eastAsia="宋体" w:cs="宋体"/>
          <w:bCs/>
          <w:szCs w:val="21"/>
          <w:highlight w:val="none"/>
        </w:rPr>
        <w:t>文件。供应商在使用系统进行投标的过程中遇到涉及平台使用的任何问题，可致电政采云平台技术支持热线400-881-7190或政采云服务专员电话0574-63917219</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供应商</w:t>
      </w:r>
      <w:r>
        <w:rPr>
          <w:rFonts w:hint="eastAsia" w:ascii="宋体" w:hAnsi="宋体" w:eastAsia="宋体" w:cs="宋体"/>
          <w:bCs/>
          <w:szCs w:val="21"/>
          <w:highlight w:val="none"/>
        </w:rPr>
        <w:t>通过政采云平台电子投标工具制作</w:t>
      </w:r>
      <w:r>
        <w:rPr>
          <w:rFonts w:hint="eastAsia" w:ascii="宋体" w:hAnsi="宋体" w:eastAsia="宋体" w:cs="宋体"/>
          <w:bCs/>
          <w:szCs w:val="21"/>
          <w:highlight w:val="none"/>
          <w:lang w:val="en-US" w:eastAsia="zh-CN"/>
        </w:rPr>
        <w:t>响应</w:t>
      </w:r>
      <w:r>
        <w:rPr>
          <w:rFonts w:hint="eastAsia" w:ascii="宋体" w:hAnsi="宋体" w:eastAsia="宋体" w:cs="宋体"/>
          <w:bCs/>
          <w:szCs w:val="21"/>
          <w:highlight w:val="none"/>
        </w:rPr>
        <w:t>文件，电子投标工具请供应商自行前往浙江省政府采购网下载并安装</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下载网址：http://zfcg.czt.zj.gov.cn/bidClientTemplate/2019-05-27/12946.html， 供应商投标文件制作及电子交易操作指南： https://help.zcygov.cn/web/site_2/2019/08-20/3406.html（手机观看）、 https://service.zcygov.cn/#/knowledges/CW1EtGwBFdiHxlNd6I3m/7GyLXW0BXgMSmLUuYuPM（电脑登录账号后观看）、https://help.zcygov.cn/web/site_2/2018/12-28/2575.html （PDF操作指南）</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本次政府采购活动有关信息在“浙江政府采购网（http://zfcg.czt.zj.gov.cn/）”、“宁波市政府采购网（www.nbzfcg.cn）”、“宁波公共资源交易网高新区分网（http://gaoxin.bidding.gov.cn/）”网站上公布，公布信息视同送达所有潜在供应商。</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5、采购项目需要落实的政府采购政策：</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highlight w:val="none"/>
        </w:rPr>
        <w:t>《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pPr>
        <w:spacing w:line="400" w:lineRule="exact"/>
        <w:ind w:firstLine="476" w:firstLineChars="227"/>
        <w:rPr>
          <w:rFonts w:hint="eastAsia" w:ascii="宋体" w:hAnsi="宋体" w:eastAsia="宋体" w:cs="宋体"/>
          <w:szCs w:val="21"/>
          <w:highlight w:val="none"/>
        </w:rPr>
      </w:pPr>
      <w:r>
        <w:rPr>
          <w:rFonts w:hint="eastAsia" w:ascii="宋体" w:hAnsi="宋体" w:eastAsia="宋体" w:cs="宋体"/>
          <w:szCs w:val="21"/>
          <w:highlight w:val="none"/>
        </w:rPr>
        <w:t>6、单位负责人为同一人或者存在直接控股、管理关系的不同供应商，不得同时参加本项目的政府采购活动；为本项目提供整体设计、规范编制或者项目管理、监理、检测等服务的供应商，不得再参加本项目的投标。</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疫情防控期间，不要求供应商必须到场参加现场开标，若供应商需参加现场开标，应全程佩戴口罩等防护用具，自觉接受体温检测、接受疫情询问，并如实报告相关情况。请各供应商遵守宁波市高新技术开发区公共资源交易中心各项防疫措施规定。由于疫情防控的影响，请提早安排送标时间。</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八、凡对本次采购提出询问，请按以下方式联系。</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1.采购人信息</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名    称：宁波市公安局高新技术开发区分局</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地    址：</w:t>
      </w:r>
      <w:r>
        <w:rPr>
          <w:rFonts w:hint="eastAsia" w:ascii="宋体" w:hAnsi="宋体" w:eastAsia="宋体" w:cs="宋体"/>
          <w:color w:val="auto"/>
          <w:szCs w:val="22"/>
          <w:highlight w:val="none"/>
          <w:u w:val="none"/>
        </w:rPr>
        <w:t xml:space="preserve">高新区玉兰路56号 </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项目联系人（询问）：陈杰  </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项目联系方式（询问）：</w:t>
      </w:r>
      <w:r>
        <w:rPr>
          <w:rFonts w:hint="eastAsia" w:ascii="宋体" w:hAnsi="宋体" w:eastAsia="宋体" w:cs="宋体"/>
          <w:color w:val="auto"/>
          <w:szCs w:val="22"/>
          <w:highlight w:val="none"/>
          <w:u w:val="none"/>
        </w:rPr>
        <w:t>0574-87738530</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质疑联系人：</w:t>
      </w:r>
      <w:r>
        <w:rPr>
          <w:rFonts w:hint="eastAsia" w:ascii="宋体" w:hAnsi="宋体" w:eastAsia="宋体" w:cs="宋体"/>
          <w:color w:val="auto"/>
          <w:highlight w:val="none"/>
          <w:u w:val="none"/>
          <w:lang w:val="en-US" w:eastAsia="zh-CN"/>
        </w:rPr>
        <w:t>葛老师</w:t>
      </w:r>
      <w:r>
        <w:rPr>
          <w:rFonts w:hint="eastAsia" w:ascii="宋体" w:hAnsi="宋体" w:eastAsia="宋体" w:cs="宋体"/>
          <w:color w:val="auto"/>
          <w:highlight w:val="none"/>
          <w:u w:val="none"/>
        </w:rPr>
        <w:t xml:space="preserve">   </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质疑联系方式：0574-87738530  </w:t>
      </w:r>
    </w:p>
    <w:p>
      <w:pPr>
        <w:spacing w:line="460" w:lineRule="exact"/>
        <w:ind w:firstLine="422" w:firstLineChars="200"/>
        <w:rPr>
          <w:rFonts w:hint="eastAsia" w:ascii="宋体" w:hAnsi="宋体" w:eastAsia="宋体" w:cs="宋体"/>
          <w:szCs w:val="21"/>
          <w:highlight w:val="none"/>
          <w:u w:val="none"/>
        </w:rPr>
      </w:pPr>
      <w:r>
        <w:rPr>
          <w:rFonts w:hint="eastAsia" w:ascii="宋体" w:hAnsi="宋体" w:eastAsia="宋体" w:cs="宋体"/>
          <w:b/>
          <w:szCs w:val="21"/>
          <w:highlight w:val="none"/>
          <w:u w:val="none"/>
        </w:rPr>
        <w:t>2.采购代理机构信息</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名    称：宁波国咨工程造价咨询有限公司</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地    址：宁波市鄞州区和源路510号宁兴国贸大厦20楼2020室</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项目联系人（询问）：徐情情</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项目联系方式（询问）：0574-87312175</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质疑联系人：戴佳颖</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质疑联系方式：0574-87312175</w:t>
      </w:r>
    </w:p>
    <w:p>
      <w:pPr>
        <w:widowControl/>
        <w:spacing w:line="360" w:lineRule="auto"/>
        <w:ind w:firstLine="420" w:firstLineChars="200"/>
        <w:jc w:val="left"/>
        <w:rPr>
          <w:rFonts w:hint="eastAsia" w:ascii="宋体" w:hAnsi="宋体" w:eastAsia="宋体" w:cs="宋体"/>
          <w:color w:val="auto"/>
          <w:highlight w:val="none"/>
          <w:u w:val="none"/>
        </w:rPr>
      </w:pPr>
      <w:r>
        <w:rPr>
          <w:rFonts w:hint="eastAsia" w:ascii="宋体" w:hAnsi="宋体" w:eastAsia="宋体" w:cs="宋体"/>
          <w:color w:val="auto"/>
          <w:highlight w:val="none"/>
          <w:u w:val="none"/>
        </w:rPr>
        <w:t>电子邮箱：</w:t>
      </w:r>
      <w:r>
        <w:rPr>
          <w:rFonts w:hint="eastAsia" w:ascii="宋体" w:hAnsi="宋体" w:eastAsia="宋体" w:cs="宋体"/>
          <w:bCs/>
          <w:color w:val="auto"/>
          <w:szCs w:val="21"/>
          <w:highlight w:val="none"/>
          <w:u w:val="none"/>
        </w:rPr>
        <w:t>844793647</w:t>
      </w:r>
      <w:r>
        <w:rPr>
          <w:rFonts w:hint="eastAsia" w:ascii="宋体" w:hAnsi="宋体" w:eastAsia="宋体" w:cs="宋体"/>
          <w:color w:val="auto"/>
          <w:highlight w:val="none"/>
          <w:u w:val="none"/>
        </w:rPr>
        <w:t>@qq.com</w:t>
      </w:r>
    </w:p>
    <w:p>
      <w:pPr>
        <w:spacing w:line="460" w:lineRule="exact"/>
        <w:ind w:firstLine="200"/>
        <w:rPr>
          <w:rFonts w:hint="eastAsia" w:ascii="宋体" w:hAnsi="宋体" w:eastAsia="宋体" w:cs="宋体"/>
          <w:b/>
          <w:szCs w:val="21"/>
          <w:highlight w:val="none"/>
        </w:rPr>
      </w:pPr>
      <w:r>
        <w:rPr>
          <w:rFonts w:hint="eastAsia" w:ascii="宋体" w:hAnsi="宋体" w:eastAsia="宋体" w:cs="宋体"/>
          <w:b/>
          <w:szCs w:val="21"/>
          <w:highlight w:val="none"/>
        </w:rPr>
        <w:t xml:space="preserve">  3.同级政府采购监督管理部门</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名称：宁波高新区政府采购管理办公室</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地址：宁波国家高新区广贤路999号</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联系人：蔡科</w:t>
      </w:r>
    </w:p>
    <w:p>
      <w:pPr>
        <w:spacing w:line="46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监督投诉电话：0574-89288732</w:t>
      </w:r>
    </w:p>
    <w:p>
      <w:pPr>
        <w:spacing w:line="460" w:lineRule="exact"/>
        <w:ind w:firstLine="420" w:firstLineChars="200"/>
        <w:jc w:val="left"/>
        <w:rPr>
          <w:rFonts w:hint="eastAsia" w:ascii="宋体" w:hAnsi="宋体" w:eastAsia="宋体" w:cs="宋体"/>
          <w:bCs/>
          <w:szCs w:val="21"/>
          <w:highlight w:val="none"/>
        </w:rPr>
      </w:pPr>
      <w:r>
        <w:rPr>
          <w:rFonts w:hint="eastAsia" w:ascii="宋体" w:hAnsi="宋体" w:eastAsia="宋体" w:cs="宋体"/>
          <w:bCs/>
          <w:szCs w:val="21"/>
          <w:highlight w:val="none"/>
        </w:rPr>
        <w:t>温馨提示：</w:t>
      </w:r>
    </w:p>
    <w:p>
      <w:pPr>
        <w:spacing w:line="460" w:lineRule="exact"/>
        <w:ind w:firstLine="200"/>
        <w:rPr>
          <w:rFonts w:hint="eastAsia" w:ascii="宋体" w:hAnsi="宋体" w:eastAsia="宋体" w:cs="宋体"/>
          <w:szCs w:val="21"/>
          <w:highlight w:val="none"/>
        </w:rPr>
      </w:pPr>
      <w:r>
        <w:rPr>
          <w:rFonts w:hint="eastAsia" w:ascii="宋体" w:hAnsi="宋体" w:eastAsia="宋体" w:cs="宋体"/>
          <w:bCs/>
          <w:kern w:val="0"/>
          <w:szCs w:val="21"/>
          <w:highlight w:val="none"/>
        </w:rPr>
        <w:t xml:space="preserve">  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3"/>
        <w:spacing w:line="460" w:lineRule="exact"/>
        <w:rPr>
          <w:rFonts w:hint="eastAsia" w:ascii="宋体" w:hAnsi="宋体" w:eastAsia="宋体" w:cs="宋体"/>
          <w:highlight w:val="none"/>
        </w:rPr>
      </w:pPr>
      <w:r>
        <w:rPr>
          <w:rFonts w:hint="eastAsia" w:ascii="宋体" w:hAnsi="宋体" w:eastAsia="宋体" w:cs="宋体"/>
          <w:highlight w:val="none"/>
        </w:rPr>
        <w:br w:type="page"/>
      </w:r>
      <w:bookmarkStart w:id="1" w:name="_Toc46489005"/>
      <w:r>
        <w:rPr>
          <w:rFonts w:hint="eastAsia" w:ascii="宋体" w:hAnsi="宋体" w:eastAsia="宋体" w:cs="宋体"/>
          <w:highlight w:val="none"/>
        </w:rPr>
        <w:t>第二章  采购需求</w:t>
      </w:r>
      <w:bookmarkEnd w:id="1"/>
    </w:p>
    <w:p>
      <w:pPr>
        <w:jc w:val="center"/>
        <w:rPr>
          <w:rFonts w:hint="eastAsia" w:ascii="宋体" w:hAnsi="宋体" w:eastAsia="宋体" w:cs="宋体"/>
          <w:sz w:val="28"/>
          <w:szCs w:val="28"/>
          <w:highlight w:val="none"/>
        </w:rPr>
      </w:pPr>
      <w:bookmarkStart w:id="2" w:name="_Toc10761"/>
      <w:r>
        <w:rPr>
          <w:rFonts w:hint="eastAsia" w:ascii="宋体" w:hAnsi="宋体" w:eastAsia="宋体" w:cs="宋体"/>
          <w:sz w:val="28"/>
          <w:szCs w:val="28"/>
          <w:highlight w:val="none"/>
        </w:rPr>
        <w:t>项目需求前附表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73"/>
        <w:gridCol w:w="5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8" w:hRule="atLeast"/>
          <w:tblHeader/>
          <w:jc w:val="center"/>
        </w:trPr>
        <w:tc>
          <w:tcPr>
            <w:tcW w:w="741" w:type="dxa"/>
            <w:noWrap w:val="0"/>
            <w:vAlign w:val="center"/>
          </w:tcPr>
          <w:p>
            <w:pPr>
              <w:spacing w:line="240" w:lineRule="auto"/>
              <w:jc w:val="center"/>
              <w:rPr>
                <w:rFonts w:hint="eastAsia" w:ascii="宋体" w:hAnsi="宋体" w:eastAsia="宋体" w:cs="宋体"/>
                <w:b/>
                <w:szCs w:val="21"/>
                <w:highlight w:val="none"/>
              </w:rPr>
            </w:pPr>
            <w:r>
              <w:rPr>
                <w:rFonts w:hint="eastAsia" w:ascii="宋体" w:hAnsi="宋体" w:eastAsia="宋体" w:cs="宋体"/>
                <w:b/>
                <w:szCs w:val="21"/>
                <w:highlight w:val="none"/>
              </w:rPr>
              <w:t>序号</w:t>
            </w:r>
          </w:p>
        </w:tc>
        <w:tc>
          <w:tcPr>
            <w:tcW w:w="2473" w:type="dxa"/>
            <w:noWrap w:val="0"/>
            <w:vAlign w:val="center"/>
          </w:tcPr>
          <w:p>
            <w:pPr>
              <w:spacing w:line="240" w:lineRule="auto"/>
              <w:jc w:val="center"/>
              <w:rPr>
                <w:rFonts w:hint="eastAsia" w:ascii="宋体" w:hAnsi="宋体" w:eastAsia="宋体" w:cs="宋体"/>
                <w:b/>
                <w:szCs w:val="21"/>
                <w:highlight w:val="none"/>
              </w:rPr>
            </w:pPr>
            <w:r>
              <w:rPr>
                <w:rFonts w:hint="eastAsia" w:ascii="宋体" w:hAnsi="宋体" w:eastAsia="宋体" w:cs="宋体"/>
                <w:b/>
                <w:szCs w:val="21"/>
                <w:highlight w:val="none"/>
              </w:rPr>
              <w:t>项目</w:t>
            </w:r>
          </w:p>
        </w:tc>
        <w:tc>
          <w:tcPr>
            <w:tcW w:w="5704" w:type="dxa"/>
            <w:noWrap w:val="0"/>
            <w:vAlign w:val="center"/>
          </w:tcPr>
          <w:p>
            <w:pPr>
              <w:spacing w:line="240" w:lineRule="auto"/>
              <w:jc w:val="center"/>
              <w:rPr>
                <w:rFonts w:hint="eastAsia" w:ascii="宋体" w:hAnsi="宋体" w:eastAsia="宋体" w:cs="宋体"/>
                <w:b/>
                <w:szCs w:val="21"/>
                <w:highlight w:val="none"/>
              </w:rPr>
            </w:pPr>
            <w:r>
              <w:rPr>
                <w:rFonts w:hint="eastAsia" w:ascii="宋体" w:hAnsi="宋体" w:eastAsia="宋体" w:cs="宋体"/>
                <w:b/>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3"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2473"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采购内容</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详见第一部分《</w:t>
            </w:r>
            <w:r>
              <w:rPr>
                <w:rFonts w:hint="eastAsia" w:ascii="宋体" w:hAnsi="宋体" w:eastAsia="宋体" w:cs="宋体"/>
                <w:highlight w:val="none"/>
              </w:rPr>
              <w:t>竞争性磋商公告</w:t>
            </w:r>
            <w:r>
              <w:rPr>
                <w:rFonts w:hint="eastAsia" w:ascii="宋体" w:hAnsi="宋体" w:eastAsia="宋体" w:cs="宋体"/>
                <w:szCs w:val="21"/>
                <w:highlight w:val="none"/>
              </w:rPr>
              <w:t>》及本部分“技术要求”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4"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2473"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单位及数量</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详见第一部分《</w:t>
            </w:r>
            <w:r>
              <w:rPr>
                <w:rFonts w:hint="eastAsia" w:ascii="宋体" w:hAnsi="宋体" w:eastAsia="宋体" w:cs="宋体"/>
                <w:highlight w:val="none"/>
              </w:rPr>
              <w:t>竞争性磋商公告</w:t>
            </w:r>
            <w:r>
              <w:rPr>
                <w:rFonts w:hint="eastAsia" w:ascii="宋体" w:hAnsi="宋体" w:eastAsia="宋体" w:cs="宋体"/>
                <w:szCs w:val="21"/>
                <w:highlight w:val="none"/>
              </w:rPr>
              <w:t>》及本部分“技术要求”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6"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2473" w:type="dxa"/>
            <w:noWrap w:val="0"/>
            <w:vAlign w:val="center"/>
          </w:tcPr>
          <w:p>
            <w:pPr>
              <w:spacing w:line="240" w:lineRule="auto"/>
              <w:jc w:val="center"/>
              <w:textAlignment w:val="baseline"/>
              <w:rPr>
                <w:rFonts w:hint="eastAsia" w:ascii="宋体" w:hAnsi="宋体" w:eastAsia="宋体" w:cs="宋体"/>
                <w:szCs w:val="21"/>
                <w:highlight w:val="none"/>
              </w:rPr>
            </w:pPr>
            <w:r>
              <w:rPr>
                <w:rFonts w:hint="eastAsia" w:ascii="宋体" w:hAnsi="宋体" w:eastAsia="宋体" w:cs="宋体"/>
                <w:szCs w:val="21"/>
                <w:highlight w:val="none"/>
              </w:rPr>
              <w:t>交付或者实施的时间和地点</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详见商务要求表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2473" w:type="dxa"/>
            <w:noWrap w:val="0"/>
            <w:vAlign w:val="center"/>
          </w:tcPr>
          <w:p>
            <w:pPr>
              <w:spacing w:line="240" w:lineRule="auto"/>
              <w:jc w:val="center"/>
              <w:textAlignment w:val="baseline"/>
              <w:rPr>
                <w:rFonts w:hint="eastAsia" w:ascii="宋体" w:hAnsi="宋体" w:eastAsia="宋体" w:cs="宋体"/>
                <w:szCs w:val="21"/>
                <w:highlight w:val="none"/>
              </w:rPr>
            </w:pPr>
            <w:r>
              <w:rPr>
                <w:rFonts w:hint="eastAsia" w:ascii="宋体" w:hAnsi="宋体" w:eastAsia="宋体" w:cs="宋体"/>
                <w:szCs w:val="21"/>
                <w:highlight w:val="none"/>
              </w:rPr>
              <w:t>需实现的功能或者目标</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8"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2473" w:type="dxa"/>
            <w:noWrap w:val="0"/>
            <w:vAlign w:val="center"/>
          </w:tcPr>
          <w:p>
            <w:pPr>
              <w:spacing w:line="240" w:lineRule="auto"/>
              <w:jc w:val="center"/>
              <w:textAlignment w:val="baseline"/>
              <w:rPr>
                <w:rFonts w:hint="eastAsia" w:ascii="宋体" w:hAnsi="宋体" w:eastAsia="宋体" w:cs="宋体"/>
                <w:szCs w:val="21"/>
                <w:highlight w:val="none"/>
              </w:rPr>
            </w:pPr>
            <w:r>
              <w:rPr>
                <w:rFonts w:hint="eastAsia" w:ascii="宋体" w:hAnsi="宋体" w:eastAsia="宋体" w:cs="宋体"/>
                <w:szCs w:val="21"/>
                <w:highlight w:val="none"/>
              </w:rPr>
              <w:t>采购标的需执行的标准</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执行国家、地方、有关机构所有相关的技术规范与标准，且确保所采用的技术规范、标准必须是国家或有关机构发布的最新版本，无论此版本在此有无提及。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6"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2473" w:type="dxa"/>
            <w:noWrap w:val="0"/>
            <w:vAlign w:val="center"/>
          </w:tcPr>
          <w:p>
            <w:pPr>
              <w:spacing w:line="240" w:lineRule="auto"/>
              <w:jc w:val="center"/>
              <w:textAlignment w:val="baseline"/>
              <w:rPr>
                <w:rFonts w:hint="eastAsia" w:ascii="宋体" w:hAnsi="宋体" w:eastAsia="宋体" w:cs="宋体"/>
                <w:szCs w:val="21"/>
                <w:highlight w:val="none"/>
              </w:rPr>
            </w:pPr>
            <w:r>
              <w:rPr>
                <w:rFonts w:hint="eastAsia" w:ascii="宋体" w:hAnsi="宋体" w:eastAsia="宋体" w:cs="宋体"/>
                <w:szCs w:val="21"/>
                <w:highlight w:val="none"/>
              </w:rPr>
              <w:t>采购标的对应的中小企业划分标准所属行业</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7</w:t>
            </w:r>
          </w:p>
        </w:tc>
        <w:tc>
          <w:tcPr>
            <w:tcW w:w="2473"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技术规格要求</w:t>
            </w:r>
          </w:p>
        </w:tc>
        <w:tc>
          <w:tcPr>
            <w:tcW w:w="5704" w:type="dxa"/>
            <w:noWrap w:val="0"/>
            <w:vAlign w:val="center"/>
          </w:tcPr>
          <w:p>
            <w:pPr>
              <w:spacing w:line="240" w:lineRule="auto"/>
              <w:jc w:val="both"/>
              <w:rPr>
                <w:rFonts w:hint="eastAsia" w:ascii="宋体" w:hAnsi="宋体" w:eastAsia="宋体" w:cs="宋体"/>
                <w:highlight w:val="none"/>
              </w:rPr>
            </w:pPr>
            <w:r>
              <w:rPr>
                <w:rFonts w:hint="eastAsia" w:ascii="宋体" w:hAnsi="宋体" w:eastAsia="宋体" w:cs="宋体"/>
                <w:highlight w:val="none"/>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8</w:t>
            </w:r>
          </w:p>
        </w:tc>
        <w:tc>
          <w:tcPr>
            <w:tcW w:w="2473"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物理特性要求</w:t>
            </w:r>
          </w:p>
        </w:tc>
        <w:tc>
          <w:tcPr>
            <w:tcW w:w="5704" w:type="dxa"/>
            <w:noWrap w:val="0"/>
            <w:vAlign w:val="center"/>
          </w:tcPr>
          <w:p>
            <w:pPr>
              <w:spacing w:line="240" w:lineRule="auto"/>
              <w:jc w:val="both"/>
              <w:rPr>
                <w:rFonts w:hint="eastAsia" w:ascii="宋体" w:hAnsi="宋体" w:eastAsia="宋体" w:cs="宋体"/>
                <w:highlight w:val="none"/>
              </w:rPr>
            </w:pPr>
            <w:r>
              <w:rPr>
                <w:rFonts w:hint="eastAsia" w:ascii="宋体" w:hAnsi="宋体" w:eastAsia="宋体" w:cs="宋体"/>
                <w:highlight w:val="none"/>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1"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9</w:t>
            </w:r>
          </w:p>
        </w:tc>
        <w:tc>
          <w:tcPr>
            <w:tcW w:w="2473"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质量、安全要求</w:t>
            </w:r>
          </w:p>
        </w:tc>
        <w:tc>
          <w:tcPr>
            <w:tcW w:w="5704" w:type="dxa"/>
            <w:noWrap w:val="0"/>
            <w:vAlign w:val="center"/>
          </w:tcPr>
          <w:p>
            <w:pPr>
              <w:spacing w:line="240" w:lineRule="auto"/>
              <w:jc w:val="both"/>
              <w:rPr>
                <w:rFonts w:hint="eastAsia" w:ascii="宋体" w:hAnsi="宋体" w:eastAsia="宋体" w:cs="宋体"/>
                <w:highlight w:val="none"/>
              </w:rPr>
            </w:pPr>
            <w:r>
              <w:rPr>
                <w:rFonts w:hint="eastAsia" w:ascii="宋体" w:hAnsi="宋体" w:eastAsia="宋体" w:cs="宋体"/>
                <w:highlight w:val="none"/>
              </w:rPr>
              <w:t>成交供应商须确保提供的货物完全是崭新产品。所提供货物质量必须符合国家相关标准，必须满足本次采购的要求，若所供货物经产品质量检测机构检测认定质量不合格，造成的损失和后果由该供应商负全责。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6" w:hRule="atLeast"/>
          <w:jc w:val="center"/>
        </w:trPr>
        <w:tc>
          <w:tcPr>
            <w:tcW w:w="741"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2473" w:type="dxa"/>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服务标准、期限、效率(培训等）</w:t>
            </w:r>
          </w:p>
        </w:tc>
        <w:tc>
          <w:tcPr>
            <w:tcW w:w="5704" w:type="dxa"/>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产品质量必须执行国家相关标准、行业标准、地方标准或者其它标准、规范，按照就高原则执行。</w:t>
            </w:r>
          </w:p>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1、本项目的材料、设备、安装必须达到现行中华人民共和国及省市行业的一切有关法规规范的要求。</w:t>
            </w:r>
          </w:p>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2、施工工艺及技术要求：按照相关图纸和相关的技术规范、验收规范。</w:t>
            </w:r>
          </w:p>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3、供应商应负责在建设工地现场进行</w:t>
            </w:r>
            <w:r>
              <w:rPr>
                <w:rFonts w:hint="eastAsia" w:ascii="宋体" w:hAnsi="宋体" w:eastAsia="宋体" w:cs="宋体"/>
                <w:szCs w:val="21"/>
                <w:highlight w:val="none"/>
                <w:lang w:val="en-US" w:eastAsia="zh-CN"/>
              </w:rPr>
              <w:t>安装</w:t>
            </w:r>
            <w:r>
              <w:rPr>
                <w:rFonts w:hint="eastAsia" w:ascii="宋体" w:hAnsi="宋体" w:eastAsia="宋体" w:cs="宋体"/>
                <w:szCs w:val="21"/>
                <w:highlight w:val="none"/>
              </w:rPr>
              <w:t>直至该项目验收合格、交付使用，其费用应包括在项目总价中。</w:t>
            </w:r>
          </w:p>
          <w:p>
            <w:pPr>
              <w:spacing w:line="240" w:lineRule="auto"/>
              <w:jc w:val="both"/>
              <w:rPr>
                <w:rFonts w:hint="eastAsia" w:ascii="宋体" w:hAnsi="宋体" w:eastAsia="宋体" w:cs="宋体"/>
                <w:highlight w:val="none"/>
              </w:rPr>
            </w:pPr>
            <w:r>
              <w:rPr>
                <w:rFonts w:hint="eastAsia" w:ascii="宋体" w:hAnsi="宋体" w:eastAsia="宋体" w:cs="宋体"/>
                <w:szCs w:val="21"/>
                <w:highlight w:val="none"/>
              </w:rPr>
              <w:t>4、项目验收：由采购人</w:t>
            </w:r>
            <w:r>
              <w:rPr>
                <w:rFonts w:hint="eastAsia" w:ascii="宋体" w:hAnsi="宋体" w:eastAsia="宋体" w:cs="宋体"/>
                <w:highlight w:val="none"/>
              </w:rPr>
              <w:t>组织专业人员</w:t>
            </w:r>
            <w:r>
              <w:rPr>
                <w:rFonts w:hint="eastAsia" w:ascii="宋体" w:hAnsi="宋体" w:eastAsia="宋体" w:cs="宋体"/>
                <w:szCs w:val="21"/>
                <w:highlight w:val="none"/>
              </w:rPr>
              <w:t>验收，依据为国家有关规定、采购文件、成交供应商的响应文件以及其他相关文件和资料。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2"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11</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验收标准</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1、根据中华人民共和国现行技术标准，按竞争性磋商文件以及合同规定的验收评定标准等规范，由用户组织验收。</w:t>
            </w:r>
          </w:p>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2、用户对货物验收合格后，双方共同签署验收合格证书，验收中发现货物达不到验收标准或合同规定的性能指标，成交供应商必须免费更换，并且赔偿由此给用户造成的损失，直到验收合格为止。</w:t>
            </w:r>
          </w:p>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项目验收合格后的验收报告(验收报告格式自拟)按规定备案存查。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3"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12</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现场踏勘</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13</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演示时间及地点</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szCs w:val="21"/>
                <w:highlight w:val="none"/>
              </w:rPr>
            </w:pPr>
            <w:r>
              <w:rPr>
                <w:rFonts w:hint="eastAsia" w:ascii="宋体" w:hAnsi="宋体" w:eastAsia="宋体" w:cs="宋体"/>
                <w:szCs w:val="21"/>
                <w:highlight w:val="none"/>
              </w:rPr>
              <w:t>无</w:t>
            </w:r>
          </w:p>
        </w:tc>
      </w:tr>
    </w:tbl>
    <w:p>
      <w:pPr>
        <w:pStyle w:val="86"/>
        <w:spacing w:before="156" w:line="400" w:lineRule="exact"/>
        <w:ind w:firstLine="0" w:firstLineChars="0"/>
        <w:rPr>
          <w:rFonts w:hint="eastAsia" w:ascii="宋体" w:hAnsi="宋体" w:eastAsia="宋体" w:cs="宋体"/>
          <w:b/>
          <w:kern w:val="2"/>
          <w:sz w:val="21"/>
          <w:szCs w:val="21"/>
          <w:highlight w:val="none"/>
        </w:rPr>
      </w:pPr>
    </w:p>
    <w:p>
      <w:pPr>
        <w:pStyle w:val="86"/>
        <w:spacing w:before="156" w:line="400" w:lineRule="exact"/>
        <w:ind w:firstLine="0" w:firstLineChars="0"/>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br w:type="page"/>
      </w:r>
      <w:r>
        <w:rPr>
          <w:rFonts w:hint="eastAsia" w:ascii="宋体" w:hAnsi="宋体" w:eastAsia="宋体" w:cs="宋体"/>
          <w:b/>
          <w:kern w:val="2"/>
          <w:sz w:val="21"/>
          <w:szCs w:val="21"/>
          <w:highlight w:val="none"/>
        </w:rPr>
        <w:t>二、商务要求</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
        <w:gridCol w:w="1780"/>
        <w:gridCol w:w="71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454"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项目</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b/>
                <w:bCs/>
                <w:szCs w:val="21"/>
                <w:highlight w:val="none"/>
              </w:rPr>
            </w:pPr>
            <w:r>
              <w:rPr>
                <w:rFonts w:hint="eastAsia" w:ascii="宋体" w:hAnsi="宋体" w:eastAsia="宋体" w:cs="宋体"/>
                <w:b/>
                <w:bCs/>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17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highlight w:val="none"/>
              </w:rPr>
            </w:pPr>
            <w:r>
              <w:rPr>
                <w:rFonts w:hint="eastAsia" w:ascii="宋体" w:hAnsi="宋体" w:eastAsia="宋体" w:cs="宋体"/>
                <w:szCs w:val="21"/>
                <w:highlight w:val="none"/>
              </w:rPr>
              <w:t>★</w:t>
            </w:r>
            <w:r>
              <w:rPr>
                <w:rFonts w:hint="eastAsia" w:ascii="宋体" w:hAnsi="宋体" w:eastAsia="宋体" w:cs="宋体"/>
                <w:highlight w:val="none"/>
              </w:rPr>
              <w:t>1、签订</w:t>
            </w:r>
          </w:p>
          <w:p>
            <w:pPr>
              <w:spacing w:line="240" w:lineRule="auto"/>
              <w:jc w:val="center"/>
              <w:rPr>
                <w:rFonts w:hint="eastAsia" w:ascii="宋体" w:hAnsi="宋体" w:eastAsia="宋体" w:cs="宋体"/>
                <w:kern w:val="1"/>
                <w:highlight w:val="none"/>
              </w:rPr>
            </w:pPr>
            <w:r>
              <w:rPr>
                <w:rFonts w:hint="eastAsia" w:ascii="宋体" w:hAnsi="宋体" w:eastAsia="宋体" w:cs="宋体"/>
                <w:highlight w:val="none"/>
              </w:rPr>
              <w:t>合同时间</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Cs w:val="21"/>
                <w:highlight w:val="none"/>
              </w:rPr>
            </w:pPr>
            <w:r>
              <w:rPr>
                <w:rFonts w:hint="eastAsia" w:ascii="宋体" w:hAnsi="宋体" w:eastAsia="宋体" w:cs="宋体"/>
                <w:szCs w:val="21"/>
                <w:highlight w:val="none"/>
              </w:rPr>
              <w:t>中标通知书发出之日起30日内签订合同，具体签约时间以采购人通知为准。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790"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★2、工期</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rPr>
              <w:t>项目需在合同签订后</w:t>
            </w:r>
            <w:r>
              <w:rPr>
                <w:rFonts w:hint="eastAsia" w:ascii="宋体" w:hAnsi="宋体" w:eastAsia="宋体" w:cs="宋体"/>
                <w:szCs w:val="21"/>
                <w:highlight w:val="none"/>
                <w:lang w:val="en-US" w:eastAsia="zh-CN"/>
              </w:rPr>
              <w:t>45</w:t>
            </w:r>
            <w:r>
              <w:rPr>
                <w:rFonts w:hint="eastAsia" w:ascii="宋体" w:hAnsi="宋体" w:eastAsia="宋体" w:cs="宋体"/>
                <w:szCs w:val="21"/>
                <w:highlight w:val="none"/>
              </w:rPr>
              <w:t>日内将全部装备运送至采购人指定地点完成设备安装调试，通过竣工验收并交付使用</w:t>
            </w:r>
            <w:r>
              <w:rPr>
                <w:rFonts w:hint="eastAsia" w:ascii="宋体" w:hAnsi="宋体" w:eastAsia="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454"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szCs w:val="21"/>
                <w:highlight w:val="none"/>
                <w:lang w:val="en-US" w:eastAsia="zh-CN"/>
              </w:rPr>
              <w:t>交货</w:t>
            </w:r>
            <w:r>
              <w:rPr>
                <w:rFonts w:hint="eastAsia" w:ascii="宋体" w:hAnsi="宋体" w:eastAsia="宋体" w:cs="宋体"/>
                <w:szCs w:val="21"/>
                <w:highlight w:val="none"/>
              </w:rPr>
              <w:t>地点</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szCs w:val="21"/>
                <w:highlight w:val="none"/>
              </w:rPr>
            </w:pPr>
            <w:r>
              <w:rPr>
                <w:rFonts w:hint="eastAsia" w:ascii="宋体" w:hAnsi="宋体" w:eastAsia="宋体" w:cs="宋体"/>
                <w:szCs w:val="21"/>
                <w:highlight w:val="none"/>
                <w:lang w:val="en-US" w:eastAsia="zh-CN"/>
              </w:rPr>
              <w:t>采购人</w:t>
            </w:r>
            <w:r>
              <w:rPr>
                <w:rFonts w:hint="eastAsia" w:ascii="宋体" w:hAnsi="宋体" w:eastAsia="宋体" w:cs="宋体"/>
                <w:szCs w:val="21"/>
                <w:highlight w:val="none"/>
              </w:rPr>
              <w:t>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1139"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★4、付款条件</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1）合同签订后15天内支付合同总价的</w:t>
            </w:r>
            <w:r>
              <w:rPr>
                <w:rFonts w:hint="eastAsia" w:ascii="宋体" w:hAnsi="宋体" w:eastAsia="宋体" w:cs="宋体"/>
                <w:szCs w:val="21"/>
                <w:highlight w:val="none"/>
                <w:lang w:val="en-US" w:eastAsia="zh-CN"/>
              </w:rPr>
              <w:t>30</w:t>
            </w:r>
            <w:r>
              <w:rPr>
                <w:rFonts w:hint="eastAsia" w:ascii="宋体" w:hAnsi="宋体" w:eastAsia="宋体" w:cs="宋体"/>
                <w:szCs w:val="21"/>
                <w:highlight w:val="none"/>
              </w:rPr>
              <w:t>%；</w:t>
            </w:r>
          </w:p>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2）项目通过竣工验收（提交完整的项目竣工资料）后15天内支付</w:t>
            </w:r>
            <w:r>
              <w:rPr>
                <w:rFonts w:hint="eastAsia" w:ascii="宋体" w:hAnsi="宋体" w:eastAsia="宋体" w:cs="宋体"/>
                <w:szCs w:val="21"/>
                <w:highlight w:val="none"/>
                <w:lang w:val="en-US" w:eastAsia="zh-CN"/>
              </w:rPr>
              <w:t>剩余合同价款</w:t>
            </w:r>
            <w:r>
              <w:rPr>
                <w:rFonts w:hint="eastAsia" w:ascii="宋体" w:hAnsi="宋体" w:eastAsia="宋体" w:cs="宋体"/>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1807"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Cs w:val="21"/>
                <w:highlight w:val="none"/>
              </w:rPr>
            </w:pPr>
            <w:r>
              <w:rPr>
                <w:rFonts w:hint="eastAsia" w:ascii="宋体" w:hAnsi="宋体" w:eastAsia="宋体" w:cs="宋体"/>
                <w:szCs w:val="21"/>
                <w:highlight w:val="none"/>
              </w:rPr>
              <w:t>★5、履约保证金</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1、履约保证金金额：合同金额的</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w:t>
            </w:r>
          </w:p>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2、履约保证金形式：银行、保险公司出具的保函或转账或电汇</w:t>
            </w:r>
          </w:p>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3、担保收件人：采购人；</w:t>
            </w:r>
          </w:p>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4、提交时间：签订本项目合同后；</w:t>
            </w:r>
          </w:p>
          <w:p>
            <w:pPr>
              <w:adjustRightInd w:val="0"/>
              <w:spacing w:line="240" w:lineRule="auto"/>
              <w:rPr>
                <w:rFonts w:hint="eastAsia" w:ascii="宋体" w:hAnsi="宋体" w:eastAsia="宋体" w:cs="宋体"/>
                <w:szCs w:val="21"/>
                <w:highlight w:val="none"/>
              </w:rPr>
            </w:pPr>
            <w:r>
              <w:rPr>
                <w:rFonts w:hint="eastAsia" w:ascii="宋体" w:hAnsi="宋体" w:eastAsia="宋体" w:cs="宋体"/>
                <w:szCs w:val="21"/>
                <w:highlight w:val="none"/>
              </w:rPr>
              <w:t>5、履约保证金的退取：系统通过终验后5个工作日内无息退还。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1219"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highlight w:val="none"/>
              </w:rPr>
            </w:pPr>
            <w:r>
              <w:rPr>
                <w:rFonts w:hint="eastAsia" w:ascii="宋体" w:hAnsi="宋体" w:eastAsia="宋体" w:cs="宋体"/>
                <w:szCs w:val="21"/>
                <w:highlight w:val="none"/>
              </w:rPr>
              <w:t>★6、质保期</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Cs w:val="22"/>
                <w:highlight w:val="none"/>
                <w:lang w:val="en-US" w:eastAsia="zh-CN"/>
              </w:rPr>
            </w:pPr>
            <w:r>
              <w:rPr>
                <w:rFonts w:hint="eastAsia" w:ascii="宋体" w:hAnsi="宋体" w:eastAsia="宋体" w:cs="宋体"/>
                <w:bCs/>
                <w:szCs w:val="22"/>
                <w:highlight w:val="none"/>
                <w:lang w:val="en-US" w:eastAsia="zh-CN"/>
              </w:rPr>
              <w:t>本项目采购装备免费</w:t>
            </w:r>
            <w:r>
              <w:rPr>
                <w:rFonts w:hint="eastAsia" w:ascii="宋体" w:hAnsi="宋体" w:eastAsia="宋体" w:cs="宋体"/>
                <w:bCs/>
                <w:szCs w:val="22"/>
                <w:highlight w:val="none"/>
              </w:rPr>
              <w:t>质保期</w:t>
            </w:r>
            <w:r>
              <w:rPr>
                <w:rFonts w:hint="eastAsia" w:ascii="宋体" w:hAnsi="宋体" w:eastAsia="宋体" w:cs="宋体"/>
                <w:bCs/>
                <w:szCs w:val="22"/>
                <w:highlight w:val="none"/>
                <w:lang w:val="en-US" w:eastAsia="zh-CN"/>
              </w:rPr>
              <w:t>和</w:t>
            </w:r>
            <w:r>
              <w:rPr>
                <w:rFonts w:hint="eastAsia" w:ascii="宋体" w:hAnsi="宋体" w:eastAsia="宋体" w:cs="宋体"/>
                <w:i w:val="0"/>
                <w:iCs w:val="0"/>
                <w:color w:val="auto"/>
                <w:kern w:val="0"/>
                <w:sz w:val="22"/>
                <w:szCs w:val="22"/>
                <w:highlight w:val="none"/>
                <w:u w:val="none"/>
                <w:lang w:val="en-US" w:eastAsia="zh-CN" w:bidi="ar"/>
              </w:rPr>
              <w:t>免费维保</w:t>
            </w:r>
            <w:r>
              <w:rPr>
                <w:rFonts w:hint="eastAsia" w:ascii="宋体" w:hAnsi="宋体" w:eastAsia="宋体" w:cs="宋体"/>
                <w:bCs/>
                <w:szCs w:val="22"/>
                <w:highlight w:val="none"/>
              </w:rPr>
              <w:t>不少于</w:t>
            </w:r>
            <w:r>
              <w:rPr>
                <w:rFonts w:hint="eastAsia" w:ascii="宋体" w:hAnsi="宋体" w:eastAsia="宋体" w:cs="宋体"/>
                <w:bCs/>
                <w:szCs w:val="22"/>
                <w:highlight w:val="none"/>
                <w:lang w:val="en-US" w:eastAsia="zh-CN"/>
              </w:rPr>
              <w:t>三</w:t>
            </w:r>
            <w:r>
              <w:rPr>
                <w:rFonts w:hint="eastAsia" w:ascii="宋体" w:hAnsi="宋体" w:eastAsia="宋体" w:cs="宋体"/>
                <w:bCs/>
                <w:szCs w:val="22"/>
                <w:highlight w:val="none"/>
              </w:rPr>
              <w:t>年，时间从</w:t>
            </w:r>
            <w:r>
              <w:rPr>
                <w:rFonts w:hint="eastAsia" w:ascii="宋体" w:hAnsi="宋体" w:eastAsia="宋体" w:cs="宋体"/>
                <w:szCs w:val="21"/>
                <w:highlight w:val="none"/>
              </w:rPr>
              <w:t>交货验收合格之日</w:t>
            </w:r>
            <w:r>
              <w:rPr>
                <w:rFonts w:hint="eastAsia" w:ascii="宋体" w:hAnsi="宋体" w:eastAsia="宋体" w:cs="宋体"/>
                <w:bCs/>
                <w:szCs w:val="22"/>
                <w:highlight w:val="none"/>
              </w:rPr>
              <w:t>起计算</w:t>
            </w:r>
            <w:r>
              <w:rPr>
                <w:rFonts w:hint="eastAsia" w:ascii="宋体" w:hAnsi="宋体" w:eastAsia="宋体" w:cs="宋体"/>
                <w:bCs/>
                <w:szCs w:val="22"/>
                <w:highlight w:val="none"/>
                <w:lang w:eastAsia="zh-CN"/>
              </w:rPr>
              <w:t>。</w:t>
            </w:r>
          </w:p>
          <w:p>
            <w:pPr>
              <w:spacing w:line="240" w:lineRule="auto"/>
              <w:jc w:val="left"/>
              <w:rPr>
                <w:rFonts w:hint="eastAsia" w:ascii="宋体" w:hAnsi="宋体" w:eastAsia="宋体" w:cs="宋体"/>
                <w:szCs w:val="21"/>
                <w:highlight w:val="none"/>
              </w:rPr>
            </w:pPr>
            <w:r>
              <w:rPr>
                <w:rFonts w:hint="eastAsia" w:ascii="宋体" w:hAnsi="宋体" w:eastAsia="宋体" w:cs="宋体"/>
                <w:bCs/>
                <w:szCs w:val="22"/>
                <w:highlight w:val="none"/>
              </w:rPr>
              <w:t>质保期内供应商须免费负责修理和替换任何由于配件自身的质量问题造成</w:t>
            </w:r>
            <w:r>
              <w:rPr>
                <w:rFonts w:hint="eastAsia" w:ascii="宋体" w:hAnsi="宋体" w:eastAsia="宋体" w:cs="宋体"/>
                <w:bCs/>
                <w:szCs w:val="22"/>
                <w:highlight w:val="none"/>
                <w:lang w:val="en-US" w:eastAsia="zh-CN"/>
              </w:rPr>
              <w:t>的</w:t>
            </w:r>
            <w:r>
              <w:rPr>
                <w:rFonts w:hint="eastAsia" w:ascii="宋体" w:hAnsi="宋体" w:eastAsia="宋体" w:cs="宋体"/>
                <w:bCs/>
                <w:szCs w:val="22"/>
                <w:highlight w:val="none"/>
              </w:rPr>
              <w:t>损坏。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1411" w:hRule="atLeast"/>
          <w:jc w:val="center"/>
        </w:trPr>
        <w:tc>
          <w:tcPr>
            <w:tcW w:w="178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highlight w:val="none"/>
              </w:rPr>
            </w:pPr>
            <w:r>
              <w:rPr>
                <w:rFonts w:hint="eastAsia" w:ascii="宋体" w:hAnsi="宋体" w:eastAsia="宋体" w:cs="宋体"/>
                <w:szCs w:val="21"/>
                <w:highlight w:val="none"/>
              </w:rPr>
              <w:t>★</w:t>
            </w:r>
            <w:r>
              <w:rPr>
                <w:rFonts w:hint="eastAsia" w:ascii="宋体" w:hAnsi="宋体" w:eastAsia="宋体" w:cs="宋体"/>
                <w:highlight w:val="none"/>
              </w:rPr>
              <w:t>7、售后服务</w:t>
            </w:r>
          </w:p>
          <w:p>
            <w:pPr>
              <w:spacing w:line="240" w:lineRule="auto"/>
              <w:jc w:val="center"/>
              <w:rPr>
                <w:rFonts w:hint="eastAsia" w:ascii="宋体" w:hAnsi="宋体" w:eastAsia="宋体" w:cs="宋体"/>
                <w:highlight w:val="none"/>
              </w:rPr>
            </w:pPr>
            <w:r>
              <w:rPr>
                <w:rFonts w:hint="eastAsia" w:ascii="宋体" w:hAnsi="宋体" w:eastAsia="宋体" w:cs="宋体"/>
                <w:highlight w:val="none"/>
              </w:rPr>
              <w:t>要求</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bCs/>
                <w:szCs w:val="22"/>
                <w:highlight w:val="none"/>
              </w:rPr>
              <w:t>在</w:t>
            </w:r>
            <w:r>
              <w:rPr>
                <w:rFonts w:hint="eastAsia" w:ascii="宋体" w:hAnsi="宋体" w:eastAsia="宋体" w:cs="宋体"/>
                <w:bCs/>
                <w:szCs w:val="22"/>
                <w:highlight w:val="none"/>
                <w:lang w:val="en-US" w:eastAsia="zh-CN"/>
              </w:rPr>
              <w:t>设备</w:t>
            </w:r>
            <w:r>
              <w:rPr>
                <w:rFonts w:hint="eastAsia" w:ascii="宋体" w:hAnsi="宋体" w:eastAsia="宋体" w:cs="宋体"/>
                <w:bCs/>
                <w:szCs w:val="22"/>
                <w:highlight w:val="none"/>
              </w:rPr>
              <w:t>保修期内，一旦发生质量问题，</w:t>
            </w:r>
            <w:r>
              <w:rPr>
                <w:rFonts w:hint="eastAsia" w:ascii="宋体" w:hAnsi="宋体" w:eastAsia="宋体" w:cs="宋体"/>
                <w:bCs/>
                <w:szCs w:val="22"/>
                <w:highlight w:val="none"/>
                <w:lang w:val="en-US" w:eastAsia="zh-CN"/>
              </w:rPr>
              <w:t>成交供应商须在接到用户通知后30分钟内响应，</w:t>
            </w:r>
            <w:r>
              <w:rPr>
                <w:rFonts w:hint="eastAsia" w:ascii="宋体" w:hAnsi="宋体" w:eastAsia="宋体" w:cs="宋体"/>
                <w:highlight w:val="none"/>
              </w:rPr>
              <w:t>在</w:t>
            </w:r>
            <w:r>
              <w:rPr>
                <w:rFonts w:hint="eastAsia" w:ascii="宋体" w:hAnsi="宋体" w:eastAsia="宋体" w:cs="宋体"/>
                <w:highlight w:val="none"/>
                <w:lang w:val="en-US" w:eastAsia="zh-CN"/>
              </w:rPr>
              <w:t>6</w:t>
            </w:r>
            <w:r>
              <w:rPr>
                <w:rFonts w:hint="eastAsia" w:ascii="宋体" w:hAnsi="宋体" w:eastAsia="宋体" w:cs="宋体"/>
                <w:highlight w:val="none"/>
              </w:rPr>
              <w:t>小时内排除故障</w:t>
            </w:r>
            <w:r>
              <w:rPr>
                <w:rFonts w:hint="eastAsia" w:ascii="宋体" w:hAnsi="宋体" w:eastAsia="宋体" w:cs="宋体"/>
                <w:highlight w:val="none"/>
                <w:lang w:eastAsia="zh-CN"/>
              </w:rPr>
              <w:t>，</w:t>
            </w:r>
            <w:r>
              <w:rPr>
                <w:rFonts w:hint="eastAsia" w:ascii="宋体" w:hAnsi="宋体" w:eastAsia="宋体" w:cs="宋体"/>
                <w:highlight w:val="none"/>
              </w:rPr>
              <w:t>特殊情况下48小时解决。</w:t>
            </w:r>
            <w:r>
              <w:rPr>
                <w:rFonts w:hint="eastAsia" w:ascii="宋体" w:hAnsi="宋体" w:eastAsia="宋体" w:cs="宋体"/>
                <w:bCs/>
                <w:szCs w:val="22"/>
                <w:highlight w:val="none"/>
              </w:rPr>
              <w:t>如需更换</w:t>
            </w:r>
            <w:r>
              <w:rPr>
                <w:rFonts w:hint="eastAsia" w:ascii="宋体" w:hAnsi="宋体" w:eastAsia="宋体" w:cs="宋体"/>
                <w:bCs/>
                <w:szCs w:val="22"/>
                <w:highlight w:val="none"/>
                <w:lang w:val="en-US" w:eastAsia="zh-CN"/>
              </w:rPr>
              <w:t>或</w:t>
            </w:r>
            <w:r>
              <w:rPr>
                <w:rFonts w:hint="eastAsia" w:ascii="宋体" w:hAnsi="宋体" w:eastAsia="宋体" w:cs="宋体"/>
                <w:bCs/>
                <w:szCs w:val="22"/>
                <w:highlight w:val="none"/>
              </w:rPr>
              <w:t>送修的，在</w:t>
            </w:r>
            <w:r>
              <w:rPr>
                <w:rFonts w:hint="eastAsia" w:ascii="宋体" w:hAnsi="宋体" w:eastAsia="宋体" w:cs="宋体"/>
                <w:bCs/>
                <w:szCs w:val="22"/>
                <w:highlight w:val="none"/>
                <w:lang w:val="en-US" w:eastAsia="zh-CN"/>
              </w:rPr>
              <w:t>5</w:t>
            </w:r>
            <w:r>
              <w:rPr>
                <w:rFonts w:hint="eastAsia" w:ascii="宋体" w:hAnsi="宋体" w:eastAsia="宋体" w:cs="宋体"/>
                <w:bCs/>
                <w:szCs w:val="22"/>
                <w:highlight w:val="none"/>
              </w:rPr>
              <w:t>个工作日内完成，质量保证期内出现质量问题,</w:t>
            </w:r>
            <w:r>
              <w:rPr>
                <w:rFonts w:hint="eastAsia" w:ascii="宋体" w:hAnsi="宋体" w:eastAsia="宋体" w:cs="宋体"/>
                <w:bCs/>
                <w:szCs w:val="22"/>
                <w:highlight w:val="none"/>
                <w:lang w:val="en-US" w:eastAsia="zh-CN"/>
              </w:rPr>
              <w:t>成交供应商</w:t>
            </w:r>
            <w:r>
              <w:rPr>
                <w:rFonts w:hint="eastAsia" w:ascii="宋体" w:hAnsi="宋体" w:eastAsia="宋体" w:cs="宋体"/>
                <w:bCs/>
                <w:szCs w:val="22"/>
                <w:highlight w:val="none"/>
              </w:rPr>
              <w:t>负责包修、包退、包换。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869" w:hRule="atLeast"/>
          <w:jc w:val="center"/>
        </w:trPr>
        <w:tc>
          <w:tcPr>
            <w:tcW w:w="1780"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highlight w:val="none"/>
              </w:rPr>
            </w:pPr>
            <w:r>
              <w:rPr>
                <w:rFonts w:hint="eastAsia" w:ascii="宋体" w:hAnsi="宋体" w:eastAsia="宋体" w:cs="宋体"/>
                <w:szCs w:val="21"/>
                <w:highlight w:val="none"/>
              </w:rPr>
              <w:t>★</w:t>
            </w:r>
            <w:r>
              <w:rPr>
                <w:rFonts w:hint="eastAsia" w:ascii="宋体" w:hAnsi="宋体" w:eastAsia="宋体" w:cs="宋体"/>
                <w:bCs/>
                <w:highlight w:val="none"/>
              </w:rPr>
              <w:t>8、</w:t>
            </w:r>
            <w:r>
              <w:rPr>
                <w:rFonts w:hint="eastAsia" w:ascii="宋体" w:hAnsi="宋体" w:eastAsia="宋体" w:cs="宋体"/>
                <w:highlight w:val="none"/>
              </w:rPr>
              <w:t>其他</w:t>
            </w:r>
          </w:p>
        </w:tc>
        <w:tc>
          <w:tcPr>
            <w:tcW w:w="71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highlight w:val="none"/>
              </w:rPr>
            </w:pPr>
            <w:r>
              <w:rPr>
                <w:rFonts w:hint="eastAsia" w:ascii="宋体" w:hAnsi="宋体" w:eastAsia="宋体" w:cs="宋体"/>
                <w:highlight w:val="none"/>
              </w:rPr>
              <w:t>1、在采购及合同执行过程中，供应商应承担由于其行为所造成的人身伤害、财产损失或损坏的责任，无论何种原因所造成，采购人均不负责。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869" w:hRule="atLeast"/>
          <w:jc w:val="center"/>
        </w:trPr>
        <w:tc>
          <w:tcPr>
            <w:tcW w:w="1780" w:type="dxa"/>
            <w:vMerge w:val="continue"/>
            <w:tcBorders>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highlight w:val="none"/>
              </w:rPr>
            </w:pPr>
          </w:p>
        </w:tc>
        <w:tc>
          <w:tcPr>
            <w:tcW w:w="71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highlight w:val="none"/>
              </w:rPr>
            </w:pPr>
            <w:r>
              <w:rPr>
                <w:rFonts w:hint="eastAsia" w:ascii="宋体" w:hAnsi="宋体" w:eastAsia="宋体" w:cs="宋体"/>
                <w:highlight w:val="none"/>
              </w:rPr>
              <w:t>2、在合同履行过程中，成交供应商不得存在与本项目实施有利害冲突，影响或可能影响考核公正的情形，一旦出现，采购人有权</w:t>
            </w:r>
            <w:r>
              <w:rPr>
                <w:rFonts w:hint="eastAsia" w:ascii="宋体" w:hAnsi="宋体" w:eastAsia="宋体" w:cs="宋体"/>
                <w:szCs w:val="21"/>
                <w:highlight w:val="none"/>
              </w:rPr>
              <w:t>解除合同。</w:t>
            </w:r>
          </w:p>
        </w:tc>
      </w:tr>
    </w:tbl>
    <w:p>
      <w:pPr>
        <w:pStyle w:val="86"/>
        <w:spacing w:before="156" w:line="400" w:lineRule="exact"/>
        <w:ind w:firstLine="0" w:firstLineChars="0"/>
        <w:rPr>
          <w:rFonts w:hint="eastAsia" w:ascii="宋体" w:hAnsi="宋体" w:eastAsia="宋体" w:cs="宋体"/>
          <w:b/>
          <w:kern w:val="2"/>
          <w:sz w:val="21"/>
          <w:szCs w:val="21"/>
          <w:highlight w:val="none"/>
        </w:rPr>
      </w:pPr>
    </w:p>
    <w:p>
      <w:pPr>
        <w:pStyle w:val="86"/>
        <w:keepNext w:val="0"/>
        <w:keepLines w:val="0"/>
        <w:pageBreakBefore w:val="0"/>
        <w:widowControl/>
        <w:numPr>
          <w:ilvl w:val="0"/>
          <w:numId w:val="3"/>
        </w:numPr>
        <w:kinsoku/>
        <w:wordWrap/>
        <w:overflowPunct/>
        <w:topLinePunct w:val="0"/>
        <w:autoSpaceDE/>
        <w:autoSpaceDN/>
        <w:bidi w:val="0"/>
        <w:adjustRightInd/>
        <w:snapToGrid/>
        <w:spacing w:before="156" w:line="264" w:lineRule="auto"/>
        <w:ind w:firstLine="0" w:firstLineChars="0"/>
        <w:textAlignment w:val="auto"/>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br w:type="page"/>
      </w:r>
      <w:r>
        <w:rPr>
          <w:rFonts w:hint="eastAsia" w:ascii="宋体" w:hAnsi="宋体" w:eastAsia="宋体" w:cs="宋体"/>
          <w:b/>
          <w:kern w:val="2"/>
          <w:sz w:val="21"/>
          <w:szCs w:val="21"/>
          <w:highlight w:val="none"/>
        </w:rPr>
        <w:t>技术要求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lang w:val="en-US" w:eastAsia="zh-CN"/>
        </w:rPr>
        <w:t>1.</w:t>
      </w:r>
      <w:r>
        <w:rPr>
          <w:rFonts w:hint="eastAsia" w:ascii="宋体" w:hAnsi="宋体" w:eastAsia="宋体" w:cs="宋体"/>
          <w:b/>
          <w:kern w:val="2"/>
          <w:sz w:val="21"/>
          <w:szCs w:val="21"/>
          <w:highlight w:val="none"/>
        </w:rPr>
        <w:t>项目依据、背景与现状分析</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1.1.项目依据</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 总体技术规范》GA/T1056-2013</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 空口接口物理层及数据链路层技术规范》GA/T1057-2013</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《警用数字集群(PDT)通信系统空口接口呼叫控制层技术规范》GA/T1058-2013</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 安全技术规范》GA/T1059-2013</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 移动终端技术规范》</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 互联技术规范》</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《警用数字集群(PDT)通信系统 测试规范》</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1.2.项目背景</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根据国家工信部文件规定，将逐步完成无线通信由模拟系统向数字系统的过渡。同时，目前无线频率日益紧张，模拟集群系统扩容改造已难以进行，现有模拟系统的诸多弊端逐渐显现，有必要将现有的模拟集群系统改造为数字集群系统，以提供频率利用率和扩展新业务应用。</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公安350兆数字集群(PDT标准)系统(简称PDT)建设，是全国公安装备建设“十二五”规划的重点建设项目之一，为此，在警用无线通讯向数字化发展成为必然的情况下，宁波市公安局高新区分局开展PDT数字集群建设已经势在必行。</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PDT（Public Digital Trunking）标准是在2008年，由公安部科技信息化局召集国内部分有能力的厂商研讨基于中国国情的警用无线数字集群系统新体制，以实现现有公安无线模拟系统向数字系统的平滑过渡。并为了满足中国专业领域无线通信的数字化需求、解决高速公路、农村和山区覆盖。PDT标准参考了MPT，Tetra，P25和DMR标准，根据专业通信需求而制定的数字集群标准。它具有如下特征：</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1）大区制；</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2）支持数字加密；</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3）支持全国范围的联网；</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 xml:space="preserve">4）满足MPT1327到PDT的平滑过渡。 </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 xml:space="preserve">5）两个时隙的时分多址(TDMA)技术，载波带宽为12.5KHz。 </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MPT1327模拟集群系统存在用户容量不足，频率利用率差等问题。原来基于模拟语音调度的工作模式已经在很多情况下不再适用了，GPS定位，语音的加密等需求是原有的模拟通信设备较难提供的。这些都加大了对技术提升的需要，需要用更先进和更完整的PDT来支撑和满足现在及将来的用户基本的和高级的功能及应用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lang w:val="en-US" w:eastAsia="zh-CN"/>
        </w:rPr>
        <w:t>2、</w:t>
      </w:r>
      <w:r>
        <w:rPr>
          <w:rFonts w:hint="eastAsia" w:ascii="宋体" w:hAnsi="宋体" w:eastAsia="宋体" w:cs="宋体"/>
          <w:b/>
          <w:bCs w:val="0"/>
          <w:kern w:val="2"/>
          <w:sz w:val="21"/>
          <w:szCs w:val="21"/>
          <w:highlight w:val="none"/>
        </w:rPr>
        <w:t>项目的需求与建设思路</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2.1.项目的需求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2.1.1.互联互通需求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结合宁波市公安局高新区分局实际，新建350兆数字集群通信系统应按照“统一设计，分期建设，平滑过渡，逐步完善”的原则进行。</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2.1.2.覆盖需求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城区范围和重点乡镇要求全覆盖，政府部门周围、重要部门、公园广场、敏感地带、主要道路、工业基地、高密度城市中心地带、交通枢纽、风景名胜区等人员密集地带是重点覆盖区域，实现这些区域的室外空间无线信号全覆盖，同时兼顾一般地区的日常通信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在本次建设中，应首先保障高新区全覆盖。同时提供针对多山的地形，必须有一套完整有效的方案作为辅助通信手段以保障突发事件下的应急通信。</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2.1.3.信息安全保密需求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bCs w:val="0"/>
          <w:kern w:val="2"/>
          <w:sz w:val="21"/>
          <w:szCs w:val="21"/>
          <w:highlight w:val="none"/>
        </w:rPr>
      </w:pPr>
      <w:r>
        <w:rPr>
          <w:rFonts w:hint="eastAsia" w:ascii="宋体" w:hAnsi="宋体" w:eastAsia="宋体" w:cs="宋体"/>
          <w:b w:val="0"/>
          <w:bCs/>
          <w:kern w:val="2"/>
          <w:sz w:val="21"/>
          <w:szCs w:val="21"/>
          <w:highlight w:val="none"/>
        </w:rPr>
        <w:t>系统应对**工作中通信信息的安全和保密具有针对性措施，需要对网内用户身份进行识别授权、网络管理及调度员的权限应可以分级设置、终端到终端的数据应进行加密。</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2.1.4.功能需求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350兆无线数字集群通信系统不仅能实现单呼、组呼、全呼、紧急呼叫等语音调度功能，还应实现短消息发送、终端GPS定位，结合PGIS（警用地理信息系统）进行可视化指挥调度、警情信息下发、**信息查询等拓展功能，完成可视化调度台等模块建设。此外，系统还应留有功能强大的二次开发API接口，满足后期根据不同业务进行针对性开发的要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2.1.5.系统稳定性需求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bCs w:val="0"/>
          <w:kern w:val="2"/>
          <w:sz w:val="21"/>
          <w:szCs w:val="21"/>
          <w:highlight w:val="none"/>
        </w:rPr>
      </w:pPr>
      <w:r>
        <w:rPr>
          <w:rFonts w:hint="eastAsia" w:ascii="宋体" w:hAnsi="宋体" w:eastAsia="宋体" w:cs="宋体"/>
          <w:b w:val="0"/>
          <w:bCs/>
          <w:kern w:val="2"/>
          <w:sz w:val="21"/>
          <w:szCs w:val="21"/>
          <w:highlight w:val="none"/>
        </w:rPr>
        <w:t>系统要求具有高可靠性。基站支持链路热备份，主链路故障时备份链路自动接管，当单个基站所有链路故障时，可转化为单基站模式运行，继续为覆盖区域提供通信服务。各基站应具备控制信道备份功能，当控制信道发生故障时，可实时切换备用控制信道，保障基站正常工作。</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2.1.6.用户容量需求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勤务中使用对讲机的在线用户数是基站规划的一个重要参数。对讲机的数量、分布状况、平均呼叫次数及通话时长等指标对于确定基站的分布和载频数具有重要意义。新建PDT系统容量应根据各项指标合理配置，原则上在保证满足各地日常**工作的需求上，留有一定冗余量。重要场馆，广场等地区，要考虑到特殊时期的通信需求，加大冗余量。同时系统应支持共享控制信道，在话务量激增时能够具有相应的解决方案。</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2.2.项目建设思路</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2.2.1.新建PDT数字集群系统应具有高可靠性</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高新区在向现代化城市迈进的过程中，城市应急管理和社会治安越来越复杂，最近10年来高新区的社会、经济以前所未有的速度发展，同时高新区内面临的大型活动、安全保障任务也越来越多，因此新建设的PDT数字集群系统应具有高可靠性，保证在日常执勤、突发任务时，都能有一套可靠、稳定的无集群系统提供给公安等保卫部门使用，为社会、经济、文化的发展保驾护航。</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2.2.2.数字集群建设中应保护原有投资</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近些年来，经过高新区各级公安机关的共同努力，已经逐步建立了覆盖主要区域的350兆警用无线模拟通信网络。目前已建设有多个模拟基站，在用终端达千台，建设期间，人力、物力、财力都进行了大量投入，因此，本次高新区分局无线通信扩容补盲过程当中，如何对原有投资进行保护非常重要从而保障全区无盲点并且信号好。</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2.2.3.新建系统应充分结合实际情况</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高新区地势平坦、 高层建筑物密集，信号不能覆盖的区域必然也多，必须要有一套完整的方案作为辅助通信手段以保障突发事件下的应急通信。</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rPr>
      </w:pPr>
      <w:r>
        <w:rPr>
          <w:rFonts w:hint="eastAsia" w:ascii="宋体" w:hAnsi="宋体" w:eastAsia="宋体" w:cs="宋体"/>
          <w:b w:val="0"/>
          <w:bCs/>
          <w:kern w:val="2"/>
          <w:sz w:val="21"/>
          <w:szCs w:val="21"/>
          <w:highlight w:val="none"/>
        </w:rPr>
        <w:t>此外，从投资效率角度考虑，网络规划当中，固定基站的载波数量是根据日常语音与数据业务的数量来确定的，这在大型活动或突发事件等话务量激增的情况时，难免会出现信道容量不够的情况，造成用户登记慢、信道堵塞等情况出现，给指挥调度、现场联络造成不便，针对这种情况，也应在网络建设中作为重点来考虑并解决。</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422" w:firstLineChars="200"/>
        <w:textAlignment w:val="auto"/>
        <w:rPr>
          <w:rFonts w:hint="eastAsia" w:ascii="宋体" w:hAnsi="宋体" w:eastAsia="宋体" w:cs="宋体"/>
          <w:b/>
          <w:bCs w:val="0"/>
          <w:kern w:val="2"/>
          <w:sz w:val="21"/>
          <w:szCs w:val="21"/>
          <w:highlight w:val="none"/>
        </w:rPr>
      </w:pPr>
      <w:r>
        <w:rPr>
          <w:rFonts w:hint="eastAsia" w:ascii="宋体" w:hAnsi="宋体" w:eastAsia="宋体" w:cs="宋体"/>
          <w:b/>
          <w:bCs w:val="0"/>
          <w:kern w:val="2"/>
          <w:sz w:val="21"/>
          <w:szCs w:val="21"/>
          <w:highlight w:val="none"/>
        </w:rPr>
        <w:t>现状：现阶段高新区分局已经建立基站2个分别：涌金；研发园，研发园是在2016年4月建设数字PDT基站，涌金基站是在2011年建设模拟站并在2016年6月改造升级数字PDT基站并80%设备利旧模拟站设备，大部分设备已经使用10年严重老化基站信号经常中断，完全影响我们日常接处警和安保维稳混工作。建议在原有基础上新建PDT基站。</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3.高新区公安PDT数字集群解决方案</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3.1.设计原则与参考规范</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3.1.1.系统设计原则</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211" w:firstLineChars="100"/>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（1）开放性与兼容性</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系统和终端设备应符合公安部发布的《警用数字集群(PDT)通信系统-总体技术规范》，系统和终端必须通过PDT联盟组织的M1测试，确保不同厂家的系统能够互联互通，系统能够兼容所有符合PDT标准的终端。具有数模兼容功能的移动终端其模拟集群制式需满足GA176-1998《公安移动通信网警用自动级规范》，以保证与现有模拟集群网络的兼容性。</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211" w:firstLineChars="100"/>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（2）可靠性</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网络结构的可靠性：系统设备支持环网状的网络拓扑结构，确保不会因为单点故障造成全网中断。</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系统设备的可靠性：关键子系统或设备采用热备份。优先确保主系统正常、稳定、可靠地连续运行，将相关子系统发生故障的可能性降到最低。</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211" w:firstLineChars="100"/>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（3）可管理性</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具有先进而完善的管理功能，能够实现对系统物理设备与用户数据、策略权限的分层管理。管理平台应采用友好的、易操作的全中文界面，方便管理人员对系统、设备及终端实施管理。</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211" w:firstLineChars="100"/>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（4）可维护性</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系统设备具有模块化的结构，易于设备更换维护，并支持基站参数的远程配置。</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ind w:firstLine="211" w:firstLineChars="100"/>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（5）先进性和前瞻性</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充分考虑无线通信技术的发展趋势，及时应用国内外最新技术，系统设备的设计应支持随着技术革新带来的升级；系统组网设计科学合理，符合用户实际应用需求。</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3.1.2.参考规范</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GB/T 15844.2-1995《移动通信调频无线电话机环境要求和试验方法》</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GB/T 13426-1992《数字通信设备的可靠性要求和试验方法》</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GA/T 1056-2013 《警用数字集群（PDT）通信系统 总体技术规范》</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GA/T 1057-2013 《警用数字集群（PDT）通信系统 空中接口物理层及数据链路层技术规范》</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GA/T 1058-2013 《警用数字集群（PDT）通信系统 空中接口呼叫控制层技术规范》</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GA/T 1059-2013 《警用数字集群（PDT）通信系统 安全技术规范》</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《公安部数字集群通信指挥系统项目总体技术要求》以及后续将发布的PDT相关标准</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《浙江公安PDT数字集群通信系统互联技术规范》</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3.2.系统架构说明</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高新区公安350M PDT数字集群系统，建设1套PDT固定基站（1套6载波）。</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3.2.1.固定基站建设</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基站是系统无线用户接入设备，完成空口信令的发射、接收，底层的呼叫控制功能，在多基站的系统中，基站需要交换中心的配合才可以完成跨基站呼叫、网关呼叫等功能。而当基站与交换中心链路断开时，支持单站集群功能，保证提供基本集群业务。</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高新区公安350M PDT数字集群系统，建设1套PDT固定基站（1套6载波）。</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同时，系统中的各类基站均支持多控制信道与共享控制信道。在大型活动或突发事件时除了要对临时地区进行覆盖以外，还会发生话务量激增的情况，这时原有基站的信道容量难免会出现容量不够的情况，造成用户登记慢、信道堵塞等情况出现，给指挥调度、现场联络造成不便。</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多控制信道功能不仅提高了基站的可靠性，还可提升基站的用户并发接入性能；共享控制信道功能，可以将移动基站与原有固定基站控制信道共享，在突发事件话务量激增时，将移动基站作为固定基站的载波扩容，缓解了大话务量造成的信道堵塞情况。</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3.3.系统高可靠性实现方案</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3.3.1.原有模拟终端互联对接</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系统配套模数互通网关，可以与原有模拟对讲机进行互联。实现模拟与数字的互通。大大降低了新建系统的成本和原有资源的利用。</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3.3.2.基站控制器BSC主备</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基站的控制器采用双热备份，一旦主用板故障后，原备用板自动切换为主用，接管基站的业务处理。基站正常运行时，主备板间保持实时同步，因此主备切换时业务处理将不受影响。</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3.3.3.传输链路备份</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链路之间采用备份链路的模式，将链路中断或链路故障引发的设备故障概率降到最低。传输链路备份主要包括基站到交换中心的链路备份和交换中心之间链路备份。链路可采用E1/IP。</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3.3.4.故障弱化功能</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当基站和中心设备之间的线路连接出现故障时或交换机因故障原因退出服务时，基站将自动进入故障弱化工作模式，通话组保持不变，具有组呼、优先级、紧急呼叫等基本集群功能，为其覆盖区内的移动用户提供话音服务；基站能自动监测和交换机的通信，一旦连接恢复正常，基站将自动返回系统正常集群模式。当故障排除后，系统自动恢复到正常运行状态，而用户的通话组也不用做任何调整，仍可按原来的通话组方式通信。</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故障弱化情况下支持的主要功能包括：</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基站入网登记</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基站信道动态分配</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控制信道备份</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组呼</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紧急呼叫</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迟后加入</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新近用户优先</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讲话方号码显示、来电显示</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单站集群提示</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漫游用户登记</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遇忙排队回叫</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  提供单站安全保障方案，防止非注册用户入侵网络</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3.4.通信信息安全保密方案</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3.4.1.声码器</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3.4.1.1.终端声码器</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声码器是PDT终端中的重要组成部分，主要用于数字电话通信，特别是保密电话通信。声码器在发送端对语言信号进行分析，提取出语言信号的特征参量加以编码和加密，以取得和信道的匹配，经信道传递到接受端，再根据收到的特征参量恢复原始语言波形。</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浙江省PDT终端统一采用AMBE++作为声码器。考虑到不同声码器之间不能互通，加密算法不同，声码器的选择对于终端而言应非常慎重，因此，目前PDT终端支持AMBE声码器。</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3.4.1.2.系统声码器</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PDT数字集群系统的基站中嵌入声码器，以和终端声码器对应，当两者的声码器相同时，才能够将信号解码，否则只能将信号转发，相同声码器的终端可以通话，系统调度台将无法与终端通话，因此在建设时必须采用声码器相同的系统和终端。</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3.5.业务融合方案</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本次项目中PDT数字集群系统与其它系统的业务融合主要包括：1、与pGIS系统对接；2、使用模数互通网关把原有模拟对讲机进行互通利用。</w:t>
      </w:r>
    </w:p>
    <w:p>
      <w:pPr>
        <w:pStyle w:val="86"/>
        <w:keepNext w:val="0"/>
        <w:keepLines w:val="0"/>
        <w:pageBreakBefore w:val="0"/>
        <w:widowControl/>
        <w:numPr>
          <w:ilvl w:val="0"/>
          <w:numId w:val="0"/>
        </w:numPr>
        <w:kinsoku/>
        <w:wordWrap/>
        <w:overflowPunct/>
        <w:topLinePunct w:val="0"/>
        <w:autoSpaceDE/>
        <w:autoSpaceDN/>
        <w:bidi w:val="0"/>
        <w:adjustRightInd/>
        <w:snapToGrid/>
        <w:spacing w:before="156" w:line="264" w:lineRule="auto"/>
        <w:textAlignment w:val="auto"/>
        <w:rPr>
          <w:rFonts w:hint="eastAsia" w:ascii="宋体" w:hAnsi="宋体" w:eastAsia="宋体" w:cs="宋体"/>
          <w:b/>
          <w:bCs w:val="0"/>
          <w:kern w:val="2"/>
          <w:sz w:val="21"/>
          <w:szCs w:val="21"/>
          <w:highlight w:val="none"/>
          <w:lang w:val="en-US" w:eastAsia="zh-CN"/>
        </w:rPr>
      </w:pPr>
      <w:r>
        <w:rPr>
          <w:rFonts w:hint="eastAsia" w:ascii="宋体" w:hAnsi="宋体" w:eastAsia="宋体" w:cs="宋体"/>
          <w:b/>
          <w:bCs w:val="0"/>
          <w:kern w:val="2"/>
          <w:sz w:val="21"/>
          <w:szCs w:val="21"/>
          <w:highlight w:val="none"/>
          <w:lang w:val="en-US" w:eastAsia="zh-CN"/>
        </w:rPr>
        <w:t>3.6.频率规划方案</w:t>
      </w:r>
    </w:p>
    <w:p>
      <w:pPr>
        <w:pStyle w:val="8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6" w:line="264" w:lineRule="auto"/>
        <w:ind w:firstLine="420" w:firstLineChars="200"/>
        <w:textAlignment w:val="auto"/>
        <w:rPr>
          <w:rFonts w:hint="eastAsia" w:ascii="宋体" w:hAnsi="宋体" w:eastAsia="宋体" w:cs="宋体"/>
          <w:b w:val="0"/>
          <w:bCs/>
          <w:kern w:val="2"/>
          <w:sz w:val="21"/>
          <w:szCs w:val="21"/>
          <w:highlight w:val="none"/>
          <w:lang w:val="en-US" w:eastAsia="zh-CN"/>
        </w:rPr>
      </w:pPr>
      <w:r>
        <w:rPr>
          <w:rFonts w:hint="eastAsia" w:ascii="宋体" w:hAnsi="宋体" w:eastAsia="宋体" w:cs="宋体"/>
          <w:b w:val="0"/>
          <w:bCs/>
          <w:kern w:val="2"/>
          <w:sz w:val="21"/>
          <w:szCs w:val="21"/>
          <w:highlight w:val="none"/>
          <w:lang w:val="en-US" w:eastAsia="zh-CN"/>
        </w:rPr>
        <w:t>依据《浙江省350兆PDT系统互联规范》进行频率规划。</w:t>
      </w:r>
    </w:p>
    <w:bookmarkEnd w:id="2"/>
    <w:p>
      <w:pPr>
        <w:pStyle w:val="19"/>
        <w:numPr>
          <w:ilvl w:val="0"/>
          <w:numId w:val="0"/>
        </w:numPr>
        <w:rPr>
          <w:rFonts w:hint="eastAsia" w:ascii="宋体" w:hAnsi="宋体" w:eastAsia="宋体" w:cs="宋体"/>
          <w:b/>
          <w:bCs/>
          <w:sz w:val="21"/>
          <w:szCs w:val="21"/>
          <w:highlight w:val="none"/>
          <w:lang w:val="en-US" w:eastAsia="zh-CN"/>
        </w:rPr>
      </w:pPr>
    </w:p>
    <w:p>
      <w:pPr>
        <w:pStyle w:val="19"/>
        <w:numPr>
          <w:ilvl w:val="0"/>
          <w:numId w:val="0"/>
        </w:numP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4.高新区公安分局PDT数字集群系统配置</w:t>
      </w:r>
    </w:p>
    <w:p>
      <w:pPr>
        <w:pStyle w:val="19"/>
        <w:numPr>
          <w:ilvl w:val="0"/>
          <w:numId w:val="0"/>
        </w:numP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4.1建设配置清单</w:t>
      </w:r>
    </w:p>
    <w:tbl>
      <w:tblPr>
        <w:tblStyle w:val="44"/>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455"/>
        <w:gridCol w:w="4021"/>
        <w:gridCol w:w="708"/>
        <w:gridCol w:w="923"/>
        <w:gridCol w:w="91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wBefore w:w="0" w:type="dxa"/>
          <w:trHeight w:val="527"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设备名称</w:t>
            </w:r>
          </w:p>
        </w:tc>
        <w:tc>
          <w:tcPr>
            <w:tcW w:w="4021"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详细参数</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数量</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数量</w:t>
            </w:r>
          </w:p>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单位</w:t>
            </w:r>
          </w:p>
        </w:tc>
        <w:tc>
          <w:tcPr>
            <w:tcW w:w="917"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一</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6载波PDT固定基站</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bCs/>
                <w:i w:val="0"/>
                <w:iCs w:val="0"/>
                <w:color w:val="auto"/>
                <w:sz w:val="22"/>
                <w:szCs w:val="22"/>
                <w:highlight w:val="none"/>
                <w:u w:val="none"/>
              </w:rPr>
            </w:pP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套</w:t>
            </w:r>
          </w:p>
        </w:tc>
        <w:tc>
          <w:tcPr>
            <w:tcW w:w="917" w:type="dxa"/>
            <w:tcBorders>
              <w:tl2br w:val="nil"/>
              <w:tr2bl w:val="nil"/>
            </w:tcBorders>
            <w:noWrap w:val="0"/>
            <w:vAlign w:val="center"/>
          </w:tcPr>
          <w:p>
            <w:pPr>
              <w:spacing w:line="240" w:lineRule="auto"/>
              <w:jc w:val="center"/>
              <w:rPr>
                <w:rFonts w:hint="eastAsia" w:ascii="宋体" w:hAnsi="宋体" w:eastAsia="宋体" w:cs="宋体"/>
                <w:b/>
                <w:bCs/>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PDT多载波机柜装配</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1600mm基站机柜组合（立式包装）</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风扇模块</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风扇模块（FAN）</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350M多载波基站信道机</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多载波收发信机</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警用数字集群基站软件</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警用数字集群基站软件</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基站控制器</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基站控制模块（BSC）</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电源模块</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电源模块（PSM）</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一次电源模块</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AC-DC电源模块,176-300V,48V/30A+30A,品插</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双工器</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双工器,上行351~356MHz, 下行361~366MHz</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台</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天馈系统</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RFDS含天线、馈线、防雷设施等</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二</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基站安装调试</w:t>
            </w:r>
          </w:p>
        </w:tc>
        <w:tc>
          <w:tcPr>
            <w:tcW w:w="4021" w:type="dxa"/>
            <w:tcBorders>
              <w:tl2br w:val="nil"/>
              <w:tr2bl w:val="nil"/>
            </w:tcBorders>
            <w:noWrap w:val="0"/>
            <w:vAlign w:val="center"/>
          </w:tcPr>
          <w:p>
            <w:pPr>
              <w:spacing w:line="240" w:lineRule="auto"/>
              <w:jc w:val="left"/>
              <w:rPr>
                <w:rFonts w:hint="eastAsia" w:ascii="宋体" w:hAnsi="宋体" w:eastAsia="宋体" w:cs="宋体"/>
                <w:b/>
                <w:bCs/>
                <w:i w:val="0"/>
                <w:iCs w:val="0"/>
                <w:color w:val="auto"/>
                <w:sz w:val="22"/>
                <w:szCs w:val="22"/>
                <w:highlight w:val="none"/>
                <w:u w:val="none"/>
              </w:rPr>
            </w:pP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项</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涌金基站维护</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质保不少于三年+免费维保不少于三年</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研发园基站维护</w:t>
            </w:r>
          </w:p>
        </w:tc>
        <w:tc>
          <w:tcPr>
            <w:tcW w:w="4021" w:type="dxa"/>
            <w:tcBorders>
              <w:tl2br w:val="nil"/>
              <w:tr2bl w:val="nil"/>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有偿维保一年</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680"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455"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原基站设备天馈拆除</w:t>
            </w:r>
          </w:p>
        </w:tc>
        <w:tc>
          <w:tcPr>
            <w:tcW w:w="4021" w:type="dxa"/>
            <w:tcBorders>
              <w:tl2br w:val="nil"/>
              <w:tr2bl w:val="nil"/>
            </w:tcBorders>
            <w:noWrap w:val="0"/>
            <w:vAlign w:val="center"/>
          </w:tcPr>
          <w:p>
            <w:pPr>
              <w:spacing w:line="240" w:lineRule="auto"/>
              <w:jc w:val="left"/>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原基站设备天馈拆除</w:t>
            </w:r>
          </w:p>
        </w:tc>
        <w:tc>
          <w:tcPr>
            <w:tcW w:w="708"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23" w:type="dxa"/>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w:t>
            </w:r>
          </w:p>
        </w:tc>
        <w:tc>
          <w:tcPr>
            <w:tcW w:w="917" w:type="dxa"/>
            <w:tcBorders>
              <w:tl2br w:val="nil"/>
              <w:tr2bl w:val="nil"/>
            </w:tcBorders>
            <w:noWrap w:val="0"/>
            <w:vAlign w:val="center"/>
          </w:tcPr>
          <w:p>
            <w:pPr>
              <w:spacing w:line="240" w:lineRule="auto"/>
              <w:jc w:val="center"/>
              <w:rPr>
                <w:rFonts w:hint="eastAsia" w:ascii="宋体" w:hAnsi="宋体" w:eastAsia="宋体" w:cs="宋体"/>
                <w:i w:val="0"/>
                <w:iCs w:val="0"/>
                <w:color w:val="auto"/>
                <w:sz w:val="22"/>
                <w:szCs w:val="22"/>
                <w:highlight w:val="none"/>
                <w:u w:val="none"/>
              </w:rPr>
            </w:pPr>
          </w:p>
        </w:tc>
      </w:tr>
    </w:tbl>
    <w:p>
      <w:pPr>
        <w:snapToGrid w:val="0"/>
        <w:spacing w:line="360" w:lineRule="auto"/>
        <w:rPr>
          <w:rFonts w:hint="eastAsia" w:ascii="宋体" w:hAnsi="宋体" w:eastAsia="宋体" w:cs="宋体"/>
          <w:b/>
          <w:bCs/>
          <w:szCs w:val="21"/>
          <w:highlight w:val="none"/>
          <w:lang w:val="en-US" w:eastAsia="zh-CN"/>
        </w:rPr>
      </w:pPr>
    </w:p>
    <w:p>
      <w:pPr>
        <w:snapToGrid w:val="0"/>
        <w:spacing w:line="360" w:lineRule="auto"/>
        <w:rPr>
          <w:rFonts w:hint="eastAsia" w:ascii="宋体" w:hAnsi="宋体" w:eastAsia="宋体" w:cs="宋体"/>
          <w:b/>
          <w:szCs w:val="21"/>
          <w:highlight w:val="none"/>
        </w:rPr>
      </w:pPr>
      <w:r>
        <w:rPr>
          <w:rFonts w:hint="eastAsia" w:ascii="宋体" w:hAnsi="宋体" w:eastAsia="宋体" w:cs="宋体"/>
          <w:b/>
          <w:bCs/>
          <w:szCs w:val="21"/>
          <w:highlight w:val="none"/>
          <w:lang w:val="en-US" w:eastAsia="zh-CN"/>
        </w:rPr>
        <w:t>5.</w:t>
      </w:r>
      <w:r>
        <w:rPr>
          <w:rFonts w:hint="eastAsia" w:ascii="宋体" w:hAnsi="宋体" w:eastAsia="宋体" w:cs="宋体"/>
          <w:b/>
          <w:bCs/>
          <w:szCs w:val="21"/>
          <w:highlight w:val="none"/>
        </w:rPr>
        <w:t xml:space="preserve">项目质量、进度要求     </w:t>
      </w:r>
    </w:p>
    <w:p>
      <w:pPr>
        <w:spacing w:line="400" w:lineRule="exact"/>
        <w:jc w:val="left"/>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5.</w:t>
      </w:r>
      <w:r>
        <w:rPr>
          <w:rFonts w:hint="eastAsia" w:ascii="宋体" w:hAnsi="宋体" w:eastAsia="宋体" w:cs="宋体"/>
          <w:b/>
          <w:bCs/>
          <w:szCs w:val="21"/>
          <w:highlight w:val="none"/>
        </w:rPr>
        <w:t>1</w:t>
      </w:r>
      <w:r>
        <w:rPr>
          <w:rFonts w:hint="eastAsia" w:ascii="宋体" w:hAnsi="宋体" w:eastAsia="宋体" w:cs="宋体"/>
          <w:b/>
          <w:bCs/>
          <w:szCs w:val="21"/>
          <w:highlight w:val="none"/>
          <w:lang w:val="en-US" w:eastAsia="zh-CN"/>
        </w:rPr>
        <w:t>.</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rPr>
        <w:t>质量控制要求（软件）</w:t>
      </w:r>
    </w:p>
    <w:p>
      <w:pPr>
        <w:spacing w:line="400" w:lineRule="exact"/>
        <w:ind w:firstLine="449" w:firstLineChars="214"/>
        <w:jc w:val="left"/>
        <w:rPr>
          <w:rFonts w:hint="eastAsia" w:ascii="宋体" w:hAnsi="宋体" w:eastAsia="宋体" w:cs="宋体"/>
          <w:bCs/>
          <w:szCs w:val="21"/>
          <w:highlight w:val="none"/>
        </w:rPr>
      </w:pPr>
      <w:r>
        <w:rPr>
          <w:rFonts w:hint="eastAsia" w:ascii="宋体" w:hAnsi="宋体" w:eastAsia="宋体" w:cs="宋体"/>
          <w:bCs/>
          <w:szCs w:val="21"/>
          <w:highlight w:val="none"/>
        </w:rPr>
        <w:t>供应商需要按照质量管理要求，配备相应质量管理人员，全过程跟踪和管理项目质量，按时提交完成的项目文档，确保进度计划的执行和质量控制。</w:t>
      </w:r>
    </w:p>
    <w:p>
      <w:pPr>
        <w:spacing w:line="400" w:lineRule="exact"/>
        <w:jc w:val="left"/>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5.</w:t>
      </w:r>
      <w:r>
        <w:rPr>
          <w:rFonts w:hint="eastAsia" w:ascii="宋体" w:hAnsi="宋体" w:eastAsia="宋体" w:cs="宋体"/>
          <w:b/>
          <w:bCs/>
          <w:szCs w:val="21"/>
          <w:highlight w:val="none"/>
        </w:rPr>
        <w:t>1</w:t>
      </w:r>
      <w:r>
        <w:rPr>
          <w:rFonts w:hint="eastAsia" w:ascii="宋体" w:hAnsi="宋体" w:eastAsia="宋体" w:cs="宋体"/>
          <w:b/>
          <w:bCs/>
          <w:szCs w:val="21"/>
          <w:highlight w:val="none"/>
          <w:lang w:val="en-US" w:eastAsia="zh-CN"/>
        </w:rPr>
        <w:t>.2</w:t>
      </w:r>
      <w:r>
        <w:rPr>
          <w:rFonts w:hint="eastAsia" w:ascii="宋体" w:hAnsi="宋体" w:eastAsia="宋体" w:cs="宋体"/>
          <w:b/>
          <w:bCs/>
          <w:szCs w:val="21"/>
          <w:highlight w:val="none"/>
        </w:rPr>
        <w:t>质量要求（硬件）</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（1）合格及以上，符合国家规定的质量要求。</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（2）货物验收过程中，由于质量不合格或运输等原因所造成的一切费用均由供应商负责。</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（3）成交供应商须对因投标货物使用期内本身的固有缺陷和瑕疵承担责任。</w:t>
      </w:r>
    </w:p>
    <w:p>
      <w:pPr>
        <w:spacing w:line="400" w:lineRule="exact"/>
        <w:jc w:val="left"/>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5.</w:t>
      </w:r>
      <w:r>
        <w:rPr>
          <w:rFonts w:hint="eastAsia" w:ascii="宋体" w:hAnsi="宋体" w:eastAsia="宋体" w:cs="宋体"/>
          <w:b/>
          <w:bCs/>
          <w:szCs w:val="21"/>
          <w:highlight w:val="none"/>
          <w:lang w:val="en-US" w:eastAsia="zh-CN"/>
        </w:rPr>
        <w:t>2.</w:t>
      </w:r>
      <w:r>
        <w:rPr>
          <w:rFonts w:hint="eastAsia" w:ascii="宋体" w:hAnsi="宋体" w:eastAsia="宋体" w:cs="宋体"/>
          <w:b/>
          <w:bCs/>
          <w:szCs w:val="21"/>
          <w:highlight w:val="none"/>
        </w:rPr>
        <w:t>项目管理要求</w:t>
      </w:r>
    </w:p>
    <w:p>
      <w:pPr>
        <w:spacing w:line="400" w:lineRule="exact"/>
        <w:jc w:val="left"/>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5.2.1</w:t>
      </w:r>
      <w:r>
        <w:rPr>
          <w:rFonts w:hint="eastAsia" w:ascii="宋体" w:hAnsi="宋体" w:eastAsia="宋体" w:cs="宋体"/>
          <w:b/>
          <w:bCs/>
          <w:szCs w:val="21"/>
          <w:highlight w:val="none"/>
        </w:rPr>
        <w:t>项目实施要求</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（1）工期从合同签订开始计算，</w:t>
      </w:r>
      <w:r>
        <w:rPr>
          <w:rFonts w:hint="eastAsia" w:ascii="宋体" w:hAnsi="宋体" w:eastAsia="宋体" w:cs="宋体"/>
          <w:highlight w:val="none"/>
        </w:rPr>
        <w:t>整体项目需在</w:t>
      </w:r>
      <w:r>
        <w:rPr>
          <w:rFonts w:hint="eastAsia" w:ascii="宋体" w:hAnsi="宋体" w:eastAsia="宋体" w:cs="宋体"/>
          <w:szCs w:val="21"/>
          <w:highlight w:val="none"/>
        </w:rPr>
        <w:t>规定时间内</w:t>
      </w:r>
      <w:r>
        <w:rPr>
          <w:rFonts w:hint="eastAsia" w:ascii="宋体" w:hAnsi="宋体" w:eastAsia="宋体" w:cs="宋体"/>
          <w:highlight w:val="none"/>
        </w:rPr>
        <w:t>完成终验并交付使用</w:t>
      </w:r>
      <w:r>
        <w:rPr>
          <w:rFonts w:hint="eastAsia" w:ascii="宋体" w:hAnsi="宋体" w:eastAsia="宋体" w:cs="宋体"/>
          <w:bCs/>
          <w:szCs w:val="21"/>
          <w:highlight w:val="none"/>
        </w:rPr>
        <w:t>，如成交供应商无法按期完成，买方有权提出赔偿。如买方根据工程实际情况调整进度计划，卖方不应为此提出任何增加费用的要求，供应商在响应文件中对此予以明确承诺。</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（2）要求供应商按业务需求进行实施。</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（3）供应商应向采购方提供项目管理人员和技术人员配置情况，中标后需要在10日内成立工作团队，并指定一名专职的项目负责人，负责项目协调和调度工作。在项目的实施阶段，项目负责人必须全程参与</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且</w:t>
      </w:r>
      <w:r>
        <w:rPr>
          <w:rFonts w:hint="eastAsia" w:ascii="宋体" w:hAnsi="宋体" w:eastAsia="宋体" w:cs="宋体"/>
          <w:b w:val="0"/>
          <w:bCs w:val="0"/>
          <w:snapToGrid w:val="0"/>
          <w:spacing w:val="-4"/>
          <w:szCs w:val="21"/>
          <w:highlight w:val="none"/>
        </w:rPr>
        <w:t>PDT数字集群交换中心机房</w:t>
      </w:r>
      <w:r>
        <w:rPr>
          <w:rFonts w:hint="eastAsia" w:ascii="宋体" w:hAnsi="宋体" w:eastAsia="宋体" w:cs="宋体"/>
          <w:b w:val="0"/>
          <w:bCs w:val="0"/>
          <w:snapToGrid w:val="0"/>
          <w:spacing w:val="-4"/>
          <w:szCs w:val="21"/>
          <w:highlight w:val="none"/>
          <w:lang w:val="en-US" w:eastAsia="zh-CN"/>
        </w:rPr>
        <w:t>须</w:t>
      </w:r>
      <w:r>
        <w:rPr>
          <w:rFonts w:hint="eastAsia" w:ascii="宋体" w:hAnsi="宋体" w:eastAsia="宋体" w:cs="宋体"/>
          <w:b w:val="0"/>
          <w:bCs w:val="0"/>
          <w:snapToGrid w:val="0"/>
          <w:spacing w:val="-4"/>
          <w:szCs w:val="21"/>
          <w:highlight w:val="none"/>
        </w:rPr>
        <w:t>有常驻维保人员</w:t>
      </w:r>
      <w:r>
        <w:rPr>
          <w:rFonts w:hint="eastAsia" w:ascii="宋体" w:hAnsi="宋体" w:eastAsia="宋体" w:cs="宋体"/>
          <w:bCs/>
          <w:szCs w:val="21"/>
          <w:highlight w:val="none"/>
        </w:rPr>
        <w:t>。</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4</w:t>
      </w:r>
      <w:r>
        <w:rPr>
          <w:rFonts w:hint="eastAsia" w:ascii="宋体" w:hAnsi="宋体" w:eastAsia="宋体" w:cs="宋体"/>
          <w:bCs/>
          <w:szCs w:val="21"/>
          <w:highlight w:val="none"/>
        </w:rPr>
        <w:t>）本竞争性磋商文件提出的为项目的主要需求，是供应商编制响应文件和报价的主要依据，但采购方有权根据实际业务需求，对竞争性磋商文件规定的需求进行补充和优化，最终的需求以各方确认的需求规格说明书为准，并以最终确认的需求规格说明书作为验收依据。</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5</w:t>
      </w:r>
      <w:r>
        <w:rPr>
          <w:rFonts w:hint="eastAsia" w:ascii="宋体" w:hAnsi="宋体" w:eastAsia="宋体" w:cs="宋体"/>
          <w:bCs/>
          <w:szCs w:val="21"/>
          <w:highlight w:val="none"/>
        </w:rPr>
        <w:t>）供应商应对其提供的设计资料负责，由于设计资料表示不清、不全而造成的损失，由供应商负责。</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6</w:t>
      </w:r>
      <w:r>
        <w:rPr>
          <w:rFonts w:hint="eastAsia" w:ascii="宋体" w:hAnsi="宋体" w:eastAsia="宋体" w:cs="宋体"/>
          <w:bCs/>
          <w:szCs w:val="21"/>
          <w:highlight w:val="none"/>
        </w:rPr>
        <w:t>）试运行期间，成交供应商要提供足够的培训和技术支持，保障用户能够正确的理解和使用系统，同时要根据运行中出现的问题以及用户需求情况，及时整改完善。</w:t>
      </w:r>
    </w:p>
    <w:p>
      <w:pPr>
        <w:spacing w:line="400" w:lineRule="exact"/>
        <w:jc w:val="left"/>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5</w:t>
      </w:r>
      <w:r>
        <w:rPr>
          <w:rFonts w:hint="eastAsia" w:ascii="宋体" w:hAnsi="宋体" w:eastAsia="宋体" w:cs="宋体"/>
          <w:b/>
          <w:bCs/>
          <w:szCs w:val="21"/>
          <w:highlight w:val="none"/>
          <w:lang w:val="en-US" w:eastAsia="zh-CN"/>
        </w:rPr>
        <w:t>.2.2</w:t>
      </w:r>
      <w:r>
        <w:rPr>
          <w:rFonts w:hint="eastAsia" w:ascii="宋体" w:hAnsi="宋体" w:eastAsia="宋体" w:cs="宋体"/>
          <w:b/>
          <w:bCs/>
          <w:szCs w:val="21"/>
          <w:highlight w:val="none"/>
        </w:rPr>
        <w:t>项目文档及成果要求</w:t>
      </w:r>
    </w:p>
    <w:p>
      <w:pPr>
        <w:spacing w:line="400" w:lineRule="exact"/>
        <w:ind w:firstLine="449" w:firstLineChars="214"/>
        <w:jc w:val="left"/>
        <w:rPr>
          <w:rFonts w:hint="eastAsia" w:ascii="宋体" w:hAnsi="宋体" w:eastAsia="宋体" w:cs="宋体"/>
          <w:bCs/>
          <w:szCs w:val="21"/>
          <w:highlight w:val="none"/>
        </w:rPr>
      </w:pPr>
      <w:r>
        <w:rPr>
          <w:rFonts w:hint="eastAsia" w:ascii="宋体" w:hAnsi="宋体" w:eastAsia="宋体" w:cs="宋体"/>
          <w:bCs/>
          <w:szCs w:val="21"/>
          <w:highlight w:val="none"/>
        </w:rPr>
        <w:t>成交供应商应按照竞争性磋商文件所约定的内容和时间进行交付；按照国家标准分阶段交付应用系统的文档，所交付的文档与文件应该是电子版式及纸质形式。交付的文档及成果包括但不限于以下内容：</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（1）实施方案</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（2）需求规格说明书</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（3）概要设计说明书</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（4）详细设计说明书</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（5）数据库设计说明书</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（6）测试分析报告</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（7）用户操作手册</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（8）安装手册</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（9）项目总结报告</w:t>
      </w:r>
    </w:p>
    <w:p>
      <w:pPr>
        <w:spacing w:line="400" w:lineRule="exact"/>
        <w:ind w:firstLine="344" w:firstLineChars="164"/>
        <w:jc w:val="left"/>
        <w:rPr>
          <w:rFonts w:hint="eastAsia" w:ascii="宋体" w:hAnsi="宋体" w:eastAsia="宋体" w:cs="宋体"/>
          <w:bCs/>
          <w:szCs w:val="21"/>
          <w:highlight w:val="none"/>
        </w:rPr>
      </w:pPr>
      <w:r>
        <w:rPr>
          <w:rFonts w:hint="eastAsia" w:ascii="宋体" w:hAnsi="宋体" w:eastAsia="宋体" w:cs="宋体"/>
          <w:bCs/>
          <w:szCs w:val="21"/>
          <w:highlight w:val="none"/>
        </w:rPr>
        <w:t>（10）采购方认为需要的其他材料</w:t>
      </w:r>
    </w:p>
    <w:p>
      <w:pPr>
        <w:spacing w:line="400" w:lineRule="exact"/>
        <w:ind w:firstLine="30" w:firstLineChars="14"/>
        <w:jc w:val="left"/>
        <w:rPr>
          <w:rFonts w:hint="eastAsia" w:ascii="宋体" w:hAnsi="宋体" w:eastAsia="宋体" w:cs="宋体"/>
          <w:b/>
          <w:bCs/>
          <w:szCs w:val="21"/>
          <w:highlight w:val="none"/>
          <w:lang w:val="en-US" w:eastAsia="zh-CN"/>
        </w:rPr>
      </w:pPr>
    </w:p>
    <w:p>
      <w:pPr>
        <w:spacing w:line="400" w:lineRule="exact"/>
        <w:ind w:firstLine="30" w:firstLineChars="14"/>
        <w:jc w:val="left"/>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6</w:t>
      </w:r>
      <w:r>
        <w:rPr>
          <w:rFonts w:hint="eastAsia" w:ascii="宋体" w:hAnsi="宋体" w:eastAsia="宋体" w:cs="宋体"/>
          <w:b/>
          <w:bCs/>
          <w:szCs w:val="21"/>
          <w:highlight w:val="none"/>
          <w:lang w:val="en-US" w:eastAsia="zh-CN"/>
        </w:rPr>
        <w:t>.</w:t>
      </w:r>
      <w:r>
        <w:rPr>
          <w:rFonts w:hint="eastAsia" w:ascii="宋体" w:hAnsi="宋体" w:eastAsia="宋体" w:cs="宋体"/>
          <w:b/>
          <w:bCs/>
          <w:szCs w:val="21"/>
          <w:highlight w:val="none"/>
        </w:rPr>
        <w:t>售后服务要求</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供应商应即时处理本项目的售后技术维护服务，应包括电话、电子邮箱、现场技术支持、定期检查等维护服务方式。</w:t>
      </w:r>
    </w:p>
    <w:p>
      <w:pPr>
        <w:spacing w:line="400" w:lineRule="exact"/>
        <w:ind w:firstLine="420" w:firstLineChars="200"/>
        <w:jc w:val="left"/>
        <w:rPr>
          <w:rFonts w:hint="eastAsia" w:ascii="宋体" w:hAnsi="宋体" w:eastAsia="宋体" w:cs="宋体"/>
          <w:bCs/>
          <w:szCs w:val="21"/>
          <w:highlight w:val="none"/>
        </w:rPr>
      </w:pPr>
      <w:r>
        <w:rPr>
          <w:rFonts w:hint="eastAsia" w:ascii="宋体" w:hAnsi="宋体" w:eastAsia="宋体" w:cs="宋体"/>
          <w:bCs/>
          <w:szCs w:val="21"/>
          <w:highlight w:val="none"/>
        </w:rPr>
        <w:t>本项目供应商须在合同签订后提供质保承诺函，在设备保修期内，由于质量因素而造成的损坏，均由供应商负责免费维修和更换配件。主要设备提供原厂质保承诺函盖公章。</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2</w:t>
      </w:r>
      <w:r>
        <w:rPr>
          <w:rFonts w:hint="eastAsia" w:ascii="宋体" w:hAnsi="宋体" w:eastAsia="宋体" w:cs="宋体"/>
          <w:bCs/>
          <w:szCs w:val="21"/>
          <w:highlight w:val="none"/>
          <w:lang w:eastAsia="zh-CN"/>
        </w:rPr>
        <w:t>）</w:t>
      </w:r>
      <w:r>
        <w:rPr>
          <w:rFonts w:hint="eastAsia" w:ascii="宋体" w:hAnsi="宋体" w:eastAsia="宋体" w:cs="宋体"/>
          <w:b/>
          <w:bCs/>
          <w:szCs w:val="21"/>
          <w:highlight w:val="none"/>
        </w:rPr>
        <w:t>软件质保期（系统运维期）：自竣工验收通过之日起不少于</w:t>
      </w:r>
      <w:r>
        <w:rPr>
          <w:rFonts w:hint="eastAsia" w:ascii="宋体" w:hAnsi="宋体" w:eastAsia="宋体" w:cs="宋体"/>
          <w:b/>
          <w:bCs/>
          <w:szCs w:val="21"/>
          <w:highlight w:val="none"/>
          <w:lang w:val="en-US" w:eastAsia="zh-CN"/>
        </w:rPr>
        <w:t>三年</w:t>
      </w:r>
      <w:r>
        <w:rPr>
          <w:rFonts w:hint="eastAsia" w:ascii="宋体" w:hAnsi="宋体" w:eastAsia="宋体" w:cs="宋体"/>
          <w:b/>
          <w:bCs/>
          <w:szCs w:val="21"/>
          <w:highlight w:val="none"/>
        </w:rPr>
        <w:t>的免费软件升级、软件维护和错误修改支持。</w:t>
      </w:r>
      <w:r>
        <w:rPr>
          <w:rFonts w:hint="eastAsia" w:ascii="宋体" w:hAnsi="宋体" w:eastAsia="宋体" w:cs="宋体"/>
          <w:bCs/>
          <w:szCs w:val="21"/>
          <w:highlight w:val="none"/>
        </w:rPr>
        <w:t>系统及其任何组成部分本身的质量问题，无论是否在免费维护期内，项目承建方必须免费解决。</w:t>
      </w:r>
    </w:p>
    <w:p>
      <w:pPr>
        <w:spacing w:line="400" w:lineRule="exact"/>
        <w:ind w:firstLine="422" w:firstLineChars="200"/>
        <w:jc w:val="left"/>
        <w:rPr>
          <w:rFonts w:hint="eastAsia" w:ascii="宋体" w:hAnsi="宋体" w:eastAsia="宋体" w:cs="宋体"/>
          <w:b/>
          <w:bCs/>
          <w:szCs w:val="21"/>
          <w:highlight w:val="none"/>
        </w:rPr>
      </w:pPr>
      <w:r>
        <w:rPr>
          <w:rFonts w:hint="eastAsia" w:ascii="宋体" w:hAnsi="宋体" w:eastAsia="宋体" w:cs="宋体"/>
          <w:b/>
          <w:bCs/>
          <w:szCs w:val="21"/>
          <w:highlight w:val="none"/>
        </w:rPr>
        <w:t>硬件质保期：自竣工验收通过之日起不少于</w:t>
      </w:r>
      <w:r>
        <w:rPr>
          <w:rFonts w:hint="eastAsia" w:ascii="宋体" w:hAnsi="宋体" w:eastAsia="宋体" w:cs="宋体"/>
          <w:b/>
          <w:bCs/>
          <w:szCs w:val="21"/>
          <w:highlight w:val="none"/>
          <w:lang w:val="en-US" w:eastAsia="zh-CN"/>
        </w:rPr>
        <w:t>三</w:t>
      </w:r>
      <w:r>
        <w:rPr>
          <w:rFonts w:hint="eastAsia" w:ascii="宋体" w:hAnsi="宋体" w:eastAsia="宋体" w:cs="宋体"/>
          <w:b/>
          <w:bCs/>
          <w:szCs w:val="21"/>
          <w:highlight w:val="none"/>
          <w:lang w:val="en-US" w:eastAsia="zh-CN"/>
        </w:rPr>
        <w:t>年</w:t>
      </w:r>
      <w:r>
        <w:rPr>
          <w:rFonts w:hint="eastAsia" w:ascii="宋体" w:hAnsi="宋体" w:eastAsia="宋体" w:cs="宋体"/>
          <w:b/>
          <w:bCs/>
          <w:szCs w:val="21"/>
          <w:highlight w:val="none"/>
        </w:rPr>
        <w:t>（供应商可提供更优惠的保修期）。</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如系统发生故障，供应商在接用户故障电话或传真通知后，30分钟内以电话或传真方式答复，对于电话或传真等方式无法解决的故障，供应商承诺在2小时内派遣其他技术人员到现场服务。对于常规性问题，供应商承诺在6小时内解决，特殊情况下48小时解决。</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质保期内，非人为因素出现的质量问题，须按国家有关规定和要求（如无国家规定和要求的，按承诺和厂方“三包”规定）立即进行免费维修、免费更换有缺陷的零部件、直至免费更换新货物。因货物本身问题在48小时之内仍不能排除的故障，应提供与原货物相同或不低于原货物性能的备用货物</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并在</w:t>
      </w:r>
      <w:r>
        <w:rPr>
          <w:rFonts w:hint="eastAsia" w:ascii="宋体" w:hAnsi="宋体" w:eastAsia="宋体" w:cs="宋体"/>
          <w:bCs/>
          <w:szCs w:val="22"/>
          <w:highlight w:val="none"/>
          <w:lang w:val="en-US" w:eastAsia="zh-CN"/>
        </w:rPr>
        <w:t>5</w:t>
      </w:r>
      <w:r>
        <w:rPr>
          <w:rFonts w:hint="eastAsia" w:ascii="宋体" w:hAnsi="宋体" w:eastAsia="宋体" w:cs="宋体"/>
          <w:bCs/>
          <w:szCs w:val="22"/>
          <w:highlight w:val="none"/>
        </w:rPr>
        <w:t>个工作日内完成</w:t>
      </w:r>
      <w:r>
        <w:rPr>
          <w:rFonts w:hint="eastAsia" w:ascii="宋体" w:hAnsi="宋体" w:eastAsia="宋体" w:cs="宋体"/>
          <w:szCs w:val="21"/>
          <w:highlight w:val="none"/>
          <w:lang w:eastAsia="zh-CN"/>
        </w:rPr>
        <w:t>。</w:t>
      </w:r>
      <w:r>
        <w:rPr>
          <w:rFonts w:hint="eastAsia" w:ascii="宋体" w:hAnsi="宋体" w:eastAsia="宋体" w:cs="宋体"/>
          <w:szCs w:val="21"/>
          <w:highlight w:val="none"/>
        </w:rPr>
        <w:t>如因修理货物或更换部件，而非人为因素出现故障而造成短期停用时，则保修期和免费维修期相应顺延。如停用时间累计超过20天，则货物保修期重新计算。</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5</w:t>
      </w:r>
      <w:r>
        <w:rPr>
          <w:rFonts w:hint="eastAsia" w:ascii="宋体" w:hAnsi="宋体" w:eastAsia="宋体" w:cs="宋体"/>
          <w:bCs/>
          <w:szCs w:val="21"/>
          <w:highlight w:val="none"/>
        </w:rPr>
        <w:t>）保修期内，采购人无须自行付费，成交供应商负责修理和替换任何由于货物自身的质量问题造成的损坏及故障。所有的替代零配件必须是新的未使用和未经修复的,除非最终用户提供书面许可，否则不可使用此范围外的其他（非新的）配件。</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6</w:t>
      </w:r>
      <w:r>
        <w:rPr>
          <w:rFonts w:hint="eastAsia" w:ascii="宋体" w:hAnsi="宋体" w:eastAsia="宋体" w:cs="宋体"/>
          <w:bCs/>
          <w:szCs w:val="21"/>
          <w:highlight w:val="none"/>
        </w:rPr>
        <w:t>）质保期内，供应商应负责提供充足的备品备件。质保期满后，供应商应继续提供维修服务，只收取维修配件成本费、免收人工费。供应商应负责修理和替换不合格的部件并承担一切费用，包括部件调换的内陆运输费用，急用部件应免费空运。</w:t>
      </w:r>
    </w:p>
    <w:p>
      <w:p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7</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供应商须作出无推诿承诺。即供应商应提供特殊措施，无论由于哪一方产生的问题而使系统发生不正常情况时，并在得到采购方通知后，须立即派工程师到场，全力协助使系统尽快恢复正常。</w:t>
      </w:r>
    </w:p>
    <w:p>
      <w:pPr>
        <w:pStyle w:val="2"/>
        <w:rPr>
          <w:rFonts w:hint="eastAsia"/>
          <w:highlight w:val="none"/>
        </w:rPr>
      </w:pPr>
    </w:p>
    <w:p>
      <w:pPr>
        <w:snapToGrid w:val="0"/>
        <w:spacing w:line="340" w:lineRule="exact"/>
        <w:rPr>
          <w:rFonts w:hint="eastAsia" w:ascii="宋体" w:hAnsi="宋体" w:eastAsia="宋体" w:cs="宋体"/>
          <w:b/>
          <w:bCs/>
          <w:highlight w:val="none"/>
          <w:lang w:eastAsia="zh-CN"/>
        </w:rPr>
      </w:pPr>
      <w:r>
        <w:rPr>
          <w:rFonts w:hint="eastAsia" w:ascii="宋体" w:hAnsi="宋体" w:eastAsia="宋体" w:cs="宋体"/>
          <w:b/>
          <w:bCs/>
          <w:highlight w:val="none"/>
          <w:lang w:val="en-US" w:eastAsia="zh-CN"/>
        </w:rPr>
        <w:t>7</w:t>
      </w:r>
      <w:r>
        <w:rPr>
          <w:rFonts w:hint="eastAsia" w:ascii="宋体" w:hAnsi="宋体" w:eastAsia="宋体" w:cs="宋体"/>
          <w:b/>
          <w:bCs/>
          <w:highlight w:val="none"/>
          <w:lang w:val="en-US" w:eastAsia="zh-CN"/>
        </w:rPr>
        <w:t>.</w:t>
      </w:r>
      <w:r>
        <w:rPr>
          <w:rFonts w:hint="eastAsia" w:ascii="宋体" w:hAnsi="宋体" w:eastAsia="宋体" w:cs="宋体"/>
          <w:b/>
          <w:bCs/>
          <w:highlight w:val="none"/>
        </w:rPr>
        <w:t>其他</w:t>
      </w:r>
      <w:r>
        <w:rPr>
          <w:rFonts w:hint="eastAsia" w:ascii="宋体" w:hAnsi="宋体" w:eastAsia="宋体" w:cs="宋体"/>
          <w:b/>
          <w:bCs/>
          <w:highlight w:val="none"/>
          <w:lang w:val="en-US" w:eastAsia="zh-CN"/>
        </w:rPr>
        <w:t>说明</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rPr>
        <w:t>1</w:t>
      </w:r>
      <w:r>
        <w:rPr>
          <w:rFonts w:hint="eastAsia" w:ascii="宋体" w:hAnsi="宋体" w:eastAsia="宋体" w:cs="宋体"/>
          <w:szCs w:val="21"/>
          <w:highlight w:val="none"/>
          <w:lang w:eastAsia="zh-CN"/>
        </w:rPr>
        <w:t>）</w:t>
      </w:r>
      <w:r>
        <w:rPr>
          <w:rFonts w:hint="eastAsia" w:ascii="宋体" w:hAnsi="宋体" w:eastAsia="宋体" w:cs="宋体"/>
          <w:szCs w:val="21"/>
          <w:highlight w:val="none"/>
        </w:rPr>
        <w:t>竞争性磋商文件中的技术要求不得被认为是详尽无遗的，无论规定与否，投标供应商应提供采购人没有规定但投标供应商认为完成本项目操作和使用，必要或必须的设备和材料，并应在报价明细表中一一列明。</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eastAsia="zh-CN"/>
        </w:rPr>
        <w:t>）</w:t>
      </w:r>
      <w:r>
        <w:rPr>
          <w:rFonts w:hint="eastAsia" w:ascii="宋体" w:hAnsi="宋体" w:eastAsia="宋体" w:cs="宋体"/>
          <w:szCs w:val="21"/>
          <w:highlight w:val="none"/>
        </w:rPr>
        <w:t>上述设备如无特别说明应为制造厂商出厂的原装配置。供应商应对清单中所列设备及其所有附件和配置进行报价，不允许只对其中部分设备或内容进行报价。</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eastAsia="zh-CN"/>
        </w:rPr>
        <w:t>）</w:t>
      </w:r>
      <w:r>
        <w:rPr>
          <w:rFonts w:hint="eastAsia" w:ascii="宋体" w:hAnsi="宋体" w:eastAsia="宋体" w:cs="宋体"/>
          <w:szCs w:val="21"/>
          <w:highlight w:val="none"/>
        </w:rPr>
        <w:t>投标供应商的响应文件应该真实、全面、完整，应提供完整的项目设计和实施方案，详细阐述对本项目总体要求的理解。包括：功能说明、性能指标及设备选型说明（质量、性能、价格、外观、体积等方面进行比较和选择的理由和过程），明确设备、材料的具体品牌、型号和数量，符合竞争性磋商文件的要求。</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lang w:eastAsia="zh-CN"/>
        </w:rPr>
        <w:t>）</w:t>
      </w:r>
      <w:r>
        <w:rPr>
          <w:rFonts w:hint="eastAsia" w:ascii="宋体" w:hAnsi="宋体" w:eastAsia="宋体" w:cs="宋体"/>
          <w:szCs w:val="21"/>
          <w:highlight w:val="none"/>
        </w:rPr>
        <w:t>投标总价应为承包完成本次投标需完成全部工作所发生的所有费用，并承担一切风险责任，包括但不限于设备材料的供应、运输、安装、实施、技术服务、调试、开通、验收、试运行、培训、系统集成及配合、成品保护、售后服务、原厂保修费、国家和有关部门规定的强制检测费用、管理费、培训费、利润、税金以及其他费用。</w:t>
      </w:r>
    </w:p>
    <w:p>
      <w:pPr>
        <w:spacing w:line="400" w:lineRule="exact"/>
        <w:ind w:firstLine="449" w:firstLineChars="214"/>
        <w:jc w:val="left"/>
        <w:rPr>
          <w:rFonts w:hint="eastAsia" w:ascii="宋体" w:hAnsi="宋体" w:eastAsia="宋体" w:cs="宋体"/>
          <w:szCs w:val="21"/>
          <w:highlight w:val="none"/>
        </w:rPr>
      </w:pPr>
      <w:r>
        <w:rPr>
          <w:rFonts w:hint="eastAsia" w:ascii="宋体" w:hAnsi="宋体" w:eastAsia="宋体" w:cs="宋体"/>
          <w:szCs w:val="21"/>
          <w:highlight w:val="none"/>
        </w:rPr>
        <w:t>采购清单中未列或与清单中设备有出入，但系统正常运行必须的设备，其价格按已包含在投标报价内处理。</w:t>
      </w:r>
    </w:p>
    <w:p>
      <w:pPr>
        <w:spacing w:line="400" w:lineRule="exact"/>
        <w:ind w:firstLine="449" w:firstLineChars="214"/>
        <w:jc w:val="left"/>
        <w:rPr>
          <w:rFonts w:hint="eastAsia" w:ascii="宋体" w:hAnsi="宋体" w:eastAsia="宋体" w:cs="宋体"/>
          <w:szCs w:val="21"/>
          <w:highlight w:val="none"/>
        </w:rPr>
      </w:pPr>
      <w:r>
        <w:rPr>
          <w:rFonts w:hint="eastAsia" w:ascii="宋体" w:hAnsi="宋体" w:eastAsia="宋体" w:cs="宋体"/>
          <w:szCs w:val="21"/>
          <w:highlight w:val="none"/>
        </w:rPr>
        <w:t>采购清单中供应商没有填入单价或价格的子目，其费用视为已分摊在采购清单中其他相关子目的单价或价格之中。供应商必须按采购人指令完成采购清单中未填入单价或价格的子目，但不能得到结算与支付。符合合同条款规定的全部费用应认为已被计入有标价的采购清单所列各子目之中，未列子目不予计量的工作，其费用应视为已分摊在本合同的有关子目的单价或总额价之中。项目实施过程中可能发生的风险和费用均由成交供应商承担。</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lang w:eastAsia="zh-CN"/>
        </w:rPr>
        <w:t>）</w:t>
      </w:r>
      <w:r>
        <w:rPr>
          <w:rFonts w:hint="eastAsia" w:ascii="宋体" w:hAnsi="宋体" w:eastAsia="宋体" w:cs="宋体"/>
          <w:szCs w:val="21"/>
          <w:highlight w:val="none"/>
        </w:rPr>
        <w:t>在满足性能技术参数的前提下，采购人可以根据现场的实际情况和要求，对设备数量作适当的调整。如因采购人原因引起承包总价变化，最终以成交供应商实际供货数量并依据中标单价按实结算。</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lang w:eastAsia="zh-CN"/>
        </w:rPr>
        <w:t>）</w:t>
      </w:r>
      <w:r>
        <w:rPr>
          <w:rFonts w:hint="eastAsia" w:ascii="宋体" w:hAnsi="宋体" w:eastAsia="宋体" w:cs="宋体"/>
          <w:szCs w:val="21"/>
          <w:highlight w:val="none"/>
        </w:rPr>
        <w:t>要求使用绿色环保材料，制作的产品要进行异味的去除，确保安装后的货物对人体无害。</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7</w:t>
      </w:r>
      <w:r>
        <w:rPr>
          <w:rFonts w:hint="eastAsia" w:ascii="宋体" w:hAnsi="宋体" w:eastAsia="宋体" w:cs="宋体"/>
          <w:szCs w:val="21"/>
          <w:highlight w:val="none"/>
          <w:lang w:eastAsia="zh-CN"/>
        </w:rPr>
        <w:t>）</w:t>
      </w:r>
      <w:r>
        <w:rPr>
          <w:rFonts w:hint="eastAsia" w:ascii="宋体" w:hAnsi="宋体" w:eastAsia="宋体" w:cs="宋体"/>
          <w:szCs w:val="21"/>
          <w:highlight w:val="none"/>
        </w:rPr>
        <w:t>在中标后采购人有权选择中标货物的颜色，中标价格不变；采购人有权在不改基本规格尺寸的基础上，要求成交供应商提供的货物在样式上稍做改动，价格不变。</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8</w:t>
      </w:r>
      <w:r>
        <w:rPr>
          <w:rFonts w:hint="eastAsia" w:ascii="宋体" w:hAnsi="宋体" w:eastAsia="宋体" w:cs="宋体"/>
          <w:szCs w:val="21"/>
          <w:highlight w:val="none"/>
          <w:lang w:eastAsia="zh-CN"/>
        </w:rPr>
        <w:t>）</w:t>
      </w:r>
      <w:r>
        <w:rPr>
          <w:rFonts w:hint="eastAsia" w:ascii="宋体" w:hAnsi="宋体" w:eastAsia="宋体" w:cs="宋体"/>
          <w:szCs w:val="21"/>
          <w:highlight w:val="none"/>
        </w:rPr>
        <w:t>安全责任要求：设备运输、安装、调试、实施中的一切安全责任由供应商承担；供应商在安装、调试、实施中应遵守采购人有关的管理制度。</w:t>
      </w:r>
    </w:p>
    <w:p>
      <w:pPr>
        <w:spacing w:line="400" w:lineRule="exact"/>
        <w:ind w:firstLine="210" w:firstLineChars="100"/>
        <w:jc w:val="left"/>
        <w:rPr>
          <w:rFonts w:hint="eastAsia" w:ascii="宋体" w:hAnsi="宋体" w:eastAsia="宋体" w:cs="宋体"/>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9</w:t>
      </w:r>
      <w:r>
        <w:rPr>
          <w:rFonts w:hint="eastAsia" w:ascii="宋体" w:hAnsi="宋体" w:eastAsia="宋体" w:cs="宋体"/>
          <w:szCs w:val="21"/>
          <w:highlight w:val="none"/>
          <w:lang w:eastAsia="zh-CN"/>
        </w:rPr>
        <w:t>）</w:t>
      </w:r>
      <w:r>
        <w:rPr>
          <w:rFonts w:hint="eastAsia" w:ascii="宋体" w:hAnsi="宋体" w:eastAsia="宋体" w:cs="宋体"/>
          <w:szCs w:val="21"/>
          <w:highlight w:val="none"/>
        </w:rPr>
        <w:t>项目采购完成后，采购人将组织相关人员进行验收，并进行量化打分，测评结果作为今后采购人招标活动中评判施工、服务质量高低的主要依据。</w:t>
      </w:r>
    </w:p>
    <w:p>
      <w:pPr>
        <w:numPr>
          <w:ilvl w:val="0"/>
          <w:numId w:val="4"/>
        </w:numPr>
        <w:spacing w:line="400" w:lineRule="exact"/>
        <w:ind w:firstLine="211" w:firstLineChars="100"/>
        <w:jc w:val="left"/>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供应商提供的设备须与宁波市公安局在用基站无缝对接。</w:t>
      </w:r>
      <w:bookmarkStart w:id="3" w:name="_Toc46489023"/>
    </w:p>
    <w:p>
      <w:pPr>
        <w:numPr>
          <w:ilvl w:val="0"/>
          <w:numId w:val="4"/>
        </w:numPr>
        <w:spacing w:line="400" w:lineRule="exact"/>
        <w:ind w:left="0" w:leftChars="0" w:firstLine="210" w:firstLineChars="100"/>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本竞争性磋商文件购出以后至供应商向用户供货期间，如投标产品已经停产，供应商提供的替代产品必须相当于或高于原产品的要求配置水平，该替代产品将需经用户及有关部门审核通过，否则将视作无效标。</w:t>
      </w:r>
    </w:p>
    <w:p>
      <w:pPr>
        <w:numPr>
          <w:ilvl w:val="0"/>
          <w:numId w:val="4"/>
        </w:numPr>
        <w:spacing w:line="400" w:lineRule="exact"/>
        <w:ind w:left="0" w:leftChars="0" w:firstLine="210" w:firstLineChars="100"/>
        <w:jc w:val="left"/>
        <w:rPr>
          <w:rFonts w:hint="eastAsia" w:ascii="宋体" w:hAnsi="宋体" w:eastAsia="宋体" w:cs="宋体"/>
          <w:b w:val="0"/>
          <w:bCs w:val="0"/>
          <w:szCs w:val="21"/>
          <w:highlight w:val="none"/>
        </w:rPr>
      </w:pPr>
      <w:r>
        <w:rPr>
          <w:rFonts w:hint="eastAsia" w:ascii="宋体" w:hAnsi="宋体" w:eastAsia="宋体" w:cs="宋体"/>
          <w:bCs/>
          <w:szCs w:val="21"/>
          <w:highlight w:val="none"/>
        </w:rPr>
        <w:t>供应商不得随意扩大所投产品的技术功能及性能，产品技术功能和性能以官网公布的资料为准。否则所有损失由成交供应商负责，并上报有关政府采购部门，作为虚假应标处理。</w:t>
      </w:r>
      <w:r>
        <w:rPr>
          <w:rFonts w:hint="eastAsia" w:ascii="宋体" w:hAnsi="宋体" w:eastAsia="宋体" w:cs="宋体"/>
          <w:b w:val="0"/>
          <w:bCs w:val="0"/>
          <w:szCs w:val="21"/>
          <w:highlight w:val="none"/>
        </w:rPr>
        <w:t>所有货物必须经正规渠道供货，不得提供旧货、水货、假货。</w:t>
      </w:r>
    </w:p>
    <w:p>
      <w:pPr>
        <w:numPr>
          <w:ilvl w:val="0"/>
          <w:numId w:val="0"/>
        </w:numPr>
        <w:spacing w:line="400" w:lineRule="exact"/>
        <w:ind w:firstLine="210" w:firstLineChars="100"/>
        <w:jc w:val="left"/>
        <w:rPr>
          <w:rFonts w:hint="eastAsia" w:ascii="宋体" w:hAnsi="宋体" w:eastAsia="宋体" w:cs="宋体"/>
          <w:bCs/>
          <w:szCs w:val="21"/>
          <w:highlight w:val="none"/>
        </w:rPr>
      </w:pP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13</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供应商请在规定时间里自行前往现场勘察。如上表尺寸规格有误，供应商须无条件修正订制产品满足采购人的要求。如供应商未现场勘察了解情况，采购文件技术尺寸规格中数据错误导致的后果由成交供应商负责。供应商须注意报价风险。</w:t>
      </w:r>
    </w:p>
    <w:p>
      <w:pPr>
        <w:snapToGrid w:val="0"/>
        <w:spacing w:line="360" w:lineRule="auto"/>
        <w:rPr>
          <w:rFonts w:hint="eastAsia" w:ascii="宋体" w:hAnsi="宋体" w:eastAsia="宋体" w:cs="宋体"/>
          <w:bCs/>
          <w:szCs w:val="21"/>
          <w:highlight w:val="none"/>
        </w:rPr>
      </w:pPr>
    </w:p>
    <w:p>
      <w:pPr>
        <w:pStyle w:val="3"/>
        <w:spacing w:line="460" w:lineRule="exact"/>
        <w:rPr>
          <w:rFonts w:hint="eastAsia" w:ascii="宋体" w:hAnsi="宋体" w:eastAsia="宋体" w:cs="宋体"/>
          <w:szCs w:val="21"/>
          <w:highlight w:val="none"/>
        </w:rPr>
      </w:pPr>
      <w:r>
        <w:rPr>
          <w:rFonts w:hint="eastAsia" w:ascii="宋体" w:hAnsi="宋体" w:eastAsia="宋体" w:cs="宋体"/>
          <w:highlight w:val="none"/>
        </w:rPr>
        <w:br w:type="page"/>
      </w:r>
      <w:r>
        <w:rPr>
          <w:rFonts w:hint="eastAsia" w:ascii="宋体" w:hAnsi="宋体" w:eastAsia="宋体" w:cs="宋体"/>
          <w:highlight w:val="none"/>
        </w:rPr>
        <w:t>第三章  供应商须知</w:t>
      </w:r>
      <w:bookmarkEnd w:id="3"/>
    </w:p>
    <w:p>
      <w:pPr>
        <w:jc w:val="center"/>
        <w:rPr>
          <w:rFonts w:hint="eastAsia" w:ascii="宋体" w:hAnsi="宋体" w:eastAsia="宋体" w:cs="宋体"/>
          <w:highlight w:val="none"/>
        </w:rPr>
      </w:pPr>
      <w:r>
        <w:rPr>
          <w:rFonts w:hint="eastAsia" w:ascii="宋体" w:hAnsi="宋体" w:eastAsia="宋体" w:cs="宋体"/>
          <w:highlight w:val="none"/>
        </w:rPr>
        <w:t>前附表</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highlight w:val="none"/>
              </w:rPr>
            </w:pPr>
            <w:r>
              <w:rPr>
                <w:rFonts w:hint="eastAsia" w:ascii="宋体" w:hAnsi="宋体" w:eastAsia="宋体" w:cs="宋体"/>
                <w:highlight w:val="none"/>
              </w:rPr>
              <w:t>项目名称：</w:t>
            </w:r>
            <w:r>
              <w:rPr>
                <w:rFonts w:hint="eastAsia" w:ascii="宋体" w:hAnsi="宋体" w:eastAsia="宋体" w:cs="宋体"/>
                <w:szCs w:val="21"/>
                <w:highlight w:val="none"/>
                <w:lang w:eastAsia="zh-CN"/>
              </w:rPr>
              <w:t>涌金大厦无线对讲机通信基站新建项目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highlight w:val="none"/>
              </w:rPr>
            </w:pPr>
            <w:r>
              <w:rPr>
                <w:rFonts w:hint="eastAsia" w:ascii="宋体" w:hAnsi="宋体" w:eastAsia="宋体" w:cs="宋体"/>
                <w:b/>
                <w:highlight w:val="none"/>
              </w:rPr>
              <w:t>★</w:t>
            </w:r>
            <w:r>
              <w:rPr>
                <w:rFonts w:hint="eastAsia" w:ascii="宋体" w:hAnsi="宋体" w:eastAsia="宋体" w:cs="宋体"/>
                <w:highlight w:val="none"/>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highlight w:val="none"/>
              </w:rPr>
            </w:pPr>
            <w:r>
              <w:rPr>
                <w:rFonts w:hint="eastAsia" w:ascii="宋体" w:hAnsi="宋体" w:eastAsia="宋体" w:cs="宋体"/>
                <w:highlight w:val="none"/>
              </w:rPr>
              <w:t>报价要求及其他费用：</w:t>
            </w:r>
          </w:p>
          <w:p>
            <w:pPr>
              <w:spacing w:line="400" w:lineRule="exact"/>
              <w:rPr>
                <w:rFonts w:hint="eastAsia" w:ascii="宋体" w:hAnsi="宋体" w:eastAsia="宋体" w:cs="宋体"/>
                <w:szCs w:val="21"/>
                <w:highlight w:val="none"/>
              </w:rPr>
            </w:pPr>
            <w:r>
              <w:rPr>
                <w:rFonts w:hint="eastAsia" w:ascii="宋体" w:hAnsi="宋体" w:eastAsia="宋体" w:cs="宋体"/>
                <w:bCs/>
                <w:highlight w:val="none"/>
              </w:rPr>
              <w:t>（1）</w:t>
            </w:r>
            <w:r>
              <w:rPr>
                <w:rFonts w:hint="eastAsia" w:ascii="宋体" w:hAnsi="宋体" w:eastAsia="宋体" w:cs="宋体"/>
                <w:highlight w:val="none"/>
              </w:rPr>
              <w:t>报价</w:t>
            </w:r>
            <w:r>
              <w:rPr>
                <w:rFonts w:hint="eastAsia" w:ascii="宋体" w:hAnsi="宋体" w:eastAsia="宋体" w:cs="宋体"/>
                <w:bCs/>
                <w:highlight w:val="none"/>
              </w:rPr>
              <w:t>：</w:t>
            </w:r>
            <w:r>
              <w:rPr>
                <w:rFonts w:hint="eastAsia" w:ascii="宋体" w:hAnsi="宋体" w:eastAsia="宋体" w:cs="宋体"/>
                <w:szCs w:val="21"/>
                <w:highlight w:val="none"/>
              </w:rPr>
              <w:t>投标总价应为承包完成本次投标需完成全部工作所发生的所有费用，并承担一切风险责任，包括但不限于设备材料的供应、</w:t>
            </w:r>
            <w:r>
              <w:rPr>
                <w:rFonts w:hint="eastAsia" w:ascii="宋体" w:hAnsi="宋体" w:eastAsia="宋体" w:cs="宋体"/>
                <w:szCs w:val="21"/>
                <w:highlight w:val="none"/>
                <w:lang w:val="en-US" w:eastAsia="zh-CN"/>
              </w:rPr>
              <w:t>运输</w:t>
            </w:r>
            <w:r>
              <w:rPr>
                <w:rFonts w:hint="eastAsia" w:ascii="宋体" w:hAnsi="宋体" w:eastAsia="宋体" w:cs="宋体"/>
                <w:szCs w:val="21"/>
                <w:highlight w:val="none"/>
                <w:lang w:eastAsia="zh-CN"/>
              </w:rPr>
              <w:t>、</w:t>
            </w:r>
            <w:r>
              <w:rPr>
                <w:rFonts w:hint="eastAsia" w:ascii="宋体" w:hAnsi="宋体" w:eastAsia="宋体" w:cs="宋体"/>
                <w:szCs w:val="21"/>
                <w:highlight w:val="none"/>
              </w:rPr>
              <w:t>安装、实施、技术服务、调试、开通、验收、试运行、培训、系统集成及配合、成品保护、售后服务、原厂保修费、国家和有关部门规定的强制检测费用、管理费、培训费、利润、税金以及其他费用。供应商应承担其参加本招标活动自身所发生的费用。项目实施过程中可能发生的风险和费用均由成交供应商承担。</w:t>
            </w:r>
          </w:p>
          <w:p>
            <w:pPr>
              <w:spacing w:line="400" w:lineRule="exact"/>
              <w:rPr>
                <w:rFonts w:hint="eastAsia" w:ascii="宋体" w:hAnsi="宋体" w:eastAsia="宋体" w:cs="宋体"/>
                <w:highlight w:val="none"/>
              </w:rPr>
            </w:pPr>
            <w:r>
              <w:rPr>
                <w:rFonts w:hint="eastAsia" w:ascii="宋体" w:hAnsi="宋体" w:eastAsia="宋体" w:cs="宋体"/>
                <w:bCs/>
                <w:highlight w:val="none"/>
              </w:rPr>
              <w:t>（2</w:t>
            </w:r>
            <w:r>
              <w:rPr>
                <w:rFonts w:hint="eastAsia" w:ascii="宋体" w:hAnsi="宋体" w:eastAsia="宋体" w:cs="宋体"/>
                <w:szCs w:val="21"/>
                <w:highlight w:val="none"/>
              </w:rPr>
              <w:t>）本项目预算金额人民币</w:t>
            </w:r>
            <w:r>
              <w:rPr>
                <w:rFonts w:hint="eastAsia" w:ascii="宋体" w:hAnsi="宋体" w:eastAsia="宋体" w:cs="宋体"/>
                <w:szCs w:val="21"/>
                <w:highlight w:val="none"/>
                <w:lang w:val="en-US" w:eastAsia="zh-CN"/>
              </w:rPr>
              <w:t>40</w:t>
            </w:r>
            <w:r>
              <w:rPr>
                <w:rFonts w:hint="eastAsia" w:ascii="宋体" w:hAnsi="宋体" w:eastAsia="宋体" w:cs="宋体"/>
                <w:szCs w:val="21"/>
                <w:highlight w:val="none"/>
              </w:rPr>
              <w:t>万元，最高限价为人民币</w:t>
            </w:r>
            <w:r>
              <w:rPr>
                <w:rFonts w:hint="eastAsia" w:ascii="宋体" w:hAnsi="宋体" w:eastAsia="宋体" w:cs="宋体"/>
                <w:szCs w:val="21"/>
                <w:highlight w:val="none"/>
                <w:lang w:val="en-US" w:eastAsia="zh-CN"/>
              </w:rPr>
              <w:t>40</w:t>
            </w:r>
            <w:r>
              <w:rPr>
                <w:rFonts w:hint="eastAsia" w:ascii="宋体" w:hAnsi="宋体" w:eastAsia="宋体" w:cs="宋体"/>
                <w:szCs w:val="21"/>
                <w:highlight w:val="none"/>
              </w:rPr>
              <w:t>万元。</w:t>
            </w:r>
            <w:r>
              <w:rPr>
                <w:rFonts w:hint="eastAsia" w:ascii="宋体" w:hAnsi="宋体" w:eastAsia="宋体" w:cs="宋体"/>
                <w:b/>
                <w:bCs/>
                <w:szCs w:val="21"/>
                <w:highlight w:val="none"/>
              </w:rPr>
              <w:t>报价超过最高限价的作无效标处理。</w:t>
            </w:r>
          </w:p>
          <w:p>
            <w:pPr>
              <w:spacing w:line="400" w:lineRule="exact"/>
              <w:rPr>
                <w:rFonts w:hint="eastAsia" w:ascii="宋体" w:hAnsi="宋体" w:eastAsia="宋体" w:cs="宋体"/>
                <w:bCs/>
                <w:highlight w:val="none"/>
              </w:rPr>
            </w:pPr>
            <w:r>
              <w:rPr>
                <w:rFonts w:hint="eastAsia" w:ascii="宋体" w:hAnsi="宋体" w:eastAsia="宋体" w:cs="宋体"/>
                <w:bCs/>
                <w:highlight w:val="none"/>
              </w:rPr>
              <w:t>（3）不论成交结果如何，供应商均应自行承担所有与采购有关的全部费用。</w:t>
            </w:r>
          </w:p>
          <w:p>
            <w:pPr>
              <w:spacing w:line="400" w:lineRule="exact"/>
              <w:rPr>
                <w:rFonts w:hint="eastAsia" w:ascii="宋体" w:hAnsi="宋体" w:eastAsia="宋体" w:cs="宋体"/>
                <w:bCs/>
                <w:highlight w:val="none"/>
              </w:rPr>
            </w:pPr>
            <w:r>
              <w:rPr>
                <w:rFonts w:hint="eastAsia" w:ascii="宋体" w:hAnsi="宋体" w:eastAsia="宋体" w:cs="宋体"/>
                <w:bCs/>
                <w:highlight w:val="none"/>
              </w:rPr>
              <w:t>（4）服务费：</w:t>
            </w:r>
          </w:p>
          <w:p>
            <w:pPr>
              <w:spacing w:line="400" w:lineRule="exact"/>
              <w:rPr>
                <w:rFonts w:hint="eastAsia" w:ascii="宋体" w:hAnsi="宋体" w:eastAsia="宋体" w:cs="宋体"/>
                <w:bCs/>
                <w:highlight w:val="none"/>
              </w:rPr>
            </w:pPr>
            <w:r>
              <w:rPr>
                <w:rFonts w:hint="eastAsia" w:ascii="宋体" w:hAnsi="宋体" w:eastAsia="宋体" w:cs="宋体"/>
                <w:bCs/>
                <w:highlight w:val="none"/>
              </w:rPr>
              <w:t>①</w:t>
            </w:r>
            <w:r>
              <w:rPr>
                <w:rFonts w:hint="eastAsia" w:ascii="宋体" w:hAnsi="宋体" w:eastAsia="宋体" w:cs="宋体"/>
                <w:bCs/>
                <w:szCs w:val="21"/>
                <w:highlight w:val="none"/>
              </w:rPr>
              <w:t>根据国家发改委发改办价格[2003]857号通知和原国家计委计价格[2002]1980号文件规定的收费费率为取费标准</w:t>
            </w:r>
            <w:r>
              <w:rPr>
                <w:rFonts w:hint="eastAsia" w:ascii="宋体" w:hAnsi="宋体" w:eastAsia="宋体" w:cs="宋体"/>
                <w:highlight w:val="none"/>
              </w:rPr>
              <w:t>，按照</w:t>
            </w:r>
            <w:r>
              <w:rPr>
                <w:rFonts w:hint="eastAsia" w:ascii="宋体" w:hAnsi="宋体" w:eastAsia="宋体" w:cs="宋体"/>
                <w:highlight w:val="none"/>
                <w:lang w:val="en-US" w:eastAsia="zh-CN"/>
              </w:rPr>
              <w:t>成交</w:t>
            </w:r>
            <w:r>
              <w:rPr>
                <w:rFonts w:hint="eastAsia" w:ascii="宋体" w:hAnsi="宋体" w:eastAsia="宋体" w:cs="宋体"/>
                <w:highlight w:val="none"/>
              </w:rPr>
              <w:t>通知书确定的中标总金额，核算中标服务费（不足5000元按5000元计取）</w:t>
            </w:r>
            <w:r>
              <w:rPr>
                <w:rFonts w:hint="eastAsia" w:ascii="宋体" w:hAnsi="宋体" w:eastAsia="宋体" w:cs="宋体"/>
                <w:bCs/>
                <w:szCs w:val="21"/>
                <w:highlight w:val="none"/>
              </w:rPr>
              <w:t>。</w:t>
            </w:r>
          </w:p>
          <w:p>
            <w:pPr>
              <w:spacing w:line="400" w:lineRule="exact"/>
              <w:rPr>
                <w:rFonts w:hint="eastAsia" w:ascii="宋体" w:hAnsi="宋体" w:eastAsia="宋体" w:cs="宋体"/>
                <w:bCs/>
                <w:highlight w:val="none"/>
              </w:rPr>
            </w:pPr>
            <w:r>
              <w:rPr>
                <w:rFonts w:hint="eastAsia" w:ascii="宋体" w:hAnsi="宋体" w:eastAsia="宋体" w:cs="宋体"/>
                <w:bCs/>
                <w:highlight w:val="none"/>
              </w:rPr>
              <w:t>②成交人在领取成交通知书时即向本代理机构以现金、电汇方式支付服务费。</w:t>
            </w:r>
          </w:p>
          <w:p>
            <w:pPr>
              <w:spacing w:line="400" w:lineRule="exact"/>
              <w:rPr>
                <w:rFonts w:hint="eastAsia" w:ascii="宋体" w:hAnsi="宋体" w:eastAsia="宋体" w:cs="宋体"/>
                <w:bCs/>
                <w:highlight w:val="none"/>
              </w:rPr>
            </w:pPr>
            <w:r>
              <w:rPr>
                <w:rFonts w:hint="eastAsia" w:ascii="宋体" w:hAnsi="宋体" w:eastAsia="宋体" w:cs="宋体"/>
                <w:bCs/>
                <w:highlight w:val="none"/>
              </w:rPr>
              <w:t>③服务费汇入账户：</w:t>
            </w:r>
          </w:p>
          <w:p>
            <w:pPr>
              <w:spacing w:line="400" w:lineRule="exact"/>
              <w:ind w:firstLine="29" w:firstLineChars="14"/>
              <w:jc w:val="left"/>
              <w:rPr>
                <w:rFonts w:hint="eastAsia" w:ascii="宋体" w:hAnsi="宋体" w:eastAsia="宋体" w:cs="宋体"/>
                <w:bCs/>
                <w:szCs w:val="21"/>
                <w:highlight w:val="none"/>
              </w:rPr>
            </w:pPr>
            <w:r>
              <w:rPr>
                <w:rFonts w:hint="eastAsia" w:ascii="宋体" w:hAnsi="宋体" w:eastAsia="宋体" w:cs="宋体"/>
                <w:bCs/>
                <w:szCs w:val="21"/>
                <w:highlight w:val="none"/>
              </w:rPr>
              <w:t>开户银行：建行宁波分行营业部；</w:t>
            </w:r>
          </w:p>
          <w:p>
            <w:pPr>
              <w:spacing w:line="400" w:lineRule="exact"/>
              <w:ind w:firstLine="29" w:firstLineChars="14"/>
              <w:jc w:val="left"/>
              <w:rPr>
                <w:rFonts w:hint="eastAsia" w:ascii="宋体" w:hAnsi="宋体" w:eastAsia="宋体" w:cs="宋体"/>
                <w:bCs/>
                <w:szCs w:val="21"/>
                <w:highlight w:val="none"/>
              </w:rPr>
            </w:pPr>
            <w:r>
              <w:rPr>
                <w:rFonts w:hint="eastAsia" w:ascii="宋体" w:hAnsi="宋体" w:eastAsia="宋体" w:cs="宋体"/>
                <w:bCs/>
                <w:szCs w:val="21"/>
                <w:highlight w:val="none"/>
              </w:rPr>
              <w:t>户名：宁波国咨工程造价咨询有限公司；</w:t>
            </w:r>
          </w:p>
          <w:p>
            <w:pPr>
              <w:spacing w:line="400" w:lineRule="exact"/>
              <w:rPr>
                <w:rFonts w:hint="eastAsia" w:ascii="宋体" w:hAnsi="宋体" w:eastAsia="宋体" w:cs="宋体"/>
                <w:bCs/>
                <w:szCs w:val="21"/>
                <w:highlight w:val="none"/>
              </w:rPr>
            </w:pPr>
            <w:r>
              <w:rPr>
                <w:rFonts w:hint="eastAsia" w:ascii="宋体" w:hAnsi="宋体" w:eastAsia="宋体" w:cs="宋体"/>
                <w:bCs/>
                <w:szCs w:val="21"/>
                <w:highlight w:val="none"/>
              </w:rPr>
              <w:t>账号：33101983679050502597。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highlight w:val="none"/>
              </w:rPr>
            </w:pPr>
            <w:r>
              <w:rPr>
                <w:rFonts w:hint="eastAsia" w:ascii="宋体" w:hAnsi="宋体" w:eastAsia="宋体" w:cs="宋体"/>
                <w:szCs w:val="21"/>
                <w:highlight w:val="none"/>
              </w:rPr>
              <w:t>磋商保证金：无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答疑与澄清：供应商依法获取磋商文件，如认为磋商采购文件表述不清晰、存在歧视性、排他性或者其他违法内容的，应当于递交磋商响应文件截止时间5日前，以书面形式要求采购单位作出书面解释、澄清或者向采购单位提出书面质疑，逾期不予受理；采购单位将不专门组织答疑；如有答疑，答疑内容是磋商采购文件的组成部份，将在浙江政府采购云平台上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评审办法及评审标准：具体见第四章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788" w:hanging="787" w:hangingChars="375"/>
              <w:rPr>
                <w:rFonts w:hint="eastAsia" w:ascii="宋体" w:hAnsi="宋体" w:eastAsia="宋体" w:cs="宋体"/>
                <w:highlight w:val="none"/>
              </w:rPr>
            </w:pPr>
            <w:r>
              <w:rPr>
                <w:rFonts w:hint="eastAsia" w:ascii="宋体" w:hAnsi="宋体" w:eastAsia="宋体" w:cs="宋体"/>
                <w:highlight w:val="none"/>
              </w:rPr>
              <w:t>发布本项目</w:t>
            </w:r>
            <w:r>
              <w:rPr>
                <w:rFonts w:hint="eastAsia" w:ascii="宋体" w:hAnsi="宋体" w:eastAsia="宋体" w:cs="宋体"/>
                <w:szCs w:val="21"/>
                <w:highlight w:val="none"/>
              </w:rPr>
              <w:t>竞争性磋商</w:t>
            </w:r>
            <w:r>
              <w:rPr>
                <w:rFonts w:hint="eastAsia" w:ascii="宋体" w:hAnsi="宋体" w:eastAsia="宋体" w:cs="宋体"/>
                <w:highlight w:val="none"/>
              </w:rPr>
              <w:t>公告、中标公示的媒体：</w:t>
            </w:r>
          </w:p>
          <w:p>
            <w:pPr>
              <w:spacing w:line="360" w:lineRule="exact"/>
              <w:ind w:left="788" w:hanging="787" w:hangingChars="375"/>
              <w:rPr>
                <w:rFonts w:hint="eastAsia" w:ascii="宋体" w:hAnsi="宋体" w:eastAsia="宋体" w:cs="宋体"/>
                <w:highlight w:val="none"/>
              </w:rPr>
            </w:pPr>
            <w:r>
              <w:rPr>
                <w:rFonts w:hint="eastAsia" w:ascii="宋体" w:hAnsi="宋体" w:eastAsia="宋体" w:cs="宋体"/>
                <w:highlight w:val="none"/>
              </w:rPr>
              <w:t>浙江政府采购网https://zfcg.czt.zj.gov.cn/</w:t>
            </w:r>
          </w:p>
          <w:p>
            <w:pPr>
              <w:spacing w:line="360" w:lineRule="exact"/>
              <w:rPr>
                <w:rFonts w:hint="eastAsia" w:ascii="宋体" w:hAnsi="宋体" w:eastAsia="宋体" w:cs="宋体"/>
                <w:highlight w:val="none"/>
              </w:rPr>
            </w:pPr>
            <w:r>
              <w:rPr>
                <w:rFonts w:hint="eastAsia" w:ascii="宋体" w:hAnsi="宋体" w:eastAsia="宋体" w:cs="宋体"/>
                <w:highlight w:val="none"/>
              </w:rPr>
              <w:t>宁波政府采购网</w:t>
            </w:r>
            <w:r>
              <w:rPr>
                <w:rFonts w:hint="eastAsia" w:ascii="宋体" w:hAnsi="宋体" w:eastAsia="宋体" w:cs="宋体"/>
                <w:highlight w:val="none"/>
                <w:lang w:val="en-US" w:eastAsia="zh-CN"/>
              </w:rPr>
              <w:t xml:space="preserve"> </w:t>
            </w:r>
            <w:r>
              <w:rPr>
                <w:rFonts w:hint="eastAsia" w:ascii="宋体" w:hAnsi="宋体" w:eastAsia="宋体" w:cs="宋体"/>
                <w:highlight w:val="none"/>
              </w:rPr>
              <w:t>http://www.nbzfcg.cn/</w:t>
            </w:r>
          </w:p>
          <w:p>
            <w:pPr>
              <w:spacing w:line="400" w:lineRule="exact"/>
              <w:rPr>
                <w:rFonts w:hint="eastAsia" w:ascii="宋体" w:hAnsi="宋体" w:eastAsia="宋体" w:cs="宋体"/>
                <w:szCs w:val="21"/>
                <w:highlight w:val="none"/>
                <w:lang w:eastAsia="zh-CN"/>
              </w:rPr>
            </w:pPr>
            <w:r>
              <w:rPr>
                <w:rFonts w:hint="eastAsia" w:ascii="宋体" w:hAnsi="宋体" w:eastAsia="宋体" w:cs="宋体"/>
                <w:highlight w:val="none"/>
              </w:rPr>
              <w:t>宁波公共资源交易网高新区分网</w:t>
            </w:r>
            <w:r>
              <w:rPr>
                <w:rFonts w:hint="eastAsia" w:ascii="宋体" w:hAnsi="宋体" w:eastAsia="宋体" w:cs="宋体"/>
                <w:highlight w:val="none"/>
                <w:lang w:val="en-US" w:eastAsia="zh-CN"/>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"http://gaoxin.bidding.gov.cn/" </w:instrText>
            </w:r>
            <w:r>
              <w:rPr>
                <w:rFonts w:hint="eastAsia" w:ascii="宋体" w:hAnsi="宋体" w:eastAsia="宋体" w:cs="宋体"/>
                <w:highlight w:val="none"/>
              </w:rPr>
              <w:fldChar w:fldCharType="separate"/>
            </w:r>
            <w:r>
              <w:rPr>
                <w:rStyle w:val="51"/>
                <w:rFonts w:hint="eastAsia" w:ascii="宋体" w:hAnsi="宋体" w:eastAsia="宋体" w:cs="宋体"/>
                <w:highlight w:val="none"/>
              </w:rPr>
              <w:t>http://gaoxin.bidding.gov.cn/</w:t>
            </w:r>
            <w:r>
              <w:rPr>
                <w:rFonts w:hint="eastAsia" w:ascii="宋体" w:hAnsi="宋体" w:eastAsia="宋体" w:cs="宋体"/>
                <w:highlight w:val="none"/>
              </w:rPr>
              <w:fldChar w:fldCharType="end"/>
            </w:r>
            <w:r>
              <w:rPr>
                <w:rFonts w:hint="eastAsia" w:ascii="宋体" w:hAnsi="宋体" w:eastAsia="宋体" w:cs="宋体"/>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highlight w:val="none"/>
              </w:rPr>
            </w:pPr>
            <w:r>
              <w:rPr>
                <w:rFonts w:hint="eastAsia" w:ascii="宋体" w:hAnsi="宋体" w:eastAsia="宋体" w:cs="宋体"/>
                <w:highlight w:val="none"/>
              </w:rPr>
              <w:t>注意事项：</w:t>
            </w:r>
          </w:p>
          <w:p>
            <w:pPr>
              <w:numPr>
                <w:ilvl w:val="0"/>
                <w:numId w:val="5"/>
              </w:numPr>
              <w:spacing w:line="400" w:lineRule="exact"/>
              <w:rPr>
                <w:rFonts w:hint="eastAsia" w:ascii="宋体" w:hAnsi="宋体" w:eastAsia="宋体" w:cs="宋体"/>
                <w:highlight w:val="none"/>
              </w:rPr>
            </w:pPr>
            <w:r>
              <w:rPr>
                <w:rFonts w:hint="eastAsia" w:ascii="宋体" w:hAnsi="宋体" w:eastAsia="宋体" w:cs="宋体"/>
                <w:highlight w:val="none"/>
              </w:rPr>
              <w:t>本项目通过“政府采购云平台”实行在线磋商（电子投标）。若供应商参与磋商，自行承担磋商一切费用。</w:t>
            </w:r>
          </w:p>
          <w:p>
            <w:pPr>
              <w:numPr>
                <w:ilvl w:val="0"/>
                <w:numId w:val="5"/>
              </w:numPr>
              <w:spacing w:line="400" w:lineRule="exact"/>
              <w:rPr>
                <w:rFonts w:hint="eastAsia" w:ascii="宋体" w:hAnsi="宋体" w:eastAsia="宋体" w:cs="宋体"/>
                <w:highlight w:val="none"/>
              </w:rPr>
            </w:pPr>
            <w:r>
              <w:rPr>
                <w:rFonts w:hint="eastAsia" w:ascii="宋体" w:hAnsi="宋体" w:eastAsia="宋体" w:cs="宋体"/>
                <w:highlight w:val="none"/>
              </w:rPr>
              <w:t>制作电子响应文件的系统配置要求：64位的windows7及以上操作系统。</w:t>
            </w:r>
          </w:p>
          <w:p>
            <w:pPr>
              <w:spacing w:line="400" w:lineRule="exact"/>
              <w:rPr>
                <w:rFonts w:hint="eastAsia" w:ascii="宋体" w:hAnsi="宋体" w:eastAsia="宋体" w:cs="宋体"/>
                <w:highlight w:val="none"/>
              </w:rPr>
            </w:pPr>
            <w:r>
              <w:rPr>
                <w:rFonts w:hint="eastAsia" w:ascii="宋体" w:hAnsi="宋体" w:eastAsia="宋体" w:cs="宋体"/>
                <w:highlight w:val="none"/>
              </w:rPr>
              <w:t>3.磋商前的准备：各供应商应在磋商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磋商文件、无法参加磋商或磋商失败等后果由供应商自行承担。</w:t>
            </w:r>
          </w:p>
          <w:p>
            <w:pPr>
              <w:spacing w:line="400" w:lineRule="exact"/>
              <w:rPr>
                <w:rFonts w:hint="eastAsia" w:ascii="宋体" w:hAnsi="宋体" w:eastAsia="宋体" w:cs="宋体"/>
                <w:highlight w:val="none"/>
              </w:rPr>
            </w:pPr>
            <w:r>
              <w:rPr>
                <w:rFonts w:hint="eastAsia" w:ascii="宋体" w:hAnsi="宋体" w:eastAsia="宋体" w:cs="宋体"/>
                <w:highlight w:val="none"/>
              </w:rPr>
              <w:t>4.磋商响应文件由：资格证明文件、技术商务文件以及报价文件三个部分组成，供应商应按照本磋商文件和“政府采购云平台”的要求，通过“政采云电子交易客户端”编制并加密磋商响应文件。同时，供应商应递交“电子备份磋商响应文件”用于异常情况处理。</w:t>
            </w:r>
          </w:p>
          <w:p>
            <w:pPr>
              <w:pStyle w:val="121"/>
              <w:spacing w:line="400" w:lineRule="exact"/>
              <w:ind w:left="0" w:firstLine="0"/>
              <w:rPr>
                <w:rFonts w:hint="eastAsia" w:ascii="宋体" w:hAnsi="宋体" w:eastAsia="宋体" w:cs="宋体"/>
                <w:highlight w:val="none"/>
              </w:rPr>
            </w:pPr>
            <w:r>
              <w:rPr>
                <w:rFonts w:hint="eastAsia" w:ascii="宋体" w:hAnsi="宋体" w:eastAsia="宋体" w:cs="宋体"/>
                <w:szCs w:val="21"/>
                <w:highlight w:val="none"/>
              </w:rPr>
              <w:t>5.供应商授权代表应自带电脑、CA锁用于“电子加密磋商响应文件”的解密。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b/>
                <w:highlight w:val="none"/>
              </w:rPr>
              <w:t>★</w:t>
            </w:r>
            <w:r>
              <w:rPr>
                <w:rFonts w:hint="eastAsia" w:ascii="宋体" w:hAnsi="宋体" w:eastAsia="宋体" w:cs="宋体"/>
                <w:szCs w:val="21"/>
                <w:highlight w:val="none"/>
              </w:rPr>
              <w:t>10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解释：本磋商采购文件的解释权属于采购单位。</w:t>
            </w:r>
          </w:p>
        </w:tc>
      </w:tr>
    </w:tbl>
    <w:p>
      <w:pPr>
        <w:rPr>
          <w:rFonts w:hint="eastAsia" w:ascii="宋体" w:hAnsi="宋体" w:eastAsia="宋体" w:cs="宋体"/>
          <w:highlight w:val="none"/>
        </w:rPr>
      </w:pPr>
    </w:p>
    <w:p>
      <w:pPr>
        <w:pStyle w:val="13"/>
        <w:widowControl w:val="0"/>
        <w:tabs>
          <w:tab w:val="clear" w:pos="454"/>
        </w:tabs>
        <w:snapToGrid w:val="0"/>
        <w:spacing w:after="0" w:afterLines="0" w:line="440" w:lineRule="exact"/>
        <w:ind w:left="0" w:firstLine="480" w:firstLineChars="200"/>
        <w:rPr>
          <w:rFonts w:hint="eastAsia" w:ascii="宋体" w:hAnsi="宋体" w:eastAsia="宋体" w:cs="宋体"/>
          <w:sz w:val="21"/>
          <w:szCs w:val="21"/>
          <w:highlight w:val="none"/>
        </w:rPr>
      </w:pPr>
      <w:r>
        <w:rPr>
          <w:rFonts w:hint="eastAsia" w:ascii="宋体" w:hAnsi="宋体" w:eastAsia="宋体" w:cs="宋体"/>
          <w:highlight w:val="none"/>
        </w:rPr>
        <w:br w:type="page"/>
      </w:r>
      <w:r>
        <w:rPr>
          <w:rFonts w:hint="eastAsia" w:ascii="宋体" w:hAnsi="宋体" w:eastAsia="宋体" w:cs="宋体"/>
          <w:b/>
          <w:sz w:val="21"/>
          <w:szCs w:val="21"/>
          <w:highlight w:val="none"/>
        </w:rPr>
        <w:t>一   总  则</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（一） 适用范围</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本磋商文件适用于本项目的磋商公告、响应、评审、验收、合同履约、付款等行为（法律、法规另有规定的，从其规定）。</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（二）定义</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1. 采购单位系指组织本次竞争性磋商的代理机构和采购人。</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2.“供应商”系指向采购单位提交响应文件的单位或个人。</w:t>
      </w:r>
    </w:p>
    <w:p>
      <w:pPr>
        <w:snapToGrid w:val="0"/>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3.“产品”系指供方按采购文件规定，须向采购人提供的一切服务相关的产品、保险、税金、手册及其它有关技术资料和材料。</w:t>
      </w:r>
    </w:p>
    <w:p>
      <w:pPr>
        <w:snapToGrid w:val="0"/>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4.“服务”系指采购文件规定供应商须承担的相关服务。</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5.“项目”系指供应商按采购文件规定向采购人提供的服务和相关产品。</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6.“书面形式”包括信函、传真、电报等。</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7.“★”系指实质性要求条款。响应文件对这些条款的任何负偏离将导致投标无效。</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（三）采购方式</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本次采购采用竞争性磋商方式进行。</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（四）磋商委托</w:t>
      </w:r>
    </w:p>
    <w:p>
      <w:pPr>
        <w:widowControl/>
        <w:spacing w:line="440" w:lineRule="exact"/>
        <w:ind w:firstLine="420" w:firstLineChars="200"/>
        <w:jc w:val="left"/>
        <w:rPr>
          <w:rFonts w:hint="eastAsia" w:ascii="宋体" w:hAnsi="宋体" w:eastAsia="宋体" w:cs="宋体"/>
          <w:bCs/>
          <w:szCs w:val="21"/>
          <w:highlight w:val="none"/>
        </w:rPr>
      </w:pPr>
      <w:r>
        <w:rPr>
          <w:rFonts w:hint="eastAsia" w:ascii="宋体" w:hAnsi="宋体" w:eastAsia="宋体" w:cs="宋体"/>
          <w:bCs/>
          <w:szCs w:val="21"/>
          <w:highlight w:val="none"/>
        </w:rPr>
        <w:t>详见</w:t>
      </w:r>
      <w:r>
        <w:rPr>
          <w:rFonts w:hint="eastAsia" w:ascii="宋体" w:hAnsi="宋体" w:eastAsia="宋体" w:cs="宋体"/>
          <w:szCs w:val="21"/>
          <w:highlight w:val="none"/>
        </w:rPr>
        <w:t>竞争性磋商公告</w:t>
      </w:r>
      <w:r>
        <w:rPr>
          <w:rFonts w:hint="eastAsia" w:ascii="宋体" w:hAnsi="宋体" w:eastAsia="宋体" w:cs="宋体"/>
          <w:bCs/>
          <w:szCs w:val="21"/>
          <w:highlight w:val="none"/>
        </w:rPr>
        <w:t>及响应文件编制。</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（五）磋商费用</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不论采购结果如何，供应商均应自行承担所有与采购有关的全部费用（采购文件有相关规定除外）。</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（六）联合体报价</w:t>
      </w:r>
    </w:p>
    <w:p>
      <w:pPr>
        <w:pStyle w:val="2"/>
        <w:snapToGrid w:val="0"/>
        <w:spacing w:before="0" w:beforeLines="0" w:after="0" w:afterLines="0" w:line="440" w:lineRule="exact"/>
        <w:ind w:firstLine="420" w:firstLineChars="200"/>
        <w:rPr>
          <w:rFonts w:hint="eastAsia" w:ascii="宋体" w:hAnsi="宋体" w:eastAsia="宋体" w:cs="宋体"/>
          <w:bCs/>
          <w:highlight w:val="none"/>
        </w:rPr>
      </w:pPr>
      <w:r>
        <w:rPr>
          <w:rFonts w:hint="eastAsia" w:ascii="宋体" w:hAnsi="宋体" w:eastAsia="宋体" w:cs="宋体"/>
          <w:bCs/>
          <w:highlight w:val="none"/>
        </w:rPr>
        <w:t>本项目不接受联合体</w:t>
      </w:r>
      <w:r>
        <w:rPr>
          <w:rStyle w:val="52"/>
          <w:rFonts w:hint="eastAsia" w:ascii="宋体" w:hAnsi="宋体" w:eastAsia="宋体" w:cs="宋体"/>
          <w:highlight w:val="none"/>
        </w:rPr>
        <w:t>参加</w:t>
      </w:r>
      <w:r>
        <w:rPr>
          <w:rFonts w:hint="eastAsia" w:ascii="宋体" w:hAnsi="宋体" w:eastAsia="宋体" w:cs="宋体"/>
          <w:bCs/>
          <w:highlight w:val="none"/>
        </w:rPr>
        <w:t>磋商。</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（七）转包与分包</w:t>
      </w:r>
    </w:p>
    <w:p>
      <w:pPr>
        <w:pStyle w:val="2"/>
        <w:snapToGrid w:val="0"/>
        <w:spacing w:before="0" w:beforeLines="0" w:after="0" w:afterLines="0" w:line="440" w:lineRule="exact"/>
        <w:ind w:firstLine="420" w:firstLineChars="200"/>
        <w:rPr>
          <w:rFonts w:hint="eastAsia" w:ascii="宋体" w:hAnsi="宋体" w:eastAsia="宋体" w:cs="宋体"/>
          <w:bCs/>
          <w:highlight w:val="none"/>
        </w:rPr>
      </w:pPr>
      <w:r>
        <w:rPr>
          <w:rFonts w:hint="eastAsia" w:ascii="宋体" w:hAnsi="宋体" w:eastAsia="宋体" w:cs="宋体"/>
          <w:highlight w:val="none"/>
        </w:rPr>
        <w:t>★</w:t>
      </w:r>
      <w:r>
        <w:rPr>
          <w:rFonts w:hint="eastAsia" w:ascii="宋体" w:hAnsi="宋体" w:eastAsia="宋体" w:cs="宋体"/>
          <w:bCs/>
          <w:highlight w:val="none"/>
        </w:rPr>
        <w:t>本项目不允许转包，未经采购人同意，不得分包。</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（八）特别说明：</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★1.供应商磋商所使用的资格、信誉、荣誉、业绩与企业认证必须为本单位所拥有。</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★2.供应商应仔细阅读磋商文件的所有内容，按照磋商文件的要求提交响应文件，并对所提供的全部资料的真实性承担法律责任。</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★3.供应商应委托本单位的人员作为其代理人。</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4.供应商在磋商活动中提供任何虚假材料,其磋商无效，并报监管部门查处。</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5.关于知识产权</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5.2、磋商报价应包含所有应向所有权人支付的专利权、商标权或其它知识产权的一切相关费用。</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5.3、系统软件、通用软件必须是具有在中国境内的合法使用权或版权的正版软件，涉及到第三方提出侵权或知识产权的起诉及支付版税等费用由供应商承担所有责任及费用。</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6.供应商的风险</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6.1、供应商应详细阅读采购文件中的全部内容和要求，按照采购文件的要求提交首次磋商响应文件，没有按照采购文件要求提供磋商响应文件和资料导致的风险由供应商承担,并对所提供的全部资料的真实性承担法律责任。</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6.2、无论因何种原因导致本次采购活动终止致供应商损失的，相关责任人均不承担任何责任。</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（九）质疑和投诉</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1、供应商应当自知道或者应当知道其合法权益受到损害之日起7个工作日内提出质疑。提出质疑的有效期计算，依照下列规定：</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（一）对采购信息公告提出质疑的，应当在采购信息公告发布之日起7个工作日内提出。</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（二）对招标文件提出质疑的，应当在获取招标文件或者招标文件公告期限届满之日起7个工作日内提出。</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（三）对采购过程提出质疑的，应当在招标文件接收、开标、评标工作、宣布评标结果等环节结束之日起7个工作日内提出。</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四）对采购结果提出质疑的，应当在采购结果公告期限届满或书面通知（书面通知可以采用电子邮件、传真方式）采购结果之日起7个工作日内提出，未按规定在发布采购结果公告同时书面通知采购结果的，以供应商实际知道采购结果之日起计算。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3、供应商提出质疑应当提交质疑函和必要的证明材料，质疑函应当面以书面形式提出，质疑函格式和内容须符合财政部《质疑函范本》要求，供应商可到中国政府采购网自行下载财政部《质疑函范本》。</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5、供应商对采购人或采购代理机构的质疑答复不满意或者采购人或采购代理机构未在规定时间内作出答复的，可以在答复期满后十五个工作日内向同级采购监管部门投诉。</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6.供应商未按磋商公告要求依法获取磋商文件的，采购代理机构及采购人不予接收其针对本项目提出的任何质疑及投诉。</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二  磋商采购文件</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（一）磋商采购文件的构成。本磋商采购文件由以下部分组成：</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1.竞争性磋商公告</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2.采购需求</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3.供应商须知</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4.评审办法及评分标准</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5.采购合同草案条款</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6.响应文件格式</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7.本项目磋商采购文件的澄清、答复、修改、补充的内容</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（二）供应商的风险</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供应商没有按照磋商采购文件要求提供全部资料，或者供应商没有对磋商采购文件在各方面作出实质性响应是供应商的风险，并可能导致其响应文件被拒绝。</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（三）磋商采购文件的澄清与修改 </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1.采购单位对已发出的磋商采购文件进行必要的澄清和修改时，将在递交首次响应文件截止时间前五日内，</w:t>
      </w:r>
      <w:r>
        <w:rPr>
          <w:rFonts w:hint="eastAsia" w:ascii="宋体" w:hAnsi="宋体" w:eastAsia="宋体" w:cs="宋体"/>
          <w:highlight w:val="none"/>
          <w:lang w:bidi="ar"/>
        </w:rPr>
        <w:t>在采购信息发布网站上发布更正公告</w:t>
      </w:r>
      <w:r>
        <w:rPr>
          <w:rFonts w:hint="eastAsia" w:ascii="宋体" w:hAnsi="宋体" w:eastAsia="宋体" w:cs="宋体"/>
          <w:highlight w:val="none"/>
        </w:rPr>
        <w:t>。不足五日的，采购单位将顺延提交首次响应文件截止时间。</w:t>
      </w:r>
    </w:p>
    <w:p>
      <w:pPr>
        <w:pStyle w:val="2"/>
        <w:snapToGrid w:val="0"/>
        <w:spacing w:before="0" w:beforeLines="0" w:after="0" w:afterLines="0" w:line="440" w:lineRule="exact"/>
        <w:ind w:firstLine="420" w:firstLineChars="200"/>
        <w:rPr>
          <w:rFonts w:hint="eastAsia" w:ascii="宋体" w:hAnsi="宋体" w:eastAsia="宋体" w:cs="宋体"/>
          <w:highlight w:val="none"/>
          <w:lang w:bidi="ar"/>
        </w:rPr>
      </w:pPr>
      <w:r>
        <w:rPr>
          <w:rFonts w:hint="eastAsia" w:ascii="宋体" w:hAnsi="宋体" w:eastAsia="宋体" w:cs="宋体"/>
          <w:highlight w:val="none"/>
        </w:rPr>
        <w:t>2.</w:t>
      </w:r>
      <w:r>
        <w:rPr>
          <w:rFonts w:hint="eastAsia" w:ascii="宋体" w:hAnsi="宋体" w:eastAsia="宋体" w:cs="宋体"/>
          <w:highlight w:val="none"/>
          <w:lang w:bidi="ar"/>
        </w:rPr>
        <w:t>更正公告为磋商文件的组成部分，一经在网站发布，视同已通知所有磋商文件的收受人，不再采用其它方式传达相关信息, 若因未能及时了解到上述网站上发布的相关信息而导致的一切后果自行承担。</w:t>
      </w:r>
    </w:p>
    <w:p>
      <w:pPr>
        <w:pStyle w:val="2"/>
        <w:snapToGrid w:val="0"/>
        <w:spacing w:before="0" w:beforeLines="0" w:after="0" w:afterLines="0" w:line="440" w:lineRule="exact"/>
        <w:ind w:firstLine="420" w:firstLineChars="200"/>
        <w:rPr>
          <w:rFonts w:hint="eastAsia" w:ascii="宋体" w:hAnsi="宋体" w:eastAsia="宋体" w:cs="宋体"/>
          <w:highlight w:val="none"/>
          <w:lang w:bidi="ar"/>
        </w:rPr>
      </w:pPr>
      <w:r>
        <w:rPr>
          <w:rFonts w:hint="eastAsia" w:ascii="宋体" w:hAnsi="宋体" w:eastAsia="宋体" w:cs="宋体"/>
          <w:highlight w:val="none"/>
          <w:lang w:bidi="ar"/>
        </w:rPr>
        <w:t>3.如更正公告有重新发布电子磋商文件的，供应商应自行下载最新发布的电子磋商文件制作磋商响应文件。</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4.购买磋商采购文件的潜在供应商对磋商采购文件有异议，应知其权益受到损害之日起七个工作日内提出。逾期提出的将不予受理。对磋商采购文件的异议应有法定代表人或其委托代理人签字，并盖供应商公章和注明日期。</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没有提出异议且又参与了该项目磋商的供应商将被视为完全认同磋商采购文件。</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三、响应文件的编制</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（一）磋商响应文件的形式和效力</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1.磋商响应文件分为：“电子加密磋商响应文件”、“电子备份磋商响应文件”。</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2.“电子加密磋商响应文件”是指通过“政采云电子交易客户端”完成磋商响应文件编制后生成并加密的数据电文形式的磋商响应文件</w:t>
      </w:r>
      <w:r>
        <w:rPr>
          <w:rFonts w:hint="eastAsia" w:ascii="宋体" w:hAnsi="宋体" w:eastAsia="宋体" w:cs="宋体"/>
          <w:highlight w:val="none"/>
          <w:lang w:bidi="ar"/>
        </w:rPr>
        <w:t>（文件后缀为：jmbs）</w:t>
      </w:r>
      <w:r>
        <w:rPr>
          <w:rFonts w:hint="eastAsia" w:ascii="宋体" w:hAnsi="宋体" w:eastAsia="宋体" w:cs="宋体"/>
          <w:highlight w:val="none"/>
        </w:rPr>
        <w:t>。</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3.“电子备份磋商响应文件”是指与“电子加密磋商响应文件”同时生成的数据电文形式的电子文件，</w:t>
      </w:r>
      <w:r>
        <w:rPr>
          <w:rFonts w:hint="eastAsia" w:ascii="宋体" w:hAnsi="宋体" w:eastAsia="宋体" w:cs="宋体"/>
          <w:highlight w:val="none"/>
          <w:lang w:bidi="ar"/>
        </w:rPr>
        <w:t>文件后缀为：bfbs</w:t>
      </w:r>
      <w:r>
        <w:rPr>
          <w:rFonts w:hint="eastAsia" w:ascii="宋体" w:hAnsi="宋体" w:eastAsia="宋体" w:cs="宋体"/>
          <w:highlight w:val="none"/>
        </w:rPr>
        <w:t>（备份标书），其他方式编制的“电子备份磋商响应文件”视为无效备份磋商响应文件。</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4.磋商响应文件的效力：磋商响应文件的启用，按先后顺位分别为“电子加密磋商响应文件”、“电子备份磋商响应文件”。在下一顺位的磋商响应文件启用时，前一顺位的磋商响应文件自动失效。“电子加密磋商响应文件”在规定解密时间内无法解密时，供应商若在提交首次磋商响应文件截止时间之前递交了“电子备份磋商响应文件”的，由采购代理机构上传“电子备份磋商响应文件”进行异常处理（若“电子备份磋商响应文件”与政府采购云平台上传的磋商响应文件被识别为不一致，仍以“电子备份磋商响应文件”作为评审依据），若供应商在规定时间内无法解密或解密失败且未在提交首次磋商响应文件截止时间之前递交“电子备份磋商响应文件”或递交的“电子备份磋商响应文件”无法读取的视为磋商响应文件撤回。通过“政府采购云平台”上传递交的“电子加密磋商响应文件”已按时解密的，“电子备份磋商响应文件”自动失效。无论是否启用“电子备份磋商响应文件”，“电子备份磋商响应文件”均不退还供应商。</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5.当“政府采购云平台”无法正常运行，或者无法保证在线电子磋商的公平、公正和安全时或发生下列其他情况的，采购组织机构可中止电子交易活动。</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 xml:space="preserve">A.“政府采购云平台”发生故障而无法登录访问的； </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B.“政府采购云平台”应用或数据库出现错误，不能进行正常操作的；</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C.“政府采购云平台”发现严重安全漏洞，有潜在泄密危险的；</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 xml:space="preserve">D. 病毒发作导致不能进行正常操作的； </w:t>
      </w:r>
    </w:p>
    <w:p>
      <w:pPr>
        <w:pStyle w:val="2"/>
        <w:snapToGrid w:val="0"/>
        <w:spacing w:before="0" w:beforeLines="0" w:after="0" w:afterLines="0" w:line="440" w:lineRule="exact"/>
        <w:ind w:firstLine="420" w:firstLineChars="200"/>
        <w:rPr>
          <w:rFonts w:hint="eastAsia" w:ascii="宋体" w:hAnsi="宋体" w:eastAsia="宋体" w:cs="宋体"/>
          <w:bCs/>
          <w:highlight w:val="none"/>
        </w:rPr>
      </w:pPr>
      <w:r>
        <w:rPr>
          <w:rFonts w:hint="eastAsia" w:ascii="宋体" w:hAnsi="宋体" w:eastAsia="宋体" w:cs="宋体"/>
          <w:highlight w:val="none"/>
        </w:rPr>
        <w:t>E. 其他无法保证电子交易的公平、公正和安全的情况</w:t>
      </w:r>
      <w:r>
        <w:rPr>
          <w:rFonts w:hint="eastAsia" w:ascii="宋体" w:hAnsi="宋体" w:eastAsia="宋体" w:cs="宋体"/>
          <w:bCs/>
          <w:highlight w:val="none"/>
        </w:rPr>
        <w:t>。</w:t>
      </w:r>
    </w:p>
    <w:p>
      <w:pPr>
        <w:pStyle w:val="2"/>
        <w:snapToGrid w:val="0"/>
        <w:spacing w:before="0" w:beforeLines="0" w:after="0" w:afterLines="0" w:line="440" w:lineRule="exact"/>
        <w:ind w:firstLine="420" w:firstLineChars="200"/>
        <w:rPr>
          <w:rFonts w:hint="eastAsia" w:ascii="宋体" w:hAnsi="宋体" w:eastAsia="宋体" w:cs="宋体"/>
          <w:bCs/>
          <w:highlight w:val="none"/>
        </w:rPr>
      </w:pPr>
      <w:r>
        <w:rPr>
          <w:rFonts w:hint="eastAsia" w:ascii="宋体" w:hAnsi="宋体" w:eastAsia="宋体" w:cs="宋体"/>
          <w:highlight w:val="none"/>
        </w:rPr>
        <w:t>出现前款规定情形，不影响采购公平、公正性的，采购组织机构可以待上述情形消除后继续组织电子交易活动；影响或可能影响采购公平、公正性的，应当重新采购。</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（二）响应文件的组成</w:t>
      </w:r>
    </w:p>
    <w:p>
      <w:pPr>
        <w:snapToGrid w:val="0"/>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bidi="ar"/>
        </w:rPr>
        <w:t>响应文件至少包含以下三个部分</w:t>
      </w:r>
      <w:r>
        <w:rPr>
          <w:rFonts w:hint="eastAsia" w:ascii="宋体" w:hAnsi="宋体" w:eastAsia="宋体" w:cs="宋体"/>
          <w:szCs w:val="21"/>
          <w:highlight w:val="none"/>
        </w:rPr>
        <w:t>：</w:t>
      </w:r>
    </w:p>
    <w:p>
      <w:pPr>
        <w:numPr>
          <w:ilvl w:val="0"/>
          <w:numId w:val="6"/>
        </w:numPr>
        <w:tabs>
          <w:tab w:val="clear" w:pos="0"/>
        </w:tabs>
        <w:snapToGrid w:val="0"/>
        <w:spacing w:line="440" w:lineRule="exact"/>
        <w:ind w:firstLine="422" w:firstLineChars="200"/>
        <w:jc w:val="left"/>
        <w:rPr>
          <w:rFonts w:hint="eastAsia" w:ascii="宋体" w:hAnsi="宋体" w:eastAsia="宋体" w:cs="宋体"/>
          <w:szCs w:val="21"/>
          <w:highlight w:val="none"/>
          <w:lang w:bidi="ar"/>
        </w:rPr>
      </w:pPr>
      <w:r>
        <w:rPr>
          <w:rFonts w:hint="eastAsia" w:ascii="宋体" w:hAnsi="宋体" w:eastAsia="宋体" w:cs="宋体"/>
          <w:b/>
          <w:szCs w:val="21"/>
          <w:highlight w:val="none"/>
        </w:rPr>
        <w:t>资格证明文件：</w:t>
      </w:r>
    </w:p>
    <w:p>
      <w:pPr>
        <w:widowControl/>
        <w:tabs>
          <w:tab w:val="left" w:pos="0"/>
        </w:tabs>
        <w:spacing w:line="440" w:lineRule="exact"/>
        <w:ind w:firstLine="420" w:firstLineChars="200"/>
        <w:jc w:val="left"/>
        <w:rPr>
          <w:rFonts w:hint="eastAsia" w:ascii="宋体" w:hAnsi="宋体" w:eastAsia="宋体" w:cs="宋体"/>
          <w:szCs w:val="21"/>
          <w:highlight w:val="none"/>
          <w:u w:val="single"/>
        </w:rPr>
      </w:pPr>
      <w:r>
        <w:rPr>
          <w:rFonts w:hint="eastAsia" w:ascii="宋体" w:hAnsi="宋体" w:eastAsia="宋体" w:cs="宋体"/>
          <w:szCs w:val="21"/>
          <w:highlight w:val="none"/>
          <w:u w:val="single"/>
        </w:rPr>
        <w:t>（1）封面；</w:t>
      </w:r>
    </w:p>
    <w:p>
      <w:pPr>
        <w:widowControl/>
        <w:tabs>
          <w:tab w:val="left" w:pos="0"/>
        </w:tabs>
        <w:spacing w:line="440" w:lineRule="exact"/>
        <w:ind w:firstLine="420" w:firstLineChars="200"/>
        <w:jc w:val="left"/>
        <w:rPr>
          <w:rFonts w:hint="eastAsia" w:ascii="宋体" w:hAnsi="宋体" w:eastAsia="宋体" w:cs="宋体"/>
          <w:szCs w:val="21"/>
          <w:highlight w:val="none"/>
          <w:u w:val="single"/>
        </w:rPr>
      </w:pPr>
      <w:r>
        <w:rPr>
          <w:rFonts w:hint="eastAsia" w:ascii="宋体" w:hAnsi="宋体" w:eastAsia="宋体" w:cs="宋体"/>
          <w:szCs w:val="21"/>
          <w:highlight w:val="none"/>
          <w:u w:val="single"/>
        </w:rPr>
        <w:t>（2）法定代表人身份证明书（详见格式一）及法定代表人身份证正反面复印件；</w:t>
      </w:r>
    </w:p>
    <w:p>
      <w:pPr>
        <w:widowControl/>
        <w:tabs>
          <w:tab w:val="left" w:pos="0"/>
        </w:tabs>
        <w:spacing w:line="440" w:lineRule="exact"/>
        <w:ind w:firstLine="420" w:firstLineChars="200"/>
        <w:jc w:val="left"/>
        <w:rPr>
          <w:rFonts w:hint="eastAsia" w:ascii="宋体" w:hAnsi="宋体" w:eastAsia="宋体" w:cs="宋体"/>
          <w:szCs w:val="21"/>
          <w:highlight w:val="none"/>
          <w:u w:val="single"/>
        </w:rPr>
      </w:pPr>
      <w:r>
        <w:rPr>
          <w:rFonts w:hint="eastAsia" w:ascii="宋体" w:hAnsi="宋体" w:eastAsia="宋体" w:cs="宋体"/>
          <w:szCs w:val="21"/>
          <w:highlight w:val="none"/>
          <w:u w:val="single"/>
        </w:rPr>
        <w:t>（3）法定代表人授权委托书（详见格式二）、其授权代表身份证正反面复印件（若有则提供）；</w:t>
      </w:r>
    </w:p>
    <w:p>
      <w:pPr>
        <w:widowControl/>
        <w:spacing w:line="440" w:lineRule="exact"/>
        <w:ind w:firstLine="420" w:firstLineChars="200"/>
        <w:jc w:val="left"/>
        <w:outlineLvl w:val="1"/>
        <w:rPr>
          <w:rFonts w:hint="eastAsia" w:ascii="宋体" w:hAnsi="宋体" w:eastAsia="宋体" w:cs="宋体"/>
          <w:szCs w:val="21"/>
          <w:highlight w:val="none"/>
          <w:u w:val="single"/>
        </w:rPr>
      </w:pPr>
      <w:bookmarkStart w:id="4" w:name="_Toc40789378"/>
      <w:bookmarkStart w:id="5" w:name="_Toc46489024"/>
      <w:r>
        <w:rPr>
          <w:rFonts w:hint="eastAsia" w:ascii="宋体" w:hAnsi="宋体" w:eastAsia="宋体" w:cs="宋体"/>
          <w:szCs w:val="21"/>
          <w:highlight w:val="none"/>
          <w:u w:val="single"/>
        </w:rPr>
        <w:t>（4）供应商具有独立承担民事责任的能力【</w:t>
      </w:r>
      <w:bookmarkEnd w:id="4"/>
      <w:bookmarkStart w:id="6" w:name="_Toc40789379"/>
      <w:r>
        <w:rPr>
          <w:rFonts w:hint="eastAsia" w:ascii="宋体" w:hAnsi="宋体" w:eastAsia="宋体" w:cs="宋体"/>
          <w:szCs w:val="21"/>
          <w:highlight w:val="none"/>
          <w:u w:val="single"/>
        </w:rPr>
        <w:t>有效的企业法人营业执照（或事业法人登记证）或其他组织（个体工商户）的营业执照或者民办非企业单位登记证书复印件加盖供应商公章，供应商如果有名称变更的，应提供由行政主管部门出具的变更证明文件（加盖公章）】；</w:t>
      </w:r>
      <w:bookmarkEnd w:id="5"/>
      <w:bookmarkEnd w:id="6"/>
    </w:p>
    <w:p>
      <w:pPr>
        <w:widowControl/>
        <w:spacing w:line="440" w:lineRule="exact"/>
        <w:ind w:firstLine="420" w:firstLineChars="200"/>
        <w:jc w:val="left"/>
        <w:outlineLvl w:val="1"/>
        <w:rPr>
          <w:rFonts w:hint="eastAsia" w:ascii="宋体" w:hAnsi="宋体" w:eastAsia="宋体" w:cs="宋体"/>
          <w:szCs w:val="21"/>
          <w:highlight w:val="none"/>
          <w:u w:val="single"/>
        </w:rPr>
      </w:pPr>
      <w:bookmarkStart w:id="7" w:name="_Toc46489025"/>
      <w:bookmarkStart w:id="8" w:name="_Toc40789380"/>
      <w:r>
        <w:rPr>
          <w:rFonts w:hint="eastAsia" w:ascii="宋体" w:hAnsi="宋体" w:eastAsia="宋体" w:cs="宋体"/>
          <w:szCs w:val="21"/>
          <w:highlight w:val="none"/>
          <w:u w:val="single"/>
        </w:rPr>
        <w:t>（5）供应商承诺（详见格式三）；</w:t>
      </w:r>
      <w:bookmarkEnd w:id="7"/>
      <w:bookmarkEnd w:id="8"/>
    </w:p>
    <w:p>
      <w:pPr>
        <w:widowControl/>
        <w:spacing w:line="440" w:lineRule="exact"/>
        <w:ind w:firstLine="420" w:firstLineChars="200"/>
        <w:jc w:val="left"/>
        <w:outlineLvl w:val="1"/>
        <w:rPr>
          <w:rFonts w:hint="eastAsia" w:ascii="宋体" w:hAnsi="宋体" w:eastAsia="宋体" w:cs="宋体"/>
          <w:szCs w:val="21"/>
          <w:highlight w:val="none"/>
          <w:u w:val="single"/>
        </w:rPr>
      </w:pPr>
      <w:bookmarkStart w:id="9" w:name="_Toc40789381"/>
      <w:bookmarkStart w:id="10" w:name="_Toc46489026"/>
      <w:r>
        <w:rPr>
          <w:rFonts w:hint="eastAsia" w:ascii="宋体" w:hAnsi="宋体" w:eastAsia="宋体" w:cs="宋体"/>
          <w:szCs w:val="21"/>
          <w:highlight w:val="none"/>
          <w:u w:val="single"/>
        </w:rPr>
        <w:t>（6）供应商有良好的商业信誉和健全的财务会计制度（附：2020年度财务会计报表复印件加盖供应商公章，如供应商注册成立不足一年的，应提供供应商单位成立至2021年8月的财务会计报表复印件加盖供应商公章）；</w:t>
      </w:r>
      <w:bookmarkEnd w:id="9"/>
      <w:bookmarkEnd w:id="10"/>
    </w:p>
    <w:p>
      <w:pPr>
        <w:widowControl/>
        <w:spacing w:line="440" w:lineRule="exact"/>
        <w:ind w:firstLine="420" w:firstLineChars="200"/>
        <w:jc w:val="left"/>
        <w:outlineLvl w:val="1"/>
        <w:rPr>
          <w:rFonts w:hint="eastAsia" w:ascii="宋体" w:hAnsi="宋体" w:eastAsia="宋体" w:cs="宋体"/>
          <w:szCs w:val="21"/>
          <w:highlight w:val="none"/>
          <w:u w:val="single"/>
        </w:rPr>
      </w:pPr>
      <w:bookmarkStart w:id="11" w:name="_Toc46489027"/>
      <w:bookmarkStart w:id="12" w:name="_Toc40789382"/>
      <w:r>
        <w:rPr>
          <w:rFonts w:hint="eastAsia" w:ascii="宋体" w:hAnsi="宋体" w:eastAsia="宋体" w:cs="宋体"/>
          <w:szCs w:val="21"/>
          <w:highlight w:val="none"/>
          <w:u w:val="single"/>
        </w:rPr>
        <w:t>（7）供应商有依法缴纳税收的良好记录证明资料复印件（附：2020年度缴纳税收的证明资料复印件加盖供应商公章，如供应商注册成立不足一年的，应提供供应商单位成立至2021年8月的缴纳税收的凭据证明材料复印件加盖供应商公章，如依法免税的，应提供相应文件证明其依法免税）；</w:t>
      </w:r>
      <w:bookmarkEnd w:id="11"/>
      <w:bookmarkEnd w:id="12"/>
    </w:p>
    <w:p>
      <w:pPr>
        <w:widowControl/>
        <w:spacing w:line="440" w:lineRule="exact"/>
        <w:ind w:firstLine="420" w:firstLineChars="200"/>
        <w:jc w:val="left"/>
        <w:outlineLvl w:val="1"/>
        <w:rPr>
          <w:rFonts w:hint="eastAsia" w:ascii="宋体" w:hAnsi="宋体" w:eastAsia="宋体" w:cs="宋体"/>
          <w:szCs w:val="21"/>
          <w:highlight w:val="none"/>
          <w:u w:val="single"/>
        </w:rPr>
      </w:pPr>
      <w:bookmarkStart w:id="13" w:name="_Toc46489028"/>
      <w:bookmarkStart w:id="14" w:name="_Toc40789383"/>
      <w:r>
        <w:rPr>
          <w:rFonts w:hint="eastAsia" w:ascii="宋体" w:hAnsi="宋体" w:eastAsia="宋体" w:cs="宋体"/>
          <w:szCs w:val="21"/>
          <w:highlight w:val="none"/>
          <w:u w:val="single"/>
        </w:rPr>
        <w:t>（8）供应商有依法缴纳社会保障资金的良好记录证明资料复印件（附：2020年度缴纳社保的证明资料复印件加盖供应商公章，如供应商注册成立不足一年的，应提供供应商单位成立至2021年8月的缴纳社保的证明资料复印件加盖供应商公章，如依法不需要缴纳社保的，应提供相关文件证明其依法不需要缴纳社保）</w:t>
      </w:r>
      <w:bookmarkEnd w:id="13"/>
      <w:bookmarkEnd w:id="14"/>
      <w:bookmarkStart w:id="15" w:name="_Toc46489029"/>
      <w:r>
        <w:rPr>
          <w:rFonts w:hint="eastAsia" w:ascii="宋体" w:hAnsi="宋体" w:eastAsia="宋体" w:cs="宋体"/>
          <w:szCs w:val="21"/>
          <w:highlight w:val="none"/>
          <w:u w:val="single"/>
        </w:rPr>
        <w:t>。</w:t>
      </w:r>
      <w:bookmarkEnd w:id="15"/>
    </w:p>
    <w:p>
      <w:pPr>
        <w:snapToGrid w:val="0"/>
        <w:spacing w:line="440" w:lineRule="exact"/>
        <w:ind w:firstLine="422" w:firstLineChars="200"/>
        <w:jc w:val="left"/>
        <w:rPr>
          <w:rFonts w:hint="eastAsia" w:ascii="宋体" w:hAnsi="宋体" w:eastAsia="宋体" w:cs="宋体"/>
          <w:b/>
          <w:bCs/>
          <w:szCs w:val="21"/>
          <w:highlight w:val="none"/>
          <w:lang w:bidi="ar"/>
        </w:rPr>
      </w:pPr>
      <w:r>
        <w:rPr>
          <w:rFonts w:hint="eastAsia" w:ascii="宋体" w:hAnsi="宋体" w:eastAsia="宋体" w:cs="宋体"/>
          <w:b/>
          <w:bCs/>
          <w:szCs w:val="21"/>
          <w:highlight w:val="none"/>
          <w:lang w:bidi="ar"/>
        </w:rPr>
        <w:t>2.报价文件</w:t>
      </w:r>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bookmarkStart w:id="16" w:name="_Toc46489030"/>
      <w:r>
        <w:rPr>
          <w:rFonts w:hint="eastAsia" w:ascii="宋体" w:hAnsi="宋体" w:eastAsia="宋体" w:cs="宋体"/>
          <w:szCs w:val="21"/>
          <w:highlight w:val="none"/>
          <w:u w:val="single"/>
        </w:rPr>
        <w:t>封面；</w:t>
      </w:r>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r>
        <w:rPr>
          <w:rFonts w:hint="eastAsia" w:ascii="宋体" w:hAnsi="宋体" w:eastAsia="宋体" w:cs="宋体"/>
          <w:szCs w:val="21"/>
          <w:highlight w:val="none"/>
          <w:u w:val="single"/>
        </w:rPr>
        <w:t>投标声明书（详见格式四）；</w:t>
      </w:r>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r>
        <w:rPr>
          <w:rFonts w:hint="eastAsia" w:ascii="宋体" w:hAnsi="宋体" w:eastAsia="宋体" w:cs="宋体"/>
          <w:highlight w:val="none"/>
          <w:u w:val="single"/>
        </w:rPr>
        <w:t>开标一览表</w:t>
      </w:r>
      <w:r>
        <w:rPr>
          <w:rFonts w:hint="eastAsia" w:ascii="宋体" w:hAnsi="宋体" w:eastAsia="宋体" w:cs="宋体"/>
          <w:szCs w:val="21"/>
          <w:highlight w:val="none"/>
          <w:u w:val="single"/>
        </w:rPr>
        <w:t>（详见格式五）</w:t>
      </w:r>
      <w:r>
        <w:rPr>
          <w:rFonts w:hint="eastAsia" w:ascii="宋体" w:hAnsi="宋体" w:eastAsia="宋体" w:cs="宋体"/>
          <w:highlight w:val="none"/>
        </w:rPr>
        <w:t>；</w:t>
      </w:r>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r>
        <w:rPr>
          <w:rFonts w:hint="eastAsia" w:ascii="宋体" w:hAnsi="宋体" w:eastAsia="宋体" w:cs="宋体"/>
          <w:szCs w:val="21"/>
          <w:highlight w:val="none"/>
          <w:u w:val="single"/>
        </w:rPr>
        <w:t>投标报价组成明细表（详见格式六）；</w:t>
      </w:r>
      <w:bookmarkEnd w:id="16"/>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bookmarkStart w:id="17" w:name="_Toc46489032"/>
      <w:r>
        <w:rPr>
          <w:rFonts w:hint="eastAsia" w:ascii="宋体" w:hAnsi="宋体" w:eastAsia="宋体" w:cs="宋体"/>
          <w:szCs w:val="21"/>
          <w:highlight w:val="none"/>
          <w:u w:val="single"/>
        </w:rPr>
        <w:t>中小企业声明函（详见附件一，如符合要求可提供）；</w:t>
      </w:r>
      <w:bookmarkEnd w:id="17"/>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bookmarkStart w:id="18" w:name="_Toc46489033"/>
      <w:r>
        <w:rPr>
          <w:rFonts w:hint="eastAsia" w:ascii="宋体" w:hAnsi="宋体" w:eastAsia="宋体" w:cs="宋体"/>
          <w:szCs w:val="21"/>
          <w:highlight w:val="none"/>
          <w:u w:val="single"/>
        </w:rPr>
        <w:t>残疾人福利性单位声明函（详见附件二，如符合要求可提供）；</w:t>
      </w:r>
      <w:bookmarkEnd w:id="18"/>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r>
        <w:rPr>
          <w:rFonts w:hint="eastAsia" w:ascii="宋体" w:hAnsi="宋体" w:eastAsia="宋体" w:cs="宋体"/>
          <w:szCs w:val="21"/>
          <w:highlight w:val="none"/>
          <w:u w:val="single"/>
        </w:rPr>
        <w:t>监狱企业声明函（详见附件三，如符合要求可提供）；</w:t>
      </w:r>
    </w:p>
    <w:p>
      <w:pPr>
        <w:widowControl/>
        <w:numPr>
          <w:ilvl w:val="0"/>
          <w:numId w:val="7"/>
        </w:numPr>
        <w:spacing w:line="440" w:lineRule="exact"/>
        <w:ind w:firstLine="420" w:firstLineChars="200"/>
        <w:jc w:val="left"/>
        <w:outlineLvl w:val="1"/>
        <w:rPr>
          <w:rFonts w:hint="eastAsia" w:ascii="宋体" w:hAnsi="宋体" w:eastAsia="宋体" w:cs="宋体"/>
          <w:szCs w:val="21"/>
          <w:highlight w:val="none"/>
          <w:u w:val="single"/>
        </w:rPr>
      </w:pPr>
      <w:r>
        <w:rPr>
          <w:rFonts w:hint="eastAsia" w:ascii="宋体" w:hAnsi="宋体" w:eastAsia="宋体" w:cs="宋体"/>
          <w:szCs w:val="21"/>
          <w:highlight w:val="none"/>
          <w:u w:val="single"/>
        </w:rPr>
        <w:t>供应商针对报价需要说明的其他文件和说明。</w:t>
      </w:r>
    </w:p>
    <w:p>
      <w:pPr>
        <w:spacing w:line="440" w:lineRule="exact"/>
        <w:ind w:firstLine="422" w:firstLineChars="200"/>
        <w:rPr>
          <w:rFonts w:hint="eastAsia" w:ascii="宋体" w:hAnsi="宋体" w:eastAsia="宋体" w:cs="宋体"/>
          <w:szCs w:val="21"/>
          <w:highlight w:val="none"/>
          <w:lang w:bidi="ar"/>
        </w:rPr>
      </w:pPr>
      <w:r>
        <w:rPr>
          <w:rFonts w:hint="eastAsia" w:ascii="宋体" w:hAnsi="宋体" w:eastAsia="宋体" w:cs="宋体"/>
          <w:b/>
          <w:szCs w:val="21"/>
          <w:highlight w:val="none"/>
        </w:rPr>
        <w:t xml:space="preserve">3、技术商务文件   </w:t>
      </w:r>
      <w:r>
        <w:rPr>
          <w:rFonts w:hint="eastAsia" w:ascii="宋体" w:hAnsi="宋体" w:eastAsia="宋体" w:cs="宋体"/>
          <w:szCs w:val="21"/>
          <w:highlight w:val="none"/>
          <w:lang w:bidi="ar"/>
        </w:rPr>
        <w:t xml:space="preserve"> </w:t>
      </w:r>
    </w:p>
    <w:p>
      <w:pPr>
        <w:snapToGrid w:val="0"/>
        <w:spacing w:line="440" w:lineRule="exact"/>
        <w:ind w:firstLine="420" w:firstLineChars="200"/>
        <w:jc w:val="left"/>
        <w:rPr>
          <w:rFonts w:hint="eastAsia" w:ascii="宋体" w:hAnsi="宋体" w:eastAsia="宋体" w:cs="宋体"/>
          <w:szCs w:val="21"/>
          <w:highlight w:val="none"/>
          <w:u w:val="single"/>
          <w:lang w:bidi="ar"/>
        </w:rPr>
      </w:pPr>
      <w:r>
        <w:rPr>
          <w:rFonts w:hint="eastAsia" w:ascii="宋体" w:hAnsi="宋体" w:eastAsia="宋体" w:cs="宋体"/>
          <w:szCs w:val="21"/>
          <w:highlight w:val="none"/>
          <w:u w:val="single"/>
          <w:lang w:bidi="ar"/>
        </w:rPr>
        <w:t>（1）封面；</w:t>
      </w:r>
    </w:p>
    <w:p>
      <w:pPr>
        <w:snapToGrid w:val="0"/>
        <w:spacing w:line="440" w:lineRule="exact"/>
        <w:ind w:firstLine="420" w:firstLineChars="200"/>
        <w:jc w:val="left"/>
        <w:rPr>
          <w:rFonts w:hint="eastAsia" w:ascii="宋体" w:hAnsi="宋体" w:eastAsia="宋体" w:cs="宋体"/>
          <w:szCs w:val="21"/>
          <w:highlight w:val="none"/>
          <w:u w:val="single"/>
          <w:lang w:bidi="ar"/>
        </w:rPr>
      </w:pPr>
      <w:r>
        <w:rPr>
          <w:rFonts w:hint="eastAsia" w:ascii="宋体" w:hAnsi="宋体" w:eastAsia="宋体" w:cs="宋体"/>
          <w:szCs w:val="21"/>
          <w:highlight w:val="none"/>
          <w:u w:val="single"/>
          <w:lang w:bidi="ar"/>
        </w:rPr>
        <w:t>（2）技术商务条款响应（偏离）表（详见格式七）；</w:t>
      </w:r>
    </w:p>
    <w:p>
      <w:pPr>
        <w:snapToGrid w:val="0"/>
        <w:spacing w:line="440" w:lineRule="exact"/>
        <w:ind w:firstLine="420" w:firstLineChars="200"/>
        <w:jc w:val="left"/>
        <w:rPr>
          <w:rFonts w:hint="eastAsia" w:ascii="宋体" w:hAnsi="宋体" w:eastAsia="宋体" w:cs="宋体"/>
          <w:szCs w:val="21"/>
          <w:highlight w:val="none"/>
          <w:u w:val="single"/>
          <w:lang w:bidi="ar"/>
        </w:rPr>
      </w:pPr>
      <w:r>
        <w:rPr>
          <w:rFonts w:hint="eastAsia" w:ascii="宋体" w:hAnsi="宋体" w:eastAsia="宋体" w:cs="宋体"/>
          <w:szCs w:val="21"/>
          <w:highlight w:val="none"/>
          <w:u w:val="single"/>
          <w:lang w:bidi="ar"/>
        </w:rPr>
        <w:t>（3）供应商技术商务分自评表（详见格式八），后附资料详见：第四章评标办法及评分标准；</w:t>
      </w:r>
    </w:p>
    <w:p>
      <w:pPr>
        <w:snapToGrid w:val="0"/>
        <w:spacing w:line="440" w:lineRule="exact"/>
        <w:ind w:firstLine="420" w:firstLineChars="200"/>
        <w:jc w:val="left"/>
        <w:rPr>
          <w:rFonts w:hint="eastAsia" w:ascii="宋体" w:hAnsi="宋体" w:eastAsia="宋体" w:cs="宋体"/>
          <w:szCs w:val="21"/>
          <w:highlight w:val="none"/>
          <w:u w:val="single"/>
          <w:lang w:bidi="ar"/>
        </w:rPr>
      </w:pPr>
      <w:r>
        <w:rPr>
          <w:rFonts w:hint="eastAsia" w:ascii="宋体" w:hAnsi="宋体" w:eastAsia="宋体" w:cs="宋体"/>
          <w:szCs w:val="21"/>
          <w:highlight w:val="none"/>
          <w:u w:val="single"/>
          <w:lang w:bidi="ar"/>
        </w:rPr>
        <w:t>（4）业绩一览表（详见格式九）；</w:t>
      </w:r>
    </w:p>
    <w:p>
      <w:pPr>
        <w:snapToGrid w:val="0"/>
        <w:spacing w:line="440" w:lineRule="exact"/>
        <w:ind w:firstLine="420" w:firstLineChars="200"/>
        <w:jc w:val="left"/>
        <w:rPr>
          <w:rFonts w:hint="eastAsia" w:ascii="宋体" w:hAnsi="宋体" w:eastAsia="宋体" w:cs="宋体"/>
          <w:szCs w:val="21"/>
          <w:highlight w:val="none"/>
          <w:u w:val="single"/>
          <w:lang w:bidi="ar"/>
        </w:rPr>
      </w:pPr>
      <w:r>
        <w:rPr>
          <w:rFonts w:hint="eastAsia" w:ascii="宋体" w:hAnsi="宋体" w:eastAsia="宋体" w:cs="宋体"/>
          <w:szCs w:val="21"/>
          <w:highlight w:val="none"/>
          <w:u w:val="single"/>
          <w:lang w:bidi="ar"/>
        </w:rPr>
        <w:t>（5）项目组实施人员配备表（详见格式十）；</w:t>
      </w:r>
    </w:p>
    <w:p>
      <w:pPr>
        <w:snapToGrid w:val="0"/>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u w:val="single"/>
          <w:lang w:bidi="ar"/>
        </w:rPr>
        <w:t>（6）其它采购需求或评分标准所需资料（或供应商认为需提供的其它资料）</w:t>
      </w:r>
      <w:r>
        <w:rPr>
          <w:rFonts w:hint="eastAsia" w:ascii="宋体" w:hAnsi="宋体" w:eastAsia="宋体" w:cs="宋体"/>
          <w:szCs w:val="21"/>
          <w:highlight w:val="none"/>
          <w:lang w:bidi="ar"/>
        </w:rPr>
        <w:t>。</w:t>
      </w:r>
    </w:p>
    <w:p>
      <w:pPr>
        <w:widowControl/>
        <w:adjustRightInd w:val="0"/>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注：1.上述组成响应文件的各项资料中本磋商采购文件的有规定格式的，应统一按本磋商采购文件的规定格式填写。未有规定格式的资料，供应商应自行编制，但至少要包含以上要求的内容。</w:t>
      </w:r>
    </w:p>
    <w:p>
      <w:pPr>
        <w:widowControl/>
        <w:numPr>
          <w:ilvl w:val="0"/>
          <w:numId w:val="8"/>
        </w:numPr>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响应文件在提供对投标技术条款响应的应答时，对磋商采购文件有技术数值要求的参数，必须以投标货物的具体技术数值据实应答；对于磋商采购文件无数值要求的参数的应答，必须作出明确、直接、无导致两种理解可能的应答。</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（三）响应文件的语言及计量</w:t>
      </w:r>
    </w:p>
    <w:p>
      <w:pPr>
        <w:snapToGrid w:val="0"/>
        <w:spacing w:line="440" w:lineRule="exact"/>
        <w:ind w:firstLine="422" w:firstLineChars="200"/>
        <w:jc w:val="left"/>
        <w:rPr>
          <w:rFonts w:hint="eastAsia" w:ascii="宋体" w:hAnsi="宋体" w:eastAsia="宋体" w:cs="宋体"/>
          <w:b/>
          <w:szCs w:val="21"/>
          <w:highlight w:val="none"/>
        </w:rPr>
      </w:pPr>
      <w:r>
        <w:rPr>
          <w:rFonts w:hint="eastAsia" w:ascii="宋体" w:hAnsi="宋体" w:eastAsia="宋体" w:cs="宋体"/>
          <w:b/>
          <w:szCs w:val="21"/>
          <w:highlight w:val="none"/>
        </w:rPr>
        <w:t>★1响应文件以及供应商与采购单位就有关磋商事宜的所有来往函电，均应以中文汉语书写。除签名、盖章、专用名称等特殊情形外，以中文汉语以外的文字表述的响应文件视同未提供。</w:t>
      </w:r>
    </w:p>
    <w:p>
      <w:pPr>
        <w:snapToGrid w:val="0"/>
        <w:spacing w:line="440" w:lineRule="exact"/>
        <w:ind w:firstLine="422" w:firstLineChars="200"/>
        <w:jc w:val="left"/>
        <w:rPr>
          <w:rFonts w:hint="eastAsia" w:ascii="宋体" w:hAnsi="宋体" w:eastAsia="宋体" w:cs="宋体"/>
          <w:b/>
          <w:szCs w:val="21"/>
          <w:highlight w:val="none"/>
        </w:rPr>
      </w:pPr>
      <w:r>
        <w:rPr>
          <w:rFonts w:hint="eastAsia" w:ascii="宋体" w:hAnsi="宋体" w:eastAsia="宋体" w:cs="宋体"/>
          <w:b/>
          <w:szCs w:val="21"/>
          <w:highlight w:val="none"/>
        </w:rPr>
        <w:t>★2报价计量单位：磋商采购文件已有明确规定的，使用磋商采购文件规定的计量单位；磋商采购文件没有规定的，应采用中华人民共和国法定计量单位（货币单位：人民币元），否则视同未响应。</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（四）报价要求</w:t>
      </w:r>
    </w:p>
    <w:p>
      <w:pPr>
        <w:pStyle w:val="13"/>
        <w:widowControl w:val="0"/>
        <w:tabs>
          <w:tab w:val="clear" w:pos="454"/>
        </w:tabs>
        <w:snapToGrid w:val="0"/>
        <w:spacing w:after="0" w:afterLines="0" w:line="440" w:lineRule="exact"/>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1.报价应按磋商采购文件中相关附表格式填写。</w:t>
      </w:r>
    </w:p>
    <w:p>
      <w:pPr>
        <w:pStyle w:val="13"/>
        <w:widowControl w:val="0"/>
        <w:tabs>
          <w:tab w:val="clear" w:pos="454"/>
        </w:tabs>
        <w:snapToGrid w:val="0"/>
        <w:spacing w:after="0" w:afterLines="0" w:line="440" w:lineRule="exact"/>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★2.响应文件只允许有一个总报价，有选择的或有条件的报价将不予接受。</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（五）响应文件的有效期</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★1.自递交首次响应文件截止日起</w:t>
      </w:r>
      <w:r>
        <w:rPr>
          <w:rFonts w:hint="eastAsia" w:ascii="宋体" w:hAnsi="宋体" w:eastAsia="宋体" w:cs="宋体"/>
          <w:b/>
          <w:sz w:val="21"/>
          <w:szCs w:val="21"/>
          <w:highlight w:val="none"/>
          <w:u w:val="single"/>
        </w:rPr>
        <w:t xml:space="preserve"> 90 </w:t>
      </w:r>
      <w:r>
        <w:rPr>
          <w:rFonts w:hint="eastAsia" w:ascii="宋体" w:hAnsi="宋体" w:eastAsia="宋体" w:cs="宋体"/>
          <w:b/>
          <w:sz w:val="21"/>
          <w:szCs w:val="21"/>
          <w:highlight w:val="none"/>
        </w:rPr>
        <w:t>天响应文件应保持有效。有效期不足的响应文件将被拒绝。</w:t>
      </w:r>
    </w:p>
    <w:p>
      <w:pPr>
        <w:pStyle w:val="13"/>
        <w:widowControl w:val="0"/>
        <w:tabs>
          <w:tab w:val="clear" w:pos="454"/>
        </w:tabs>
        <w:snapToGrid w:val="0"/>
        <w:spacing w:after="0" w:afterLines="0" w:line="440" w:lineRule="exact"/>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2.在特殊情况下，采购人可与供应商协商延长响应文件的有效期，这种要求和答复均以书面形式进行。</w:t>
      </w:r>
    </w:p>
    <w:p>
      <w:pPr>
        <w:pStyle w:val="13"/>
        <w:widowControl w:val="0"/>
        <w:tabs>
          <w:tab w:val="clear" w:pos="454"/>
        </w:tabs>
        <w:snapToGrid w:val="0"/>
        <w:spacing w:after="0" w:afterLines="0" w:line="440" w:lineRule="exact"/>
        <w:ind w:left="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3.成交供应商的响应文件自开标之日起至合同履行完毕止均应保持有效。</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（六）响应文件的签署和份数</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供应商应按照本磋商文件规定的格式和顺序以及“政府采购云平台”的要求，通过“政采云电子交易客户端”编制磋商响应文件并进行关联定位，同时对磋商响应文件进行加密。资格证明文件以及技术商务文件中不得出现报价内容，如因供应商编制原因提前泄露报价，是供应商的责任。</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2.磋商响应文件内容不完整、编排混乱导致磋商响应文件被误读、漏读或者查找不到相关内容的，是供应商的责任。</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3.磋商响应文件须由供应商在规定位置盖章并由法定代表人或法定代表人的授权委托人签署，供应商应写全称。法定代表人授权委托书必须由法定代表人签名并加盖单位公章。</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4.磋商响应文件不得涂改，若有修改错漏处，须加盖单位公章或者法定代表人或授权委托人签名或盖章。磋商响应文件因版面模糊或表达不清所引起的后果由供应商负责。</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5.供应商递交的企业宣传册、产品宣传册，不属于磋商响应文件有效组成资料，不作为评审依据。</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6.磋商响应文件份数：</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1）本项目实行网上投标，供应商应准备以下响应文件：</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上传到政府采购云平台的“电子加密磋商响应文件”（含资格证明文件、技术商务文件、报价文件三部分）1份。</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2）供应商可以选择准备“电子备份磋商响应文件”：</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以介质（U盘）存储的数据电文形式的“电子备份磋商响应文件”（含资格证明文件、技术商务文件、报价文件三部分）1份。</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7.供应商在“政府采购云平台”完成“电子加密磋商响应文件”的上传递交之外，还</w:t>
      </w:r>
      <w:r>
        <w:rPr>
          <w:rFonts w:hint="eastAsia" w:ascii="宋体" w:hAnsi="宋体" w:eastAsia="宋体" w:cs="宋体"/>
          <w:b/>
          <w:sz w:val="21"/>
          <w:szCs w:val="21"/>
          <w:highlight w:val="none"/>
        </w:rPr>
        <w:t>可以选择（邮寄形式或派人现场提交，邮寄形式的以招标代理联系人签收时间为准，现场提交形式的以招标（代理）人的签收时间为准）</w:t>
      </w:r>
      <w:r>
        <w:rPr>
          <w:rFonts w:hint="eastAsia" w:ascii="宋体" w:hAnsi="宋体" w:eastAsia="宋体" w:cs="宋体"/>
          <w:sz w:val="21"/>
          <w:szCs w:val="21"/>
          <w:highlight w:val="none"/>
        </w:rPr>
        <w:t>在投标截止时间前提交以介质（U盘）存储的数据电文形式的“电子备份磋商响应文件”，</w:t>
      </w:r>
      <w:r>
        <w:rPr>
          <w:rFonts w:hint="eastAsia" w:ascii="宋体" w:hAnsi="宋体" w:eastAsia="宋体" w:cs="宋体"/>
          <w:b/>
          <w:sz w:val="21"/>
          <w:szCs w:val="21"/>
          <w:highlight w:val="none"/>
        </w:rPr>
        <w:t>“电子备份磋商响应文件”中的内容为按政采云平台“政府采购项目电子交易管理操作指南-供应商”要求制作上传的“电子磋商响应文件”，</w:t>
      </w:r>
      <w:r>
        <w:rPr>
          <w:rFonts w:hint="eastAsia" w:ascii="宋体" w:hAnsi="宋体" w:eastAsia="宋体" w:cs="宋体"/>
          <w:sz w:val="21"/>
          <w:szCs w:val="21"/>
          <w:highlight w:val="none"/>
        </w:rPr>
        <w:t>以用于异常情况处理。</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8.“电子备份磋商响应文件”以介质（U盘）存储，单独密封包装，外包装封面上应注明供应商名称、供应商地址、磋商响应文件名称（“电子备份磋商响应文件”）、项目名称、项目编号、及“在  年  月  日  时  分之前不得启封”字样，供应商必须在包封上加盖供应商公章或由其法定代表人（或授权代表）签字或盖章。供应商未按上述要求标记的，采购人（代理机构）不承担错放或提前开封的责任。</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（七）</w:t>
      </w:r>
      <w:r>
        <w:rPr>
          <w:rFonts w:hint="eastAsia" w:ascii="宋体" w:hAnsi="宋体" w:eastAsia="宋体" w:cs="宋体"/>
          <w:b/>
          <w:sz w:val="21"/>
          <w:szCs w:val="21"/>
          <w:highlight w:val="none"/>
          <w:lang w:bidi="ar"/>
        </w:rPr>
        <w:t>磋商响应文件的修改和撤回</w:t>
      </w:r>
    </w:p>
    <w:p>
      <w:pPr>
        <w:widowControl/>
        <w:spacing w:line="440" w:lineRule="exact"/>
        <w:ind w:firstLine="420" w:firstLineChars="200"/>
        <w:jc w:val="left"/>
        <w:rPr>
          <w:rFonts w:hint="eastAsia" w:ascii="宋体" w:hAnsi="宋体" w:eastAsia="宋体" w:cs="宋体"/>
          <w:szCs w:val="21"/>
          <w:highlight w:val="none"/>
          <w:lang w:bidi="ar"/>
        </w:rPr>
      </w:pPr>
      <w:r>
        <w:rPr>
          <w:rFonts w:hint="eastAsia" w:ascii="宋体" w:hAnsi="宋体" w:eastAsia="宋体" w:cs="宋体"/>
          <w:szCs w:val="21"/>
          <w:highlight w:val="none"/>
          <w:lang w:bidi="ar"/>
        </w:rPr>
        <w:t>1.供应商应当在提交首次磋商响应文件截止时间前完成磋商响应文件的上传和递交，并可以补充、修改或者撤回磋商响应文件。补充或者修改磋商响应文件的，应当先行撤回原文件，补充、修改后重新上传和递交。提交首次磋商响应文件截止时间前未完成上传和递交的，视为撤回磋商响应文件。提交首次磋商响应文件截止时间后上传和递交的磋商响应文件，将被拒收。</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bidi="ar"/>
        </w:rPr>
        <w:t>2.提交首次磋商响应文件截止时间后，供应商不得撤回、修改磋商响应文件</w:t>
      </w:r>
      <w:r>
        <w:rPr>
          <w:rFonts w:hint="eastAsia" w:ascii="宋体" w:hAnsi="宋体" w:eastAsia="宋体" w:cs="宋体"/>
          <w:szCs w:val="21"/>
          <w:highlight w:val="none"/>
        </w:rPr>
        <w:t>。</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（八）响应无效的情形</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限期内不补正或经补正后仍不符合磋商采购文件要求的，应认定其响应无效。供应商澄清、说明或更正后，不影响磋商小组对其响应文件所作的评价和评分结果。</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1.在符合性审查和商务评审时，如发现下列情形之一的，响应文件将被视为无效：</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（1）资格证明文件不全的，或者不符合磋商文件标明的资格要求的；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（2）磋商响应文件无法定代表人签字,或未提供法定代表人授权委托书、供应商声明书或者填写项目不齐全的；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（3）供应商代表人未能出具身份证明或与法定代表人授权委托人身份不符的； </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（4）磋商响应文件项目不齐全或者内容虚假的；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（5）磋商响应文件的实质性内容未使用中文表述、意思表述不明确、前后矛盾或者使用计量单位不符合磋商文件要求的（经磋商小组认定并允许其当场更正的笔误除外）；</w:t>
      </w:r>
    </w:p>
    <w:p>
      <w:pPr>
        <w:pStyle w:val="20"/>
        <w:snapToGrid w:val="0"/>
        <w:spacing w:line="440" w:lineRule="exact"/>
        <w:ind w:firstLine="404" w:firstLineChars="200"/>
        <w:rPr>
          <w:rFonts w:hint="eastAsia" w:ascii="宋体" w:hAnsi="宋体" w:eastAsia="宋体" w:cs="宋体"/>
          <w:snapToGrid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snapToGrid w:val="0"/>
          <w:sz w:val="21"/>
          <w:szCs w:val="21"/>
          <w:highlight w:val="none"/>
        </w:rPr>
        <w:t>6）磋商响应文件有效期不能满足磋商文件要求的；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（7）未实质性响应磋商文件要求或者响应文件有采购人不能接受的附加条件的；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（8）超过递交响应文件截止时间送达的或未按规定地点送达的；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（9）未按规定密封、签章的；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（10）磋商响应文件的关键内容字迹模糊、无法辨认的,或者响应文件中经修正的内容字迹模糊难以辩认或者修改处未按规定签名盖章的； </w:t>
      </w:r>
    </w:p>
    <w:p>
      <w:pPr>
        <w:pStyle w:val="20"/>
        <w:snapToGrid w:val="0"/>
        <w:spacing w:line="440" w:lineRule="exact"/>
        <w:ind w:firstLine="406"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2.在技术评审时，如发现下列情形之一的，响应文件将被视为无效：</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（1）响应文件标明的响应或偏离与事实不符或虚假响应的；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napToGrid w:val="0"/>
          <w:sz w:val="21"/>
          <w:szCs w:val="21"/>
          <w:highlight w:val="none"/>
        </w:rPr>
        <w:t>明显不符合磋商</w:t>
      </w:r>
      <w:r>
        <w:rPr>
          <w:rFonts w:hint="eastAsia" w:ascii="宋体" w:hAnsi="宋体" w:eastAsia="宋体" w:cs="宋体"/>
          <w:sz w:val="21"/>
          <w:szCs w:val="21"/>
          <w:highlight w:val="none"/>
        </w:rPr>
        <w:t>采购</w:t>
      </w:r>
      <w:r>
        <w:rPr>
          <w:rFonts w:hint="eastAsia" w:ascii="宋体" w:hAnsi="宋体" w:eastAsia="宋体" w:cs="宋体"/>
          <w:snapToGrid w:val="0"/>
          <w:sz w:val="21"/>
          <w:szCs w:val="21"/>
          <w:highlight w:val="none"/>
        </w:rPr>
        <w:t>文件要求的，或者与</w:t>
      </w:r>
      <w:r>
        <w:rPr>
          <w:rFonts w:hint="eastAsia" w:ascii="宋体" w:hAnsi="宋体" w:eastAsia="宋体" w:cs="宋体"/>
          <w:sz w:val="21"/>
          <w:szCs w:val="21"/>
          <w:highlight w:val="none"/>
        </w:rPr>
        <w:t>磋商采购文件中标“★”的条款发生实质性偏离的；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（3）响应文件技术方案不明确，存在一个或一个以上备选（替代）方案的；</w:t>
      </w:r>
    </w:p>
    <w:p>
      <w:pPr>
        <w:pStyle w:val="20"/>
        <w:snapToGrid w:val="0"/>
        <w:spacing w:line="440" w:lineRule="exact"/>
        <w:ind w:firstLine="406"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3.在报价评审时，如发现下列情形之一的，响应文件将被视为无效：</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（1）未采用响应文件要求的报价形式或超过采购预算（最高限价）报价的；</w:t>
      </w:r>
    </w:p>
    <w:p>
      <w:pPr>
        <w:pStyle w:val="20"/>
        <w:snapToGrid w:val="0"/>
        <w:spacing w:line="440" w:lineRule="exact"/>
        <w:ind w:firstLine="40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磋商小组委员会认为供应商的报价明显低于其他通过符合性审查供应商的报价，有可能影响产品质量或者不能诚信履约的，要求其在现场合理的时间内提供书面说明，必要时提供相关证明材料；且供应商不能证明其报价合理性的；不符合法律、法规和本磋商文件规定的其他实质性要求的。</w:t>
      </w:r>
    </w:p>
    <w:p>
      <w:pPr>
        <w:pStyle w:val="20"/>
        <w:snapToGrid w:val="0"/>
        <w:spacing w:line="440" w:lineRule="exact"/>
        <w:ind w:firstLine="406"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4.被拒绝的响应文件为无效。</w:t>
      </w:r>
    </w:p>
    <w:p>
      <w:pPr>
        <w:pStyle w:val="20"/>
        <w:snapToGrid w:val="0"/>
        <w:spacing w:line="440" w:lineRule="exact"/>
        <w:ind w:firstLine="406"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5.如采购过程中发现供应商有行贿犯罪记录的视为无效响应或取消成交资格。</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四、磋商程序</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（一）磋商准备</w:t>
      </w:r>
    </w:p>
    <w:p>
      <w:pPr>
        <w:pStyle w:val="2"/>
        <w:snapToGrid w:val="0"/>
        <w:spacing w:before="0" w:beforeLines="0" w:after="0" w:afterLines="0" w:line="440" w:lineRule="exact"/>
        <w:ind w:firstLine="420" w:firstLineChars="200"/>
        <w:rPr>
          <w:rFonts w:hint="eastAsia" w:ascii="宋体" w:hAnsi="宋体" w:eastAsia="宋体" w:cs="宋体"/>
          <w:bCs/>
          <w:highlight w:val="none"/>
        </w:rPr>
      </w:pPr>
      <w:r>
        <w:rPr>
          <w:rFonts w:hint="eastAsia" w:ascii="宋体" w:hAnsi="宋体" w:eastAsia="宋体" w:cs="宋体"/>
          <w:bCs/>
          <w:highlight w:val="none"/>
        </w:rPr>
        <w:t>采购代理机构将在规定的时间和地点进行磋商，供应商的法定代表人或其授权代表应按要求（详见竞争性磋商公告）参加磋商。</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（二） 磋商程序：</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电子招投标开标程序：</w:t>
      </w:r>
    </w:p>
    <w:p>
      <w:pPr>
        <w:pStyle w:val="2"/>
        <w:numPr>
          <w:ilvl w:val="0"/>
          <w:numId w:val="9"/>
        </w:numPr>
        <w:snapToGrid w:val="0"/>
        <w:spacing w:before="0" w:beforeLines="0" w:after="0" w:afterLines="0" w:line="440" w:lineRule="exact"/>
        <w:ind w:firstLine="420" w:firstLineChars="200"/>
        <w:rPr>
          <w:rFonts w:hint="eastAsia" w:ascii="宋体" w:hAnsi="宋体" w:eastAsia="宋体" w:cs="宋体"/>
          <w:bCs/>
          <w:highlight w:val="none"/>
        </w:rPr>
      </w:pPr>
      <w:r>
        <w:rPr>
          <w:rFonts w:hint="eastAsia" w:ascii="宋体" w:hAnsi="宋体" w:eastAsia="宋体" w:cs="宋体"/>
          <w:bCs/>
          <w:highlight w:val="none"/>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int="eastAsia" w:hAnsi="宋体" w:eastAsia="宋体" w:cs="宋体"/>
          <w:b/>
          <w:bCs/>
          <w:highlight w:val="none"/>
          <w:u w:val="single"/>
          <w:lang w:val="en-US" w:eastAsia="zh-CN" w:bidi="ar"/>
        </w:rPr>
        <w:t>6</w:t>
      </w:r>
      <w:r>
        <w:rPr>
          <w:rFonts w:hint="eastAsia" w:hAnsi="宋体" w:eastAsia="宋体" w:cs="宋体"/>
          <w:b/>
          <w:bCs/>
          <w:highlight w:val="none"/>
          <w:u w:val="single"/>
          <w:lang w:val="en-US" w:eastAsia="zh-CN" w:bidi="ar"/>
        </w:rPr>
        <w:t>0</w:t>
      </w:r>
      <w:r>
        <w:rPr>
          <w:rFonts w:hint="eastAsia" w:ascii="宋体" w:hAnsi="宋体" w:eastAsia="宋体" w:cs="宋体"/>
          <w:b/>
          <w:bCs/>
          <w:highlight w:val="none"/>
          <w:lang w:bidi="ar"/>
        </w:rPr>
        <w:t>分钟</w:t>
      </w:r>
      <w:r>
        <w:rPr>
          <w:rFonts w:hint="eastAsia" w:ascii="宋体" w:hAnsi="宋体" w:eastAsia="宋体" w:cs="宋体"/>
          <w:bCs/>
          <w:highlight w:val="none"/>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（2）磋商小组查阅响应文件，不符合符合性审查、商务和技术审查的供应商将被拒绝。</w:t>
      </w:r>
    </w:p>
    <w:p>
      <w:pPr>
        <w:pStyle w:val="2"/>
        <w:snapToGrid w:val="0"/>
        <w:spacing w:before="0" w:beforeLines="0" w:after="0" w:afterLines="0" w:line="440" w:lineRule="exact"/>
        <w:ind w:firstLine="420" w:firstLineChars="200"/>
        <w:rPr>
          <w:rFonts w:hint="eastAsia" w:ascii="宋体" w:hAnsi="宋体" w:eastAsia="宋体" w:cs="宋体"/>
          <w:b/>
          <w:bCs/>
          <w:highlight w:val="none"/>
        </w:rPr>
      </w:pPr>
      <w:r>
        <w:rPr>
          <w:rFonts w:hint="eastAsia" w:ascii="宋体" w:hAnsi="宋体" w:eastAsia="宋体" w:cs="宋体"/>
          <w:highlight w:val="none"/>
        </w:rPr>
        <w:t>（3）</w:t>
      </w:r>
      <w:r>
        <w:rPr>
          <w:rFonts w:hint="eastAsia" w:ascii="宋体" w:hAnsi="宋体" w:eastAsia="宋体" w:cs="宋体"/>
          <w:b/>
          <w:bCs/>
          <w:highlight w:val="none"/>
        </w:rPr>
        <w:t>磋商小组依照顺序与进入磋商的单一供应商分别进行磋商。</w:t>
      </w:r>
    </w:p>
    <w:p>
      <w:pPr>
        <w:pStyle w:val="2"/>
        <w:snapToGrid w:val="0"/>
        <w:spacing w:before="0" w:beforeLines="0" w:after="0" w:afterLines="0" w:line="440" w:lineRule="exact"/>
        <w:ind w:firstLine="422" w:firstLineChars="200"/>
        <w:rPr>
          <w:rFonts w:hint="eastAsia" w:ascii="宋体" w:hAnsi="宋体" w:eastAsia="宋体" w:cs="宋体"/>
          <w:b/>
          <w:bCs/>
          <w:highlight w:val="none"/>
        </w:rPr>
      </w:pPr>
      <w:r>
        <w:rPr>
          <w:rFonts w:hint="eastAsia" w:ascii="宋体" w:hAnsi="宋体" w:eastAsia="宋体" w:cs="宋体"/>
          <w:b/>
          <w:bCs/>
          <w:highlight w:val="none"/>
        </w:rPr>
        <w:t>在磋商过程中，磋商小组可以根据磋商文件和磋商情况实质性变动采购需求中的服务要求以及合同草案条款；对磋商文件作出的实质性变动是磋商文件的有效组成部分，磋商小组以书面形式同时通知所有参加磋商的供应商。供应商按照磋商文件的变动情况和磋商小组的要求在规定时间内重新提交响应文件（或补充文件），并由其法定代表人或授权代表签字或加盖公章。重新递交的响应文件（或补充文件）具有相应的法律效力；磋商结束后，磋商小组要求所有实质性响应的供应商在规定时间内提交最后报价。最后报价是供应商响应文件的有效组成部分。</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（4）经磋商确定最终采购需求和提交最后报价的供应商后，由磋商小组采用综合评分法对提交最后报价的供应商的响应文件和最后报价进行综合评分；</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（5）磋商小组根据综合评分情况，按照评审得分由高到低顺序推荐3名及以上成交候选供应商，并编写评审报告。</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（6）采购人从评审报告提出的成交候选供应商中，按照排序由高到低的原则确定成交供应商。</w:t>
      </w:r>
    </w:p>
    <w:p>
      <w:pPr>
        <w:pStyle w:val="13"/>
        <w:widowControl w:val="0"/>
        <w:tabs>
          <w:tab w:val="clear" w:pos="454"/>
        </w:tabs>
        <w:snapToGrid w:val="0"/>
        <w:spacing w:after="0" w:afterLines="0" w:line="440" w:lineRule="exact"/>
        <w:ind w:left="0"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五、评审</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（一）组建磋商小组</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磋商小组由政府采购评审专家或采购人代表共3人或以上单数组成，其中评审专家人数不得少于磋商小组成员总数的2/3。</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（二）评审的方式</w:t>
      </w:r>
    </w:p>
    <w:p>
      <w:pPr>
        <w:pStyle w:val="2"/>
        <w:snapToGrid w:val="0"/>
        <w:spacing w:before="0" w:beforeLines="0" w:after="0" w:afterLines="0"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本项目采用不公开方式评审，评审的依据为磋商采购文件和响应文件。</w:t>
      </w:r>
    </w:p>
    <w:p>
      <w:pPr>
        <w:pStyle w:val="2"/>
        <w:snapToGrid w:val="0"/>
        <w:spacing w:before="0" w:beforeLines="0" w:after="0" w:afterLines="0" w:line="440" w:lineRule="exact"/>
        <w:ind w:firstLine="422" w:firstLineChars="200"/>
        <w:rPr>
          <w:rFonts w:hint="eastAsia" w:ascii="宋体" w:hAnsi="宋体" w:eastAsia="宋体" w:cs="宋体"/>
          <w:b/>
          <w:highlight w:val="none"/>
        </w:rPr>
      </w:pPr>
      <w:r>
        <w:rPr>
          <w:rFonts w:hint="eastAsia" w:ascii="宋体" w:hAnsi="宋体" w:eastAsia="宋体" w:cs="宋体"/>
          <w:b/>
          <w:highlight w:val="none"/>
        </w:rPr>
        <w:t>（三）</w:t>
      </w:r>
      <w:r>
        <w:rPr>
          <w:rFonts w:hint="eastAsia" w:ascii="宋体" w:hAnsi="宋体" w:eastAsia="宋体" w:cs="宋体"/>
          <w:b/>
          <w:bCs/>
          <w:highlight w:val="none"/>
        </w:rPr>
        <w:t>评审程序</w:t>
      </w:r>
    </w:p>
    <w:p>
      <w:pPr>
        <w:snapToGrid w:val="0"/>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lang w:bidi="ar"/>
        </w:rPr>
        <w:t>1.形式审查</w:t>
      </w:r>
    </w:p>
    <w:p>
      <w:pPr>
        <w:snapToGrid w:val="0"/>
        <w:spacing w:line="440" w:lineRule="exact"/>
        <w:ind w:firstLine="420" w:firstLineChars="200"/>
        <w:rPr>
          <w:rFonts w:hint="eastAsia" w:ascii="宋体" w:hAnsi="宋体" w:eastAsia="宋体" w:cs="宋体"/>
          <w:b/>
          <w:szCs w:val="21"/>
          <w:highlight w:val="none"/>
        </w:rPr>
      </w:pPr>
      <w:r>
        <w:rPr>
          <w:rFonts w:hint="eastAsia" w:ascii="宋体" w:hAnsi="宋体" w:eastAsia="宋体" w:cs="宋体"/>
          <w:szCs w:val="21"/>
          <w:highlight w:val="none"/>
          <w:lang w:bidi="ar"/>
        </w:rPr>
        <w:t>采购人代表和代理机构工作人员协助磋商小组对供应商的资格和响应文件的完整性、合法性等进行审查。</w:t>
      </w:r>
    </w:p>
    <w:p>
      <w:pPr>
        <w:snapToGrid w:val="0"/>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lang w:bidi="ar"/>
        </w:rPr>
        <w:t>2.实质审查与比较</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（1）磋商小组审查响应文件的实质性内容是否符合磋商</w:t>
      </w:r>
      <w:r>
        <w:rPr>
          <w:rFonts w:hint="eastAsia" w:ascii="宋体" w:hAnsi="宋体" w:eastAsia="宋体" w:cs="宋体"/>
          <w:szCs w:val="21"/>
          <w:highlight w:val="none"/>
        </w:rPr>
        <w:t>采购</w:t>
      </w:r>
      <w:r>
        <w:rPr>
          <w:rFonts w:hint="eastAsia" w:ascii="宋体" w:hAnsi="宋体" w:eastAsia="宋体" w:cs="宋体"/>
          <w:szCs w:val="21"/>
          <w:highlight w:val="none"/>
          <w:lang w:bidi="ar"/>
        </w:rPr>
        <w:t>文件的实质性要求。</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（2）磋商小组将根据供应商的响应文件进行审查、核对,如有疑问,将对供应商进行询问,供应商要向磋商小组澄清有关问题,并最终以书面形式进行答复。</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供应商代表未到场（在线）或者拒绝澄清或者澄清的内容改变了响应文件的实质性内容的，磋商小组有权对该响应文件作出不利于供应商的评判。</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（3）各供应商的技术商务得分为所有磋商小组成员的有效评分的算术平均数。</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（4）代理机构工作人员协助磋商小组根据本项目的评分标准计算各供应商的报价得分。</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（5）磋商小组完成评审后,评审成员对各部分得分汇总，计算出本项目最终得分。磋商小组按评审原则推荐成交候选供应商同时起草评审报告。</w:t>
      </w:r>
    </w:p>
    <w:p>
      <w:pPr>
        <w:snapToGrid w:val="0"/>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lang w:bidi="ar"/>
        </w:rPr>
        <w:t>（四）澄清问题的形式</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pPr>
        <w:snapToGrid w:val="0"/>
        <w:spacing w:line="44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lang w:bidi="ar"/>
        </w:rPr>
        <w:t>（五） 错误修正</w:t>
      </w:r>
    </w:p>
    <w:p>
      <w:pPr>
        <w:snapToGrid w:val="0"/>
        <w:spacing w:line="44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响应文件如果出现计算或表达上的错误，修正错误的原则如下：</w:t>
      </w:r>
    </w:p>
    <w:p>
      <w:pPr>
        <w:numPr>
          <w:ilvl w:val="0"/>
          <w:numId w:val="10"/>
        </w:numPr>
        <w:snapToGrid w:val="0"/>
        <w:spacing w:line="440" w:lineRule="exact"/>
        <w:rPr>
          <w:rFonts w:hint="eastAsia" w:ascii="宋体" w:hAnsi="宋体" w:eastAsia="宋体" w:cs="宋体"/>
          <w:szCs w:val="21"/>
          <w:highlight w:val="none"/>
        </w:rPr>
      </w:pPr>
      <w:r>
        <w:rPr>
          <w:rFonts w:hint="eastAsia" w:ascii="宋体" w:hAnsi="宋体" w:eastAsia="宋体" w:cs="宋体"/>
          <w:szCs w:val="21"/>
          <w:highlight w:val="none"/>
          <w:lang w:bidi="ar"/>
        </w:rPr>
        <w:t>响应文件</w:t>
      </w:r>
      <w:r>
        <w:rPr>
          <w:rFonts w:hint="eastAsia" w:ascii="宋体" w:hAnsi="宋体" w:eastAsia="宋体" w:cs="宋体"/>
          <w:szCs w:val="21"/>
          <w:highlight w:val="none"/>
        </w:rPr>
        <w:t>中开标一览表（报价表）内容与</w:t>
      </w:r>
      <w:r>
        <w:rPr>
          <w:rFonts w:hint="eastAsia" w:ascii="宋体" w:hAnsi="宋体" w:eastAsia="宋体" w:cs="宋体"/>
          <w:szCs w:val="21"/>
          <w:highlight w:val="none"/>
          <w:lang w:bidi="ar"/>
        </w:rPr>
        <w:t>响应文件</w:t>
      </w:r>
      <w:r>
        <w:rPr>
          <w:rFonts w:hint="eastAsia" w:ascii="宋体" w:hAnsi="宋体" w:eastAsia="宋体" w:cs="宋体"/>
          <w:szCs w:val="21"/>
          <w:highlight w:val="none"/>
        </w:rPr>
        <w:t>中相应内容不一致的，以开标一览表（报价表）为准；</w:t>
      </w:r>
    </w:p>
    <w:p>
      <w:pPr>
        <w:numPr>
          <w:ilvl w:val="0"/>
          <w:numId w:val="10"/>
        </w:numPr>
        <w:snapToGrid w:val="0"/>
        <w:spacing w:line="440" w:lineRule="exact"/>
        <w:rPr>
          <w:rFonts w:hint="eastAsia" w:ascii="宋体" w:hAnsi="宋体" w:eastAsia="宋体" w:cs="宋体"/>
          <w:szCs w:val="21"/>
          <w:highlight w:val="none"/>
        </w:rPr>
      </w:pPr>
      <w:r>
        <w:rPr>
          <w:rFonts w:hint="eastAsia" w:ascii="宋体" w:hAnsi="宋体" w:eastAsia="宋体" w:cs="宋体"/>
          <w:szCs w:val="21"/>
          <w:highlight w:val="none"/>
          <w:lang w:bidi="ar"/>
        </w:rPr>
        <w:t>响应文件的大写金额和小写金额不一致的，以大写金额为准；</w:t>
      </w:r>
    </w:p>
    <w:p>
      <w:pPr>
        <w:numPr>
          <w:ilvl w:val="0"/>
          <w:numId w:val="10"/>
        </w:numPr>
        <w:snapToGrid w:val="0"/>
        <w:spacing w:line="440" w:lineRule="exact"/>
        <w:rPr>
          <w:rFonts w:hint="eastAsia" w:ascii="宋体" w:hAnsi="宋体" w:eastAsia="宋体" w:cs="宋体"/>
          <w:szCs w:val="21"/>
          <w:highlight w:val="none"/>
        </w:rPr>
      </w:pPr>
      <w:r>
        <w:rPr>
          <w:rFonts w:hint="eastAsia" w:ascii="宋体" w:hAnsi="宋体" w:eastAsia="宋体" w:cs="宋体"/>
          <w:szCs w:val="21"/>
          <w:highlight w:val="none"/>
        </w:rPr>
        <w:t>单价金额小数点或者百分比有明显错位的，以开标一览表的总价为准，并修改单价；</w:t>
      </w:r>
    </w:p>
    <w:p>
      <w:pPr>
        <w:snapToGrid w:val="0"/>
        <w:spacing w:line="44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4、总价与按单价汇总金额不一致的，以单价金额计算结果为准；</w:t>
      </w:r>
    </w:p>
    <w:p>
      <w:pPr>
        <w:snapToGrid w:val="0"/>
        <w:spacing w:line="44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5、对不同文字文本响应文件的解释发生异议的，以中文文本为准。</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同时出现两种以上不一致的，按照前款规定的顺序修正。修正后的报价按照响应文件澄清的规定经供应商确认后产生约束力，供应商不确认的，其投标无效。</w:t>
      </w:r>
    </w:p>
    <w:p>
      <w:pPr>
        <w:pStyle w:val="41"/>
        <w:widowControl w:val="0"/>
        <w:tabs>
          <w:tab w:val="left" w:pos="630"/>
        </w:tabs>
        <w:snapToGrid w:val="0"/>
        <w:spacing w:before="0" w:beforeAutospacing="0" w:after="0" w:afterAutospacing="0" w:line="440" w:lineRule="exact"/>
        <w:ind w:firstLine="422" w:firstLineChars="200"/>
        <w:jc w:val="both"/>
        <w:rPr>
          <w:rFonts w:hint="eastAsia" w:ascii="宋体" w:hAnsi="宋体" w:eastAsia="宋体" w:cs="宋体"/>
          <w:b/>
          <w:sz w:val="21"/>
          <w:szCs w:val="21"/>
          <w:highlight w:val="none"/>
        </w:rPr>
      </w:pPr>
      <w:r>
        <w:rPr>
          <w:rFonts w:hint="eastAsia" w:ascii="宋体" w:hAnsi="宋体" w:eastAsia="宋体" w:cs="宋体"/>
          <w:b/>
          <w:kern w:val="2"/>
          <w:sz w:val="21"/>
          <w:szCs w:val="21"/>
          <w:highlight w:val="none"/>
          <w:lang w:bidi="ar"/>
        </w:rPr>
        <w:t>（六）评审原则和评审办法</w:t>
      </w:r>
    </w:p>
    <w:p>
      <w:pPr>
        <w:pStyle w:val="41"/>
        <w:widowControl w:val="0"/>
        <w:snapToGrid w:val="0"/>
        <w:spacing w:before="0" w:beforeAutospacing="0" w:after="0" w:afterAutospacing="0" w:line="44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bidi="ar"/>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41"/>
        <w:widowControl w:val="0"/>
        <w:snapToGrid w:val="0"/>
        <w:spacing w:before="0" w:beforeAutospacing="0" w:after="0" w:afterAutospacing="0" w:line="44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bidi="ar"/>
        </w:rPr>
        <w:t>2.评审办法。本项目评审办法是</w:t>
      </w:r>
      <w:r>
        <w:rPr>
          <w:rFonts w:hint="eastAsia" w:ascii="宋体" w:hAnsi="宋体" w:eastAsia="宋体" w:cs="宋体"/>
          <w:b/>
          <w:kern w:val="2"/>
          <w:sz w:val="21"/>
          <w:szCs w:val="21"/>
          <w:highlight w:val="none"/>
          <w:u w:val="single"/>
          <w:lang w:bidi="ar"/>
        </w:rPr>
        <w:t xml:space="preserve"> 综合评分法</w:t>
      </w:r>
      <w:r>
        <w:rPr>
          <w:rFonts w:hint="eastAsia" w:ascii="宋体" w:hAnsi="宋体" w:eastAsia="宋体" w:cs="宋体"/>
          <w:kern w:val="2"/>
          <w:sz w:val="21"/>
          <w:szCs w:val="21"/>
          <w:highlight w:val="none"/>
          <w:u w:val="single"/>
          <w:lang w:bidi="ar"/>
        </w:rPr>
        <w:t xml:space="preserve"> </w:t>
      </w:r>
      <w:r>
        <w:rPr>
          <w:rFonts w:hint="eastAsia" w:ascii="宋体" w:hAnsi="宋体" w:eastAsia="宋体" w:cs="宋体"/>
          <w:kern w:val="2"/>
          <w:sz w:val="21"/>
          <w:szCs w:val="21"/>
          <w:highlight w:val="none"/>
          <w:lang w:bidi="ar"/>
        </w:rPr>
        <w:t>，具体评审内容及评分标准等具体见《第四章：评审办法及评分标准》。</w:t>
      </w:r>
    </w:p>
    <w:p>
      <w:pPr>
        <w:pStyle w:val="41"/>
        <w:widowControl w:val="0"/>
        <w:snapToGrid w:val="0"/>
        <w:spacing w:before="0" w:beforeAutospacing="0" w:after="0" w:afterAutospacing="0" w:line="440" w:lineRule="exact"/>
        <w:ind w:firstLine="422" w:firstLineChars="200"/>
        <w:jc w:val="both"/>
        <w:rPr>
          <w:rFonts w:hint="eastAsia" w:ascii="宋体" w:hAnsi="宋体" w:eastAsia="宋体" w:cs="宋体"/>
          <w:b/>
          <w:bCs/>
          <w:sz w:val="21"/>
          <w:szCs w:val="21"/>
          <w:highlight w:val="none"/>
        </w:rPr>
      </w:pPr>
      <w:r>
        <w:rPr>
          <w:rFonts w:hint="eastAsia" w:ascii="宋体" w:hAnsi="宋体" w:eastAsia="宋体" w:cs="宋体"/>
          <w:b/>
          <w:kern w:val="2"/>
          <w:sz w:val="21"/>
          <w:szCs w:val="21"/>
          <w:highlight w:val="none"/>
          <w:lang w:bidi="ar"/>
        </w:rPr>
        <w:t>六、确定成交供应商：</w:t>
      </w:r>
      <w:r>
        <w:rPr>
          <w:rFonts w:hint="eastAsia" w:ascii="宋体" w:hAnsi="宋体" w:eastAsia="宋体" w:cs="宋体"/>
          <w:b/>
          <w:bCs/>
          <w:kern w:val="2"/>
          <w:sz w:val="21"/>
          <w:szCs w:val="21"/>
          <w:highlight w:val="none"/>
          <w:lang w:bidi="ar"/>
        </w:rPr>
        <w:t>本项目由采购人确定成交供应商。</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采购代理机构在评标结束后2个工作日内将评审报告交采购人确认，采购人自收到评审报告之日起5个工作日内在评审报告推荐的成交候选供应商中按由高到低的顺序确定成交供应商，并在</w:t>
      </w:r>
      <w:r>
        <w:rPr>
          <w:rFonts w:hint="eastAsia" w:ascii="宋体" w:hAnsi="宋体" w:eastAsia="宋体" w:cs="宋体"/>
          <w:szCs w:val="21"/>
          <w:highlight w:val="none"/>
        </w:rPr>
        <w:t>发布竞争性磋商公告的网站</w:t>
      </w:r>
      <w:r>
        <w:rPr>
          <w:rFonts w:hint="eastAsia" w:ascii="宋体" w:hAnsi="宋体" w:eastAsia="宋体" w:cs="宋体"/>
          <w:bCs/>
          <w:szCs w:val="21"/>
          <w:highlight w:val="none"/>
          <w:lang w:bidi="ar"/>
        </w:rPr>
        <w:t>上</w:t>
      </w:r>
      <w:r>
        <w:rPr>
          <w:rFonts w:hint="eastAsia" w:ascii="宋体" w:hAnsi="宋体" w:eastAsia="宋体" w:cs="宋体"/>
          <w:szCs w:val="21"/>
          <w:highlight w:val="none"/>
          <w:lang w:bidi="ar"/>
        </w:rPr>
        <w:t>对成交结果进行公示。成交结果公告期限为1个工作日。</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 xml:space="preserve">其他事项：供应商认为该成交结果和采购过程等使自己的权益受到损害的，可以自成交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pPr>
        <w:pStyle w:val="41"/>
        <w:widowControl w:val="0"/>
        <w:snapToGrid w:val="0"/>
        <w:spacing w:before="0" w:beforeAutospacing="0" w:after="0" w:afterAutospacing="0" w:line="440" w:lineRule="exact"/>
        <w:ind w:firstLine="422" w:firstLineChars="200"/>
        <w:jc w:val="both"/>
        <w:rPr>
          <w:rFonts w:hint="eastAsia" w:ascii="宋体" w:hAnsi="宋体" w:eastAsia="宋体" w:cs="宋体"/>
          <w:b/>
          <w:sz w:val="21"/>
          <w:szCs w:val="21"/>
          <w:highlight w:val="none"/>
        </w:rPr>
      </w:pPr>
      <w:r>
        <w:rPr>
          <w:rFonts w:hint="eastAsia" w:ascii="宋体" w:hAnsi="宋体" w:eastAsia="宋体" w:cs="宋体"/>
          <w:b/>
          <w:kern w:val="2"/>
          <w:sz w:val="21"/>
          <w:szCs w:val="21"/>
          <w:highlight w:val="none"/>
          <w:lang w:bidi="ar"/>
        </w:rPr>
        <w:t>七、合同授予</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1.采购人与成交供应商应当在《成交通知书》发出之日起</w:t>
      </w:r>
      <w:r>
        <w:rPr>
          <w:rFonts w:hint="eastAsia" w:ascii="宋体" w:hAnsi="宋体" w:eastAsia="宋体" w:cs="宋体"/>
          <w:b/>
          <w:szCs w:val="21"/>
          <w:highlight w:val="none"/>
          <w:u w:val="single"/>
          <w:lang w:bidi="ar"/>
        </w:rPr>
        <w:t>30</w:t>
      </w:r>
      <w:r>
        <w:rPr>
          <w:rFonts w:hint="eastAsia" w:ascii="宋体" w:hAnsi="宋体" w:eastAsia="宋体" w:cs="宋体"/>
          <w:szCs w:val="21"/>
          <w:highlight w:val="none"/>
          <w:lang w:bidi="ar"/>
        </w:rPr>
        <w:t>日内签订合同。</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2.成交供应商拖延、拒签合同的,将被取消成交资格。</w:t>
      </w:r>
    </w:p>
    <w:p>
      <w:pPr>
        <w:snapToGrid w:val="0"/>
        <w:spacing w:line="44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3.成交供应商拒绝与采购人签订合同的，采购人可以按照评审报告推荐的成交候选供应商名单排序，确定下一候选人为成交供应商或重新采购。拒绝签订政府采购合同的成交供应商不得参加该项目重新开展的采购活动。</w:t>
      </w:r>
    </w:p>
    <w:p>
      <w:pPr>
        <w:tabs>
          <w:tab w:val="left" w:pos="518"/>
        </w:tabs>
        <w:adjustRightInd w:val="0"/>
        <w:snapToGrid w:val="0"/>
        <w:spacing w:line="440" w:lineRule="exact"/>
        <w:ind w:firstLine="422" w:firstLineChars="200"/>
        <w:rPr>
          <w:rFonts w:hint="eastAsia" w:ascii="宋体" w:hAnsi="宋体" w:eastAsia="宋体" w:cs="宋体"/>
          <w:szCs w:val="21"/>
          <w:highlight w:val="none"/>
        </w:rPr>
      </w:pPr>
      <w:r>
        <w:rPr>
          <w:rFonts w:hint="eastAsia" w:ascii="宋体" w:hAnsi="宋体" w:eastAsia="宋体" w:cs="宋体"/>
          <w:b/>
          <w:szCs w:val="21"/>
          <w:highlight w:val="none"/>
          <w:lang w:bidi="ar"/>
        </w:rPr>
        <w:t>八、特别说明</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1.政府采购活动中有关中小企业的相关规定（采购进口产品项目不适用）</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1.1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1.2  在政府采购活动中，供应商提供的货物、工程或者服务符合下列情形的，享受本办法规定的中小企业扶持政策：</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（一）在货物采购项目中，货物由中小企业制造，即货物由中小企业生产且使用该中小企业商号或者注册商标；</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（二）在工程采购项目中，工程由中小企业承建，即工程施工单位为中小企业；</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（三）在服务采购项目中，服务由中小企业承接，即提供服务的人员为中小企业依照《中华人民共和国劳动合同法》订立劳动合同的从业人员。</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在货物采购项目中，供应商提供的货物既有中小企业制造货物，也有大型企业制造货物的，不享受本办法规定的中小企业扶持政策。</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以联合体形式参加政府采购活动，联合体各方均为中小企业的，联合体视同中小企业。其中，联合体各方均为小微企业的，联合体视同小微企业。</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1.3  中小企业参加政府采购活动，应当出具《中小企业声明函》（格式见附件），否则不得享受相关中小企业扶持政策。</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1.4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组成联合体或者接受分包的小微企业与联合体内其他企业、分包企业之间存在直接控股、管理关系的，不享受价格扣除优惠政策。</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价格扣除比例对小型企业和微型企业同等对待，不作区分。具体采购项目的价格扣除比例，由采购人根据采购标的相关行业平均利润率、市场竞争状况等，在竞争性磋商文件内确定。</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1.5 享受扶持政策获得政府采购合同的，小微企业不得将合同分包给大中型企业，中型企业不得将合同分包给大型企业。</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1.6 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1.7 根据《关于促进残疾人就业政府采购政策的通知》（财库[2017]141号）规定，残疾人福利性单位视同小型、微型企业。符合条件的残疾人福利性单位在参加政府采购活动时，应当在响应文件中提供通知规定的《残疾人福利性单位声明函》（格式详见该通知附件），并对声明的真实性负责,未能提供上述证明文件的不予认可。</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1.8 执行财政部、国家环保总局《关于环境标志产品政府采购实施的意见》，政府采购优先采购环境标志产品，本项目将对环境标志产品给予一定幅度的价格扣除或技术加分，具体见 “评标标准”说明。</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1.9 执行财政部、国家发展改革委员会《节能产品政府采购实施意见》，政府采购优先采购节能产品，本项目将对节能产品给予一定幅度的价格扣除或技术加分，具体见竞争性磋商文件“评标标准”说明。</w:t>
      </w:r>
    </w:p>
    <w:p>
      <w:pPr>
        <w:widowControl/>
        <w:spacing w:line="44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1.10 进口产品采购需符合“财政部关于印发《政府采购进口产品管理办法》的通知（财库[2007]119号）”第四、八、九、十、十一条的规定。</w:t>
      </w:r>
    </w:p>
    <w:p>
      <w:pPr>
        <w:pStyle w:val="3"/>
        <w:spacing w:line="460" w:lineRule="exact"/>
        <w:rPr>
          <w:rFonts w:hint="eastAsia" w:ascii="宋体" w:hAnsi="宋体" w:eastAsia="宋体" w:cs="宋体"/>
          <w:b w:val="0"/>
          <w:szCs w:val="21"/>
          <w:highlight w:val="none"/>
        </w:rPr>
      </w:pPr>
      <w:r>
        <w:rPr>
          <w:rFonts w:hint="eastAsia" w:ascii="宋体" w:hAnsi="宋体" w:eastAsia="宋体" w:cs="宋体"/>
          <w:highlight w:val="none"/>
          <w:lang w:bidi="ar"/>
        </w:rPr>
        <w:br w:type="page"/>
      </w:r>
      <w:bookmarkStart w:id="19" w:name="_Toc46489035"/>
      <w:bookmarkStart w:id="20" w:name="_Toc23195"/>
      <w:r>
        <w:rPr>
          <w:rFonts w:hint="eastAsia" w:ascii="宋体" w:hAnsi="宋体" w:eastAsia="宋体" w:cs="宋体"/>
          <w:highlight w:val="none"/>
        </w:rPr>
        <w:t>第四章  评审办法及评分标准</w:t>
      </w:r>
      <w:bookmarkEnd w:id="19"/>
      <w:bookmarkEnd w:id="20"/>
    </w:p>
    <w:p>
      <w:pPr>
        <w:pStyle w:val="27"/>
        <w:spacing w:line="460" w:lineRule="exact"/>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本办法严格遵照《中华人民共和国政府采购法》、《中华人民共和国政府采购法实施条例》、《政府采购竞争性磋商采购方式管理暂行办法》，结合项目所在地政府有关政府采购规定和项目的实际情况制定。</w:t>
      </w:r>
    </w:p>
    <w:p>
      <w:pPr>
        <w:pStyle w:val="4"/>
        <w:spacing w:before="0" w:after="0" w:line="460" w:lineRule="exact"/>
        <w:ind w:firstLine="420" w:firstLineChars="200"/>
        <w:contextualSpacing/>
        <w:rPr>
          <w:rFonts w:hint="eastAsia" w:ascii="宋体" w:hAnsi="宋体" w:eastAsia="宋体" w:cs="宋体"/>
          <w:b w:val="0"/>
          <w:sz w:val="21"/>
          <w:szCs w:val="21"/>
          <w:highlight w:val="none"/>
        </w:rPr>
      </w:pPr>
      <w:bookmarkStart w:id="21" w:name="_Toc46489036"/>
      <w:r>
        <w:rPr>
          <w:rFonts w:hint="eastAsia" w:ascii="宋体" w:hAnsi="宋体" w:eastAsia="宋体" w:cs="宋体"/>
          <w:b w:val="0"/>
          <w:sz w:val="21"/>
          <w:szCs w:val="21"/>
          <w:highlight w:val="none"/>
        </w:rPr>
        <w:t>一、评标办法</w:t>
      </w:r>
      <w:r>
        <w:rPr>
          <w:rFonts w:hint="eastAsia" w:ascii="宋体" w:hAnsi="宋体" w:eastAsia="宋体" w:cs="宋体"/>
          <w:sz w:val="21"/>
          <w:szCs w:val="21"/>
          <w:highlight w:val="none"/>
        </w:rPr>
        <w:t>：</w:t>
      </w:r>
      <w:r>
        <w:rPr>
          <w:rFonts w:hint="eastAsia" w:ascii="宋体" w:hAnsi="宋体" w:eastAsia="宋体" w:cs="宋体"/>
          <w:b w:val="0"/>
          <w:sz w:val="21"/>
          <w:szCs w:val="21"/>
          <w:highlight w:val="none"/>
        </w:rPr>
        <w:t>综合评分法</w:t>
      </w:r>
      <w:bookmarkEnd w:id="21"/>
    </w:p>
    <w:p>
      <w:pPr>
        <w:pStyle w:val="4"/>
        <w:spacing w:before="0" w:after="0" w:line="460" w:lineRule="exact"/>
        <w:ind w:firstLine="420" w:firstLineChars="200"/>
        <w:contextualSpacing/>
        <w:rPr>
          <w:rFonts w:hint="eastAsia" w:ascii="宋体" w:hAnsi="宋体" w:eastAsia="宋体" w:cs="宋体"/>
          <w:b w:val="0"/>
          <w:sz w:val="21"/>
          <w:szCs w:val="21"/>
          <w:highlight w:val="none"/>
        </w:rPr>
      </w:pPr>
      <w:bookmarkStart w:id="22" w:name="_Toc250837976"/>
      <w:bookmarkStart w:id="23" w:name="_Toc263083253"/>
      <w:bookmarkStart w:id="24" w:name="_Toc46489037"/>
      <w:r>
        <w:rPr>
          <w:rFonts w:hint="eastAsia" w:ascii="宋体" w:hAnsi="宋体" w:eastAsia="宋体" w:cs="宋体"/>
          <w:b w:val="0"/>
          <w:sz w:val="21"/>
          <w:szCs w:val="21"/>
          <w:highlight w:val="none"/>
        </w:rPr>
        <w:t>二、评标细则</w:t>
      </w:r>
      <w:bookmarkEnd w:id="22"/>
      <w:bookmarkEnd w:id="23"/>
      <w:bookmarkEnd w:id="24"/>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1、对初步审查（含资格审查、符合性审查）合格者进行评分。</w:t>
      </w:r>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2、每位评委根据《评分标准》独立逐栏打分，每栏分值不得超出规定的分值范围；各评分因素分值保留小数点后二位。</w:t>
      </w:r>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磋商小组认为供应商报价明显低于其它通过符合性审查供应商的报价，有可能影响服务质量或者不能诚信履约的，应当要求其在评审现场合理的时间内提供书面说明，必要时提供相关证明材料；供应商不能证明其报价合理性的，磋商小组应当将其作为无效标处理。</w:t>
      </w:r>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采购代理机构可协助磋商小组组长对打分结果进行校对、核对并汇总统计；对明显畸高、畸低的评分（其总评分偏离平均分30%以上的），磋商小组组长应提醒相关磋商小组成员进行复核或书面说明理由，磋商小组成员拒绝说明的，由现场监督员据实记录；磋商小组成员的评审、修改记录应保留原件，随项目其他资料一并存档。</w:t>
      </w:r>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3、价格评审基准价格与价格评审：有效投标中提交最终报价的最低评审价为基准价格，其投标价格分得满分。其余投标价格分得分计算按照“评分标准”中评审得分公式计算，以四舍五入方法整合到小数点后二位。</w:t>
      </w:r>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4、最终得分：各评委技术商务得分的算术平均值+最终投标报价得分=最终得分，以四舍五入法整合到小数点后二位。</w:t>
      </w:r>
    </w:p>
    <w:p>
      <w:pPr>
        <w:spacing w:line="460" w:lineRule="exact"/>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5、评价排序：</w:t>
      </w:r>
      <w:r>
        <w:rPr>
          <w:rFonts w:hint="eastAsia" w:ascii="宋体" w:hAnsi="宋体" w:eastAsia="宋体" w:cs="宋体"/>
          <w:highlight w:val="none"/>
        </w:rPr>
        <w:t>按照评审得分由高到低顺序推荐3名成交候选供应商</w:t>
      </w:r>
      <w:r>
        <w:rPr>
          <w:rFonts w:hint="eastAsia" w:ascii="宋体" w:hAnsi="宋体" w:eastAsia="宋体" w:cs="宋体"/>
          <w:szCs w:val="21"/>
          <w:highlight w:val="none"/>
        </w:rPr>
        <w:t>。得分相同的，按最终投标报价由低到高顺序排列。得分且最终投标报价相同的，抽签决定成交候选供应商。</w:t>
      </w:r>
    </w:p>
    <w:p>
      <w:pPr>
        <w:spacing w:line="460" w:lineRule="exact"/>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三.评审程序</w:t>
      </w:r>
    </w:p>
    <w:p>
      <w:pPr>
        <w:pStyle w:val="41"/>
        <w:widowControl w:val="0"/>
        <w:snapToGrid w:val="0"/>
        <w:spacing w:before="0" w:beforeAutospacing="0" w:after="0" w:afterAutospacing="0" w:line="46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bidi="ar"/>
        </w:rPr>
        <w:t>1. 响应文件初审。初审分为资格性检查和符合性检查。</w:t>
      </w:r>
    </w:p>
    <w:p>
      <w:pPr>
        <w:spacing w:line="460" w:lineRule="exact"/>
        <w:ind w:firstLine="422" w:firstLineChars="200"/>
        <w:rPr>
          <w:rFonts w:hint="eastAsia" w:ascii="宋体" w:hAnsi="宋体" w:eastAsia="宋体" w:cs="宋体"/>
          <w:b/>
          <w:szCs w:val="21"/>
          <w:highlight w:val="none"/>
          <w:lang w:bidi="ar"/>
        </w:rPr>
      </w:pPr>
      <w:r>
        <w:rPr>
          <w:rFonts w:hint="eastAsia" w:ascii="宋体" w:hAnsi="宋体" w:eastAsia="宋体" w:cs="宋体"/>
          <w:b/>
          <w:szCs w:val="21"/>
          <w:highlight w:val="none"/>
          <w:lang w:bidi="ar"/>
        </w:rPr>
        <w:t>资格性检查：</w:t>
      </w:r>
    </w:p>
    <w:p>
      <w:pPr>
        <w:pStyle w:val="2"/>
        <w:rPr>
          <w:rFonts w:hint="eastAsia" w:ascii="宋体" w:hAnsi="宋体" w:eastAsia="宋体" w:cs="宋体"/>
          <w:b/>
          <w:szCs w:val="21"/>
          <w:highlight w:val="none"/>
          <w:lang w:bidi="ar"/>
        </w:rPr>
      </w:pPr>
    </w:p>
    <w:p>
      <w:pPr>
        <w:pStyle w:val="2"/>
        <w:rPr>
          <w:rFonts w:hint="eastAsia" w:ascii="宋体" w:hAnsi="宋体" w:eastAsia="宋体" w:cs="宋体"/>
          <w:b/>
          <w:szCs w:val="21"/>
          <w:highlight w:val="none"/>
          <w:lang w:bidi="ar"/>
        </w:rPr>
      </w:pPr>
    </w:p>
    <w:tbl>
      <w:tblPr>
        <w:tblStyle w:val="44"/>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69"/>
        <w:gridCol w:w="5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20" w:type="dxa"/>
            <w:noWrap w:val="0"/>
            <w:vAlign w:val="center"/>
          </w:tcPr>
          <w:p>
            <w:pPr>
              <w:spacing w:line="24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3669" w:type="dxa"/>
            <w:noWrap w:val="0"/>
            <w:vAlign w:val="center"/>
          </w:tcPr>
          <w:p>
            <w:pPr>
              <w:spacing w:line="24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要求说明</w:t>
            </w:r>
          </w:p>
        </w:tc>
        <w:tc>
          <w:tcPr>
            <w:tcW w:w="5376" w:type="dxa"/>
            <w:noWrap w:val="0"/>
            <w:vAlign w:val="center"/>
          </w:tcPr>
          <w:p>
            <w:pPr>
              <w:spacing w:line="24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具有独立承担民事责任的能力；</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有效的企业法人营业执照（或事业法人登记证）或其他组织（个体工商户）的营业执照或者民办非企业单位登记证书复印件加盖供应商公章，供应商如果有名称变更的，应提供由行政主管部门出具的变更证明文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7"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具有良好的商业信誉和健全的财务会计制度；</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2020年度财务会计报表复印件加盖供应商公章（供应商注册成立不足一年的，应提供供应商单位成立至2021年8月的财务会计报表复印件加盖供应商公章），提供的财务报表至少包括资产负债表、利润表。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具有履行合同所必需的设备和专业技术能力；</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具有履行合同所必需的设备和专业技术能力的书面声明。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有依法缴纳税收和社会保障资金的良好记录；</w:t>
            </w:r>
          </w:p>
        </w:tc>
        <w:tc>
          <w:tcPr>
            <w:tcW w:w="5376" w:type="dxa"/>
            <w:noWrap w:val="0"/>
            <w:vAlign w:val="center"/>
          </w:tcPr>
          <w:p>
            <w:pPr>
              <w:numPr>
                <w:ilvl w:val="0"/>
                <w:numId w:val="11"/>
              </w:num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提供2020年度缴纳税收的证明资料复印件加盖供应商公章</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（供应商注册成立不足一年的，应提供供应商单位成立至2021年8月的缴纳税收的凭据证明材料复印件加盖供应商公章），如依法免税的，应提供相应文件证明其依法免税。</w:t>
            </w:r>
          </w:p>
          <w:p>
            <w:pPr>
              <w:numPr>
                <w:ilvl w:val="0"/>
                <w:numId w:val="11"/>
              </w:num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提供2020年度缴纳社保的证明资料复印件加盖供应商公章</w:t>
            </w:r>
          </w:p>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（供应商注册成立不足一年的，应提供供应商单位成立至2021年8月的缴纳社保的证明资料复印件加盖供应商公章），如依法不需要缴纳社保的，应提供相关文件证明其依法不需要缴纳社保。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参加政府采购活动前三年内，在经营活动中没有重大违法记录；</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提供“供应商承诺”。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6"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法律、行政法规规定的其他条件。</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提供“供应商承诺”。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3"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未被信用中国网站（</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HYPERLINK "http://www.creditchina.gov.cn"</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www.creditchina.gov.cn</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）列入失信被执行人、重大税收违法案件当事人名单，未被中国政府采购网（</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"http://www.ccgp"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www.ccgp</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.gov.cn）列入政府采购严重违法失信行为记录名单。</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提供“供应商承诺”。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720"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3669"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本项目不接受联合体投标。</w:t>
            </w:r>
          </w:p>
        </w:tc>
        <w:tc>
          <w:tcPr>
            <w:tcW w:w="5376" w:type="dxa"/>
            <w:noWrap w:val="0"/>
            <w:vAlign w:val="center"/>
          </w:tcPr>
          <w:p>
            <w:pPr>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供应商是否为联合体</w:t>
            </w:r>
            <w:r>
              <w:rPr>
                <w:rFonts w:hint="eastAsia" w:ascii="宋体" w:hAnsi="宋体" w:eastAsia="宋体" w:cs="宋体"/>
                <w:b/>
                <w:sz w:val="21"/>
                <w:szCs w:val="21"/>
                <w:highlight w:val="none"/>
              </w:rPr>
              <w:t>（本项无需上传对应资料）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 w:hRule="atLeast"/>
        </w:trPr>
        <w:tc>
          <w:tcPr>
            <w:tcW w:w="4389" w:type="dxa"/>
            <w:gridSpan w:val="2"/>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b/>
                <w:sz w:val="21"/>
                <w:szCs w:val="21"/>
                <w:highlight w:val="none"/>
              </w:rPr>
              <w:t>资格性审查结论</w:t>
            </w:r>
          </w:p>
        </w:tc>
        <w:tc>
          <w:tcPr>
            <w:tcW w:w="5376" w:type="dxa"/>
            <w:noWrap w:val="0"/>
            <w:vAlign w:val="center"/>
          </w:tcPr>
          <w:p>
            <w:pPr>
              <w:spacing w:line="240" w:lineRule="auto"/>
              <w:jc w:val="center"/>
              <w:rPr>
                <w:rFonts w:hint="eastAsia" w:ascii="宋体" w:hAnsi="宋体" w:eastAsia="宋体" w:cs="宋体"/>
                <w:sz w:val="21"/>
                <w:szCs w:val="21"/>
                <w:highlight w:val="none"/>
              </w:rPr>
            </w:pPr>
          </w:p>
        </w:tc>
      </w:tr>
    </w:tbl>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注：1、上述资格证明文件未按竞争性磋商文件要求附入响应文件中的，资格性审查不合格。</w:t>
      </w:r>
    </w:p>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2、上述审查项目中，任意一项不符合的，资格性审查不合格。</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bidi="ar"/>
        </w:rPr>
        <w:t>3、</w:t>
      </w:r>
      <w:r>
        <w:rPr>
          <w:rFonts w:hint="eastAsia" w:ascii="宋体" w:hAnsi="宋体" w:eastAsia="宋体" w:cs="宋体"/>
          <w:szCs w:val="21"/>
          <w:highlight w:val="none"/>
        </w:rPr>
        <w:t>信用记录：根据财库[2016]125号《关于在政府采购活动中查询及使用信用记录有关问题的通知》要求，采购代理机构会对供应商信用记录进行查询并甄别。</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1）信用信息查询的截止时点：投标截止时间；</w:t>
      </w:r>
    </w:p>
    <w:p>
      <w:pPr>
        <w:spacing w:line="40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2）查询渠道：“信用中国”（www.creditchina.gov.cn）、“中国政府采购网”（www.ccgp.gov.cn）；</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3）信用信息查询记录和证据留存具体方式：打印查询网页并与其他采购文件一并保存；</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4）信用信息的使用规则：供应商存在不良信用记录的，其投标将被作为无效投标处理。不良信用记录指：被列入失信被执行人、重大税收违法案件当事人名单、政府采购严重违法失信行为记录名单。</w:t>
      </w:r>
    </w:p>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若供应商被列入失信被执行人、重大税收违法案件当事人名单、政府采购严重违法失信行为记录名单，其资格审查为不合格，其投标将被认定为无效投标；</w:t>
      </w:r>
    </w:p>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若在开标当天因不可抗力事件导致无法查询且一时无法恢复查询的，可在中标公示期间对成交候选供应商进行事后查询。成交候选供应商被列入失信被执行人、重大税收违法案件当事人名单、政府采购严重违法失信行为记录名单的，采购人将依法取消其中标资格。</w:t>
      </w:r>
    </w:p>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4、本项目实行网上电子投标，供应商在制作响应文件时须根据上表要求说明要求的资料，将资料逐一对应上传，否则视为供应商未提供资格性审查要求的文件，资格性审查不合格（特别备注无需上传对应资料的除外）。</w:t>
      </w:r>
    </w:p>
    <w:p>
      <w:pPr>
        <w:spacing w:line="46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lang w:bidi="ar"/>
        </w:rPr>
        <w:t>符合性检查:</w:t>
      </w: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1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jc w:val="center"/>
        </w:trPr>
        <w:tc>
          <w:tcPr>
            <w:tcW w:w="1416" w:type="dxa"/>
            <w:noWrap w:val="0"/>
            <w:vAlign w:val="center"/>
          </w:tcPr>
          <w:p>
            <w:pPr>
              <w:spacing w:line="320" w:lineRule="exact"/>
              <w:jc w:val="center"/>
              <w:rPr>
                <w:rFonts w:hint="eastAsia" w:ascii="宋体" w:hAnsi="宋体" w:eastAsia="宋体" w:cs="宋体"/>
                <w:b/>
                <w:bCs/>
                <w:szCs w:val="21"/>
                <w:highlight w:val="none"/>
              </w:rPr>
            </w:pPr>
            <w:r>
              <w:rPr>
                <w:rFonts w:hint="eastAsia" w:ascii="宋体" w:hAnsi="宋体" w:eastAsia="宋体" w:cs="宋体"/>
                <w:b/>
                <w:bCs/>
                <w:szCs w:val="21"/>
                <w:highlight w:val="none"/>
              </w:rPr>
              <w:t>审查类别</w:t>
            </w:r>
          </w:p>
        </w:tc>
        <w:tc>
          <w:tcPr>
            <w:tcW w:w="7143" w:type="dxa"/>
            <w:noWrap w:val="0"/>
            <w:vAlign w:val="center"/>
          </w:tcPr>
          <w:p>
            <w:pPr>
              <w:spacing w:line="320" w:lineRule="exact"/>
              <w:jc w:val="center"/>
              <w:rPr>
                <w:rFonts w:hint="eastAsia" w:ascii="宋体" w:hAnsi="宋体" w:eastAsia="宋体" w:cs="宋体"/>
                <w:b/>
                <w:bCs/>
                <w:szCs w:val="21"/>
                <w:highlight w:val="none"/>
              </w:rPr>
            </w:pPr>
            <w:r>
              <w:rPr>
                <w:rFonts w:hint="eastAsia" w:ascii="宋体" w:hAnsi="宋体" w:eastAsia="宋体" w:cs="宋体"/>
                <w:b/>
                <w:bCs/>
                <w:szCs w:val="21"/>
                <w:highlight w:val="none"/>
              </w:rPr>
              <w:t>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restart"/>
            <w:noWrap w:val="0"/>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符合性审查</w:t>
            </w: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按磋商采购文件要求签署、签章。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投标有效期满足磋商采购文件要求。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符合磋商采购文件要求的，未发生与磋商采购文件中标注“★”的条款实质性偏离的。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不含有采购人不能接受的附加条件。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投标声明书具有法定代表人签名，或委托人提供法定代表人授权委托书、填写项目齐全。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响应文件格式规范、提供资料齐全或者未提供虚假内容。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3"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响应文件的实质性内容使用中文表述、表述明确、前后不矛盾或者使用计量单位符合磋商采购文件要求的（经磋商小组认定并允许其当场更正的笔误除外）。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响应文件的关键内容字迹清晰、易辨认的，或者响应文件中经修正的内容字迹易辩认或者修改处按规定签署、盖章。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spacing w:line="320" w:lineRule="exact"/>
              <w:rPr>
                <w:rFonts w:hint="eastAsia" w:ascii="宋体" w:hAnsi="宋体" w:eastAsia="宋体" w:cs="宋体"/>
                <w:szCs w:val="21"/>
                <w:highlight w:val="none"/>
              </w:rPr>
            </w:pPr>
            <w:r>
              <w:rPr>
                <w:rFonts w:hint="eastAsia" w:ascii="宋体" w:hAnsi="宋体" w:eastAsia="宋体" w:cs="宋体"/>
                <w:szCs w:val="21"/>
                <w:highlight w:val="none"/>
              </w:rPr>
              <w:t>未发现法律、法规和磋商采购文件规定的其他无效情形。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jc w:val="center"/>
        </w:trPr>
        <w:tc>
          <w:tcPr>
            <w:tcW w:w="1416" w:type="dxa"/>
            <w:vMerge w:val="restart"/>
            <w:noWrap w:val="0"/>
            <w:vAlign w:val="center"/>
          </w:tcPr>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技术商务</w:t>
            </w:r>
          </w:p>
          <w:p>
            <w:pPr>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评审</w:t>
            </w:r>
          </w:p>
        </w:tc>
        <w:tc>
          <w:tcPr>
            <w:tcW w:w="7143" w:type="dxa"/>
            <w:noWrap w:val="0"/>
            <w:vAlign w:val="center"/>
          </w:tcPr>
          <w:p>
            <w:pPr>
              <w:pStyle w:val="20"/>
              <w:widowControl/>
              <w:spacing w:line="320" w:lineRule="exact"/>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如实提供投标货物的技术参数且响应文件标明的响应或偏离与事实符合，未发现虚假投标。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pStyle w:val="20"/>
              <w:widowControl/>
              <w:spacing w:line="320" w:lineRule="exact"/>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投标技术方案明确，不存在一个或一个以上备选（替代）投标方案的。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jc w:val="center"/>
        </w:trPr>
        <w:tc>
          <w:tcPr>
            <w:tcW w:w="1416" w:type="dxa"/>
            <w:vMerge w:val="restart"/>
            <w:noWrap w:val="0"/>
            <w:vAlign w:val="center"/>
          </w:tcPr>
          <w:p>
            <w:pPr>
              <w:widowControl/>
              <w:spacing w:line="320" w:lineRule="exact"/>
              <w:jc w:val="left"/>
              <w:rPr>
                <w:rFonts w:hint="eastAsia" w:ascii="宋体" w:hAnsi="宋体" w:eastAsia="宋体" w:cs="宋体"/>
                <w:szCs w:val="21"/>
                <w:highlight w:val="none"/>
              </w:rPr>
            </w:pPr>
            <w:r>
              <w:rPr>
                <w:rFonts w:hint="eastAsia" w:ascii="宋体" w:hAnsi="宋体" w:eastAsia="宋体" w:cs="宋体"/>
                <w:szCs w:val="21"/>
                <w:highlight w:val="none"/>
              </w:rPr>
              <w:t>价格评审</w:t>
            </w:r>
          </w:p>
        </w:tc>
        <w:tc>
          <w:tcPr>
            <w:tcW w:w="7143" w:type="dxa"/>
            <w:noWrap w:val="0"/>
            <w:vAlign w:val="center"/>
          </w:tcPr>
          <w:p>
            <w:pPr>
              <w:pStyle w:val="20"/>
              <w:widowControl/>
              <w:spacing w:line="320" w:lineRule="exact"/>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本项目设有的最高限价为</w:t>
            </w:r>
            <w:r>
              <w:rPr>
                <w:rFonts w:hint="eastAsia" w:ascii="宋体" w:hAnsi="宋体" w:eastAsia="宋体" w:cs="宋体"/>
                <w:sz w:val="21"/>
                <w:szCs w:val="21"/>
                <w:highlight w:val="none"/>
                <w:lang w:eastAsia="zh-CN"/>
              </w:rPr>
              <w:t>400000</w:t>
            </w:r>
            <w:r>
              <w:rPr>
                <w:rFonts w:hint="eastAsia" w:ascii="宋体" w:hAnsi="宋体" w:eastAsia="宋体" w:cs="宋体"/>
                <w:sz w:val="21"/>
                <w:szCs w:val="21"/>
                <w:highlight w:val="none"/>
              </w:rPr>
              <w:t>元，投标报价超出最高限价的投标无效。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pStyle w:val="20"/>
              <w:widowControl/>
              <w:spacing w:line="320" w:lineRule="exact"/>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响应文件报价出现前后不一致，经按磋商采购文件规定修正后，供应商对修正后的报价不确认的。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4" w:hRule="atLeast"/>
          <w:jc w:val="center"/>
        </w:trPr>
        <w:tc>
          <w:tcPr>
            <w:tcW w:w="1416" w:type="dxa"/>
            <w:vMerge w:val="continue"/>
            <w:noWrap w:val="0"/>
            <w:vAlign w:val="center"/>
          </w:tcPr>
          <w:p>
            <w:pPr>
              <w:widowControl/>
              <w:spacing w:line="320" w:lineRule="exact"/>
              <w:jc w:val="left"/>
              <w:rPr>
                <w:rFonts w:hint="eastAsia" w:ascii="宋体" w:hAnsi="宋体" w:eastAsia="宋体" w:cs="宋体"/>
                <w:szCs w:val="21"/>
                <w:highlight w:val="none"/>
              </w:rPr>
            </w:pPr>
          </w:p>
        </w:tc>
        <w:tc>
          <w:tcPr>
            <w:tcW w:w="7143" w:type="dxa"/>
            <w:noWrap w:val="0"/>
            <w:vAlign w:val="center"/>
          </w:tcPr>
          <w:p>
            <w:pPr>
              <w:pStyle w:val="20"/>
              <w:widowControl/>
              <w:spacing w:line="320" w:lineRule="exact"/>
              <w:ind w:firstLine="0"/>
              <w:rPr>
                <w:rFonts w:hint="eastAsia" w:ascii="宋体" w:hAnsi="宋体" w:eastAsia="宋体" w:cs="宋体"/>
                <w:sz w:val="21"/>
                <w:szCs w:val="21"/>
                <w:highlight w:val="none"/>
              </w:rPr>
            </w:pPr>
            <w:r>
              <w:rPr>
                <w:rFonts w:hint="eastAsia" w:ascii="宋体" w:hAnsi="宋体" w:eastAsia="宋体" w:cs="宋体"/>
                <w:sz w:val="21"/>
                <w:szCs w:val="21"/>
                <w:highlight w:val="none"/>
              </w:rPr>
              <w:t>磋商小组认为供应商报价明显低于其它通过符合性审查供应商的报价，有可能影响服务质量或者不能诚信履约的，应当要求其在评审现场合理的时间内提供书面说明，必要时提供相关证明材料；供应商不能证明其报价合理性的，磋商小组应当将其作为无效标处理。</w:t>
            </w:r>
          </w:p>
        </w:tc>
      </w:tr>
    </w:tbl>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注：1）上述审查项目中，任意一项不符合的，符合性审查不合格。</w:t>
      </w:r>
    </w:p>
    <w:p>
      <w:pPr>
        <w:spacing w:line="460" w:lineRule="exact"/>
        <w:ind w:firstLine="420" w:firstLineChars="200"/>
        <w:rPr>
          <w:rFonts w:hint="eastAsia" w:ascii="宋体" w:hAnsi="宋体" w:eastAsia="宋体" w:cs="宋体"/>
          <w:szCs w:val="21"/>
          <w:highlight w:val="none"/>
          <w:lang w:bidi="ar"/>
        </w:rPr>
      </w:pPr>
      <w:r>
        <w:rPr>
          <w:rFonts w:hint="eastAsia" w:ascii="宋体" w:hAnsi="宋体" w:eastAsia="宋体" w:cs="宋体"/>
          <w:szCs w:val="21"/>
          <w:highlight w:val="none"/>
          <w:lang w:bidi="ar"/>
        </w:rPr>
        <w:t>2）本项目实行网上电子投标，供应商在制作响应文件时须根据上表要求说明要求将资料逐一关联（若关联页码有多页而只能关联一页的，则关联相应页码的第一页）。</w:t>
      </w:r>
    </w:p>
    <w:p>
      <w:pPr>
        <w:pStyle w:val="41"/>
        <w:widowControl w:val="0"/>
        <w:snapToGrid w:val="0"/>
        <w:spacing w:before="0" w:beforeAutospacing="0" w:after="0" w:afterAutospacing="0" w:line="46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bidi="ar"/>
        </w:rPr>
        <w:t>2.澄清问题</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pPr>
        <w:pStyle w:val="41"/>
        <w:widowControl w:val="0"/>
        <w:snapToGrid w:val="0"/>
        <w:spacing w:before="0" w:beforeAutospacing="0" w:after="0" w:afterAutospacing="0" w:line="460" w:lineRule="exact"/>
        <w:ind w:firstLine="420" w:firstLineChars="20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bidi="ar"/>
        </w:rPr>
        <w:t>3.详细评审</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磋商小组对初步评审合格的响应文件，依照本办法对技术商务内容作进一步评审、比较。磋商小组成员经过阅标、审标和询标，对供应商进行综合打分。</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评委打分参照本部分附表：评分标准表。其中技术商务部分由各磋商小组成员打分，根据供应商的响应文件及相关澄清文件，进行独立打分。评委打分采用记名方式（小数点后保留一位小数）。报价分经磋商小组评审后按评分标准表进行统一计算（小数点后保留一位小数）。</w:t>
      </w:r>
    </w:p>
    <w:p>
      <w:pPr>
        <w:spacing w:line="4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lang w:bidi="ar"/>
        </w:rPr>
        <w:t>4.如果在</w:t>
      </w:r>
      <w:r>
        <w:rPr>
          <w:rFonts w:hint="eastAsia" w:ascii="宋体" w:hAnsi="宋体" w:eastAsia="宋体" w:cs="宋体"/>
          <w:szCs w:val="21"/>
          <w:highlight w:val="none"/>
        </w:rPr>
        <w:t>参加磋商时</w:t>
      </w:r>
      <w:r>
        <w:rPr>
          <w:rFonts w:hint="eastAsia" w:ascii="宋体" w:hAnsi="宋体" w:eastAsia="宋体" w:cs="宋体"/>
          <w:szCs w:val="21"/>
          <w:highlight w:val="none"/>
          <w:lang w:bidi="ar"/>
        </w:rPr>
        <w:t>只有两家供应商或在评标过程中实际有效供应商只有两家，</w:t>
      </w:r>
      <w:r>
        <w:rPr>
          <w:rFonts w:hint="eastAsia" w:ascii="宋体" w:hAnsi="宋体" w:eastAsia="宋体" w:cs="宋体"/>
          <w:szCs w:val="21"/>
          <w:highlight w:val="none"/>
          <w:lang w:val="en-US" w:eastAsia="zh-CN" w:bidi="ar"/>
        </w:rPr>
        <w:t>符合竞争性磋商相关文件规定的，</w:t>
      </w:r>
      <w:r>
        <w:rPr>
          <w:rFonts w:hint="eastAsia" w:ascii="宋体" w:hAnsi="宋体" w:eastAsia="宋体" w:cs="宋体"/>
          <w:szCs w:val="21"/>
          <w:highlight w:val="none"/>
          <w:lang w:bidi="ar"/>
        </w:rPr>
        <w:t>竞争性磋商采购活动可以继续进行。如果只有一家，采购人或者采购代理机构应当终止竞争性磋商采购活动，发布项目终止公告并说明原因，重新开展采购活动。</w:t>
      </w:r>
    </w:p>
    <w:p>
      <w:pPr>
        <w:pStyle w:val="41"/>
        <w:widowControl w:val="0"/>
        <w:snapToGrid w:val="0"/>
        <w:spacing w:before="0" w:beforeAutospacing="0" w:after="0" w:afterAutospacing="0" w:line="460" w:lineRule="exact"/>
        <w:ind w:firstLine="420" w:firstLineChars="200"/>
        <w:jc w:val="both"/>
        <w:rPr>
          <w:rFonts w:hint="eastAsia" w:ascii="宋体" w:hAnsi="宋体" w:eastAsia="宋体" w:cs="宋体"/>
          <w:kern w:val="2"/>
          <w:sz w:val="21"/>
          <w:szCs w:val="21"/>
          <w:highlight w:val="none"/>
          <w:lang w:bidi="ar"/>
        </w:rPr>
      </w:pPr>
      <w:r>
        <w:rPr>
          <w:rFonts w:hint="eastAsia" w:ascii="宋体" w:hAnsi="宋体" w:eastAsia="宋体" w:cs="宋体"/>
          <w:kern w:val="2"/>
          <w:sz w:val="21"/>
          <w:szCs w:val="21"/>
          <w:highlight w:val="none"/>
          <w:lang w:bidi="ar"/>
        </w:rPr>
        <w:t>5.成交结果公告</w:t>
      </w:r>
    </w:p>
    <w:p>
      <w:pPr>
        <w:widowControl/>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lang w:bidi="ar"/>
        </w:rPr>
        <w:t>采购机构将成交结果在政府采购指定媒体上公示，根据成交结果公告和决标结果，向成交人发出确定成交通知书。</w:t>
      </w:r>
    </w:p>
    <w:p>
      <w:pPr>
        <w:pStyle w:val="27"/>
        <w:numPr>
          <w:ilvl w:val="0"/>
          <w:numId w:val="12"/>
        </w:numPr>
        <w:spacing w:line="460" w:lineRule="exact"/>
        <w:ind w:firstLine="420" w:firstLineChars="200"/>
        <w:rPr>
          <w:rFonts w:hint="eastAsia" w:ascii="宋体" w:hAnsi="宋体" w:eastAsia="宋体" w:cs="宋体"/>
          <w:b w:val="0"/>
          <w:color w:val="auto"/>
          <w:sz w:val="21"/>
          <w:szCs w:val="21"/>
          <w:highlight w:val="none"/>
          <w:lang w:bidi="ar"/>
        </w:rPr>
      </w:pPr>
      <w:r>
        <w:rPr>
          <w:rFonts w:hint="eastAsia" w:ascii="宋体" w:hAnsi="宋体" w:eastAsia="宋体" w:cs="宋体"/>
          <w:b w:val="0"/>
          <w:color w:val="auto"/>
          <w:sz w:val="21"/>
          <w:szCs w:val="21"/>
          <w:highlight w:val="none"/>
          <w:lang w:bidi="ar"/>
        </w:rPr>
        <w:t>评分标准</w:t>
      </w:r>
    </w:p>
    <w:p>
      <w:pPr>
        <w:pStyle w:val="27"/>
        <w:numPr>
          <w:ilvl w:val="0"/>
          <w:numId w:val="0"/>
        </w:numPr>
        <w:spacing w:line="460" w:lineRule="exact"/>
        <w:rPr>
          <w:rFonts w:hint="eastAsia" w:ascii="宋体" w:hAnsi="宋体" w:eastAsia="宋体" w:cs="宋体"/>
          <w:b w:val="0"/>
          <w:color w:val="auto"/>
          <w:sz w:val="21"/>
          <w:szCs w:val="21"/>
          <w:highlight w:val="none"/>
          <w:lang w:bidi="ar"/>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37"/>
        <w:gridCol w:w="8366"/>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0390" w:type="dxa"/>
            <w:gridSpan w:val="4"/>
            <w:tcBorders>
              <w:top w:val="single" w:color="auto" w:sz="4" w:space="0"/>
              <w:left w:val="single" w:color="auto" w:sz="4" w:space="0"/>
              <w:right w:val="single" w:color="auto" w:sz="2" w:space="0"/>
            </w:tcBorders>
            <w:noWrap w:val="0"/>
            <w:vAlign w:val="center"/>
          </w:tcPr>
          <w:p>
            <w:pPr>
              <w:spacing w:before="156" w:beforeLines="50"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702" w:type="dxa"/>
            <w:vMerge w:val="restart"/>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商务技术分（69分）</w:t>
            </w:r>
          </w:p>
        </w:tc>
        <w:tc>
          <w:tcPr>
            <w:tcW w:w="637" w:type="dxa"/>
            <w:vMerge w:val="restart"/>
            <w:tcBorders>
              <w:top w:val="single" w:color="auto" w:sz="4" w:space="0"/>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商务部分（1</w:t>
            </w:r>
            <w:r>
              <w:rPr>
                <w:rFonts w:hint="eastAsia" w:ascii="宋体" w:hAnsi="宋体" w:eastAsia="宋体" w:cs="宋体"/>
                <w:snapToGrid w:val="0"/>
                <w:spacing w:val="-4"/>
                <w:szCs w:val="21"/>
                <w:highlight w:val="none"/>
                <w:lang w:val="en-US" w:eastAsia="zh-CN"/>
              </w:rPr>
              <w:t>4</w:t>
            </w:r>
            <w:r>
              <w:rPr>
                <w:rFonts w:hint="eastAsia" w:ascii="宋体" w:hAnsi="宋体" w:eastAsia="宋体" w:cs="宋体"/>
                <w:snapToGrid w:val="0"/>
                <w:spacing w:val="-4"/>
                <w:szCs w:val="21"/>
                <w:highlight w:val="none"/>
              </w:rPr>
              <w:t>分）</w:t>
            </w:r>
          </w:p>
        </w:tc>
        <w:tc>
          <w:tcPr>
            <w:tcW w:w="8366" w:type="dxa"/>
            <w:tcBorders>
              <w:top w:val="single" w:color="auto" w:sz="4" w:space="0"/>
              <w:left w:val="single" w:color="auto" w:sz="4" w:space="0"/>
              <w:right w:val="single" w:color="auto" w:sz="2" w:space="0"/>
            </w:tcBorders>
            <w:noWrap w:val="0"/>
            <w:vAlign w:val="center"/>
          </w:tcPr>
          <w:p>
            <w:pPr>
              <w:spacing w:line="240" w:lineRule="auto"/>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1</w:t>
            </w:r>
            <w:r>
              <w:rPr>
                <w:rFonts w:hint="eastAsia" w:ascii="宋体" w:hAnsi="宋体" w:eastAsia="宋体" w:cs="宋体"/>
                <w:snapToGrid w:val="0"/>
                <w:spacing w:val="-4"/>
                <w:szCs w:val="21"/>
                <w:highlight w:val="none"/>
                <w:lang w:eastAsia="zh-CN"/>
              </w:rPr>
              <w:t>、供应商</w:t>
            </w:r>
            <w:r>
              <w:rPr>
                <w:rFonts w:hint="eastAsia" w:ascii="宋体" w:hAnsi="宋体" w:eastAsia="宋体" w:cs="宋体"/>
                <w:snapToGrid w:val="0"/>
                <w:spacing w:val="-4"/>
                <w:szCs w:val="21"/>
                <w:highlight w:val="none"/>
              </w:rPr>
              <w:t>具有ISO9001、ISO14001管理体系证书（2分）</w:t>
            </w:r>
          </w:p>
          <w:p>
            <w:pPr>
              <w:spacing w:line="240" w:lineRule="auto"/>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2</w:t>
            </w:r>
            <w:r>
              <w:rPr>
                <w:rFonts w:hint="eastAsia" w:ascii="宋体" w:hAnsi="宋体" w:eastAsia="宋体" w:cs="宋体"/>
                <w:snapToGrid w:val="0"/>
                <w:spacing w:val="-4"/>
                <w:szCs w:val="21"/>
                <w:highlight w:val="none"/>
                <w:lang w:eastAsia="zh-CN"/>
              </w:rPr>
              <w:t>、供应商</w:t>
            </w:r>
            <w:r>
              <w:rPr>
                <w:rFonts w:hint="eastAsia" w:ascii="宋体" w:hAnsi="宋体" w:eastAsia="宋体" w:cs="宋体"/>
                <w:snapToGrid w:val="0"/>
                <w:spacing w:val="-4"/>
                <w:szCs w:val="21"/>
                <w:highlight w:val="none"/>
              </w:rPr>
              <w:t>具有AAA级信用等级证书的（1分）</w:t>
            </w:r>
          </w:p>
          <w:p>
            <w:pPr>
              <w:spacing w:line="240" w:lineRule="auto"/>
              <w:rPr>
                <w:rFonts w:hint="eastAsia" w:ascii="宋体" w:hAnsi="宋体" w:eastAsia="宋体" w:cs="宋体"/>
                <w:b w:val="0"/>
                <w:bCs w:val="0"/>
                <w:snapToGrid w:val="0"/>
                <w:spacing w:val="-4"/>
                <w:szCs w:val="21"/>
                <w:highlight w:val="none"/>
              </w:rPr>
            </w:pPr>
            <w:r>
              <w:rPr>
                <w:rFonts w:hint="eastAsia" w:ascii="宋体" w:hAnsi="宋体" w:eastAsia="宋体" w:cs="宋体"/>
                <w:b w:val="0"/>
                <w:bCs w:val="0"/>
                <w:snapToGrid w:val="0"/>
                <w:spacing w:val="-4"/>
                <w:szCs w:val="21"/>
                <w:highlight w:val="none"/>
              </w:rPr>
              <w:t>3、制造商具有无线数字集群通信系统软件著作权登记证书 （2分）</w:t>
            </w:r>
          </w:p>
          <w:p>
            <w:pPr>
              <w:spacing w:line="240" w:lineRule="auto"/>
              <w:rPr>
                <w:rFonts w:hint="eastAsia" w:ascii="宋体" w:hAnsi="宋体" w:eastAsia="宋体" w:cs="宋体"/>
                <w:b w:val="0"/>
                <w:bCs w:val="0"/>
                <w:snapToGrid w:val="0"/>
                <w:spacing w:val="-4"/>
                <w:szCs w:val="21"/>
                <w:highlight w:val="none"/>
              </w:rPr>
            </w:pPr>
            <w:r>
              <w:rPr>
                <w:rFonts w:hint="eastAsia" w:ascii="宋体" w:hAnsi="宋体" w:eastAsia="宋体" w:cs="宋体"/>
                <w:b w:val="0"/>
                <w:bCs w:val="0"/>
                <w:snapToGrid w:val="0"/>
                <w:spacing w:val="-4"/>
                <w:szCs w:val="21"/>
                <w:highlight w:val="none"/>
              </w:rPr>
              <w:t>4、制造商具有数字集群终端系统软件著作权登记证书 （2分）</w:t>
            </w:r>
          </w:p>
          <w:p>
            <w:pPr>
              <w:spacing w:line="240" w:lineRule="auto"/>
              <w:rPr>
                <w:rFonts w:hint="eastAsia" w:ascii="宋体" w:hAnsi="宋体" w:eastAsia="宋体" w:cs="宋体"/>
                <w:snapToGrid w:val="0"/>
                <w:spacing w:val="-4"/>
                <w:szCs w:val="21"/>
                <w:highlight w:val="none"/>
              </w:rPr>
            </w:pPr>
            <w:r>
              <w:rPr>
                <w:rFonts w:hint="eastAsia" w:ascii="宋体" w:hAnsi="宋体" w:eastAsia="宋体" w:cs="宋体"/>
                <w:b/>
                <w:bCs/>
                <w:snapToGrid w:val="0"/>
                <w:spacing w:val="-4"/>
                <w:szCs w:val="21"/>
                <w:highlight w:val="none"/>
              </w:rPr>
              <w:t>（提供证书复印件，否则不得分）</w:t>
            </w:r>
          </w:p>
        </w:tc>
        <w:tc>
          <w:tcPr>
            <w:tcW w:w="685" w:type="dxa"/>
            <w:tcBorders>
              <w:top w:val="single" w:color="auto" w:sz="4" w:space="0"/>
              <w:left w:val="single" w:color="auto" w:sz="4" w:space="0"/>
              <w:right w:val="single" w:color="auto" w:sz="2" w:space="0"/>
            </w:tcBorders>
            <w:noWrap w:val="0"/>
            <w:vAlign w:val="center"/>
          </w:tcPr>
          <w:p>
            <w:pPr>
              <w:spacing w:line="240" w:lineRule="auto"/>
              <w:jc w:val="center"/>
              <w:rPr>
                <w:rFonts w:hint="default" w:ascii="宋体" w:hAnsi="宋体" w:eastAsia="宋体" w:cs="宋体"/>
                <w:b w:val="0"/>
                <w:bCs w:val="0"/>
                <w:snapToGrid w:val="0"/>
                <w:spacing w:val="-4"/>
                <w:szCs w:val="21"/>
                <w:highlight w:val="none"/>
                <w:lang w:val="en-US" w:eastAsia="zh-CN"/>
              </w:rPr>
            </w:pPr>
            <w:r>
              <w:rPr>
                <w:rFonts w:hint="eastAsia" w:ascii="宋体" w:hAnsi="宋体" w:eastAsia="宋体" w:cs="宋体"/>
                <w:b w:val="0"/>
                <w:bCs w:val="0"/>
                <w:snapToGrid w:val="0"/>
                <w:spacing w:val="-4"/>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top w:val="single" w:color="auto" w:sz="4" w:space="0"/>
              <w:left w:val="single" w:color="auto" w:sz="4" w:space="0"/>
              <w:right w:val="single" w:color="auto" w:sz="2" w:space="0"/>
            </w:tcBorders>
            <w:noWrap w:val="0"/>
            <w:vAlign w:val="center"/>
          </w:tcPr>
          <w:p>
            <w:pPr>
              <w:spacing w:line="240" w:lineRule="auto"/>
              <w:rPr>
                <w:rFonts w:hint="eastAsia" w:ascii="宋体" w:hAnsi="宋体" w:eastAsia="宋体" w:cs="宋体"/>
                <w:snapToGrid w:val="0"/>
                <w:spacing w:val="-4"/>
                <w:szCs w:val="21"/>
                <w:highlight w:val="none"/>
                <w:lang w:val="zh-CN"/>
              </w:rPr>
            </w:pPr>
            <w:r>
              <w:rPr>
                <w:rFonts w:hint="eastAsia" w:ascii="宋体" w:hAnsi="宋体" w:eastAsia="宋体" w:cs="宋体"/>
                <w:snapToGrid w:val="0"/>
                <w:spacing w:val="-4"/>
                <w:szCs w:val="21"/>
                <w:highlight w:val="none"/>
                <w:lang w:val="en-US" w:eastAsia="zh-CN"/>
              </w:rPr>
              <w:t>1、</w:t>
            </w:r>
            <w:r>
              <w:rPr>
                <w:rFonts w:hint="eastAsia" w:ascii="宋体" w:hAnsi="宋体" w:eastAsia="宋体" w:cs="宋体"/>
                <w:snapToGrid w:val="0"/>
                <w:spacing w:val="-4"/>
                <w:szCs w:val="21"/>
                <w:highlight w:val="none"/>
                <w:lang w:val="zh-CN" w:eastAsia="zh-CN"/>
              </w:rPr>
              <w:t>供应商自2018年1月1日以来（以合同签订时间为准）实施的类似无线通讯建设项目业绩，1个得加1分，最高5分，</w:t>
            </w:r>
            <w:r>
              <w:rPr>
                <w:rFonts w:hint="eastAsia" w:ascii="宋体" w:hAnsi="宋体" w:eastAsia="宋体" w:cs="宋体"/>
                <w:snapToGrid w:val="0"/>
                <w:spacing w:val="-4"/>
                <w:szCs w:val="21"/>
                <w:highlight w:val="none"/>
                <w:lang w:val="en-US" w:eastAsia="zh-CN"/>
              </w:rPr>
              <w:t>响应</w:t>
            </w:r>
            <w:r>
              <w:rPr>
                <w:rFonts w:hint="eastAsia" w:ascii="宋体" w:hAnsi="宋体" w:eastAsia="宋体" w:cs="宋体"/>
                <w:snapToGrid w:val="0"/>
                <w:spacing w:val="-4"/>
                <w:szCs w:val="21"/>
                <w:highlight w:val="none"/>
                <w:lang w:val="zh-CN" w:eastAsia="zh-CN"/>
              </w:rPr>
              <w:t>文件中</w:t>
            </w:r>
            <w:r>
              <w:rPr>
                <w:rFonts w:hint="eastAsia" w:ascii="宋体" w:hAnsi="宋体" w:eastAsia="宋体" w:cs="宋体"/>
                <w:snapToGrid w:val="0"/>
                <w:spacing w:val="-4"/>
                <w:szCs w:val="21"/>
                <w:highlight w:val="none"/>
                <w:lang w:val="en-US" w:eastAsia="zh-CN"/>
              </w:rPr>
              <w:t>须</w:t>
            </w:r>
            <w:r>
              <w:rPr>
                <w:rFonts w:hint="eastAsia" w:ascii="宋体" w:hAnsi="宋体" w:eastAsia="宋体" w:cs="宋体"/>
                <w:snapToGrid w:val="0"/>
                <w:spacing w:val="-4"/>
                <w:szCs w:val="21"/>
                <w:highlight w:val="none"/>
                <w:lang w:val="zh-CN" w:eastAsia="zh-CN"/>
              </w:rPr>
              <w:t>提供合同复印件、用户联系方式；未提供的不得分。</w:t>
            </w:r>
          </w:p>
          <w:p>
            <w:pPr>
              <w:spacing w:line="240" w:lineRule="auto"/>
              <w:rPr>
                <w:rFonts w:hint="eastAsia" w:ascii="宋体" w:hAnsi="宋体" w:eastAsia="宋体" w:cs="宋体"/>
                <w:snapToGrid w:val="0"/>
                <w:spacing w:val="-4"/>
                <w:szCs w:val="21"/>
                <w:highlight w:val="none"/>
                <w:lang w:val="zh-CN" w:eastAsia="zh-CN"/>
              </w:rPr>
            </w:pPr>
            <w:r>
              <w:rPr>
                <w:rFonts w:hint="eastAsia" w:ascii="宋体" w:hAnsi="宋体" w:eastAsia="宋体" w:cs="宋体"/>
                <w:snapToGrid w:val="0"/>
                <w:spacing w:val="-4"/>
                <w:szCs w:val="21"/>
                <w:highlight w:val="none"/>
                <w:lang w:val="en-US" w:eastAsia="zh-CN"/>
              </w:rPr>
              <w:t>2、</w:t>
            </w:r>
            <w:r>
              <w:rPr>
                <w:rFonts w:hint="eastAsia" w:ascii="宋体" w:hAnsi="宋体" w:eastAsia="宋体" w:cs="宋体"/>
                <w:snapToGrid w:val="0"/>
                <w:spacing w:val="-4"/>
                <w:szCs w:val="21"/>
                <w:highlight w:val="none"/>
                <w:lang w:val="zh-CN" w:eastAsia="zh-CN"/>
              </w:rPr>
              <w:t>供应商自2018年1月1日以来完成过无线通讯运维项目建设每个得1分，最高2分。</w:t>
            </w:r>
          </w:p>
          <w:p>
            <w:pPr>
              <w:spacing w:line="240" w:lineRule="auto"/>
              <w:rPr>
                <w:rFonts w:hint="eastAsia" w:ascii="宋体" w:hAnsi="宋体" w:eastAsia="宋体" w:cs="宋体"/>
                <w:sz w:val="21"/>
                <w:szCs w:val="21"/>
                <w:highlight w:val="none"/>
                <w:lang w:val="zh-CN"/>
              </w:rPr>
            </w:pPr>
            <w:r>
              <w:rPr>
                <w:rFonts w:hint="eastAsia" w:ascii="宋体" w:hAnsi="宋体" w:eastAsia="宋体" w:cs="宋体"/>
                <w:b/>
                <w:bCs/>
                <w:snapToGrid w:val="0"/>
                <w:spacing w:val="-4"/>
                <w:szCs w:val="21"/>
                <w:highlight w:val="none"/>
                <w:lang w:val="zh-CN" w:eastAsia="zh-CN"/>
              </w:rPr>
              <w:t>（须提供合同复印件、用户联系方式；未提供的不得分）</w:t>
            </w:r>
          </w:p>
        </w:tc>
        <w:tc>
          <w:tcPr>
            <w:tcW w:w="685" w:type="dxa"/>
            <w:tcBorders>
              <w:top w:val="single" w:color="auto" w:sz="4" w:space="0"/>
              <w:left w:val="single" w:color="auto" w:sz="4" w:space="0"/>
              <w:right w:val="single" w:color="auto" w:sz="2" w:space="0"/>
            </w:tcBorders>
            <w:noWrap w:val="0"/>
            <w:vAlign w:val="center"/>
          </w:tcPr>
          <w:p>
            <w:pPr>
              <w:spacing w:line="240" w:lineRule="auto"/>
              <w:jc w:val="center"/>
              <w:rPr>
                <w:rFonts w:hint="default" w:ascii="宋体" w:hAnsi="宋体" w:eastAsia="宋体" w:cs="宋体"/>
                <w:b w:val="0"/>
                <w:bCs w:val="0"/>
                <w:snapToGrid w:val="0"/>
                <w:spacing w:val="-4"/>
                <w:szCs w:val="21"/>
                <w:highlight w:val="none"/>
                <w:lang w:val="en-US" w:eastAsia="zh-CN"/>
              </w:rPr>
            </w:pPr>
            <w:r>
              <w:rPr>
                <w:rFonts w:hint="eastAsia" w:ascii="宋体" w:hAnsi="宋体" w:eastAsia="宋体" w:cs="宋体"/>
                <w:b w:val="0"/>
                <w:bCs w:val="0"/>
                <w:snapToGrid w:val="0"/>
                <w:spacing w:val="-4"/>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restart"/>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技术部分（5</w:t>
            </w:r>
            <w:r>
              <w:rPr>
                <w:rFonts w:hint="eastAsia" w:ascii="宋体" w:hAnsi="宋体" w:eastAsia="宋体" w:cs="宋体"/>
                <w:snapToGrid w:val="0"/>
                <w:spacing w:val="-4"/>
                <w:szCs w:val="21"/>
                <w:highlight w:val="none"/>
                <w:lang w:val="en-US" w:eastAsia="zh-CN"/>
              </w:rPr>
              <w:t>5</w:t>
            </w:r>
            <w:r>
              <w:rPr>
                <w:rFonts w:hint="eastAsia" w:ascii="宋体" w:hAnsi="宋体" w:eastAsia="宋体" w:cs="宋体"/>
                <w:snapToGrid w:val="0"/>
                <w:spacing w:val="-4"/>
                <w:szCs w:val="21"/>
                <w:highlight w:val="none"/>
              </w:rPr>
              <w:t>分）</w:t>
            </w:r>
          </w:p>
        </w:tc>
        <w:tc>
          <w:tcPr>
            <w:tcW w:w="8366" w:type="dxa"/>
            <w:tcBorders>
              <w:top w:val="single" w:color="auto" w:sz="4" w:space="0"/>
              <w:left w:val="single" w:color="auto" w:sz="4" w:space="0"/>
              <w:bottom w:val="single" w:color="auto" w:sz="4" w:space="0"/>
              <w:right w:val="single" w:color="auto" w:sz="2" w:space="0"/>
            </w:tcBorders>
            <w:noWrap w:val="0"/>
            <w:vAlign w:val="center"/>
          </w:tcPr>
          <w:p>
            <w:pPr>
              <w:spacing w:line="240" w:lineRule="auto"/>
              <w:jc w:val="both"/>
              <w:rPr>
                <w:rFonts w:hint="eastAsia" w:ascii="宋体" w:hAnsi="宋体" w:eastAsia="宋体" w:cs="宋体"/>
                <w:snapToGrid w:val="0"/>
                <w:spacing w:val="-4"/>
                <w:szCs w:val="21"/>
                <w:highlight w:val="none"/>
                <w:lang w:eastAsia="zh-CN"/>
              </w:rPr>
            </w:pPr>
            <w:r>
              <w:rPr>
                <w:rFonts w:hint="eastAsia" w:ascii="宋体" w:hAnsi="宋体" w:eastAsia="宋体" w:cs="宋体"/>
                <w:snapToGrid w:val="0"/>
                <w:spacing w:val="-4"/>
                <w:szCs w:val="21"/>
                <w:highlight w:val="none"/>
              </w:rPr>
              <w:t>根据</w:t>
            </w:r>
            <w:r>
              <w:rPr>
                <w:rFonts w:hint="eastAsia" w:ascii="宋体" w:hAnsi="宋体" w:eastAsia="宋体" w:cs="宋体"/>
                <w:snapToGrid w:val="0"/>
                <w:spacing w:val="-4"/>
                <w:szCs w:val="21"/>
                <w:highlight w:val="none"/>
                <w:lang w:val="en-US" w:eastAsia="zh-CN"/>
              </w:rPr>
              <w:t>响应</w:t>
            </w:r>
            <w:r>
              <w:rPr>
                <w:rFonts w:hint="eastAsia" w:ascii="宋体" w:hAnsi="宋体" w:eastAsia="宋体" w:cs="宋体"/>
                <w:snapToGrid w:val="0"/>
                <w:spacing w:val="-4"/>
                <w:szCs w:val="21"/>
                <w:highlight w:val="none"/>
              </w:rPr>
              <w:t>文件中描述对</w:t>
            </w:r>
            <w:r>
              <w:rPr>
                <w:rFonts w:hint="eastAsia" w:ascii="宋体" w:hAnsi="宋体" w:eastAsia="宋体" w:cs="宋体"/>
                <w:b/>
                <w:bCs/>
                <w:snapToGrid w:val="0"/>
                <w:spacing w:val="-4"/>
                <w:szCs w:val="21"/>
                <w:highlight w:val="none"/>
              </w:rPr>
              <w:t>所有产品功能和技术参数等内容</w:t>
            </w:r>
            <w:r>
              <w:rPr>
                <w:rFonts w:hint="eastAsia" w:ascii="宋体" w:hAnsi="宋体" w:eastAsia="宋体" w:cs="宋体"/>
                <w:snapToGrid w:val="0"/>
                <w:spacing w:val="-4"/>
                <w:szCs w:val="21"/>
                <w:highlight w:val="none"/>
              </w:rPr>
              <w:t>进行综合判断。对产品功能和技术参数负偏离或缺漏项的每项扣2分，直至扣到0分为止，总分20分。</w:t>
            </w:r>
            <w:r>
              <w:rPr>
                <w:rFonts w:hint="eastAsia" w:ascii="宋体" w:hAnsi="宋体" w:eastAsia="宋体" w:cs="宋体"/>
                <w:snapToGrid w:val="0"/>
                <w:spacing w:val="-4"/>
                <w:szCs w:val="21"/>
                <w:highlight w:val="none"/>
                <w:lang w:eastAsia="zh-CN"/>
              </w:rPr>
              <w:t>（</w:t>
            </w:r>
            <w:r>
              <w:rPr>
                <w:rFonts w:hint="eastAsia" w:ascii="宋体" w:hAnsi="宋体" w:eastAsia="宋体" w:cs="宋体"/>
                <w:snapToGrid w:val="0"/>
                <w:spacing w:val="-4"/>
                <w:szCs w:val="21"/>
                <w:highlight w:val="none"/>
                <w:lang w:val="en-US" w:eastAsia="zh-CN"/>
              </w:rPr>
              <w:t>0-20分</w:t>
            </w:r>
            <w:r>
              <w:rPr>
                <w:rFonts w:hint="eastAsia" w:ascii="宋体" w:hAnsi="宋体" w:eastAsia="宋体" w:cs="宋体"/>
                <w:snapToGrid w:val="0"/>
                <w:spacing w:val="-4"/>
                <w:szCs w:val="21"/>
                <w:highlight w:val="none"/>
                <w:lang w:eastAsia="zh-CN"/>
              </w:rPr>
              <w:t>）</w:t>
            </w:r>
          </w:p>
        </w:tc>
        <w:tc>
          <w:tcPr>
            <w:tcW w:w="685" w:type="dxa"/>
            <w:tcBorders>
              <w:top w:val="single" w:color="auto" w:sz="4" w:space="0"/>
              <w:left w:val="single" w:color="auto" w:sz="4" w:space="0"/>
              <w:bottom w:val="single" w:color="auto" w:sz="4" w:space="0"/>
              <w:right w:val="single" w:color="auto" w:sz="2" w:space="0"/>
            </w:tcBorders>
            <w:noWrap w:val="0"/>
            <w:vAlign w:val="center"/>
          </w:tcPr>
          <w:p>
            <w:pPr>
              <w:spacing w:line="240" w:lineRule="auto"/>
              <w:jc w:val="both"/>
              <w:rPr>
                <w:rFonts w:hint="default" w:ascii="宋体" w:hAnsi="宋体" w:eastAsia="宋体" w:cs="宋体"/>
                <w:snapToGrid w:val="0"/>
                <w:spacing w:val="-4"/>
                <w:szCs w:val="21"/>
                <w:highlight w:val="none"/>
                <w:lang w:val="en-US" w:eastAsia="zh-CN"/>
              </w:rPr>
            </w:pPr>
            <w:r>
              <w:rPr>
                <w:rFonts w:hint="eastAsia" w:ascii="宋体" w:hAnsi="宋体" w:eastAsia="宋体" w:cs="宋体"/>
                <w:snapToGrid w:val="0"/>
                <w:spacing w:val="-4"/>
                <w:szCs w:val="21"/>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top w:val="single" w:color="auto" w:sz="4" w:space="0"/>
              <w:left w:val="single" w:color="auto" w:sz="4" w:space="0"/>
              <w:bottom w:val="single" w:color="auto" w:sz="4" w:space="0"/>
              <w:right w:val="single" w:color="auto" w:sz="2" w:space="0"/>
            </w:tcBorders>
            <w:noWrap w:val="0"/>
            <w:vAlign w:val="center"/>
          </w:tcPr>
          <w:p>
            <w:pPr>
              <w:spacing w:line="240" w:lineRule="auto"/>
              <w:jc w:val="both"/>
              <w:rPr>
                <w:rFonts w:hint="eastAsia" w:ascii="宋体" w:hAnsi="宋体" w:eastAsia="宋体" w:cs="宋体"/>
                <w:snapToGrid w:val="0"/>
                <w:spacing w:val="-4"/>
                <w:szCs w:val="21"/>
                <w:highlight w:val="none"/>
                <w:lang w:eastAsia="zh-CN"/>
              </w:rPr>
            </w:pPr>
            <w:r>
              <w:rPr>
                <w:rFonts w:hint="eastAsia" w:ascii="宋体" w:hAnsi="宋体" w:eastAsia="宋体" w:cs="宋体"/>
                <w:b/>
                <w:bCs/>
                <w:snapToGrid w:val="0"/>
                <w:spacing w:val="-4"/>
                <w:szCs w:val="21"/>
                <w:highlight w:val="none"/>
              </w:rPr>
              <w:t>投标方案与需求的吻合程度</w:t>
            </w:r>
            <w:r>
              <w:rPr>
                <w:rFonts w:hint="eastAsia" w:ascii="宋体" w:hAnsi="宋体" w:eastAsia="宋体" w:cs="宋体"/>
                <w:snapToGrid w:val="0"/>
                <w:spacing w:val="-4"/>
                <w:szCs w:val="21"/>
                <w:highlight w:val="none"/>
              </w:rPr>
              <w:t>，包括方案的科学性、先进性、可靠性、成熟性、合理性和扩展性；方案设计的功能实现以及方案配置的合理性等方面与项目对应需求的满足程度等</w:t>
            </w:r>
            <w:r>
              <w:rPr>
                <w:rFonts w:hint="eastAsia" w:ascii="宋体" w:hAnsi="宋体" w:eastAsia="宋体" w:cs="宋体"/>
                <w:snapToGrid w:val="0"/>
                <w:spacing w:val="-4"/>
                <w:szCs w:val="21"/>
                <w:highlight w:val="none"/>
                <w:lang w:eastAsia="zh-CN"/>
              </w:rPr>
              <w:t>。（</w:t>
            </w:r>
            <w:r>
              <w:rPr>
                <w:rFonts w:hint="eastAsia" w:ascii="宋体" w:hAnsi="宋体" w:eastAsia="宋体" w:cs="宋体"/>
                <w:snapToGrid w:val="0"/>
                <w:spacing w:val="-4"/>
                <w:szCs w:val="21"/>
                <w:highlight w:val="none"/>
              </w:rPr>
              <w:t>0-3分</w:t>
            </w:r>
            <w:r>
              <w:rPr>
                <w:rFonts w:hint="eastAsia" w:ascii="宋体" w:hAnsi="宋体" w:eastAsia="宋体" w:cs="宋体"/>
                <w:snapToGrid w:val="0"/>
                <w:spacing w:val="-4"/>
                <w:szCs w:val="21"/>
                <w:highlight w:val="none"/>
                <w:lang w:eastAsia="zh-CN"/>
              </w:rPr>
              <w:t>）</w:t>
            </w:r>
          </w:p>
        </w:tc>
        <w:tc>
          <w:tcPr>
            <w:tcW w:w="685" w:type="dxa"/>
            <w:tcBorders>
              <w:top w:val="single" w:color="auto" w:sz="4" w:space="0"/>
              <w:left w:val="single" w:color="auto" w:sz="4" w:space="0"/>
              <w:bottom w:val="single" w:color="auto" w:sz="4" w:space="0"/>
              <w:right w:val="single" w:color="auto" w:sz="2" w:space="0"/>
            </w:tcBorders>
            <w:noWrap w:val="0"/>
            <w:vAlign w:val="center"/>
          </w:tcPr>
          <w:p>
            <w:pPr>
              <w:spacing w:line="240" w:lineRule="auto"/>
              <w:jc w:val="center"/>
              <w:rPr>
                <w:rFonts w:hint="default" w:ascii="宋体" w:hAnsi="宋体" w:eastAsia="宋体" w:cs="宋体"/>
                <w:b/>
                <w:bCs/>
                <w:snapToGrid w:val="0"/>
                <w:spacing w:val="-4"/>
                <w:szCs w:val="21"/>
                <w:highlight w:val="none"/>
                <w:lang w:val="en-US" w:eastAsia="zh-CN"/>
              </w:rPr>
            </w:pPr>
            <w:r>
              <w:rPr>
                <w:rFonts w:hint="eastAsia" w:ascii="宋体" w:hAnsi="宋体" w:eastAsia="宋体" w:cs="宋体"/>
                <w:snapToGrid w:val="0"/>
                <w:spacing w:val="-4"/>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top w:val="single" w:color="auto" w:sz="4" w:space="0"/>
              <w:left w:val="single" w:color="auto" w:sz="4" w:space="0"/>
              <w:bottom w:val="single" w:color="auto" w:sz="4" w:space="0"/>
              <w:right w:val="single" w:color="auto" w:sz="2" w:space="0"/>
            </w:tcBorders>
            <w:noWrap w:val="0"/>
            <w:vAlign w:val="center"/>
          </w:tcPr>
          <w:p>
            <w:pPr>
              <w:spacing w:line="240" w:lineRule="auto"/>
              <w:jc w:val="both"/>
              <w:rPr>
                <w:rFonts w:hint="eastAsia" w:ascii="宋体" w:hAnsi="宋体" w:eastAsia="宋体" w:cs="宋体"/>
                <w:snapToGrid w:val="0"/>
                <w:spacing w:val="-4"/>
                <w:szCs w:val="21"/>
                <w:highlight w:val="none"/>
                <w:lang w:eastAsia="zh-CN"/>
              </w:rPr>
            </w:pPr>
            <w:r>
              <w:rPr>
                <w:rFonts w:hint="eastAsia" w:ascii="宋体" w:hAnsi="宋体" w:eastAsia="宋体" w:cs="宋体"/>
                <w:b/>
                <w:bCs/>
                <w:snapToGrid w:val="0"/>
                <w:spacing w:val="-4"/>
                <w:szCs w:val="21"/>
                <w:highlight w:val="none"/>
              </w:rPr>
              <w:t>投标方案总体设计、建设方案和产品选型等</w:t>
            </w:r>
            <w:r>
              <w:rPr>
                <w:rFonts w:hint="eastAsia" w:ascii="宋体" w:hAnsi="宋体" w:eastAsia="宋体" w:cs="宋体"/>
                <w:snapToGrid w:val="0"/>
                <w:spacing w:val="-4"/>
                <w:szCs w:val="21"/>
                <w:highlight w:val="none"/>
              </w:rPr>
              <w:t>，详细阐述系统的体系架构、功能模块、实现思路和关键技术，提出具体可行的实施方案</w:t>
            </w:r>
            <w:r>
              <w:rPr>
                <w:rFonts w:hint="eastAsia" w:ascii="宋体" w:hAnsi="宋体" w:eastAsia="宋体" w:cs="宋体"/>
                <w:snapToGrid w:val="0"/>
                <w:spacing w:val="-4"/>
                <w:szCs w:val="21"/>
                <w:highlight w:val="none"/>
                <w:lang w:eastAsia="zh-CN"/>
              </w:rPr>
              <w:t>。（</w:t>
            </w:r>
            <w:r>
              <w:rPr>
                <w:rFonts w:hint="eastAsia" w:ascii="宋体" w:hAnsi="宋体" w:eastAsia="宋体" w:cs="宋体"/>
                <w:snapToGrid w:val="0"/>
                <w:spacing w:val="-4"/>
                <w:szCs w:val="21"/>
                <w:highlight w:val="none"/>
              </w:rPr>
              <w:t>0-3分</w:t>
            </w:r>
            <w:r>
              <w:rPr>
                <w:rFonts w:hint="eastAsia" w:ascii="宋体" w:hAnsi="宋体" w:eastAsia="宋体" w:cs="宋体"/>
                <w:snapToGrid w:val="0"/>
                <w:spacing w:val="-4"/>
                <w:szCs w:val="21"/>
                <w:highlight w:val="none"/>
                <w:lang w:eastAsia="zh-CN"/>
              </w:rPr>
              <w:t>）</w:t>
            </w:r>
          </w:p>
        </w:tc>
        <w:tc>
          <w:tcPr>
            <w:tcW w:w="685" w:type="dxa"/>
            <w:tcBorders>
              <w:top w:val="single" w:color="auto" w:sz="4" w:space="0"/>
              <w:left w:val="single" w:color="auto" w:sz="4" w:space="0"/>
              <w:bottom w:val="single" w:color="auto" w:sz="4" w:space="0"/>
              <w:right w:val="single" w:color="auto" w:sz="2" w:space="0"/>
            </w:tcBorders>
            <w:noWrap w:val="0"/>
            <w:vAlign w:val="center"/>
          </w:tcPr>
          <w:p>
            <w:pPr>
              <w:spacing w:line="240" w:lineRule="auto"/>
              <w:jc w:val="center"/>
              <w:rPr>
                <w:rFonts w:hint="eastAsia" w:ascii="宋体" w:hAnsi="宋体" w:eastAsia="宋体" w:cs="宋体"/>
                <w:b/>
                <w:bCs/>
                <w:snapToGrid w:val="0"/>
                <w:spacing w:val="-4"/>
                <w:szCs w:val="21"/>
                <w:highlight w:val="none"/>
              </w:rPr>
            </w:pPr>
            <w:r>
              <w:rPr>
                <w:rFonts w:hint="eastAsia" w:ascii="宋体" w:hAnsi="宋体" w:eastAsia="宋体" w:cs="宋体"/>
                <w:snapToGrid w:val="0"/>
                <w:spacing w:val="-4"/>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left w:val="single" w:color="auto" w:sz="4" w:space="0"/>
              <w:right w:val="single" w:color="auto" w:sz="2" w:space="0"/>
            </w:tcBorders>
            <w:noWrap w:val="0"/>
            <w:vAlign w:val="center"/>
          </w:tcPr>
          <w:p>
            <w:pPr>
              <w:spacing w:line="240" w:lineRule="auto"/>
              <w:jc w:val="both"/>
              <w:rPr>
                <w:rFonts w:hint="eastAsia" w:ascii="宋体" w:hAnsi="宋体" w:eastAsia="宋体" w:cs="宋体"/>
                <w:snapToGrid w:val="0"/>
                <w:spacing w:val="-4"/>
                <w:szCs w:val="21"/>
                <w:highlight w:val="none"/>
                <w:lang w:val="en-US" w:eastAsia="zh-CN"/>
              </w:rPr>
            </w:pPr>
            <w:r>
              <w:rPr>
                <w:rFonts w:hint="eastAsia" w:ascii="宋体" w:hAnsi="宋体" w:eastAsia="宋体" w:cs="宋体"/>
                <w:snapToGrid w:val="0"/>
                <w:spacing w:val="-4"/>
                <w:szCs w:val="21"/>
                <w:highlight w:val="none"/>
                <w:lang w:val="en-US" w:eastAsia="zh-CN"/>
              </w:rPr>
              <w:t>投标方案中以下功能描述：</w:t>
            </w:r>
          </w:p>
          <w:p>
            <w:pPr>
              <w:spacing w:line="240" w:lineRule="auto"/>
              <w:jc w:val="both"/>
              <w:rPr>
                <w:rFonts w:hint="eastAsia" w:ascii="宋体" w:hAnsi="宋体" w:eastAsia="宋体" w:cs="宋体"/>
                <w:snapToGrid w:val="0"/>
                <w:spacing w:val="-4"/>
                <w:szCs w:val="21"/>
                <w:highlight w:val="none"/>
                <w:lang w:eastAsia="zh-CN"/>
              </w:rPr>
            </w:pPr>
            <w:r>
              <w:rPr>
                <w:rFonts w:hint="eastAsia" w:ascii="宋体" w:hAnsi="宋体" w:eastAsia="宋体" w:cs="宋体"/>
                <w:snapToGrid w:val="0"/>
                <w:spacing w:val="-4"/>
                <w:szCs w:val="21"/>
                <w:highlight w:val="none"/>
              </w:rPr>
              <w:t>1、</w:t>
            </w:r>
            <w:r>
              <w:rPr>
                <w:rFonts w:hint="eastAsia" w:ascii="宋体" w:hAnsi="宋体" w:eastAsia="宋体" w:cs="宋体"/>
                <w:b/>
                <w:bCs/>
                <w:snapToGrid w:val="0"/>
                <w:spacing w:val="-4"/>
                <w:szCs w:val="21"/>
                <w:highlight w:val="none"/>
              </w:rPr>
              <w:t>全网录音功能</w:t>
            </w:r>
            <w:r>
              <w:rPr>
                <w:rFonts w:hint="eastAsia" w:ascii="宋体" w:hAnsi="宋体" w:eastAsia="宋体" w:cs="宋体"/>
                <w:snapToGrid w:val="0"/>
                <w:spacing w:val="-4"/>
                <w:szCs w:val="21"/>
                <w:highlight w:val="none"/>
              </w:rPr>
              <w:t>。系统具有全网录音功能；支持录音查询的回放、循环播放以及连续播放</w:t>
            </w:r>
            <w:r>
              <w:rPr>
                <w:rFonts w:hint="eastAsia" w:ascii="宋体" w:hAnsi="宋体" w:eastAsia="宋体" w:cs="宋体"/>
                <w:snapToGrid w:val="0"/>
                <w:spacing w:val="-4"/>
                <w:szCs w:val="21"/>
                <w:highlight w:val="none"/>
                <w:lang w:val="en-US" w:eastAsia="zh-CN"/>
              </w:rPr>
              <w:t>的，</w:t>
            </w:r>
            <w:r>
              <w:rPr>
                <w:rFonts w:hint="eastAsia" w:ascii="宋体" w:hAnsi="宋体" w:eastAsia="宋体" w:cs="宋体"/>
                <w:snapToGrid w:val="0"/>
                <w:spacing w:val="-4"/>
                <w:szCs w:val="21"/>
                <w:highlight w:val="none"/>
              </w:rPr>
              <w:t>得3分</w:t>
            </w:r>
            <w:r>
              <w:rPr>
                <w:rFonts w:hint="eastAsia" w:ascii="宋体" w:hAnsi="宋体" w:eastAsia="宋体" w:cs="宋体"/>
                <w:snapToGrid w:val="0"/>
                <w:spacing w:val="-4"/>
                <w:szCs w:val="21"/>
                <w:highlight w:val="none"/>
                <w:lang w:eastAsia="zh-CN"/>
              </w:rPr>
              <w:t>。</w:t>
            </w:r>
          </w:p>
          <w:p>
            <w:pPr>
              <w:spacing w:line="240" w:lineRule="auto"/>
              <w:jc w:val="both"/>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2、</w:t>
            </w:r>
            <w:r>
              <w:rPr>
                <w:rFonts w:hint="eastAsia" w:ascii="宋体" w:hAnsi="宋体" w:eastAsia="宋体" w:cs="宋体"/>
                <w:b/>
                <w:bCs/>
                <w:snapToGrid w:val="0"/>
                <w:spacing w:val="-4"/>
                <w:szCs w:val="21"/>
                <w:highlight w:val="none"/>
              </w:rPr>
              <w:t>基于GPS或北斗定位系统数据的GIS可视化调度功能</w:t>
            </w:r>
            <w:r>
              <w:rPr>
                <w:rFonts w:hint="eastAsia" w:ascii="宋体" w:hAnsi="宋体" w:eastAsia="宋体" w:cs="宋体"/>
                <w:snapToGrid w:val="0"/>
                <w:spacing w:val="-4"/>
                <w:szCs w:val="21"/>
                <w:highlight w:val="none"/>
              </w:rPr>
              <w:t>。</w:t>
            </w:r>
            <w:r>
              <w:rPr>
                <w:rFonts w:hint="eastAsia" w:ascii="宋体" w:hAnsi="宋体" w:eastAsia="宋体" w:cs="宋体"/>
                <w:snapToGrid w:val="0"/>
                <w:spacing w:val="-4"/>
                <w:szCs w:val="21"/>
                <w:highlight w:val="none"/>
                <w:lang w:eastAsia="zh-CN"/>
              </w:rPr>
              <w:t>供应商</w:t>
            </w:r>
            <w:r>
              <w:rPr>
                <w:rFonts w:hint="eastAsia" w:ascii="宋体" w:hAnsi="宋体" w:eastAsia="宋体" w:cs="宋体"/>
                <w:snapToGrid w:val="0"/>
                <w:spacing w:val="-4"/>
                <w:szCs w:val="21"/>
                <w:highlight w:val="none"/>
              </w:rPr>
              <w:t>提供公安GIS运用的可视化调度等数字巡防功能的证明、并承诺开放接口</w:t>
            </w:r>
            <w:r>
              <w:rPr>
                <w:rFonts w:hint="eastAsia" w:ascii="宋体" w:hAnsi="宋体" w:eastAsia="宋体" w:cs="宋体"/>
                <w:snapToGrid w:val="0"/>
                <w:spacing w:val="-4"/>
                <w:szCs w:val="21"/>
                <w:highlight w:val="none"/>
                <w:lang w:val="en-US" w:eastAsia="zh-CN"/>
              </w:rPr>
              <w:t>的</w:t>
            </w:r>
            <w:r>
              <w:rPr>
                <w:rFonts w:hint="eastAsia" w:ascii="宋体" w:hAnsi="宋体" w:eastAsia="宋体" w:cs="宋体"/>
                <w:snapToGrid w:val="0"/>
                <w:spacing w:val="-4"/>
                <w:szCs w:val="21"/>
                <w:highlight w:val="none"/>
              </w:rPr>
              <w:t>，得3分；</w:t>
            </w:r>
          </w:p>
        </w:tc>
        <w:tc>
          <w:tcPr>
            <w:tcW w:w="685" w:type="dxa"/>
            <w:tcBorders>
              <w:left w:val="single" w:color="auto" w:sz="4" w:space="0"/>
              <w:right w:val="single" w:color="auto" w:sz="2" w:space="0"/>
            </w:tcBorders>
            <w:noWrap w:val="0"/>
            <w:vAlign w:val="center"/>
          </w:tcPr>
          <w:p>
            <w:pPr>
              <w:spacing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left w:val="single" w:color="auto" w:sz="4" w:space="0"/>
              <w:right w:val="single" w:color="auto" w:sz="2" w:space="0"/>
            </w:tcBorders>
            <w:noWrap w:val="0"/>
            <w:vAlign w:val="center"/>
          </w:tcPr>
          <w:p>
            <w:pPr>
              <w:spacing w:line="240" w:lineRule="auto"/>
              <w:jc w:val="both"/>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PDT投标方案总体设计、建设方案和产品选型等，详细阐述系统的体系架构、与分局已有基站和市局主系统的</w:t>
            </w:r>
            <w:r>
              <w:rPr>
                <w:rFonts w:hint="eastAsia" w:ascii="宋体" w:hAnsi="宋体" w:eastAsia="宋体" w:cs="宋体"/>
                <w:b/>
                <w:bCs/>
                <w:snapToGrid w:val="0"/>
                <w:spacing w:val="-4"/>
                <w:szCs w:val="21"/>
                <w:highlight w:val="none"/>
              </w:rPr>
              <w:t>对接融合能力</w:t>
            </w:r>
            <w:r>
              <w:rPr>
                <w:rFonts w:hint="eastAsia" w:ascii="宋体" w:hAnsi="宋体" w:eastAsia="宋体" w:cs="宋体"/>
                <w:snapToGrid w:val="0"/>
                <w:spacing w:val="-4"/>
                <w:szCs w:val="21"/>
                <w:highlight w:val="none"/>
              </w:rPr>
              <w:t>、各功能模块、实现思路和关键技术，提出具体可行的实施方案。（0-5分）</w:t>
            </w:r>
          </w:p>
        </w:tc>
        <w:tc>
          <w:tcPr>
            <w:tcW w:w="685" w:type="dxa"/>
            <w:tcBorders>
              <w:left w:val="single" w:color="auto" w:sz="4" w:space="0"/>
              <w:right w:val="single" w:color="auto" w:sz="2" w:space="0"/>
            </w:tcBorders>
            <w:noWrap w:val="0"/>
            <w:vAlign w:val="center"/>
          </w:tcPr>
          <w:p>
            <w:pPr>
              <w:spacing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left w:val="single" w:color="auto" w:sz="4" w:space="0"/>
              <w:bottom w:val="single" w:color="auto" w:sz="4" w:space="0"/>
              <w:right w:val="single" w:color="auto" w:sz="2" w:space="0"/>
            </w:tcBorders>
            <w:noWrap w:val="0"/>
            <w:vAlign w:val="center"/>
          </w:tcPr>
          <w:p>
            <w:pPr>
              <w:spacing w:line="240" w:lineRule="auto"/>
              <w:jc w:val="both"/>
              <w:rPr>
                <w:rFonts w:hint="eastAsia" w:ascii="宋体" w:hAnsi="宋体" w:eastAsia="宋体" w:cs="宋体"/>
                <w:b w:val="0"/>
                <w:bCs w:val="0"/>
                <w:snapToGrid w:val="0"/>
                <w:spacing w:val="-4"/>
                <w:szCs w:val="21"/>
                <w:highlight w:val="none"/>
              </w:rPr>
            </w:pPr>
            <w:r>
              <w:rPr>
                <w:rFonts w:hint="eastAsia" w:ascii="宋体" w:hAnsi="宋体" w:eastAsia="宋体" w:cs="宋体"/>
                <w:snapToGrid w:val="0"/>
                <w:spacing w:val="-4"/>
                <w:szCs w:val="21"/>
                <w:highlight w:val="none"/>
              </w:rPr>
              <w:t>1</w:t>
            </w:r>
            <w:r>
              <w:rPr>
                <w:rFonts w:hint="eastAsia" w:ascii="宋体" w:hAnsi="宋体" w:eastAsia="宋体" w:cs="宋体"/>
                <w:snapToGrid w:val="0"/>
                <w:spacing w:val="-4"/>
                <w:szCs w:val="21"/>
                <w:highlight w:val="none"/>
                <w:lang w:eastAsia="zh-CN"/>
              </w:rPr>
              <w:t>、</w:t>
            </w:r>
            <w:r>
              <w:rPr>
                <w:rFonts w:hint="eastAsia" w:ascii="宋体" w:hAnsi="宋体" w:eastAsia="宋体" w:cs="宋体"/>
                <w:snapToGrid w:val="0"/>
                <w:spacing w:val="-4"/>
                <w:szCs w:val="21"/>
                <w:highlight w:val="none"/>
              </w:rPr>
              <w:t>项目</w:t>
            </w:r>
            <w:r>
              <w:rPr>
                <w:rFonts w:hint="eastAsia" w:ascii="宋体" w:hAnsi="宋体" w:eastAsia="宋体" w:cs="宋体"/>
                <w:b w:val="0"/>
                <w:bCs w:val="0"/>
                <w:snapToGrid w:val="0"/>
                <w:spacing w:val="-4"/>
                <w:szCs w:val="21"/>
                <w:highlight w:val="none"/>
              </w:rPr>
              <w:t>施工计划、进度以及保障措施方案；（0-</w:t>
            </w:r>
            <w:r>
              <w:rPr>
                <w:rFonts w:hint="eastAsia" w:ascii="宋体" w:hAnsi="宋体" w:eastAsia="宋体" w:cs="宋体"/>
                <w:b w:val="0"/>
                <w:bCs w:val="0"/>
                <w:snapToGrid w:val="0"/>
                <w:spacing w:val="-4"/>
                <w:szCs w:val="21"/>
                <w:highlight w:val="none"/>
                <w:lang w:val="en-US" w:eastAsia="zh-CN"/>
              </w:rPr>
              <w:t>3</w:t>
            </w:r>
            <w:r>
              <w:rPr>
                <w:rFonts w:hint="eastAsia" w:ascii="宋体" w:hAnsi="宋体" w:eastAsia="宋体" w:cs="宋体"/>
                <w:b w:val="0"/>
                <w:bCs w:val="0"/>
                <w:snapToGrid w:val="0"/>
                <w:spacing w:val="-4"/>
                <w:szCs w:val="21"/>
                <w:highlight w:val="none"/>
              </w:rPr>
              <w:t>分）</w:t>
            </w:r>
          </w:p>
          <w:p>
            <w:pPr>
              <w:spacing w:line="240" w:lineRule="auto"/>
              <w:jc w:val="both"/>
              <w:rPr>
                <w:rFonts w:hint="eastAsia" w:ascii="宋体" w:hAnsi="宋体" w:eastAsia="宋体" w:cs="宋体"/>
                <w:b w:val="0"/>
                <w:bCs w:val="0"/>
                <w:snapToGrid w:val="0"/>
                <w:spacing w:val="-4"/>
                <w:szCs w:val="21"/>
                <w:highlight w:val="none"/>
              </w:rPr>
            </w:pPr>
            <w:r>
              <w:rPr>
                <w:rFonts w:hint="eastAsia" w:ascii="宋体" w:hAnsi="宋体" w:eastAsia="宋体" w:cs="宋体"/>
                <w:b w:val="0"/>
                <w:bCs w:val="0"/>
                <w:snapToGrid w:val="0"/>
                <w:spacing w:val="-4"/>
                <w:szCs w:val="21"/>
                <w:highlight w:val="none"/>
              </w:rPr>
              <w:t>2</w:t>
            </w:r>
            <w:r>
              <w:rPr>
                <w:rFonts w:hint="eastAsia" w:ascii="宋体" w:hAnsi="宋体" w:eastAsia="宋体" w:cs="宋体"/>
                <w:b w:val="0"/>
                <w:bCs w:val="0"/>
                <w:snapToGrid w:val="0"/>
                <w:spacing w:val="-4"/>
                <w:szCs w:val="21"/>
                <w:highlight w:val="none"/>
                <w:lang w:eastAsia="zh-CN"/>
              </w:rPr>
              <w:t>、</w:t>
            </w:r>
            <w:r>
              <w:rPr>
                <w:rFonts w:hint="eastAsia" w:ascii="宋体" w:hAnsi="宋体" w:eastAsia="宋体" w:cs="宋体"/>
                <w:b w:val="0"/>
                <w:bCs w:val="0"/>
                <w:snapToGrid w:val="0"/>
                <w:spacing w:val="-4"/>
                <w:szCs w:val="21"/>
                <w:highlight w:val="none"/>
              </w:rPr>
              <w:t>项目组实施人员专业人员素质、技术能力、专业分布、经验等情况，数量是否充足，配置是否合理等；是否具有类似项目建设经验，项目组人员资质、工作履历、项目实践证明资料；（0-</w:t>
            </w:r>
            <w:r>
              <w:rPr>
                <w:rFonts w:hint="eastAsia" w:ascii="宋体" w:hAnsi="宋体" w:eastAsia="宋体" w:cs="宋体"/>
                <w:b w:val="0"/>
                <w:bCs w:val="0"/>
                <w:snapToGrid w:val="0"/>
                <w:spacing w:val="-4"/>
                <w:szCs w:val="21"/>
                <w:highlight w:val="none"/>
                <w:lang w:val="en-US" w:eastAsia="zh-CN"/>
              </w:rPr>
              <w:t>3</w:t>
            </w:r>
            <w:r>
              <w:rPr>
                <w:rFonts w:hint="eastAsia" w:ascii="宋体" w:hAnsi="宋体" w:eastAsia="宋体" w:cs="宋体"/>
                <w:b w:val="0"/>
                <w:bCs w:val="0"/>
                <w:snapToGrid w:val="0"/>
                <w:spacing w:val="-4"/>
                <w:szCs w:val="21"/>
                <w:highlight w:val="none"/>
              </w:rPr>
              <w:t>分）</w:t>
            </w:r>
          </w:p>
          <w:p>
            <w:pPr>
              <w:spacing w:line="240" w:lineRule="auto"/>
              <w:jc w:val="both"/>
              <w:rPr>
                <w:rFonts w:hint="eastAsia" w:ascii="宋体" w:hAnsi="宋体" w:eastAsia="宋体" w:cs="宋体"/>
                <w:snapToGrid w:val="0"/>
                <w:spacing w:val="-4"/>
                <w:szCs w:val="21"/>
                <w:highlight w:val="none"/>
              </w:rPr>
            </w:pPr>
            <w:r>
              <w:rPr>
                <w:rFonts w:hint="eastAsia" w:ascii="宋体" w:hAnsi="宋体" w:eastAsia="宋体" w:cs="宋体"/>
                <w:b w:val="0"/>
                <w:bCs w:val="0"/>
                <w:snapToGrid w:val="0"/>
                <w:spacing w:val="-4"/>
                <w:szCs w:val="21"/>
                <w:highlight w:val="none"/>
              </w:rPr>
              <w:t>3</w:t>
            </w:r>
            <w:r>
              <w:rPr>
                <w:rFonts w:hint="eastAsia" w:ascii="宋体" w:hAnsi="宋体" w:eastAsia="宋体" w:cs="宋体"/>
                <w:b w:val="0"/>
                <w:bCs w:val="0"/>
                <w:snapToGrid w:val="0"/>
                <w:spacing w:val="-4"/>
                <w:szCs w:val="21"/>
                <w:highlight w:val="none"/>
                <w:lang w:eastAsia="zh-CN"/>
              </w:rPr>
              <w:t>、</w:t>
            </w:r>
            <w:r>
              <w:rPr>
                <w:rFonts w:hint="eastAsia" w:ascii="宋体" w:hAnsi="宋体" w:eastAsia="宋体" w:cs="宋体"/>
                <w:b w:val="0"/>
                <w:bCs w:val="0"/>
                <w:snapToGrid w:val="0"/>
                <w:spacing w:val="-4"/>
                <w:szCs w:val="21"/>
                <w:highlight w:val="none"/>
              </w:rPr>
              <w:t>项目实施人员具备系统集成高级项目经理证书的</w:t>
            </w:r>
            <w:r>
              <w:rPr>
                <w:rFonts w:hint="eastAsia" w:ascii="宋体" w:hAnsi="宋体" w:eastAsia="宋体" w:cs="宋体"/>
                <w:snapToGrid w:val="0"/>
                <w:spacing w:val="-4"/>
                <w:szCs w:val="21"/>
                <w:highlight w:val="none"/>
              </w:rPr>
              <w:t>，每个得1分，最多得3分。</w:t>
            </w:r>
          </w:p>
        </w:tc>
        <w:tc>
          <w:tcPr>
            <w:tcW w:w="685" w:type="dxa"/>
            <w:tcBorders>
              <w:left w:val="single" w:color="auto" w:sz="4" w:space="0"/>
              <w:bottom w:val="single" w:color="auto" w:sz="4" w:space="0"/>
              <w:right w:val="single" w:color="auto" w:sz="2" w:space="0"/>
            </w:tcBorders>
            <w:noWrap w:val="0"/>
            <w:vAlign w:val="center"/>
          </w:tcPr>
          <w:p>
            <w:pPr>
              <w:spacing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left w:val="single" w:color="auto" w:sz="4" w:space="0"/>
              <w:bottom w:val="single" w:color="auto" w:sz="4" w:space="0"/>
              <w:right w:val="single" w:color="auto" w:sz="2" w:space="0"/>
            </w:tcBorders>
            <w:noWrap w:val="0"/>
            <w:vAlign w:val="center"/>
          </w:tcPr>
          <w:p>
            <w:pPr>
              <w:spacing w:line="240" w:lineRule="auto"/>
              <w:jc w:val="both"/>
              <w:rPr>
                <w:rFonts w:hint="eastAsia" w:ascii="宋体" w:hAnsi="宋体" w:eastAsia="宋体" w:cs="宋体"/>
                <w:b w:val="0"/>
                <w:bCs w:val="0"/>
                <w:snapToGrid w:val="0"/>
                <w:spacing w:val="-4"/>
                <w:szCs w:val="21"/>
                <w:highlight w:val="none"/>
              </w:rPr>
            </w:pPr>
            <w:r>
              <w:rPr>
                <w:rFonts w:hint="eastAsia" w:ascii="宋体" w:hAnsi="宋体" w:eastAsia="宋体" w:cs="宋体"/>
                <w:snapToGrid w:val="0"/>
                <w:spacing w:val="-4"/>
                <w:szCs w:val="21"/>
                <w:highlight w:val="none"/>
              </w:rPr>
              <w:t>1</w:t>
            </w:r>
            <w:r>
              <w:rPr>
                <w:rFonts w:hint="eastAsia" w:ascii="宋体" w:hAnsi="宋体" w:eastAsia="宋体" w:cs="宋体"/>
                <w:snapToGrid w:val="0"/>
                <w:spacing w:val="-4"/>
                <w:szCs w:val="21"/>
                <w:highlight w:val="none"/>
                <w:lang w:eastAsia="zh-CN"/>
              </w:rPr>
              <w:t>、供应商</w:t>
            </w:r>
            <w:r>
              <w:rPr>
                <w:rFonts w:hint="eastAsia" w:ascii="宋体" w:hAnsi="宋体" w:eastAsia="宋体" w:cs="宋体"/>
                <w:snapToGrid w:val="0"/>
                <w:spacing w:val="-4"/>
                <w:szCs w:val="21"/>
                <w:highlight w:val="none"/>
              </w:rPr>
              <w:t>提供的服务响应时间、售后维护机构和人员等情况，是否具有较强的售后服务能力，以及较强的专业技术队伍，能提供快速的</w:t>
            </w:r>
            <w:r>
              <w:rPr>
                <w:rFonts w:hint="eastAsia" w:ascii="宋体" w:hAnsi="宋体" w:eastAsia="宋体" w:cs="宋体"/>
                <w:b w:val="0"/>
                <w:bCs w:val="0"/>
                <w:snapToGrid w:val="0"/>
                <w:spacing w:val="-4"/>
                <w:szCs w:val="21"/>
                <w:highlight w:val="none"/>
              </w:rPr>
              <w:t>售后服务；（0-2分）</w:t>
            </w:r>
          </w:p>
          <w:p>
            <w:pPr>
              <w:spacing w:line="240" w:lineRule="auto"/>
              <w:jc w:val="both"/>
              <w:rPr>
                <w:rFonts w:hint="eastAsia" w:ascii="宋体" w:hAnsi="宋体" w:eastAsia="宋体" w:cs="宋体"/>
                <w:snapToGrid w:val="0"/>
                <w:spacing w:val="-4"/>
                <w:szCs w:val="21"/>
                <w:highlight w:val="none"/>
              </w:rPr>
            </w:pPr>
            <w:r>
              <w:rPr>
                <w:rFonts w:hint="eastAsia" w:ascii="宋体" w:hAnsi="宋体" w:eastAsia="宋体" w:cs="宋体"/>
                <w:b w:val="0"/>
                <w:bCs w:val="0"/>
                <w:snapToGrid w:val="0"/>
                <w:spacing w:val="-4"/>
                <w:szCs w:val="21"/>
                <w:highlight w:val="none"/>
              </w:rPr>
              <w:t>2</w:t>
            </w:r>
            <w:r>
              <w:rPr>
                <w:rFonts w:hint="eastAsia" w:ascii="宋体" w:hAnsi="宋体" w:eastAsia="宋体" w:cs="宋体"/>
                <w:b w:val="0"/>
                <w:bCs w:val="0"/>
                <w:snapToGrid w:val="0"/>
                <w:spacing w:val="-4"/>
                <w:szCs w:val="21"/>
                <w:highlight w:val="none"/>
                <w:lang w:eastAsia="zh-CN"/>
              </w:rPr>
              <w:t>、供应商</w:t>
            </w:r>
            <w:r>
              <w:rPr>
                <w:rFonts w:hint="eastAsia" w:ascii="宋体" w:hAnsi="宋体" w:eastAsia="宋体" w:cs="宋体"/>
                <w:b w:val="0"/>
                <w:bCs w:val="0"/>
                <w:snapToGrid w:val="0"/>
                <w:spacing w:val="-4"/>
                <w:szCs w:val="21"/>
                <w:highlight w:val="none"/>
              </w:rPr>
              <w:t>是否在PDT数字集群交换中心机房有常驻维保人员</w:t>
            </w:r>
            <w:r>
              <w:rPr>
                <w:rFonts w:hint="eastAsia" w:ascii="宋体" w:hAnsi="宋体" w:eastAsia="宋体" w:cs="宋体"/>
                <w:snapToGrid w:val="0"/>
                <w:spacing w:val="-4"/>
                <w:szCs w:val="21"/>
                <w:highlight w:val="none"/>
              </w:rPr>
              <w:t>，能否在发生故障时及时从中心端消除大部分故障萌芽</w:t>
            </w:r>
            <w:r>
              <w:rPr>
                <w:rFonts w:hint="eastAsia" w:ascii="宋体" w:hAnsi="宋体" w:eastAsia="宋体" w:cs="宋体"/>
                <w:snapToGrid w:val="0"/>
                <w:spacing w:val="-4"/>
                <w:szCs w:val="21"/>
                <w:highlight w:val="none"/>
                <w:lang w:eastAsia="zh-CN"/>
              </w:rPr>
              <w:t>；</w:t>
            </w:r>
            <w:r>
              <w:rPr>
                <w:rFonts w:hint="eastAsia" w:ascii="宋体" w:hAnsi="宋体" w:eastAsia="宋体" w:cs="宋体"/>
                <w:snapToGrid w:val="0"/>
                <w:spacing w:val="-4"/>
                <w:szCs w:val="21"/>
                <w:highlight w:val="none"/>
              </w:rPr>
              <w:t>（0-</w:t>
            </w:r>
            <w:r>
              <w:rPr>
                <w:rFonts w:hint="eastAsia" w:ascii="宋体" w:hAnsi="宋体" w:eastAsia="宋体" w:cs="宋体"/>
                <w:snapToGrid w:val="0"/>
                <w:spacing w:val="-4"/>
                <w:szCs w:val="21"/>
                <w:highlight w:val="none"/>
                <w:lang w:val="en-US" w:eastAsia="zh-CN"/>
              </w:rPr>
              <w:t>3</w:t>
            </w:r>
            <w:r>
              <w:rPr>
                <w:rFonts w:hint="eastAsia" w:ascii="宋体" w:hAnsi="宋体" w:eastAsia="宋体" w:cs="宋体"/>
                <w:snapToGrid w:val="0"/>
                <w:spacing w:val="-4"/>
                <w:szCs w:val="21"/>
                <w:highlight w:val="none"/>
              </w:rPr>
              <w:t>分）</w:t>
            </w:r>
          </w:p>
          <w:p>
            <w:pPr>
              <w:spacing w:line="240" w:lineRule="auto"/>
              <w:jc w:val="both"/>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3</w:t>
            </w:r>
            <w:r>
              <w:rPr>
                <w:rFonts w:hint="eastAsia" w:ascii="宋体" w:hAnsi="宋体" w:eastAsia="宋体" w:cs="宋体"/>
                <w:snapToGrid w:val="0"/>
                <w:spacing w:val="-4"/>
                <w:szCs w:val="21"/>
                <w:highlight w:val="none"/>
                <w:lang w:eastAsia="zh-CN"/>
              </w:rPr>
              <w:t>、供应商</w:t>
            </w:r>
            <w:r>
              <w:rPr>
                <w:rFonts w:hint="eastAsia" w:ascii="宋体" w:hAnsi="宋体" w:eastAsia="宋体" w:cs="宋体"/>
                <w:snapToGrid w:val="0"/>
                <w:spacing w:val="-4"/>
                <w:szCs w:val="21"/>
                <w:highlight w:val="none"/>
              </w:rPr>
              <w:t>提出培训计划、地点、组织、人员配备、软硬件资料等内容是否完整、科学合理。（0-2分）</w:t>
            </w:r>
          </w:p>
        </w:tc>
        <w:tc>
          <w:tcPr>
            <w:tcW w:w="685" w:type="dxa"/>
            <w:tcBorders>
              <w:left w:val="single" w:color="auto" w:sz="4" w:space="0"/>
              <w:bottom w:val="single" w:color="auto" w:sz="4" w:space="0"/>
              <w:right w:val="single" w:color="auto" w:sz="2" w:space="0"/>
            </w:tcBorders>
            <w:noWrap w:val="0"/>
            <w:vAlign w:val="center"/>
          </w:tcPr>
          <w:p>
            <w:pPr>
              <w:spacing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02"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637" w:type="dxa"/>
            <w:vMerge w:val="continue"/>
            <w:tcBorders>
              <w:left w:val="single" w:color="auto" w:sz="4" w:space="0"/>
              <w:right w:val="single" w:color="auto" w:sz="2" w:space="0"/>
            </w:tcBorders>
            <w:noWrap w:val="0"/>
            <w:vAlign w:val="center"/>
          </w:tcPr>
          <w:p>
            <w:pPr>
              <w:spacing w:before="156" w:beforeLines="50" w:line="240" w:lineRule="auto"/>
              <w:rPr>
                <w:rFonts w:hint="eastAsia" w:ascii="宋体" w:hAnsi="宋体" w:eastAsia="宋体" w:cs="宋体"/>
                <w:b/>
                <w:bCs/>
                <w:snapToGrid w:val="0"/>
                <w:spacing w:val="-4"/>
                <w:szCs w:val="21"/>
                <w:highlight w:val="none"/>
              </w:rPr>
            </w:pPr>
          </w:p>
        </w:tc>
        <w:tc>
          <w:tcPr>
            <w:tcW w:w="8366" w:type="dxa"/>
            <w:tcBorders>
              <w:left w:val="single" w:color="auto" w:sz="4" w:space="0"/>
              <w:bottom w:val="single" w:color="auto" w:sz="4" w:space="0"/>
              <w:right w:val="single" w:color="auto" w:sz="2" w:space="0"/>
            </w:tcBorders>
            <w:noWrap w:val="0"/>
            <w:vAlign w:val="center"/>
          </w:tcPr>
          <w:p>
            <w:pPr>
              <w:spacing w:line="240" w:lineRule="auto"/>
              <w:jc w:val="both"/>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具有警用数字集群系统基站设备厂家针对本项目作出的</w:t>
            </w:r>
            <w:r>
              <w:rPr>
                <w:rFonts w:hint="eastAsia" w:ascii="宋体" w:hAnsi="宋体" w:eastAsia="宋体" w:cs="宋体"/>
                <w:b/>
                <w:bCs/>
                <w:snapToGrid w:val="0"/>
                <w:spacing w:val="-4"/>
                <w:szCs w:val="21"/>
                <w:highlight w:val="none"/>
              </w:rPr>
              <w:t>三年原厂质保承诺函</w:t>
            </w:r>
            <w:r>
              <w:rPr>
                <w:rFonts w:hint="eastAsia" w:ascii="宋体" w:hAnsi="宋体" w:eastAsia="宋体" w:cs="宋体"/>
                <w:snapToGrid w:val="0"/>
                <w:spacing w:val="-4"/>
                <w:szCs w:val="21"/>
                <w:highlight w:val="none"/>
              </w:rPr>
              <w:t>，</w:t>
            </w:r>
            <w:r>
              <w:rPr>
                <w:rFonts w:hint="eastAsia" w:ascii="宋体" w:hAnsi="宋体" w:eastAsia="宋体" w:cs="宋体"/>
                <w:snapToGrid w:val="0"/>
                <w:spacing w:val="-4"/>
                <w:szCs w:val="21"/>
                <w:highlight w:val="none"/>
                <w:lang w:val="en-US" w:eastAsia="zh-CN"/>
              </w:rPr>
              <w:t>响应</w:t>
            </w:r>
            <w:r>
              <w:rPr>
                <w:rFonts w:hint="eastAsia" w:ascii="宋体" w:hAnsi="宋体" w:eastAsia="宋体" w:cs="宋体"/>
                <w:snapToGrid w:val="0"/>
                <w:spacing w:val="-4"/>
                <w:szCs w:val="21"/>
                <w:highlight w:val="none"/>
              </w:rPr>
              <w:t>文件中提供质保服务承诺函加盖</w:t>
            </w:r>
            <w:r>
              <w:rPr>
                <w:rFonts w:hint="eastAsia" w:ascii="宋体" w:hAnsi="宋体" w:eastAsia="宋体" w:cs="宋体"/>
                <w:snapToGrid w:val="0"/>
                <w:spacing w:val="-4"/>
                <w:szCs w:val="21"/>
                <w:highlight w:val="none"/>
                <w:lang w:val="en-US" w:eastAsia="zh-CN"/>
              </w:rPr>
              <w:t>厂家</w:t>
            </w:r>
            <w:r>
              <w:rPr>
                <w:rFonts w:hint="eastAsia" w:ascii="宋体" w:hAnsi="宋体" w:eastAsia="宋体" w:cs="宋体"/>
                <w:snapToGrid w:val="0"/>
                <w:spacing w:val="-4"/>
                <w:szCs w:val="21"/>
                <w:highlight w:val="none"/>
              </w:rPr>
              <w:t>公章，得</w:t>
            </w:r>
            <w:r>
              <w:rPr>
                <w:rFonts w:hint="eastAsia" w:ascii="宋体" w:hAnsi="宋体" w:eastAsia="宋体" w:cs="宋体"/>
                <w:snapToGrid w:val="0"/>
                <w:spacing w:val="-4"/>
                <w:szCs w:val="21"/>
                <w:highlight w:val="none"/>
                <w:lang w:val="en-US" w:eastAsia="zh-CN"/>
              </w:rPr>
              <w:t>2</w:t>
            </w:r>
            <w:r>
              <w:rPr>
                <w:rFonts w:hint="eastAsia" w:ascii="宋体" w:hAnsi="宋体" w:eastAsia="宋体" w:cs="宋体"/>
                <w:snapToGrid w:val="0"/>
                <w:spacing w:val="-4"/>
                <w:szCs w:val="21"/>
                <w:highlight w:val="none"/>
              </w:rPr>
              <w:t>分；</w:t>
            </w:r>
          </w:p>
        </w:tc>
        <w:tc>
          <w:tcPr>
            <w:tcW w:w="685" w:type="dxa"/>
            <w:tcBorders>
              <w:left w:val="single" w:color="auto" w:sz="4" w:space="0"/>
              <w:bottom w:val="single" w:color="auto" w:sz="4" w:space="0"/>
              <w:right w:val="single" w:color="auto" w:sz="2" w:space="0"/>
            </w:tcBorders>
            <w:noWrap w:val="0"/>
            <w:vAlign w:val="center"/>
          </w:tcPr>
          <w:p>
            <w:pPr>
              <w:spacing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9" w:hRule="atLeast"/>
          <w:jc w:val="center"/>
        </w:trPr>
        <w:tc>
          <w:tcPr>
            <w:tcW w:w="1339" w:type="dxa"/>
            <w:gridSpan w:val="2"/>
            <w:tcBorders>
              <w:left w:val="single" w:color="auto" w:sz="4" w:space="0"/>
              <w:right w:val="single" w:color="auto" w:sz="2" w:space="0"/>
            </w:tcBorders>
            <w:noWrap w:val="0"/>
            <w:vAlign w:val="center"/>
          </w:tcPr>
          <w:p>
            <w:pPr>
              <w:spacing w:line="240" w:lineRule="auto"/>
              <w:rPr>
                <w:rFonts w:hint="eastAsia" w:ascii="宋体" w:hAnsi="宋体" w:eastAsia="宋体" w:cs="宋体"/>
                <w:szCs w:val="21"/>
                <w:highlight w:val="none"/>
              </w:rPr>
            </w:pPr>
            <w:r>
              <w:rPr>
                <w:rFonts w:hint="eastAsia" w:ascii="宋体" w:hAnsi="宋体" w:eastAsia="宋体" w:cs="宋体"/>
                <w:szCs w:val="21"/>
                <w:highlight w:val="none"/>
              </w:rPr>
              <w:t>政府采购政策附加分（1分）</w:t>
            </w:r>
          </w:p>
        </w:tc>
        <w:tc>
          <w:tcPr>
            <w:tcW w:w="9051" w:type="dxa"/>
            <w:gridSpan w:val="2"/>
            <w:tcBorders>
              <w:top w:val="single" w:color="auto" w:sz="4" w:space="0"/>
              <w:left w:val="single" w:color="auto" w:sz="4" w:space="0"/>
              <w:bottom w:val="single" w:color="auto" w:sz="4" w:space="0"/>
              <w:right w:val="single" w:color="auto" w:sz="2" w:space="0"/>
            </w:tcBorders>
            <w:noWrap w:val="0"/>
            <w:vAlign w:val="center"/>
          </w:tcPr>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投标产品属于《节能产品政府采购品目清单》范围的且具有国家确定的认证机构出具的、处于有效期之内的节能产品认证证书的得0.5分；</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投标产品属于《环境标志产品政府采购品目清单》范围的且具有国家确定的认证机构出具的、处于有效期之内的环境标志产品认证证书的得0.5分。</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注：响应文件中必须同时提供以下资料：</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1" w:hRule="atLeast"/>
          <w:jc w:val="center"/>
        </w:trPr>
        <w:tc>
          <w:tcPr>
            <w:tcW w:w="1339" w:type="dxa"/>
            <w:gridSpan w:val="2"/>
            <w:tcBorders>
              <w:top w:val="single" w:color="auto" w:sz="4" w:space="0"/>
              <w:left w:val="single" w:color="auto" w:sz="4" w:space="0"/>
              <w:bottom w:val="single" w:color="auto" w:sz="4" w:space="0"/>
              <w:right w:val="single" w:color="auto" w:sz="2" w:space="0"/>
            </w:tcBorders>
            <w:noWrap w:val="0"/>
            <w:tcMar>
              <w:left w:w="0" w:type="dxa"/>
              <w:right w:w="0" w:type="dxa"/>
            </w:tcMar>
            <w:vAlign w:val="center"/>
          </w:tcPr>
          <w:p>
            <w:pPr>
              <w:spacing w:before="156" w:beforeLines="50"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报价分</w:t>
            </w:r>
          </w:p>
          <w:p>
            <w:pPr>
              <w:spacing w:before="156" w:beforeLines="50" w:line="240" w:lineRule="auto"/>
              <w:jc w:val="center"/>
              <w:rPr>
                <w:rFonts w:hint="eastAsia" w:ascii="宋体" w:hAnsi="宋体" w:eastAsia="宋体" w:cs="宋体"/>
                <w:snapToGrid w:val="0"/>
                <w:spacing w:val="-4"/>
                <w:szCs w:val="21"/>
                <w:highlight w:val="none"/>
              </w:rPr>
            </w:pPr>
            <w:r>
              <w:rPr>
                <w:rFonts w:hint="eastAsia" w:ascii="宋体" w:hAnsi="宋体" w:eastAsia="宋体" w:cs="宋体"/>
                <w:snapToGrid w:val="0"/>
                <w:spacing w:val="-4"/>
                <w:szCs w:val="21"/>
                <w:highlight w:val="none"/>
              </w:rPr>
              <w:t>（30分）</w:t>
            </w:r>
          </w:p>
        </w:tc>
        <w:tc>
          <w:tcPr>
            <w:tcW w:w="9051" w:type="dxa"/>
            <w:gridSpan w:val="2"/>
            <w:tcBorders>
              <w:top w:val="single" w:color="auto" w:sz="4" w:space="0"/>
              <w:left w:val="single" w:color="auto" w:sz="4" w:space="0"/>
              <w:bottom w:val="single" w:color="auto" w:sz="4" w:space="0"/>
              <w:right w:val="single" w:color="auto" w:sz="2"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当与供应商的磋商结束后，磋商小组将要求供应商提出最终报价，并当场对磋商结果进行书面确认。超过规定时间提交的报价</w:t>
            </w:r>
            <w:r>
              <w:rPr>
                <w:rFonts w:hint="eastAsia" w:ascii="宋体" w:hAnsi="宋体" w:eastAsia="宋体" w:cs="宋体"/>
                <w:color w:val="auto"/>
                <w:highlight w:val="none"/>
                <w:lang w:val="en-US" w:eastAsia="zh-CN"/>
              </w:rPr>
              <w:t>视为放弃二次报价，以第一次报价作为最终报价</w:t>
            </w:r>
            <w:r>
              <w:rPr>
                <w:rFonts w:hint="eastAsia" w:ascii="宋体" w:hAnsi="宋体" w:eastAsia="宋体" w:cs="宋体"/>
                <w:color w:val="auto"/>
                <w:highlight w:val="none"/>
              </w:rPr>
              <w:t>。在磋商内容不变的情况下，最终报价不能高于第一次报价和最高限价，高出的报价将作为无效报价处理。</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磋商浮动率=（</w:t>
            </w:r>
            <w:r>
              <w:rPr>
                <w:rFonts w:hint="eastAsia" w:ascii="宋体" w:hAnsi="宋体" w:eastAsia="宋体" w:cs="宋体"/>
                <w:color w:val="auto"/>
                <w:highlight w:val="none"/>
                <w:lang w:val="en-US" w:eastAsia="zh-CN"/>
              </w:rPr>
              <w:t>最终</w:t>
            </w:r>
            <w:r>
              <w:rPr>
                <w:rFonts w:hint="eastAsia" w:ascii="宋体" w:hAnsi="宋体" w:eastAsia="宋体" w:cs="宋体"/>
                <w:color w:val="auto"/>
                <w:highlight w:val="none"/>
              </w:rPr>
              <w:t>报价/第一次报价-1）×100%，供应商在</w:t>
            </w:r>
            <w:r>
              <w:rPr>
                <w:rFonts w:hint="eastAsia" w:ascii="宋体" w:hAnsi="宋体" w:eastAsia="宋体" w:cs="宋体"/>
                <w:color w:val="auto"/>
                <w:highlight w:val="none"/>
                <w:lang w:val="en-US" w:eastAsia="zh-CN"/>
              </w:rPr>
              <w:t>投标报价组成明细表</w:t>
            </w:r>
            <w:r>
              <w:rPr>
                <w:rFonts w:hint="eastAsia" w:ascii="宋体" w:hAnsi="宋体" w:eastAsia="宋体" w:cs="宋体"/>
                <w:color w:val="auto"/>
                <w:highlight w:val="none"/>
              </w:rPr>
              <w:t>中</w:t>
            </w:r>
            <w:r>
              <w:rPr>
                <w:rFonts w:hint="eastAsia" w:ascii="宋体" w:hAnsi="宋体" w:eastAsia="宋体" w:cs="宋体"/>
                <w:color w:val="auto"/>
                <w:highlight w:val="none"/>
                <w:lang w:val="en-US" w:eastAsia="zh-CN"/>
              </w:rPr>
              <w:t>的采购</w:t>
            </w:r>
            <w:r>
              <w:rPr>
                <w:rFonts w:hint="eastAsia" w:ascii="宋体" w:hAnsi="宋体" w:eastAsia="宋体" w:cs="宋体"/>
                <w:color w:val="auto"/>
                <w:highlight w:val="none"/>
              </w:rPr>
              <w:t>单价按照磋商浮动率同比例</w:t>
            </w:r>
            <w:r>
              <w:rPr>
                <w:rFonts w:hint="eastAsia" w:ascii="宋体" w:hAnsi="宋体" w:eastAsia="宋体" w:cs="宋体"/>
                <w:color w:val="auto"/>
                <w:highlight w:val="none"/>
                <w:lang w:val="en-US" w:eastAsia="zh-CN"/>
              </w:rPr>
              <w:t>浮动</w:t>
            </w:r>
            <w:r>
              <w:rPr>
                <w:rFonts w:hint="eastAsia" w:ascii="宋体" w:hAnsi="宋体" w:eastAsia="宋体" w:cs="宋体"/>
                <w:color w:val="auto"/>
                <w:highlight w:val="none"/>
              </w:rPr>
              <w:t>。</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评标基准价指的是满足竞争性磋商文件要求且最低的参与评审的价格。</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参与评审的价格=最终投标报价-小微企业价格扣除优惠值（如有）。</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参与评审的价格为评标基准价的其价格得分得满分</w:t>
            </w:r>
            <w:r>
              <w:rPr>
                <w:rFonts w:hint="eastAsia" w:ascii="宋体" w:hAnsi="宋体" w:eastAsia="宋体" w:cs="宋体"/>
                <w:szCs w:val="21"/>
                <w:highlight w:val="none"/>
                <w:u w:val="single"/>
              </w:rPr>
              <w:t>30</w:t>
            </w:r>
            <w:r>
              <w:rPr>
                <w:rFonts w:hint="eastAsia" w:ascii="宋体" w:hAnsi="宋体" w:eastAsia="宋体" w:cs="宋体"/>
                <w:szCs w:val="21"/>
                <w:highlight w:val="none"/>
              </w:rPr>
              <w:t>分。</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其他供应商价格得分按照下列公式计算：</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价格得分=（评标基准价/各供应商参与评审的价格）×</w:t>
            </w:r>
            <w:r>
              <w:rPr>
                <w:rFonts w:hint="eastAsia" w:ascii="宋体" w:hAnsi="宋体" w:eastAsia="宋体" w:cs="宋体"/>
                <w:szCs w:val="21"/>
                <w:highlight w:val="none"/>
                <w:u w:val="single"/>
              </w:rPr>
              <w:t>30</w:t>
            </w:r>
            <w:r>
              <w:rPr>
                <w:rFonts w:hint="eastAsia" w:ascii="宋体" w:hAnsi="宋体" w:eastAsia="宋体" w:cs="宋体"/>
                <w:szCs w:val="21"/>
                <w:highlight w:val="none"/>
              </w:rPr>
              <w:t>。</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注：1、投标报价超过对应最高限价的作无效标处理。</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2、价格得分小数点后保留2位小数，第3位小数四舍五入。</w:t>
            </w:r>
          </w:p>
          <w:p>
            <w:pPr>
              <w:widowControl/>
              <w:spacing w:line="240" w:lineRule="auto"/>
              <w:rPr>
                <w:rFonts w:hint="eastAsia" w:ascii="宋体" w:hAnsi="宋体" w:eastAsia="宋体" w:cs="宋体"/>
                <w:szCs w:val="21"/>
                <w:highlight w:val="none"/>
              </w:rPr>
            </w:pPr>
            <w:r>
              <w:rPr>
                <w:rFonts w:hint="eastAsia" w:ascii="宋体" w:hAnsi="宋体" w:eastAsia="宋体" w:cs="宋体"/>
                <w:szCs w:val="21"/>
                <w:highlight w:val="none"/>
              </w:rPr>
              <w:t>3、根据《政府采购促进中小企业发展管理办法》（财库[2020]46号），对符合规定的小微企业报价给予6%的扣除，用扣除后的价格参加评审。</w:t>
            </w:r>
          </w:p>
        </w:tc>
      </w:tr>
    </w:tbl>
    <w:p>
      <w:pPr>
        <w:spacing w:line="360" w:lineRule="auto"/>
        <w:ind w:left="450" w:right="-334"/>
        <w:rPr>
          <w:rFonts w:hint="eastAsia" w:ascii="宋体" w:hAnsi="宋体" w:eastAsia="宋体" w:cs="宋体"/>
          <w:szCs w:val="21"/>
          <w:highlight w:val="none"/>
        </w:rPr>
        <w:sectPr>
          <w:footerReference r:id="rId5" w:type="first"/>
          <w:pgSz w:w="11906" w:h="16838"/>
          <w:pgMar w:top="1440" w:right="1701" w:bottom="1440" w:left="1701" w:header="851" w:footer="992" w:gutter="0"/>
          <w:cols w:space="720" w:num="1"/>
          <w:titlePg/>
          <w:docGrid w:type="lines" w:linePitch="312" w:charSpace="0"/>
        </w:sectPr>
      </w:pPr>
    </w:p>
    <w:p>
      <w:pPr>
        <w:pStyle w:val="3"/>
        <w:spacing w:line="460" w:lineRule="exact"/>
        <w:rPr>
          <w:rFonts w:hint="eastAsia" w:ascii="宋体" w:hAnsi="宋体" w:eastAsia="宋体" w:cs="宋体"/>
          <w:highlight w:val="none"/>
        </w:rPr>
      </w:pPr>
      <w:bookmarkStart w:id="25" w:name="_Toc46489038"/>
      <w:bookmarkStart w:id="26" w:name="_Toc20990"/>
      <w:r>
        <w:rPr>
          <w:rFonts w:hint="eastAsia" w:ascii="宋体" w:hAnsi="宋体" w:eastAsia="宋体" w:cs="宋体"/>
          <w:highlight w:val="none"/>
        </w:rPr>
        <w:t>第五章  采购合同草案条款</w:t>
      </w:r>
      <w:bookmarkEnd w:id="25"/>
      <w:bookmarkEnd w:id="26"/>
    </w:p>
    <w:p>
      <w:pPr>
        <w:pStyle w:val="3"/>
        <w:spacing w:line="460" w:lineRule="exact"/>
        <w:rPr>
          <w:rFonts w:hint="eastAsia" w:ascii="宋体" w:hAnsi="宋体" w:eastAsia="宋体" w:cs="宋体"/>
          <w:bCs w:val="0"/>
          <w:kern w:val="2"/>
          <w:sz w:val="24"/>
          <w:szCs w:val="24"/>
          <w:highlight w:val="none"/>
        </w:rPr>
      </w:pPr>
      <w:bookmarkStart w:id="27" w:name="_Toc46489039"/>
      <w:r>
        <w:rPr>
          <w:rFonts w:hint="eastAsia" w:ascii="宋体" w:hAnsi="宋体" w:eastAsia="宋体" w:cs="宋体"/>
          <w:bCs w:val="0"/>
          <w:kern w:val="2"/>
          <w:sz w:val="24"/>
          <w:szCs w:val="24"/>
          <w:highlight w:val="none"/>
        </w:rPr>
        <w:t>（本合同为参考合同，最终稿由甲乙双方协商后确定）</w:t>
      </w:r>
      <w:bookmarkEnd w:id="27"/>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项目编号：                   合同编号：</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采购人（甲方）：</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成交供应商（乙方）：</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 xml:space="preserve">   根据</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项目的采购结果，经双方协商签署本合同。</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 xml:space="preserve">    一、货物内容</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1.1货物名称：</w:t>
      </w:r>
      <w:r>
        <w:rPr>
          <w:rFonts w:hint="eastAsia" w:ascii="宋体" w:hAnsi="宋体" w:eastAsia="宋体" w:cs="宋体"/>
          <w:szCs w:val="21"/>
          <w:highlight w:val="none"/>
          <w:u w:val="single"/>
        </w:rPr>
        <w:t xml:space="preserve">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1.2品牌型号规格：</w:t>
      </w:r>
      <w:r>
        <w:rPr>
          <w:rFonts w:hint="eastAsia" w:ascii="宋体" w:hAnsi="宋体" w:eastAsia="宋体" w:cs="宋体"/>
          <w:szCs w:val="21"/>
          <w:highlight w:val="none"/>
          <w:u w:val="single"/>
        </w:rPr>
        <w:t xml:space="preserve">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1.3数量：</w:t>
      </w:r>
      <w:r>
        <w:rPr>
          <w:rFonts w:hint="eastAsia" w:ascii="宋体" w:hAnsi="宋体" w:eastAsia="宋体" w:cs="宋体"/>
          <w:szCs w:val="21"/>
          <w:highlight w:val="none"/>
          <w:u w:val="single"/>
        </w:rPr>
        <w:t xml:space="preserve">                                 </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1.4主要配置：</w:t>
      </w:r>
      <w:r>
        <w:rPr>
          <w:rFonts w:hint="eastAsia" w:ascii="宋体" w:hAnsi="宋体" w:eastAsia="宋体" w:cs="宋体"/>
          <w:szCs w:val="21"/>
          <w:highlight w:val="none"/>
          <w:u w:val="single"/>
        </w:rPr>
        <w:t xml:space="preserve">                             </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 xml:space="preserve">   二、合同金额</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本合同金额为（大写）：</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元）人民币。</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 xml:space="preserve">   三、质量要求、技术标准、乙方对质量负责的条件和期限及售后服务的承诺</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1、乙方应按竞争性磋商文件规定的货物性能、技术要求、质量标准向甲方提供未经使用的全新产品，并在竞争性磋商文件规定的时间提供货物的有关技术资料。质保期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年（自交货验收合格之日起计）,在质保期内，应对货物出现的质量及安全问题负责处理解决并承担一切费用。超过保修期的机器设备，终生维修，维修时只收部件成本费。</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2、乙方应保证所提供的货物或其任何一部分均不会侵犯任何第三方的知识产权, 所有权完全属于乙方且无任何抵押、查封等产权瑕疵。</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乙方没有甲方事先书面同意，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4、如在使用过程中发生质量问题，乙方在接到甲方通知后在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小时内到达甲方现场。</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5、货物在质保期内因货物本身的质量问题发生故障，乙方应负责免费更换。对达不到技术要求者，据实际情况，经双方协商，可按以下办法处理：</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（1）更换：由乙方承担所发生的全部费用。</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（2）贬值处理：由甲乙双方合议定价。</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（3）退货处理：乙方应退还甲方支付的合同款，同时应承担该货物的直接费用（运输、保险、检验、货款利息及银行手续费等）。</w:t>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 xml:space="preserve">   四、交货期、交货方式及交货地点</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1、交货期：</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2、交货方式：</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3、交货地点：</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五、运输方式及到达站（港）和费用负担</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1、运输方式</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2、送达地点</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3、费用负担</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六、调试验收和提出异议期限</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甲方对乙方提交的货物依据竞争性磋商文件上的技术规格要求和国家有关质量标准进行现场初步验收，外观、说明书符合竞争性磋商文件技术要求的，给予签收，初步验收不合格的不予签收。货到后，甲方需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个工作日内验收，并签署验收结果。</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2、乙方交货前应对产品作出全面检查和对验收文件进行整理，并列出清单，作为甲方收货验收和使用的技术条件依据，检验的结果应随货物交甲方。</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3、甲方对乙方提供的货物在使用前进行调试时，乙方需负责安装并培训甲方的使用操作人员，并协助甲方一起调试，直到符合技术要求，甲方才做最终验收。</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4、对技术复杂的货物，甲方应请国家认可的专业检测机构参与初步验收及最终验收，并由其出具质量检测报告。</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5、验收时乙方必须在现场，验收完毕后作出验收结果报告；验收费用由乙方负责。</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七、货物包装标准、包装物的供应与回收及费用负担</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1、乙方应在货物发运前对其进行满足运输距离、防潮、防震、防锈和防破损装卸等要求包装，以保证货物安全运达甲方指定地点，费用由乙方负担。包装物不再回收。</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2、生产许可证、使用说明书、质量检验证明书、配附件备品和工具以及清单一并附于货物内，费用由乙方负担。</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3、乙方在货物发运手续办理完毕后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小时内或货到甲方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小时前通知甲方，以准备接货。</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4、货物在交付甲方前发生的风险均由乙方负责。</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5、货物在规定的交付期限内由乙方送达甲方指定的地点视为交付，乙方同时需通知甲方货物已送达。</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八、超欠幅度、损耗及计算方法</w:t>
      </w:r>
    </w:p>
    <w:p>
      <w:pPr>
        <w:spacing w:line="360" w:lineRule="auto"/>
        <w:ind w:firstLine="316" w:firstLineChars="150"/>
        <w:rPr>
          <w:rFonts w:hint="eastAsia" w:ascii="宋体" w:hAnsi="宋体" w:eastAsia="宋体" w:cs="宋体"/>
          <w:b/>
          <w:szCs w:val="21"/>
          <w:highlight w:val="none"/>
        </w:rPr>
      </w:pP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九、结算方式及期限</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1、甲方付款方式及期限：</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 xml:space="preserve">1） </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 xml:space="preserve">2） </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2、当采购数量与实际使用数量不一致时，乙方应根据实际使用量供货，合同的最终结算金额按实际使用量乘以成交单价进行计算。</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十、违约责任</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1、甲方无正当理由拒收货物的，甲方向乙方偿付拒收货款总值的百分之五违约金。</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2、甲方无故逾期验收和办理货款支付手续的,甲方应按逾期付款总额每日万分之五向乙方支付违约金。</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乙方逾期交付货物的，应按逾期交货总额每日千分之六向甲方支付违约金，由甲方从待付货款中扣除。逾期超过约定日期十个工作日不能交货的，甲方可解除本合同。因逾期交货或因其他违约行为导致甲方解除合同的，应向甲方支付合同总值5%的违约金，如造成甲方损失超过违约金的，超出部分由乙方继续承担赔偿责任。</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4、乙方所交的货物品种、型号、规格、技术参数、质量不符合合同规定及竞争性磋商文件规定标准的：</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（1）甲方有权拒收该货物，并要求乙方更换符合规定标准的货物；</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（2）甲方有权拒收该货物，乙方愿意更换货物但逾期交货的，按乙方逾期交货处理。</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（3）甲方有权拒收该货物，乙方拒绝更换货物的，甲方可单方面解除合同，并有权要求赔偿损失</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spacing w:line="360" w:lineRule="auto"/>
        <w:ind w:firstLine="315" w:firstLineChars="150"/>
        <w:rPr>
          <w:rFonts w:hint="eastAsia" w:ascii="宋体" w:hAnsi="宋体" w:eastAsia="宋体" w:cs="宋体"/>
          <w:b/>
          <w:szCs w:val="21"/>
          <w:highlight w:val="none"/>
        </w:rPr>
      </w:pPr>
      <w:r>
        <w:rPr>
          <w:rFonts w:hint="eastAsia" w:ascii="宋体" w:hAnsi="宋体" w:eastAsia="宋体" w:cs="宋体"/>
          <w:szCs w:val="21"/>
          <w:highlight w:val="none"/>
        </w:rPr>
        <w:t>（4）甲方有权拒收该货物，要求乙方更换符合规定标准的货物，但乙方不能提供符合规定标准货物的，甲方可单方面解除合同，并有权要求赔偿损失</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十一、不可抗力事件处理</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1、在合同有效期内，任何一方因不可抗力事件导致不能履行合同，则合同履行期可延长，其延长期与不可抗力影响期相同。</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2、不可抗力事件发生后，应立即通知对方，并寄送有关权威机构出具的证明。</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3、不可抗力事件延续一百二十天以上，双方应通过友好协商，确定是否继续履行合同。</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十二、解决合同纠纷方式</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双方在执行合同中所发生的一切争议，应通过协商解决。如协商不成，可向合同签订地法院起诉，合同签订地在此约定为高新技术开发区。</w:t>
      </w:r>
    </w:p>
    <w:p>
      <w:pPr>
        <w:spacing w:line="360" w:lineRule="auto"/>
        <w:ind w:firstLine="316" w:firstLineChars="150"/>
        <w:rPr>
          <w:rFonts w:hint="eastAsia" w:ascii="宋体" w:hAnsi="宋体" w:eastAsia="宋体" w:cs="宋体"/>
          <w:b/>
          <w:szCs w:val="21"/>
          <w:highlight w:val="none"/>
        </w:rPr>
      </w:pPr>
      <w:r>
        <w:rPr>
          <w:rFonts w:hint="eastAsia" w:ascii="宋体" w:hAnsi="宋体" w:eastAsia="宋体" w:cs="宋体"/>
          <w:b/>
          <w:szCs w:val="21"/>
          <w:highlight w:val="none"/>
        </w:rPr>
        <w:t>十三、合同生效及其它约定事项</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1、合同经双方法定代表人或授权委托代理人签字并加盖单位公章后生效。</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2、合同执行中涉及采购资金和采购内容修改或补充的，须经区财政部门审批，并签书面补充协议报高新技术开发区政府采购管理办公室备案，方可作为主合同不可分割的一部分。</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3、本合同执行中相关的税费均由各方自理。</w:t>
      </w:r>
    </w:p>
    <w:p>
      <w:pPr>
        <w:spacing w:line="360" w:lineRule="auto"/>
        <w:ind w:firstLine="315" w:firstLineChars="150"/>
        <w:rPr>
          <w:rFonts w:hint="eastAsia" w:ascii="宋体" w:hAnsi="宋体" w:eastAsia="宋体" w:cs="宋体"/>
          <w:b/>
          <w:szCs w:val="21"/>
          <w:highlight w:val="none"/>
        </w:rPr>
      </w:pPr>
      <w:r>
        <w:rPr>
          <w:rFonts w:hint="eastAsia" w:ascii="宋体" w:hAnsi="宋体" w:eastAsia="宋体" w:cs="宋体"/>
          <w:szCs w:val="21"/>
          <w:highlight w:val="none"/>
        </w:rPr>
        <w:t>4、其他约定:</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（1）本合同范围的货物，应由乙方直接供应，不得转让他人供应；</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（2）除非得到甲方的书面同意，乙方不得部分分包给他人供应。甲方有绝对权力阻止分包。</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（3）如有转让和未经甲方同意的分包行为，甲方有权给予终止合同。</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（4）</w:t>
      </w:r>
      <w:r>
        <w:rPr>
          <w:rFonts w:hint="eastAsia" w:ascii="宋体" w:hAnsi="宋体" w:eastAsia="宋体" w:cs="宋体"/>
          <w:szCs w:val="21"/>
          <w:highlight w:val="none"/>
          <w:u w:val="single"/>
        </w:rPr>
        <w:t xml:space="preserve">                   </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5、乙方交纳合同总金额人民币的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%即</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元作为本合同的履约保证金，履约完毕甲方应全额无息退还乙方。</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6、本项目采购过程中形成的文件资料为合同组成部分。</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7、本合同正本一式两份，具有同等法律效力，甲乙双方各执一份；合同签订完成后及时上传至政采云平台。</w:t>
      </w:r>
    </w:p>
    <w:p>
      <w:pPr>
        <w:spacing w:line="360" w:lineRule="auto"/>
        <w:ind w:firstLine="315" w:firstLineChars="150"/>
        <w:rPr>
          <w:rFonts w:hint="eastAsia" w:ascii="宋体" w:hAnsi="宋体" w:eastAsia="宋体" w:cs="宋体"/>
          <w:szCs w:val="21"/>
          <w:highlight w:val="none"/>
        </w:rPr>
      </w:pP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甲方（章）：               乙方（章）：</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地址：                    地址：</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法定代表人：              法定代表人：</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委托代理人：              委托代理人：</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电话：                    电话：</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电传：                    电传：</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网址：                    网址：</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开户银行：                开户银行：</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帐号：                    帐号：</w:t>
      </w:r>
    </w:p>
    <w:p>
      <w:pPr>
        <w:spacing w:line="360" w:lineRule="auto"/>
        <w:ind w:firstLine="315" w:firstLineChars="150"/>
        <w:rPr>
          <w:rFonts w:hint="eastAsia" w:ascii="宋体" w:hAnsi="宋体" w:eastAsia="宋体" w:cs="宋体"/>
          <w:szCs w:val="21"/>
          <w:highlight w:val="none"/>
        </w:rPr>
      </w:pPr>
      <w:r>
        <w:rPr>
          <w:rFonts w:hint="eastAsia" w:ascii="宋体" w:hAnsi="宋体" w:eastAsia="宋体" w:cs="宋体"/>
          <w:szCs w:val="21"/>
          <w:highlight w:val="none"/>
        </w:rPr>
        <w:t>邮政编码：                邮政编码：</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 xml:space="preserve">   签订地点：                签订日期：   年  月  日</w:t>
      </w:r>
    </w:p>
    <w:p>
      <w:pPr>
        <w:widowControl/>
        <w:jc w:val="left"/>
        <w:rPr>
          <w:rFonts w:hint="eastAsia" w:ascii="宋体" w:hAnsi="宋体" w:eastAsia="宋体" w:cs="宋体"/>
          <w:szCs w:val="21"/>
          <w:highlight w:val="none"/>
        </w:rPr>
      </w:pPr>
    </w:p>
    <w:p>
      <w:pPr>
        <w:spacing w:line="360" w:lineRule="auto"/>
        <w:ind w:firstLine="630" w:firstLineChars="300"/>
        <w:rPr>
          <w:rFonts w:hint="eastAsia" w:ascii="宋体" w:hAnsi="宋体" w:eastAsia="宋体" w:cs="宋体"/>
          <w:szCs w:val="21"/>
          <w:highlight w:val="none"/>
        </w:rPr>
      </w:pPr>
    </w:p>
    <w:p>
      <w:pPr>
        <w:snapToGrid w:val="0"/>
        <w:spacing w:line="360" w:lineRule="auto"/>
        <w:rPr>
          <w:rFonts w:hint="eastAsia" w:ascii="宋体" w:hAnsi="宋体" w:eastAsia="宋体" w:cs="宋体"/>
          <w:b/>
          <w:highlight w:val="none"/>
        </w:rPr>
      </w:pPr>
    </w:p>
    <w:p>
      <w:pPr>
        <w:snapToGrid w:val="0"/>
        <w:spacing w:line="360" w:lineRule="auto"/>
        <w:rPr>
          <w:rFonts w:hint="eastAsia" w:ascii="宋体" w:hAnsi="宋体" w:eastAsia="宋体" w:cs="宋体"/>
          <w:szCs w:val="21"/>
          <w:highlight w:val="none"/>
        </w:rPr>
      </w:pPr>
    </w:p>
    <w:p>
      <w:pPr>
        <w:snapToGrid w:val="0"/>
        <w:spacing w:line="360" w:lineRule="auto"/>
        <w:rPr>
          <w:rFonts w:hint="eastAsia" w:ascii="宋体" w:hAnsi="宋体" w:eastAsia="宋体" w:cs="宋体"/>
          <w:b/>
          <w:sz w:val="28"/>
          <w:szCs w:val="28"/>
          <w:highlight w:val="none"/>
        </w:rPr>
      </w:pPr>
      <w:r>
        <w:rPr>
          <w:rFonts w:hint="eastAsia" w:ascii="宋体" w:hAnsi="宋体" w:eastAsia="宋体" w:cs="宋体"/>
          <w:b/>
          <w:szCs w:val="21"/>
          <w:highlight w:val="none"/>
        </w:rPr>
        <w:t>注：本合同为合同样稿，最终稿由甲乙双方协商后确定。</w:t>
      </w:r>
    </w:p>
    <w:p>
      <w:pPr>
        <w:spacing w:line="400" w:lineRule="exact"/>
        <w:rPr>
          <w:rFonts w:hint="eastAsia" w:ascii="宋体" w:hAnsi="宋体" w:eastAsia="宋体" w:cs="宋体"/>
          <w:b/>
          <w:szCs w:val="21"/>
          <w:highlight w:val="none"/>
        </w:rPr>
      </w:pPr>
    </w:p>
    <w:p>
      <w:pPr>
        <w:pStyle w:val="3"/>
        <w:spacing w:line="460" w:lineRule="exact"/>
        <w:rPr>
          <w:rFonts w:hint="eastAsia" w:ascii="宋体" w:hAnsi="宋体" w:eastAsia="宋体" w:cs="宋体"/>
          <w:highlight w:val="none"/>
        </w:rPr>
      </w:pPr>
      <w:r>
        <w:rPr>
          <w:rFonts w:hint="eastAsia" w:ascii="宋体" w:hAnsi="宋体" w:eastAsia="宋体" w:cs="宋体"/>
          <w:highlight w:val="none"/>
        </w:rPr>
        <w:br w:type="page"/>
      </w:r>
      <w:bookmarkStart w:id="28" w:name="_Toc46489040"/>
      <w:r>
        <w:rPr>
          <w:rFonts w:hint="eastAsia" w:ascii="宋体" w:hAnsi="宋体" w:eastAsia="宋体" w:cs="宋体"/>
          <w:b/>
          <w:bCs/>
          <w:highlight w:val="none"/>
        </w:rPr>
        <w:t>第六章  响应文件格式</w:t>
      </w:r>
      <w:bookmarkEnd w:id="28"/>
    </w:p>
    <w:p>
      <w:pPr>
        <w:spacing w:line="360" w:lineRule="auto"/>
        <w:rPr>
          <w:rFonts w:hint="eastAsia" w:ascii="宋体" w:hAnsi="宋体" w:eastAsia="宋体" w:cs="宋体"/>
          <w:b/>
          <w:bCs/>
          <w:szCs w:val="21"/>
          <w:highlight w:val="none"/>
        </w:rPr>
      </w:pPr>
      <w:r>
        <w:rPr>
          <w:rFonts w:hint="eastAsia" w:ascii="宋体" w:hAnsi="宋体" w:eastAsia="宋体" w:cs="宋体"/>
          <w:b/>
          <w:szCs w:val="21"/>
          <w:highlight w:val="none"/>
        </w:rPr>
        <w:t>电子备份磋商响应文件的外包装封面格式：</w:t>
      </w: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 w:val="44"/>
          <w:szCs w:val="44"/>
          <w:highlight w:val="none"/>
        </w:rPr>
      </w:pPr>
      <w:r>
        <w:rPr>
          <w:rFonts w:hint="eastAsia" w:ascii="宋体" w:hAnsi="宋体" w:eastAsia="宋体" w:cs="宋体"/>
          <w:b/>
          <w:sz w:val="44"/>
          <w:szCs w:val="44"/>
          <w:highlight w:val="none"/>
        </w:rPr>
        <w:t>响 应 文 件</w:t>
      </w:r>
    </w:p>
    <w:p>
      <w:pPr>
        <w:spacing w:line="360" w:lineRule="auto"/>
        <w:ind w:firstLine="945" w:firstLineChars="450"/>
        <w:rPr>
          <w:rFonts w:hint="eastAsia" w:ascii="宋体" w:hAnsi="宋体" w:eastAsia="宋体" w:cs="宋体"/>
          <w:bCs/>
          <w:szCs w:val="21"/>
          <w:highlight w:val="none"/>
        </w:rPr>
      </w:pPr>
    </w:p>
    <w:p>
      <w:pPr>
        <w:spacing w:line="480" w:lineRule="auto"/>
        <w:ind w:firstLine="945" w:firstLineChars="450"/>
        <w:rPr>
          <w:rFonts w:hint="eastAsia" w:ascii="宋体" w:hAnsi="宋体" w:eastAsia="宋体" w:cs="宋体"/>
          <w:bCs/>
          <w:szCs w:val="21"/>
          <w:highlight w:val="none"/>
        </w:rPr>
      </w:pP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项目编号：</w:t>
      </w:r>
    </w:p>
    <w:p>
      <w:pPr>
        <w:spacing w:line="48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     项目名称：</w:t>
      </w:r>
    </w:p>
    <w:p>
      <w:pPr>
        <w:spacing w:line="48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     响应文件名称：电子备份磋商响应文件</w:t>
      </w: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供应商名称（</w:t>
      </w:r>
      <w:r>
        <w:rPr>
          <w:rFonts w:hint="eastAsia" w:ascii="宋体" w:hAnsi="宋体" w:eastAsia="宋体" w:cs="宋体"/>
          <w:szCs w:val="21"/>
          <w:highlight w:val="none"/>
        </w:rPr>
        <w:t>加盖公章</w:t>
      </w:r>
      <w:r>
        <w:rPr>
          <w:rFonts w:hint="eastAsia" w:ascii="宋体" w:hAnsi="宋体" w:eastAsia="宋体" w:cs="宋体"/>
          <w:bCs/>
          <w:sz w:val="24"/>
          <w:highlight w:val="none"/>
        </w:rPr>
        <w:t>）：</w:t>
      </w: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法定代表人或授权代表（签字或盖章）：</w:t>
      </w: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供应商地址：</w:t>
      </w:r>
    </w:p>
    <w:p>
      <w:pPr>
        <w:spacing w:line="480" w:lineRule="auto"/>
        <w:jc w:val="center"/>
        <w:rPr>
          <w:rFonts w:hint="eastAsia" w:ascii="宋体" w:hAnsi="宋体" w:eastAsia="宋体" w:cs="宋体"/>
          <w:bCs/>
          <w:sz w:val="24"/>
          <w:highlight w:val="none"/>
        </w:rPr>
      </w:pPr>
    </w:p>
    <w:p>
      <w:pPr>
        <w:spacing w:line="360" w:lineRule="auto"/>
        <w:jc w:val="center"/>
        <w:rPr>
          <w:rFonts w:hint="eastAsia" w:ascii="宋体" w:hAnsi="宋体" w:eastAsia="宋体" w:cs="宋体"/>
          <w:bCs/>
          <w:sz w:val="24"/>
          <w:highlight w:val="none"/>
        </w:rPr>
      </w:pPr>
      <w:r>
        <w:rPr>
          <w:rFonts w:hint="eastAsia" w:ascii="宋体" w:hAnsi="宋体" w:eastAsia="宋体" w:cs="宋体"/>
          <w:bCs/>
          <w:sz w:val="24"/>
          <w:highlight w:val="none"/>
        </w:rPr>
        <w:t>在   年   月   日   时  分之前不得启封</w:t>
      </w: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jc w:val="center"/>
        <w:rPr>
          <w:rFonts w:hint="eastAsia" w:ascii="宋体" w:hAnsi="宋体" w:eastAsia="宋体" w:cs="宋体"/>
          <w:bCs/>
          <w:szCs w:val="21"/>
          <w:highlight w:val="none"/>
        </w:rPr>
      </w:pPr>
    </w:p>
    <w:p>
      <w:pPr>
        <w:spacing w:line="360" w:lineRule="auto"/>
        <w:rPr>
          <w:rFonts w:hint="eastAsia" w:ascii="宋体" w:hAnsi="宋体" w:eastAsia="宋体" w:cs="宋体"/>
          <w:bCs/>
          <w:szCs w:val="21"/>
          <w:highlight w:val="none"/>
        </w:rPr>
      </w:pPr>
    </w:p>
    <w:p>
      <w:pPr>
        <w:spacing w:line="360" w:lineRule="auto"/>
        <w:rPr>
          <w:rFonts w:hint="eastAsia" w:ascii="宋体" w:hAnsi="宋体" w:eastAsia="宋体" w:cs="宋体"/>
          <w:b/>
          <w:bCs/>
          <w:szCs w:val="21"/>
          <w:highlight w:val="none"/>
        </w:rPr>
      </w:pPr>
      <w:r>
        <w:rPr>
          <w:rFonts w:hint="eastAsia" w:ascii="宋体" w:hAnsi="宋体" w:eastAsia="宋体" w:cs="宋体"/>
          <w:b/>
          <w:szCs w:val="21"/>
          <w:highlight w:val="none"/>
        </w:rPr>
        <w:t>响应文件封面格式：</w:t>
      </w:r>
    </w:p>
    <w:p>
      <w:pPr>
        <w:spacing w:line="360" w:lineRule="auto"/>
        <w:rPr>
          <w:rFonts w:hint="eastAsia" w:ascii="宋体" w:hAnsi="宋体" w:eastAsia="宋体" w:cs="宋体"/>
          <w:b/>
          <w:bCs/>
          <w:szCs w:val="21"/>
          <w:highlight w:val="none"/>
        </w:rPr>
      </w:pPr>
    </w:p>
    <w:p>
      <w:pPr>
        <w:spacing w:line="360" w:lineRule="auto"/>
        <w:rPr>
          <w:rFonts w:hint="eastAsia" w:ascii="宋体" w:hAnsi="宋体" w:eastAsia="宋体" w:cs="宋体"/>
          <w:b/>
          <w:bCs/>
          <w:szCs w:val="21"/>
          <w:highlight w:val="none"/>
        </w:rPr>
      </w:pPr>
    </w:p>
    <w:p>
      <w:pPr>
        <w:spacing w:line="360" w:lineRule="auto"/>
        <w:rPr>
          <w:rFonts w:hint="eastAsia" w:ascii="宋体" w:hAnsi="宋体" w:eastAsia="宋体" w:cs="宋体"/>
          <w:b/>
          <w:bCs/>
          <w:szCs w:val="21"/>
          <w:highlight w:val="none"/>
        </w:rPr>
      </w:pPr>
    </w:p>
    <w:p>
      <w:pPr>
        <w:spacing w:line="360" w:lineRule="auto"/>
        <w:rPr>
          <w:rFonts w:hint="eastAsia" w:ascii="宋体" w:hAnsi="宋体" w:eastAsia="宋体" w:cs="宋体"/>
          <w:b/>
          <w:bCs/>
          <w:szCs w:val="21"/>
          <w:highlight w:val="none"/>
        </w:rPr>
      </w:pPr>
    </w:p>
    <w:p>
      <w:pPr>
        <w:spacing w:line="360" w:lineRule="auto"/>
        <w:rPr>
          <w:rFonts w:hint="eastAsia" w:ascii="宋体" w:hAnsi="宋体" w:eastAsia="宋体" w:cs="宋体"/>
          <w:b/>
          <w:bCs/>
          <w:szCs w:val="21"/>
          <w:highlight w:val="none"/>
        </w:rPr>
      </w:pPr>
    </w:p>
    <w:p>
      <w:pPr>
        <w:spacing w:line="360" w:lineRule="auto"/>
        <w:jc w:val="right"/>
        <w:rPr>
          <w:rFonts w:hint="eastAsia" w:ascii="宋体" w:hAnsi="宋体" w:eastAsia="宋体" w:cs="宋体"/>
          <w:bCs/>
          <w:szCs w:val="21"/>
          <w:highlight w:val="none"/>
        </w:rPr>
      </w:pPr>
      <w:r>
        <w:rPr>
          <w:rFonts w:hint="eastAsia" w:ascii="宋体" w:hAnsi="宋体" w:eastAsia="宋体" w:cs="宋体"/>
          <w:b/>
          <w:bCs/>
          <w:szCs w:val="21"/>
          <w:highlight w:val="none"/>
        </w:rPr>
        <w:t xml:space="preserve">  </w:t>
      </w:r>
    </w:p>
    <w:p>
      <w:pPr>
        <w:spacing w:line="360" w:lineRule="auto"/>
        <w:jc w:val="center"/>
        <w:rPr>
          <w:rFonts w:hint="eastAsia" w:ascii="宋体" w:hAnsi="宋体" w:eastAsia="宋体" w:cs="宋体"/>
          <w:bCs/>
          <w:sz w:val="44"/>
          <w:szCs w:val="44"/>
          <w:highlight w:val="none"/>
        </w:rPr>
      </w:pPr>
      <w:r>
        <w:rPr>
          <w:rFonts w:hint="eastAsia" w:ascii="宋体" w:hAnsi="宋体" w:eastAsia="宋体" w:cs="宋体"/>
          <w:b/>
          <w:sz w:val="44"/>
          <w:szCs w:val="44"/>
          <w:highlight w:val="none"/>
        </w:rPr>
        <w:t>响 应 文 件</w:t>
      </w:r>
    </w:p>
    <w:p>
      <w:pPr>
        <w:spacing w:line="360" w:lineRule="auto"/>
        <w:ind w:firstLine="6919" w:firstLineChars="2883"/>
        <w:rPr>
          <w:rFonts w:hint="eastAsia" w:ascii="宋体" w:hAnsi="宋体" w:eastAsia="宋体" w:cs="宋体"/>
          <w:bCs/>
          <w:sz w:val="24"/>
          <w:highlight w:val="none"/>
        </w:rPr>
      </w:pP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项目编号：</w:t>
      </w:r>
    </w:p>
    <w:p>
      <w:pPr>
        <w:spacing w:line="48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     项目名称：</w:t>
      </w:r>
    </w:p>
    <w:p>
      <w:pPr>
        <w:spacing w:line="48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 xml:space="preserve">     响应文件名称：资格证明文件/报价文件/技术商务文件</w:t>
      </w: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供应商名称（加盖公章）：</w:t>
      </w: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法定代表人或授权代表（签字或盖章）：</w:t>
      </w:r>
    </w:p>
    <w:p>
      <w:pPr>
        <w:spacing w:line="480" w:lineRule="auto"/>
        <w:ind w:firstLine="1080" w:firstLineChars="450"/>
        <w:rPr>
          <w:rFonts w:hint="eastAsia" w:ascii="宋体" w:hAnsi="宋体" w:eastAsia="宋体" w:cs="宋体"/>
          <w:bCs/>
          <w:sz w:val="24"/>
          <w:highlight w:val="none"/>
        </w:rPr>
      </w:pPr>
      <w:r>
        <w:rPr>
          <w:rFonts w:hint="eastAsia" w:ascii="宋体" w:hAnsi="宋体" w:eastAsia="宋体" w:cs="宋体"/>
          <w:bCs/>
          <w:sz w:val="24"/>
          <w:highlight w:val="none"/>
        </w:rPr>
        <w:t>供应商地址：</w:t>
      </w:r>
    </w:p>
    <w:p>
      <w:pPr>
        <w:spacing w:line="480" w:lineRule="auto"/>
        <w:ind w:firstLine="4080" w:firstLineChars="1700"/>
        <w:rPr>
          <w:rFonts w:hint="eastAsia" w:ascii="宋体" w:hAnsi="宋体" w:eastAsia="宋体" w:cs="宋体"/>
          <w:bCs/>
          <w:sz w:val="24"/>
          <w:highlight w:val="none"/>
        </w:rPr>
      </w:pPr>
    </w:p>
    <w:p>
      <w:pPr>
        <w:spacing w:line="480" w:lineRule="auto"/>
        <w:ind w:firstLine="645"/>
        <w:jc w:val="center"/>
        <w:rPr>
          <w:rFonts w:hint="eastAsia" w:ascii="宋体" w:hAnsi="宋体" w:eastAsia="宋体" w:cs="宋体"/>
          <w:bCs/>
          <w:sz w:val="24"/>
          <w:highlight w:val="none"/>
        </w:rPr>
      </w:pPr>
      <w:r>
        <w:rPr>
          <w:rFonts w:hint="eastAsia" w:ascii="宋体" w:hAnsi="宋体" w:eastAsia="宋体" w:cs="宋体"/>
          <w:bCs/>
          <w:sz w:val="24"/>
          <w:highlight w:val="none"/>
        </w:rPr>
        <w:t xml:space="preserve">                        年  月  日</w:t>
      </w:r>
    </w:p>
    <w:p>
      <w:pPr>
        <w:spacing w:line="480" w:lineRule="auto"/>
        <w:outlineLvl w:val="1"/>
        <w:rPr>
          <w:rFonts w:hint="eastAsia" w:ascii="宋体" w:hAnsi="宋体" w:eastAsia="宋体" w:cs="宋体"/>
          <w:szCs w:val="21"/>
          <w:highlight w:val="none"/>
        </w:rPr>
      </w:pPr>
    </w:p>
    <w:p>
      <w:pPr>
        <w:spacing w:line="480" w:lineRule="auto"/>
        <w:outlineLvl w:val="1"/>
        <w:rPr>
          <w:rFonts w:hint="eastAsia" w:ascii="宋体" w:hAnsi="宋体" w:eastAsia="宋体" w:cs="宋体"/>
          <w:szCs w:val="21"/>
          <w:highlight w:val="none"/>
        </w:rPr>
      </w:pPr>
    </w:p>
    <w:p>
      <w:pPr>
        <w:spacing w:line="480" w:lineRule="auto"/>
        <w:outlineLvl w:val="1"/>
        <w:rPr>
          <w:rFonts w:hint="eastAsia" w:ascii="宋体" w:hAnsi="宋体" w:eastAsia="宋体" w:cs="宋体"/>
          <w:szCs w:val="21"/>
          <w:highlight w:val="none"/>
        </w:rPr>
      </w:pPr>
    </w:p>
    <w:p>
      <w:pPr>
        <w:spacing w:line="480" w:lineRule="auto"/>
        <w:outlineLvl w:val="1"/>
        <w:rPr>
          <w:rFonts w:hint="eastAsia" w:ascii="宋体" w:hAnsi="宋体" w:eastAsia="宋体" w:cs="宋体"/>
          <w:szCs w:val="21"/>
          <w:highlight w:val="none"/>
        </w:rPr>
      </w:pPr>
    </w:p>
    <w:p>
      <w:pPr>
        <w:spacing w:line="480" w:lineRule="auto"/>
        <w:outlineLvl w:val="1"/>
        <w:rPr>
          <w:rFonts w:hint="eastAsia" w:ascii="宋体" w:hAnsi="宋体" w:eastAsia="宋体" w:cs="宋体"/>
          <w:szCs w:val="21"/>
          <w:highlight w:val="none"/>
        </w:rPr>
      </w:pPr>
    </w:p>
    <w:p>
      <w:pPr>
        <w:spacing w:line="480" w:lineRule="auto"/>
        <w:outlineLvl w:val="1"/>
        <w:rPr>
          <w:rFonts w:hint="eastAsia" w:ascii="宋体" w:hAnsi="宋体" w:eastAsia="宋体" w:cs="宋体"/>
          <w:szCs w:val="21"/>
          <w:highlight w:val="none"/>
        </w:rPr>
      </w:pPr>
    </w:p>
    <w:p>
      <w:pPr>
        <w:spacing w:line="480" w:lineRule="auto"/>
        <w:outlineLvl w:val="1"/>
        <w:rPr>
          <w:rFonts w:hint="eastAsia" w:ascii="宋体" w:hAnsi="宋体" w:eastAsia="宋体" w:cs="宋体"/>
          <w:szCs w:val="21"/>
          <w:highlight w:val="none"/>
        </w:rPr>
      </w:pPr>
    </w:p>
    <w:p>
      <w:pPr>
        <w:widowControl/>
        <w:adjustRightInd w:val="0"/>
        <w:spacing w:line="360" w:lineRule="auto"/>
        <w:jc w:val="left"/>
        <w:rPr>
          <w:rFonts w:hint="eastAsia" w:ascii="宋体" w:hAnsi="宋体" w:eastAsia="宋体" w:cs="宋体"/>
          <w:b/>
          <w:szCs w:val="21"/>
          <w:highlight w:val="none"/>
        </w:rPr>
      </w:pPr>
    </w:p>
    <w:p>
      <w:pPr>
        <w:widowControl/>
        <w:adjustRightInd w:val="0"/>
        <w:spacing w:line="360" w:lineRule="auto"/>
        <w:jc w:val="left"/>
        <w:rPr>
          <w:rFonts w:hint="eastAsia" w:ascii="宋体" w:hAnsi="宋体" w:eastAsia="宋体" w:cs="宋体"/>
          <w:b/>
          <w:szCs w:val="21"/>
          <w:highlight w:val="none"/>
        </w:rPr>
      </w:pPr>
    </w:p>
    <w:p>
      <w:pPr>
        <w:widowControl/>
        <w:adjustRightInd w:val="0"/>
        <w:spacing w:line="360" w:lineRule="auto"/>
        <w:jc w:val="left"/>
        <w:rPr>
          <w:rFonts w:hint="eastAsia" w:ascii="宋体" w:hAnsi="宋体" w:eastAsia="宋体" w:cs="宋体"/>
          <w:b/>
          <w:szCs w:val="21"/>
          <w:highlight w:val="none"/>
        </w:rPr>
      </w:pP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格式一：</w:t>
      </w:r>
    </w:p>
    <w:p>
      <w:pPr>
        <w:pStyle w:val="20"/>
        <w:widowControl/>
        <w:spacing w:line="360" w:lineRule="auto"/>
        <w:ind w:firstLine="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法定代表人身份证明书</w:t>
      </w:r>
    </w:p>
    <w:p>
      <w:pPr>
        <w:widowControl/>
        <w:adjustRightInd w:val="0"/>
        <w:spacing w:line="360" w:lineRule="auto"/>
        <w:jc w:val="left"/>
        <w:rPr>
          <w:rFonts w:hint="eastAsia" w:ascii="宋体" w:hAnsi="宋体" w:eastAsia="宋体" w:cs="宋体"/>
          <w:b/>
          <w:szCs w:val="21"/>
          <w:highlight w:val="none"/>
        </w:rPr>
      </w:pP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单位名称：</w:t>
      </w: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地    址：</w:t>
      </w: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姓    名：        性    别：</w:t>
      </w:r>
    </w:p>
    <w:p>
      <w:pPr>
        <w:widowControl/>
        <w:spacing w:line="360" w:lineRule="auto"/>
        <w:rPr>
          <w:rFonts w:hint="eastAsia" w:ascii="宋体" w:hAnsi="宋体" w:eastAsia="宋体" w:cs="宋体"/>
          <w:sz w:val="22"/>
          <w:szCs w:val="22"/>
          <w:highlight w:val="none"/>
          <w:u w:val="single"/>
        </w:rPr>
      </w:pPr>
      <w:r>
        <w:rPr>
          <w:rFonts w:hint="eastAsia" w:ascii="宋体" w:hAnsi="宋体" w:eastAsia="宋体" w:cs="宋体"/>
          <w:sz w:val="22"/>
          <w:szCs w:val="22"/>
          <w:highlight w:val="none"/>
        </w:rPr>
        <w:t>年    龄：        职    务：</w:t>
      </w: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身份证号码：</w:t>
      </w: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系</w:t>
      </w:r>
      <w:r>
        <w:rPr>
          <w:rFonts w:hint="eastAsia" w:ascii="宋体" w:hAnsi="宋体" w:eastAsia="宋体" w:cs="宋体"/>
          <w:sz w:val="22"/>
          <w:szCs w:val="22"/>
          <w:highlight w:val="none"/>
          <w:u w:val="single"/>
        </w:rPr>
        <w:t xml:space="preserve">         （供应商名称）      </w:t>
      </w:r>
      <w:r>
        <w:rPr>
          <w:rFonts w:hint="eastAsia" w:ascii="宋体" w:hAnsi="宋体" w:eastAsia="宋体" w:cs="宋体"/>
          <w:sz w:val="22"/>
          <w:szCs w:val="22"/>
          <w:highlight w:val="none"/>
        </w:rPr>
        <w:t>的法定代表人，为</w:t>
      </w:r>
      <w:r>
        <w:rPr>
          <w:rFonts w:hint="eastAsia" w:ascii="宋体" w:hAnsi="宋体" w:eastAsia="宋体" w:cs="宋体"/>
          <w:sz w:val="22"/>
          <w:szCs w:val="22"/>
          <w:highlight w:val="none"/>
          <w:u w:val="single"/>
        </w:rPr>
        <w:t xml:space="preserve">     （采购编号、项目名称）   </w:t>
      </w:r>
      <w:r>
        <w:rPr>
          <w:rFonts w:hint="eastAsia" w:ascii="宋体" w:hAnsi="宋体" w:eastAsia="宋体" w:cs="宋体"/>
          <w:sz w:val="22"/>
          <w:szCs w:val="22"/>
          <w:highlight w:val="none"/>
        </w:rPr>
        <w:t>项目，签署上述项目的响应文件，进行合同谈判、签署合同和处理与之有关的一切事宜。</w:t>
      </w: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特此证明。</w:t>
      </w:r>
    </w:p>
    <w:p>
      <w:pPr>
        <w:widowControl/>
        <w:spacing w:line="360" w:lineRule="auto"/>
        <w:rPr>
          <w:rFonts w:hint="eastAsia" w:ascii="宋体" w:hAnsi="宋体" w:eastAsia="宋体" w:cs="宋体"/>
          <w:sz w:val="22"/>
          <w:szCs w:val="22"/>
          <w:highlight w:val="none"/>
        </w:rPr>
      </w:pPr>
    </w:p>
    <w:p>
      <w:pPr>
        <w:widowControl/>
        <w:spacing w:line="360" w:lineRule="auto"/>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后附:法定代表人身份证正反面复印件。</w:t>
      </w:r>
    </w:p>
    <w:p>
      <w:pPr>
        <w:widowControl/>
        <w:spacing w:line="360" w:lineRule="auto"/>
        <w:rPr>
          <w:rFonts w:hint="eastAsia" w:ascii="宋体" w:hAnsi="宋体" w:eastAsia="宋体" w:cs="宋体"/>
          <w:sz w:val="22"/>
          <w:szCs w:val="22"/>
          <w:highlight w:val="none"/>
        </w:rPr>
      </w:pPr>
    </w:p>
    <w:p>
      <w:pPr>
        <w:widowControl/>
        <w:spacing w:line="360" w:lineRule="auto"/>
        <w:rPr>
          <w:rFonts w:hint="eastAsia" w:ascii="宋体" w:hAnsi="宋体" w:eastAsia="宋体" w:cs="宋体"/>
          <w:sz w:val="22"/>
          <w:szCs w:val="22"/>
          <w:highlight w:val="none"/>
        </w:rPr>
      </w:pPr>
    </w:p>
    <w:p>
      <w:pPr>
        <w:widowControl/>
        <w:spacing w:line="360" w:lineRule="auto"/>
        <w:rPr>
          <w:rFonts w:hint="eastAsia" w:ascii="宋体" w:hAnsi="宋体" w:eastAsia="宋体" w:cs="宋体"/>
          <w:sz w:val="22"/>
          <w:szCs w:val="22"/>
          <w:highlight w:val="none"/>
        </w:rPr>
      </w:pPr>
    </w:p>
    <w:p>
      <w:pPr>
        <w:widowControl/>
        <w:spacing w:line="360" w:lineRule="auto"/>
        <w:rPr>
          <w:rFonts w:hint="eastAsia" w:ascii="宋体" w:hAnsi="宋体" w:eastAsia="宋体" w:cs="宋体"/>
          <w:sz w:val="22"/>
          <w:szCs w:val="22"/>
          <w:highlight w:val="none"/>
        </w:rPr>
      </w:pPr>
    </w:p>
    <w:p>
      <w:pPr>
        <w:widowControl/>
        <w:spacing w:line="360" w:lineRule="auto"/>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供应商（盖章）：</w:t>
      </w:r>
    </w:p>
    <w:p>
      <w:pPr>
        <w:widowControl/>
        <w:adjustRightInd w:val="0"/>
        <w:spacing w:line="360"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法定代表人(签字或盖章)：                   </w:t>
      </w:r>
    </w:p>
    <w:p>
      <w:pPr>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日  期：</w:t>
      </w:r>
    </w:p>
    <w:p>
      <w:pPr>
        <w:widowControl/>
        <w:spacing w:line="360" w:lineRule="auto"/>
        <w:rPr>
          <w:rFonts w:hint="eastAsia" w:ascii="宋体" w:hAnsi="宋体" w:eastAsia="宋体" w:cs="宋体"/>
          <w:sz w:val="22"/>
          <w:szCs w:val="22"/>
          <w:highlight w:val="none"/>
        </w:rPr>
      </w:pPr>
    </w:p>
    <w:p>
      <w:pPr>
        <w:widowControl/>
        <w:spacing w:line="360" w:lineRule="auto"/>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b/>
          <w:szCs w:val="21"/>
          <w:highlight w:val="none"/>
        </w:rPr>
      </w:pP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格式二：</w:t>
      </w:r>
    </w:p>
    <w:p>
      <w:pPr>
        <w:widowControl/>
        <w:spacing w:line="360" w:lineRule="auto"/>
        <w:jc w:val="center"/>
        <w:rPr>
          <w:rFonts w:hint="eastAsia" w:ascii="宋体" w:hAnsi="宋体" w:eastAsia="宋体" w:cs="宋体"/>
          <w:b/>
          <w:spacing w:val="-4"/>
          <w:sz w:val="32"/>
          <w:szCs w:val="32"/>
          <w:highlight w:val="none"/>
        </w:rPr>
      </w:pPr>
      <w:r>
        <w:rPr>
          <w:rFonts w:hint="eastAsia" w:ascii="宋体" w:hAnsi="宋体" w:eastAsia="宋体" w:cs="宋体"/>
          <w:b/>
          <w:spacing w:val="-4"/>
          <w:sz w:val="32"/>
          <w:szCs w:val="32"/>
          <w:highlight w:val="none"/>
        </w:rPr>
        <w:t>法定代表人授权委托书</w:t>
      </w:r>
    </w:p>
    <w:p>
      <w:pPr>
        <w:pStyle w:val="20"/>
        <w:widowControl/>
        <w:spacing w:line="360" w:lineRule="auto"/>
        <w:jc w:val="center"/>
        <w:rPr>
          <w:rFonts w:hint="eastAsia" w:ascii="宋体" w:hAnsi="宋体" w:eastAsia="宋体" w:cs="宋体"/>
          <w:b/>
          <w:spacing w:val="0"/>
          <w:sz w:val="24"/>
          <w:highlight w:val="none"/>
        </w:rPr>
      </w:pPr>
    </w:p>
    <w:p>
      <w:pPr>
        <w:pStyle w:val="20"/>
        <w:widowControl/>
        <w:spacing w:line="360" w:lineRule="auto"/>
        <w:ind w:firstLine="0"/>
        <w:rPr>
          <w:rFonts w:hint="eastAsia" w:ascii="宋体" w:hAnsi="宋体" w:eastAsia="宋体" w:cs="宋体"/>
          <w:sz w:val="22"/>
          <w:szCs w:val="22"/>
          <w:highlight w:val="none"/>
        </w:rPr>
      </w:pPr>
      <w:r>
        <w:rPr>
          <w:rFonts w:hint="eastAsia" w:ascii="宋体" w:hAnsi="宋体" w:eastAsia="宋体" w:cs="宋体"/>
          <w:sz w:val="22"/>
          <w:szCs w:val="22"/>
          <w:highlight w:val="none"/>
          <w:u w:val="single"/>
        </w:rPr>
        <w:t>致 （采购代理机构）</w:t>
      </w:r>
      <w:r>
        <w:rPr>
          <w:rFonts w:hint="eastAsia" w:ascii="宋体" w:hAnsi="宋体" w:eastAsia="宋体" w:cs="宋体"/>
          <w:sz w:val="22"/>
          <w:szCs w:val="22"/>
          <w:highlight w:val="none"/>
        </w:rPr>
        <w:t>：</w:t>
      </w:r>
    </w:p>
    <w:p>
      <w:pPr>
        <w:pStyle w:val="20"/>
        <w:widowControl/>
        <w:spacing w:line="360" w:lineRule="auto"/>
        <w:rPr>
          <w:rFonts w:hint="eastAsia" w:ascii="宋体" w:hAnsi="宋体" w:eastAsia="宋体" w:cs="宋体"/>
          <w:sz w:val="22"/>
          <w:szCs w:val="22"/>
          <w:highlight w:val="none"/>
        </w:rPr>
      </w:pPr>
    </w:p>
    <w:p>
      <w:pPr>
        <w:pStyle w:val="20"/>
        <w:widowControl/>
        <w:spacing w:line="360" w:lineRule="auto"/>
        <w:ind w:firstLine="530" w:firstLineChars="250"/>
        <w:rPr>
          <w:rFonts w:hint="eastAsia" w:ascii="宋体" w:hAnsi="宋体" w:eastAsia="宋体" w:cs="宋体"/>
          <w:sz w:val="22"/>
          <w:szCs w:val="22"/>
          <w:highlight w:val="none"/>
        </w:rPr>
      </w:pPr>
      <w:r>
        <w:rPr>
          <w:rFonts w:hint="eastAsia" w:ascii="宋体" w:hAnsi="宋体" w:eastAsia="宋体" w:cs="宋体"/>
          <w:sz w:val="22"/>
          <w:szCs w:val="22"/>
          <w:highlight w:val="none"/>
          <w:u w:val="single"/>
        </w:rPr>
        <w:t>（供应商全称）</w:t>
      </w:r>
      <w:r>
        <w:rPr>
          <w:rFonts w:hint="eastAsia" w:ascii="宋体" w:hAnsi="宋体" w:eastAsia="宋体" w:cs="宋体"/>
          <w:sz w:val="22"/>
          <w:szCs w:val="22"/>
          <w:highlight w:val="none"/>
        </w:rPr>
        <w:t>法定代表人</w:t>
      </w:r>
      <w:r>
        <w:rPr>
          <w:rFonts w:hint="eastAsia" w:ascii="宋体" w:hAnsi="宋体" w:eastAsia="宋体" w:cs="宋体"/>
          <w:sz w:val="22"/>
          <w:szCs w:val="22"/>
          <w:highlight w:val="none"/>
          <w:u w:val="single"/>
        </w:rPr>
        <w:t xml:space="preserve">（姓名、职务） </w:t>
      </w:r>
      <w:r>
        <w:rPr>
          <w:rFonts w:hint="eastAsia" w:ascii="宋体" w:hAnsi="宋体" w:eastAsia="宋体" w:cs="宋体"/>
          <w:sz w:val="22"/>
          <w:szCs w:val="22"/>
          <w:highlight w:val="none"/>
        </w:rPr>
        <w:t>授权</w:t>
      </w:r>
      <w:r>
        <w:rPr>
          <w:rFonts w:hint="eastAsia" w:ascii="宋体" w:hAnsi="宋体" w:eastAsia="宋体" w:cs="宋体"/>
          <w:sz w:val="22"/>
          <w:szCs w:val="22"/>
          <w:highlight w:val="none"/>
          <w:u w:val="single"/>
        </w:rPr>
        <w:t>（授权代表姓名、职务）</w:t>
      </w:r>
      <w:r>
        <w:rPr>
          <w:rFonts w:hint="eastAsia" w:ascii="宋体" w:hAnsi="宋体" w:eastAsia="宋体" w:cs="宋体"/>
          <w:sz w:val="22"/>
          <w:szCs w:val="22"/>
          <w:highlight w:val="none"/>
        </w:rPr>
        <w:t>为本公司合法代理人，参加贵招标代理公司组织的</w:t>
      </w:r>
      <w:r>
        <w:rPr>
          <w:rFonts w:hint="eastAsia" w:ascii="宋体" w:hAnsi="宋体" w:eastAsia="宋体" w:cs="宋体"/>
          <w:sz w:val="22"/>
          <w:szCs w:val="22"/>
          <w:highlight w:val="none"/>
          <w:u w:val="single"/>
        </w:rPr>
        <w:t>（采购编号、项目名称)</w:t>
      </w:r>
      <w:r>
        <w:rPr>
          <w:rFonts w:hint="eastAsia" w:ascii="宋体" w:hAnsi="宋体" w:eastAsia="宋体" w:cs="宋体"/>
          <w:sz w:val="22"/>
          <w:szCs w:val="22"/>
          <w:highlight w:val="none"/>
        </w:rPr>
        <w:t>项目的招标投标活动，代表本公司处理招标投标活动中的一切事宜。</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本授权书于   年   月   日签字生效，特此声明。</w:t>
      </w:r>
    </w:p>
    <w:p>
      <w:pPr>
        <w:pStyle w:val="20"/>
        <w:widowControl/>
        <w:spacing w:line="360" w:lineRule="auto"/>
        <w:rPr>
          <w:rFonts w:hint="eastAsia" w:ascii="宋体" w:hAnsi="宋体" w:eastAsia="宋体" w:cs="宋体"/>
          <w:sz w:val="22"/>
          <w:szCs w:val="22"/>
          <w:highlight w:val="none"/>
        </w:rPr>
      </w:pPr>
    </w:p>
    <w:p>
      <w:pPr>
        <w:pStyle w:val="20"/>
        <w:widowControl/>
        <w:spacing w:line="360" w:lineRule="auto"/>
        <w:rPr>
          <w:rFonts w:hint="eastAsia" w:ascii="宋体" w:hAnsi="宋体" w:eastAsia="宋体" w:cs="宋体"/>
          <w:sz w:val="22"/>
          <w:szCs w:val="22"/>
          <w:highlight w:val="none"/>
        </w:rPr>
      </w:pPr>
    </w:p>
    <w:p>
      <w:pPr>
        <w:pStyle w:val="20"/>
        <w:widowControl/>
        <w:spacing w:line="360" w:lineRule="auto"/>
        <w:ind w:firstLine="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 xml:space="preserve">    后附:授权代表身份证正反面复印件。</w:t>
      </w:r>
    </w:p>
    <w:p>
      <w:pPr>
        <w:pStyle w:val="20"/>
        <w:widowControl/>
        <w:spacing w:line="360" w:lineRule="auto"/>
        <w:rPr>
          <w:rFonts w:hint="eastAsia" w:ascii="宋体" w:hAnsi="宋体" w:eastAsia="宋体" w:cs="宋体"/>
          <w:sz w:val="22"/>
          <w:szCs w:val="22"/>
          <w:highlight w:val="none"/>
        </w:rPr>
      </w:pPr>
    </w:p>
    <w:p>
      <w:pPr>
        <w:pStyle w:val="20"/>
        <w:widowControl/>
        <w:spacing w:line="360" w:lineRule="auto"/>
        <w:rPr>
          <w:rFonts w:hint="eastAsia" w:ascii="宋体" w:hAnsi="宋体" w:eastAsia="宋体" w:cs="宋体"/>
          <w:sz w:val="22"/>
          <w:szCs w:val="22"/>
          <w:highlight w:val="none"/>
        </w:rPr>
      </w:pPr>
    </w:p>
    <w:p>
      <w:pPr>
        <w:pStyle w:val="20"/>
        <w:widowControl/>
        <w:spacing w:line="360" w:lineRule="auto"/>
        <w:ind w:left="3366" w:leftChars="1600" w:hanging="6"/>
        <w:rPr>
          <w:rFonts w:hint="eastAsia" w:ascii="宋体" w:hAnsi="宋体" w:eastAsia="宋体" w:cs="宋体"/>
          <w:sz w:val="22"/>
          <w:szCs w:val="22"/>
          <w:highlight w:val="none"/>
        </w:rPr>
      </w:pPr>
      <w:r>
        <w:rPr>
          <w:rFonts w:hint="eastAsia" w:ascii="宋体" w:hAnsi="宋体" w:eastAsia="宋体" w:cs="宋体"/>
          <w:sz w:val="22"/>
          <w:szCs w:val="22"/>
          <w:highlight w:val="none"/>
        </w:rPr>
        <w:t>法定代表人(签字或盖章)：</w:t>
      </w:r>
    </w:p>
    <w:p>
      <w:pPr>
        <w:pStyle w:val="20"/>
        <w:widowControl/>
        <w:spacing w:line="360" w:lineRule="auto"/>
        <w:ind w:left="3366" w:leftChars="1600" w:hanging="6"/>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供应商单位全称（盖章）： </w:t>
      </w:r>
    </w:p>
    <w:p>
      <w:pPr>
        <w:pStyle w:val="20"/>
        <w:widowControl/>
        <w:spacing w:line="360" w:lineRule="auto"/>
        <w:ind w:left="3366" w:leftChars="1600" w:hanging="6"/>
        <w:rPr>
          <w:rFonts w:hint="eastAsia" w:ascii="宋体" w:hAnsi="宋体" w:eastAsia="宋体" w:cs="宋体"/>
          <w:sz w:val="22"/>
          <w:szCs w:val="22"/>
          <w:highlight w:val="none"/>
        </w:rPr>
      </w:pPr>
      <w:r>
        <w:rPr>
          <w:rFonts w:hint="eastAsia" w:ascii="宋体" w:hAnsi="宋体" w:eastAsia="宋体" w:cs="宋体"/>
          <w:sz w:val="22"/>
          <w:szCs w:val="22"/>
          <w:highlight w:val="none"/>
        </w:rPr>
        <w:t>日  期：</w:t>
      </w:r>
    </w:p>
    <w:p>
      <w:pPr>
        <w:pStyle w:val="20"/>
        <w:widowControl/>
        <w:spacing w:line="360" w:lineRule="auto"/>
        <w:rPr>
          <w:rFonts w:hint="eastAsia" w:ascii="宋体" w:hAnsi="宋体" w:eastAsia="宋体" w:cs="宋体"/>
          <w:sz w:val="22"/>
          <w:szCs w:val="22"/>
          <w:highlight w:val="none"/>
        </w:rPr>
      </w:pP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附：</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授权代表姓名：（印刷体）</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职          务：</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授权代表签字：</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详细通讯地址：</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邮 政 编  码：</w:t>
      </w:r>
    </w:p>
    <w:p>
      <w:pPr>
        <w:pStyle w:val="20"/>
        <w:widowControl/>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传        真：</w:t>
      </w:r>
    </w:p>
    <w:p>
      <w:pPr>
        <w:widowControl/>
        <w:spacing w:line="360" w:lineRule="auto"/>
        <w:ind w:firstLine="550" w:firstLineChars="250"/>
        <w:rPr>
          <w:rFonts w:hint="eastAsia" w:ascii="宋体" w:hAnsi="宋体" w:eastAsia="宋体" w:cs="宋体"/>
          <w:sz w:val="22"/>
          <w:szCs w:val="22"/>
          <w:highlight w:val="none"/>
        </w:rPr>
      </w:pPr>
      <w:r>
        <w:rPr>
          <w:rFonts w:hint="eastAsia" w:ascii="宋体" w:hAnsi="宋体" w:eastAsia="宋体" w:cs="宋体"/>
          <w:sz w:val="22"/>
          <w:szCs w:val="22"/>
          <w:highlight w:val="none"/>
        </w:rPr>
        <w:t>电        话：</w:t>
      </w:r>
    </w:p>
    <w:p>
      <w:pPr>
        <w:widowControl/>
        <w:spacing w:line="360" w:lineRule="auto"/>
        <w:ind w:firstLine="422" w:firstLineChars="200"/>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格式三：</w:t>
      </w:r>
    </w:p>
    <w:p>
      <w:pPr>
        <w:widowControl/>
        <w:spacing w:line="360" w:lineRule="auto"/>
        <w:jc w:val="center"/>
        <w:rPr>
          <w:rFonts w:hint="eastAsia" w:ascii="宋体" w:hAnsi="宋体" w:eastAsia="宋体" w:cs="宋体"/>
          <w:b/>
          <w:spacing w:val="-4"/>
          <w:sz w:val="32"/>
          <w:szCs w:val="32"/>
          <w:highlight w:val="none"/>
        </w:rPr>
      </w:pPr>
      <w:r>
        <w:rPr>
          <w:rFonts w:hint="eastAsia" w:ascii="宋体" w:hAnsi="宋体" w:eastAsia="宋体" w:cs="宋体"/>
          <w:b/>
          <w:spacing w:val="-4"/>
          <w:sz w:val="32"/>
          <w:szCs w:val="32"/>
          <w:highlight w:val="none"/>
        </w:rPr>
        <w:t>供应商承诺</w:t>
      </w:r>
    </w:p>
    <w:p>
      <w:pPr>
        <w:widowControl/>
        <w:spacing w:line="360" w:lineRule="auto"/>
        <w:jc w:val="center"/>
        <w:rPr>
          <w:rFonts w:hint="eastAsia" w:ascii="宋体" w:hAnsi="宋体" w:eastAsia="宋体" w:cs="宋体"/>
          <w:b/>
          <w:spacing w:val="-4"/>
          <w:sz w:val="24"/>
          <w:highlight w:val="none"/>
        </w:rPr>
      </w:pPr>
    </w:p>
    <w:p>
      <w:pPr>
        <w:widowControl/>
        <w:spacing w:line="360" w:lineRule="auto"/>
        <w:jc w:val="left"/>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我方通过自查，并承诺：</w:t>
      </w:r>
    </w:p>
    <w:p>
      <w:pPr>
        <w:widowControl/>
        <w:spacing w:line="360" w:lineRule="auto"/>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1、我方具有独立承担民事责任的能力；</w:t>
      </w:r>
    </w:p>
    <w:p>
      <w:pPr>
        <w:widowControl/>
        <w:spacing w:line="360" w:lineRule="auto"/>
        <w:ind w:firstLine="431" w:firstLineChars="196"/>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2、我方具有良好的商业信誉和健全的财务会计制度；</w:t>
      </w:r>
    </w:p>
    <w:p>
      <w:pPr>
        <w:widowControl/>
        <w:spacing w:line="360" w:lineRule="auto"/>
        <w:ind w:firstLine="431" w:firstLineChars="196"/>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3、我方具有履行合同所必需的设备和专业技术能力；</w:t>
      </w:r>
    </w:p>
    <w:p>
      <w:pPr>
        <w:widowControl/>
        <w:spacing w:line="360" w:lineRule="auto"/>
        <w:ind w:firstLine="431" w:firstLineChars="196"/>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4、我方具有依法缴纳税收和社会保障资金的良好记录；</w:t>
      </w:r>
    </w:p>
    <w:p>
      <w:pPr>
        <w:widowControl/>
        <w:spacing w:line="360" w:lineRule="auto"/>
        <w:ind w:firstLine="431" w:firstLineChars="196"/>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5、我方参加政府采购活动前三年内，在经营活动中没有重大违法记录（没有因违法经营受到刑事处罚或者责令停产停业、吊销许可证或者执照、较大数额罚款等行政处罚）；</w:t>
      </w:r>
    </w:p>
    <w:p>
      <w:pPr>
        <w:widowControl/>
        <w:spacing w:line="360" w:lineRule="auto"/>
        <w:ind w:right="159"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6、我方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widowControl/>
        <w:spacing w:line="360" w:lineRule="auto"/>
        <w:ind w:right="159"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7、我方未存在“单位负责人为同一人或者存在直接控股、管理关系的不同供应商，参加同一合同项下的政府采购活动；除单一来源采购项目外，为采购项目提供整体设计、规范编制或者项目管理、监理、检测等服务的供应商，参加该采购项目的其他采购活动”上述情况。</w:t>
      </w:r>
    </w:p>
    <w:p>
      <w:pPr>
        <w:snapToGrid w:val="0"/>
        <w:spacing w:line="360" w:lineRule="auto"/>
        <w:ind w:firstLine="424" w:firstLineChars="202"/>
        <w:rPr>
          <w:rFonts w:hint="eastAsia" w:ascii="宋体" w:hAnsi="宋体" w:eastAsia="宋体" w:cs="宋体"/>
          <w:highlight w:val="none"/>
        </w:rPr>
      </w:pPr>
      <w:r>
        <w:rPr>
          <w:rFonts w:hint="eastAsia" w:ascii="宋体" w:hAnsi="宋体" w:eastAsia="宋体" w:cs="宋体"/>
          <w:highlight w:val="none"/>
        </w:rPr>
        <w:t>本次采购活动中，如有违法、违规、弄虚作假行为，所造成的损失、不良后果及法律责任，一律由我公司（企业）承担。</w:t>
      </w:r>
    </w:p>
    <w:p>
      <w:pPr>
        <w:widowControl/>
        <w:spacing w:line="360" w:lineRule="auto"/>
        <w:ind w:right="159" w:firstLine="440" w:firstLineChars="20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特此承诺！</w:t>
      </w:r>
    </w:p>
    <w:p>
      <w:pPr>
        <w:widowControl/>
        <w:spacing w:line="360" w:lineRule="auto"/>
        <w:ind w:right="159" w:firstLine="440" w:firstLineChars="200"/>
        <w:jc w:val="left"/>
        <w:rPr>
          <w:rFonts w:hint="eastAsia" w:ascii="宋体" w:hAnsi="宋体" w:eastAsia="宋体" w:cs="宋体"/>
          <w:kern w:val="0"/>
          <w:sz w:val="22"/>
          <w:szCs w:val="22"/>
          <w:highlight w:val="none"/>
        </w:rPr>
      </w:pPr>
    </w:p>
    <w:p>
      <w:pPr>
        <w:widowControl/>
        <w:spacing w:line="360" w:lineRule="auto"/>
        <w:ind w:right="159" w:firstLine="440" w:firstLineChars="200"/>
        <w:jc w:val="left"/>
        <w:rPr>
          <w:rFonts w:hint="eastAsia" w:ascii="宋体" w:hAnsi="宋体" w:eastAsia="宋体" w:cs="宋体"/>
          <w:kern w:val="0"/>
          <w:sz w:val="22"/>
          <w:szCs w:val="22"/>
          <w:highlight w:val="none"/>
        </w:rPr>
      </w:pPr>
    </w:p>
    <w:p>
      <w:pPr>
        <w:widowControl/>
        <w:spacing w:line="360" w:lineRule="auto"/>
        <w:ind w:right="159" w:firstLine="440" w:firstLineChars="200"/>
        <w:jc w:val="left"/>
        <w:rPr>
          <w:rFonts w:hint="eastAsia" w:ascii="宋体" w:hAnsi="宋体" w:eastAsia="宋体" w:cs="宋体"/>
          <w:kern w:val="0"/>
          <w:sz w:val="22"/>
          <w:szCs w:val="22"/>
          <w:highlight w:val="none"/>
        </w:rPr>
      </w:pPr>
    </w:p>
    <w:p>
      <w:pPr>
        <w:widowControl/>
        <w:adjustRightInd w:val="0"/>
        <w:spacing w:line="360" w:lineRule="auto"/>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供应商（盖章）：</w:t>
      </w:r>
    </w:p>
    <w:p>
      <w:pPr>
        <w:widowControl/>
        <w:adjustRightInd w:val="0"/>
        <w:spacing w:line="360" w:lineRule="auto"/>
        <w:jc w:val="right"/>
        <w:rPr>
          <w:rFonts w:hint="eastAsia" w:ascii="宋体" w:hAnsi="宋体" w:eastAsia="宋体" w:cs="宋体"/>
          <w:sz w:val="22"/>
          <w:szCs w:val="22"/>
          <w:highlight w:val="none"/>
        </w:rPr>
      </w:pPr>
      <w:r>
        <w:rPr>
          <w:rFonts w:hint="eastAsia" w:ascii="宋体" w:hAnsi="宋体" w:eastAsia="宋体" w:cs="宋体"/>
          <w:sz w:val="22"/>
          <w:szCs w:val="22"/>
          <w:highlight w:val="none"/>
        </w:rPr>
        <w:t>法定代表人或授权代表(签字或盖章)：</w:t>
      </w:r>
    </w:p>
    <w:p>
      <w:pPr>
        <w:widowControl/>
        <w:adjustRightInd w:val="0"/>
        <w:spacing w:line="360" w:lineRule="auto"/>
        <w:jc w:val="right"/>
        <w:rPr>
          <w:rFonts w:hint="eastAsia" w:ascii="宋体" w:hAnsi="宋体" w:eastAsia="宋体" w:cs="宋体"/>
          <w:sz w:val="24"/>
          <w:highlight w:val="none"/>
        </w:rPr>
      </w:pPr>
      <w:r>
        <w:rPr>
          <w:rFonts w:hint="eastAsia" w:ascii="宋体" w:hAnsi="宋体" w:eastAsia="宋体" w:cs="宋体"/>
          <w:sz w:val="22"/>
          <w:szCs w:val="22"/>
          <w:highlight w:val="none"/>
        </w:rPr>
        <w:t>日  期：</w:t>
      </w:r>
    </w:p>
    <w:p>
      <w:pPr>
        <w:spacing w:line="360" w:lineRule="auto"/>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szCs w:val="21"/>
          <w:highlight w:val="none"/>
        </w:rPr>
      </w:pPr>
    </w:p>
    <w:p>
      <w:pPr>
        <w:snapToGrid w:val="0"/>
        <w:spacing w:before="50" w:after="120" w:line="360" w:lineRule="auto"/>
        <w:jc w:val="left"/>
        <w:rPr>
          <w:rFonts w:hint="eastAsia" w:ascii="宋体" w:hAnsi="宋体" w:eastAsia="宋体" w:cs="宋体"/>
          <w:bCs/>
          <w:szCs w:val="21"/>
          <w:highlight w:val="none"/>
        </w:rPr>
      </w:pPr>
      <w:r>
        <w:rPr>
          <w:rFonts w:hint="eastAsia" w:ascii="宋体" w:hAnsi="宋体" w:eastAsia="宋体" w:cs="宋体"/>
          <w:bCs/>
          <w:szCs w:val="21"/>
          <w:highlight w:val="none"/>
        </w:rPr>
        <w:t>注：1、供应商注册成立不足三年的，应就供应商单位成立至参加政府采购活动时段进行承诺。</w:t>
      </w:r>
    </w:p>
    <w:p>
      <w:pPr>
        <w:pStyle w:val="20"/>
        <w:widowControl/>
        <w:spacing w:line="360" w:lineRule="auto"/>
        <w:ind w:firstLine="0"/>
        <w:jc w:val="left"/>
        <w:rPr>
          <w:rFonts w:hint="eastAsia" w:ascii="宋体" w:hAnsi="宋体" w:eastAsia="宋体" w:cs="宋体"/>
          <w:b/>
          <w:sz w:val="21"/>
          <w:highlight w:val="none"/>
        </w:rPr>
      </w:pPr>
    </w:p>
    <w:p>
      <w:pPr>
        <w:pStyle w:val="20"/>
        <w:widowControl/>
        <w:spacing w:line="360" w:lineRule="auto"/>
        <w:ind w:firstLine="0"/>
        <w:jc w:val="left"/>
        <w:rPr>
          <w:rFonts w:hint="eastAsia" w:ascii="宋体" w:hAnsi="宋体" w:eastAsia="宋体" w:cs="宋体"/>
          <w:b/>
          <w:sz w:val="21"/>
          <w:highlight w:val="none"/>
        </w:rPr>
      </w:pPr>
      <w:r>
        <w:rPr>
          <w:rFonts w:hint="eastAsia" w:ascii="宋体" w:hAnsi="宋体" w:eastAsia="宋体" w:cs="宋体"/>
          <w:b/>
          <w:sz w:val="21"/>
          <w:highlight w:val="none"/>
        </w:rPr>
        <w:t>格式四：</w:t>
      </w:r>
    </w:p>
    <w:p>
      <w:pPr>
        <w:pStyle w:val="20"/>
        <w:widowControl/>
        <w:spacing w:line="360" w:lineRule="auto"/>
        <w:ind w:firstLine="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投标声明书</w:t>
      </w:r>
    </w:p>
    <w:p>
      <w:pPr>
        <w:pStyle w:val="20"/>
        <w:widowControl/>
        <w:spacing w:line="360" w:lineRule="auto"/>
        <w:ind w:firstLine="0"/>
        <w:jc w:val="center"/>
        <w:rPr>
          <w:rFonts w:hint="eastAsia" w:ascii="宋体" w:hAnsi="宋体" w:eastAsia="宋体" w:cs="宋体"/>
          <w:b/>
          <w:highlight w:val="none"/>
        </w:rPr>
      </w:pPr>
    </w:p>
    <w:p>
      <w:pPr>
        <w:pStyle w:val="20"/>
        <w:widowControl/>
        <w:spacing w:line="460" w:lineRule="exact"/>
        <w:ind w:firstLine="0"/>
        <w:jc w:val="left"/>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致（采购代理机构）</w:t>
      </w:r>
      <w:r>
        <w:rPr>
          <w:rFonts w:hint="eastAsia" w:ascii="宋体" w:hAnsi="宋体" w:eastAsia="宋体" w:cs="宋体"/>
          <w:sz w:val="21"/>
          <w:szCs w:val="21"/>
          <w:highlight w:val="none"/>
        </w:rPr>
        <w:t>：</w:t>
      </w:r>
    </w:p>
    <w:p>
      <w:pPr>
        <w:pStyle w:val="20"/>
        <w:widowControl/>
        <w:spacing w:line="460" w:lineRule="exact"/>
        <w:ind w:firstLine="404"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(磋商响应方全称)授权</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（全名、职务）为全权代表，参加贵方组织的</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（竞争性磋商采购项目名称）（编号为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）竞争性磋商有关活动，并进行磋商。为此，签字代表宣布并承诺如下：</w:t>
      </w:r>
    </w:p>
    <w:p>
      <w:pPr>
        <w:pStyle w:val="20"/>
        <w:widowControl/>
        <w:spacing w:line="460" w:lineRule="exact"/>
        <w:ind w:firstLine="404"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本项目投标报价见开标一览表。本报价包括但不限于设备材料的供应、</w:t>
      </w:r>
      <w:r>
        <w:rPr>
          <w:rFonts w:hint="eastAsia" w:hAnsi="宋体" w:eastAsia="宋体" w:cs="宋体"/>
          <w:sz w:val="21"/>
          <w:szCs w:val="21"/>
          <w:highlight w:val="none"/>
          <w:lang w:val="en-US" w:eastAsia="zh-CN"/>
        </w:rPr>
        <w:t>运输</w:t>
      </w:r>
      <w:r>
        <w:rPr>
          <w:rFonts w:hint="eastAsia" w:hAnsi="宋体" w:eastAsia="宋体" w:cs="宋体"/>
          <w:sz w:val="21"/>
          <w:szCs w:val="21"/>
          <w:highlight w:val="none"/>
          <w:lang w:eastAsia="zh-CN"/>
        </w:rPr>
        <w:t>、</w:t>
      </w:r>
      <w:r>
        <w:rPr>
          <w:rFonts w:hint="eastAsia" w:ascii="宋体" w:hAnsi="宋体" w:eastAsia="宋体" w:cs="宋体"/>
          <w:sz w:val="21"/>
          <w:szCs w:val="21"/>
          <w:highlight w:val="none"/>
        </w:rPr>
        <w:t>安装、实施、技术服务、调试、开通、验收、试运行、培训、系统集成及配合、成品保护、售后服务、原厂保修费、国家和有关部门规定的强制检测费用、管理费、培训费、利润、税金以及其他费用。</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1、提供磋商须知规定的全部磋商响应文件。</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2、磋商响应方承诺承担所发生的所有费用。</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3、磋商响应方已详细审查全部竞争性磋商采购文件，同意磋商响应须知的各项要求。</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4、若成交，磋商响应方将按竞争性磋商采购文件规定履行合同责任和义务。</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5、磋商响应文件自磋商日起有效期为90天。</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6、磋商响应方同意提供按照贵方可能要求的与其磋商响应有关的一切数据或资料，并保证其真实性、合法性。</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7、我方与本竞争性磋商有关的一切正式来往通讯请寄：</w:t>
      </w:r>
    </w:p>
    <w:p>
      <w:pPr>
        <w:spacing w:line="460" w:lineRule="exact"/>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地址：</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电话：</w:t>
      </w:r>
      <w:r>
        <w:rPr>
          <w:rFonts w:hint="eastAsia" w:ascii="宋体" w:hAnsi="宋体" w:eastAsia="宋体" w:cs="宋体"/>
          <w:szCs w:val="21"/>
          <w:highlight w:val="none"/>
          <w:u w:val="single"/>
        </w:rPr>
        <w:t xml:space="preserve">               </w:t>
      </w:r>
    </w:p>
    <w:p>
      <w:pPr>
        <w:spacing w:line="540" w:lineRule="exact"/>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供应商（盖章）：</w:t>
      </w:r>
    </w:p>
    <w:p>
      <w:pPr>
        <w:widowControl/>
        <w:adjustRightIn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 xml:space="preserve">法定代表人或授权代表(签字或盖章)：                   </w:t>
      </w:r>
    </w:p>
    <w:p>
      <w:pPr>
        <w:pStyle w:val="20"/>
        <w:widowControl/>
        <w:spacing w:line="360" w:lineRule="auto"/>
        <w:ind w:firstLine="0"/>
        <w:jc w:val="left"/>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日  期：</w:t>
      </w:r>
    </w:p>
    <w:p>
      <w:pPr>
        <w:pStyle w:val="20"/>
        <w:widowControl/>
        <w:spacing w:line="360" w:lineRule="auto"/>
        <w:ind w:firstLine="0"/>
        <w:jc w:val="left"/>
        <w:rPr>
          <w:rFonts w:hint="eastAsia" w:ascii="宋体" w:hAnsi="宋体" w:eastAsia="宋体" w:cs="宋体"/>
          <w:sz w:val="22"/>
          <w:szCs w:val="22"/>
          <w:highlight w:val="none"/>
        </w:rPr>
      </w:pPr>
    </w:p>
    <w:p>
      <w:pPr>
        <w:pStyle w:val="20"/>
        <w:widowControl/>
        <w:spacing w:line="360" w:lineRule="auto"/>
        <w:ind w:firstLine="0"/>
        <w:jc w:val="left"/>
        <w:rPr>
          <w:rFonts w:hint="eastAsia" w:ascii="宋体" w:hAnsi="宋体" w:eastAsia="宋体" w:cs="宋体"/>
          <w:sz w:val="22"/>
          <w:szCs w:val="22"/>
          <w:highlight w:val="none"/>
        </w:rPr>
        <w:sectPr>
          <w:footerReference r:id="rId7" w:type="first"/>
          <w:footerReference r:id="rId6" w:type="default"/>
          <w:pgSz w:w="11906" w:h="16838"/>
          <w:pgMar w:top="1134" w:right="1797" w:bottom="1134" w:left="1797" w:header="851" w:footer="851" w:gutter="0"/>
          <w:cols w:space="720" w:num="1"/>
          <w:titlePg/>
          <w:docGrid w:linePitch="312" w:charSpace="0"/>
        </w:sectPr>
      </w:pPr>
    </w:p>
    <w:p>
      <w:pPr>
        <w:widowControl/>
        <w:adjustRightInd w:val="0"/>
        <w:spacing w:line="360" w:lineRule="auto"/>
        <w:jc w:val="left"/>
        <w:rPr>
          <w:rFonts w:hint="eastAsia" w:ascii="宋体" w:hAnsi="宋体" w:eastAsia="宋体" w:cs="宋体"/>
          <w:b/>
          <w:szCs w:val="21"/>
          <w:highlight w:val="none"/>
        </w:rPr>
      </w:pP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格式五：</w:t>
      </w:r>
    </w:p>
    <w:p>
      <w:pPr>
        <w:spacing w:line="360" w:lineRule="auto"/>
        <w:jc w:val="center"/>
        <w:rPr>
          <w:rFonts w:hint="eastAsia" w:ascii="宋体" w:hAnsi="宋体" w:eastAsia="宋体" w:cs="宋体"/>
          <w:b/>
          <w:szCs w:val="21"/>
          <w:highlight w:val="none"/>
        </w:rPr>
      </w:pPr>
      <w:r>
        <w:rPr>
          <w:rFonts w:hint="eastAsia" w:ascii="宋体" w:hAnsi="宋体" w:eastAsia="宋体" w:cs="宋体"/>
          <w:b/>
          <w:szCs w:val="21"/>
          <w:highlight w:val="none"/>
        </w:rPr>
        <w:t>开标一览表</w:t>
      </w:r>
    </w:p>
    <w:tbl>
      <w:tblPr>
        <w:tblStyle w:val="44"/>
        <w:tblpPr w:leftFromText="180" w:rightFromText="180" w:vertAnchor="text" w:horzAnchor="margin"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20"/>
              <w:spacing w:line="300" w:lineRule="exact"/>
              <w:ind w:left="440" w:hanging="440" w:hangingChars="21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pStyle w:val="20"/>
              <w:spacing w:line="300" w:lineRule="exact"/>
              <w:ind w:left="36" w:leftChars="17"/>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trPr>
        <w:tc>
          <w:tcPr>
            <w:tcW w:w="3510" w:type="dxa"/>
            <w:tcBorders>
              <w:top w:val="single" w:color="auto" w:sz="4" w:space="0"/>
              <w:left w:val="single" w:color="auto" w:sz="4" w:space="0"/>
              <w:right w:val="single" w:color="auto" w:sz="4" w:space="0"/>
            </w:tcBorders>
            <w:noWrap w:val="0"/>
            <w:vAlign w:val="center"/>
          </w:tcPr>
          <w:p>
            <w:pPr>
              <w:pStyle w:val="20"/>
              <w:spacing w:line="300" w:lineRule="exact"/>
              <w:ind w:left="440" w:hanging="440" w:hangingChars="21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采购编号</w:t>
            </w:r>
          </w:p>
        </w:tc>
        <w:tc>
          <w:tcPr>
            <w:tcW w:w="5245" w:type="dxa"/>
            <w:tcBorders>
              <w:top w:val="single" w:color="auto" w:sz="4" w:space="0"/>
              <w:left w:val="single" w:color="auto" w:sz="4" w:space="0"/>
              <w:right w:val="single" w:color="auto" w:sz="4" w:space="0"/>
            </w:tcBorders>
            <w:noWrap w:val="0"/>
            <w:vAlign w:val="center"/>
          </w:tcPr>
          <w:p>
            <w:pPr>
              <w:pStyle w:val="20"/>
              <w:spacing w:line="300" w:lineRule="exact"/>
              <w:ind w:left="440" w:hanging="440" w:hangingChars="21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3510" w:type="dxa"/>
            <w:tcBorders>
              <w:top w:val="single" w:color="auto" w:sz="4" w:space="0"/>
              <w:left w:val="single" w:color="auto" w:sz="4" w:space="0"/>
              <w:right w:val="single" w:color="auto" w:sz="4" w:space="0"/>
            </w:tcBorders>
            <w:noWrap w:val="0"/>
            <w:vAlign w:val="center"/>
          </w:tcPr>
          <w:p>
            <w:pPr>
              <w:pStyle w:val="20"/>
              <w:spacing w:line="300" w:lineRule="exact"/>
              <w:ind w:left="440" w:hanging="440" w:hangingChars="21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投标报价（元）</w:t>
            </w:r>
          </w:p>
        </w:tc>
        <w:tc>
          <w:tcPr>
            <w:tcW w:w="5245" w:type="dxa"/>
            <w:tcBorders>
              <w:top w:val="single" w:color="auto" w:sz="4" w:space="0"/>
              <w:left w:val="single" w:color="auto" w:sz="4" w:space="0"/>
              <w:right w:val="single" w:color="auto" w:sz="4" w:space="0"/>
            </w:tcBorders>
            <w:noWrap w:val="0"/>
            <w:vAlign w:val="center"/>
          </w:tcPr>
          <w:p>
            <w:pPr>
              <w:pStyle w:val="20"/>
              <w:spacing w:line="300" w:lineRule="exact"/>
              <w:ind w:left="440" w:hanging="440" w:hangingChars="218"/>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小写：</w:t>
            </w:r>
          </w:p>
          <w:p>
            <w:pPr>
              <w:pStyle w:val="20"/>
              <w:spacing w:line="300" w:lineRule="exact"/>
              <w:ind w:left="440" w:hanging="440" w:hangingChars="218"/>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大写：</w:t>
            </w:r>
          </w:p>
        </w:tc>
      </w:tr>
    </w:tbl>
    <w:p>
      <w:pPr>
        <w:snapToGrid w:val="0"/>
        <w:spacing w:before="50" w:after="50" w:line="360" w:lineRule="auto"/>
        <w:ind w:left="-23" w:leftChars="-11" w:right="27" w:rightChars="13" w:firstLine="21" w:firstLineChars="10"/>
        <w:rPr>
          <w:rFonts w:hint="eastAsia" w:ascii="宋体" w:hAnsi="宋体" w:eastAsia="宋体" w:cs="宋体"/>
          <w:bCs/>
          <w:szCs w:val="21"/>
          <w:highlight w:val="none"/>
        </w:rPr>
      </w:pPr>
      <w:r>
        <w:rPr>
          <w:rFonts w:hint="eastAsia" w:ascii="宋体" w:hAnsi="宋体" w:eastAsia="宋体" w:cs="宋体"/>
          <w:bCs/>
          <w:szCs w:val="21"/>
          <w:highlight w:val="none"/>
        </w:rPr>
        <w:t>注:1、报价一经涂改，应在涂改处加盖单位公章或由法定代表人或其授权代表签字或加盖单位公章，否则磋商小组将不接受该修改内容。</w:t>
      </w:r>
    </w:p>
    <w:p>
      <w:pPr>
        <w:snapToGrid w:val="0"/>
        <w:spacing w:before="50" w:after="50" w:line="360" w:lineRule="auto"/>
        <w:ind w:left="-21" w:leftChars="-72" w:right="-817" w:rightChars="-389" w:hanging="130" w:hangingChars="62"/>
        <w:rPr>
          <w:rFonts w:hint="eastAsia" w:ascii="宋体" w:hAnsi="宋体" w:eastAsia="宋体" w:cs="宋体"/>
          <w:szCs w:val="21"/>
          <w:highlight w:val="none"/>
        </w:rPr>
      </w:pPr>
    </w:p>
    <w:p>
      <w:pPr>
        <w:snapToGrid w:val="0"/>
        <w:spacing w:before="50" w:after="50" w:line="360" w:lineRule="auto"/>
        <w:ind w:left="-21" w:leftChars="-72" w:right="-817" w:rightChars="-389" w:hanging="130" w:hangingChars="62"/>
        <w:rPr>
          <w:rFonts w:hint="eastAsia" w:ascii="宋体" w:hAnsi="宋体" w:eastAsia="宋体" w:cs="宋体"/>
          <w:szCs w:val="21"/>
          <w:highlight w:val="none"/>
        </w:rPr>
      </w:pPr>
    </w:p>
    <w:p>
      <w:pPr>
        <w:widowControl/>
        <w:adjustRightIn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供应商（盖章）：</w:t>
      </w:r>
    </w:p>
    <w:p>
      <w:pPr>
        <w:widowControl/>
        <w:adjustRightIn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 xml:space="preserve">法定代表人或授权代表(签字或盖章)：                   </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日  期：</w:t>
      </w: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br w:type="page"/>
      </w: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格式六：</w:t>
      </w:r>
    </w:p>
    <w:p>
      <w:pPr>
        <w:snapToGrid w:val="0"/>
        <w:spacing w:before="50" w:after="50" w:line="360" w:lineRule="auto"/>
        <w:ind w:left="-23" w:leftChars="-11" w:right="-214" w:rightChars="-102" w:firstLine="21" w:firstLineChars="10"/>
        <w:jc w:val="center"/>
        <w:rPr>
          <w:rFonts w:hint="eastAsia" w:ascii="宋体" w:hAnsi="宋体" w:eastAsia="宋体" w:cs="宋体"/>
          <w:b/>
          <w:szCs w:val="21"/>
          <w:highlight w:val="none"/>
        </w:rPr>
      </w:pPr>
      <w:r>
        <w:rPr>
          <w:rFonts w:hint="eastAsia" w:ascii="宋体" w:hAnsi="宋体" w:eastAsia="宋体" w:cs="宋体"/>
          <w:b/>
          <w:szCs w:val="21"/>
          <w:highlight w:val="none"/>
        </w:rPr>
        <w:t>投标报价</w:t>
      </w:r>
      <w:r>
        <w:rPr>
          <w:rFonts w:hint="eastAsia" w:ascii="宋体" w:hAnsi="宋体" w:eastAsia="宋体" w:cs="宋体"/>
          <w:b/>
          <w:kern w:val="0"/>
          <w:szCs w:val="21"/>
          <w:highlight w:val="none"/>
        </w:rPr>
        <w:t>组成</w:t>
      </w:r>
      <w:r>
        <w:rPr>
          <w:rFonts w:hint="eastAsia" w:ascii="宋体" w:hAnsi="宋体" w:eastAsia="宋体" w:cs="宋体"/>
          <w:b/>
          <w:szCs w:val="21"/>
          <w:highlight w:val="none"/>
        </w:rPr>
        <w:t>明细表</w:t>
      </w:r>
    </w:p>
    <w:tbl>
      <w:tblPr>
        <w:tblStyle w:val="4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135"/>
        <w:gridCol w:w="1701"/>
        <w:gridCol w:w="709"/>
        <w:gridCol w:w="850"/>
        <w:gridCol w:w="1276"/>
        <w:gridCol w:w="851"/>
        <w:gridCol w:w="79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811"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序号</w:t>
            </w:r>
          </w:p>
        </w:tc>
        <w:tc>
          <w:tcPr>
            <w:tcW w:w="1135"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szCs w:val="21"/>
                <w:highlight w:val="none"/>
              </w:rPr>
              <w:t>设备名称</w:t>
            </w:r>
          </w:p>
        </w:tc>
        <w:tc>
          <w:tcPr>
            <w:tcW w:w="1701"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szCs w:val="21"/>
                <w:highlight w:val="none"/>
              </w:rPr>
              <w:t>技术参数</w:t>
            </w:r>
          </w:p>
        </w:tc>
        <w:tc>
          <w:tcPr>
            <w:tcW w:w="709"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单位</w:t>
            </w:r>
          </w:p>
        </w:tc>
        <w:tc>
          <w:tcPr>
            <w:tcW w:w="850"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数量</w:t>
            </w:r>
          </w:p>
        </w:tc>
        <w:tc>
          <w:tcPr>
            <w:tcW w:w="1276"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单价</w:t>
            </w:r>
          </w:p>
        </w:tc>
        <w:tc>
          <w:tcPr>
            <w:tcW w:w="851"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合价</w:t>
            </w:r>
          </w:p>
        </w:tc>
        <w:tc>
          <w:tcPr>
            <w:tcW w:w="793"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品牌</w:t>
            </w:r>
          </w:p>
        </w:tc>
        <w:tc>
          <w:tcPr>
            <w:tcW w:w="908" w:type="dxa"/>
            <w:noWrap w:val="0"/>
            <w:vAlign w:val="center"/>
          </w:tcPr>
          <w:p>
            <w:pPr>
              <w:spacing w:line="30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811" w:type="dxa"/>
            <w:noWrap w:val="0"/>
            <w:vAlign w:val="center"/>
          </w:tcPr>
          <w:p>
            <w:pPr>
              <w:spacing w:line="300" w:lineRule="exact"/>
              <w:jc w:val="center"/>
              <w:rPr>
                <w:rFonts w:hint="eastAsia" w:ascii="宋体" w:hAnsi="宋体" w:eastAsia="宋体" w:cs="宋体"/>
                <w:caps/>
                <w:szCs w:val="21"/>
                <w:highlight w:val="none"/>
              </w:rPr>
            </w:pPr>
            <w:r>
              <w:rPr>
                <w:rFonts w:hint="eastAsia" w:ascii="宋体" w:hAnsi="宋体" w:eastAsia="宋体" w:cs="宋体"/>
                <w:caps/>
                <w:szCs w:val="21"/>
                <w:highlight w:val="none"/>
              </w:rPr>
              <w:t>1</w:t>
            </w:r>
          </w:p>
        </w:tc>
        <w:tc>
          <w:tcPr>
            <w:tcW w:w="1135"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1701"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709"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850"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1276"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851" w:type="dxa"/>
            <w:noWrap w:val="0"/>
            <w:vAlign w:val="center"/>
          </w:tcPr>
          <w:p>
            <w:pPr>
              <w:spacing w:line="300" w:lineRule="exact"/>
              <w:jc w:val="center"/>
              <w:rPr>
                <w:rFonts w:hint="eastAsia" w:ascii="宋体" w:hAnsi="宋体" w:eastAsia="宋体" w:cs="宋体"/>
                <w:szCs w:val="21"/>
                <w:highlight w:val="none"/>
              </w:rPr>
            </w:pPr>
          </w:p>
        </w:tc>
        <w:tc>
          <w:tcPr>
            <w:tcW w:w="793" w:type="dxa"/>
            <w:noWrap w:val="0"/>
            <w:vAlign w:val="center"/>
          </w:tcPr>
          <w:p>
            <w:pPr>
              <w:spacing w:line="300" w:lineRule="exact"/>
              <w:jc w:val="center"/>
              <w:rPr>
                <w:rFonts w:hint="eastAsia" w:ascii="宋体" w:hAnsi="宋体" w:eastAsia="宋体" w:cs="宋体"/>
                <w:szCs w:val="21"/>
                <w:highlight w:val="none"/>
              </w:rPr>
            </w:pPr>
          </w:p>
        </w:tc>
        <w:tc>
          <w:tcPr>
            <w:tcW w:w="908" w:type="dxa"/>
            <w:noWrap w:val="0"/>
            <w:vAlign w:val="center"/>
          </w:tcPr>
          <w:p>
            <w:pPr>
              <w:spacing w:line="3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811" w:type="dxa"/>
            <w:noWrap w:val="0"/>
            <w:vAlign w:val="center"/>
          </w:tcPr>
          <w:p>
            <w:pPr>
              <w:spacing w:line="300" w:lineRule="exact"/>
              <w:jc w:val="center"/>
              <w:rPr>
                <w:rFonts w:hint="eastAsia" w:ascii="宋体" w:hAnsi="宋体" w:eastAsia="宋体" w:cs="宋体"/>
                <w:caps/>
                <w:szCs w:val="21"/>
                <w:highlight w:val="none"/>
              </w:rPr>
            </w:pPr>
            <w:r>
              <w:rPr>
                <w:rFonts w:hint="eastAsia" w:ascii="宋体" w:hAnsi="宋体" w:eastAsia="宋体" w:cs="宋体"/>
                <w:caps/>
                <w:szCs w:val="21"/>
                <w:highlight w:val="none"/>
              </w:rPr>
              <w:t>2</w:t>
            </w:r>
          </w:p>
        </w:tc>
        <w:tc>
          <w:tcPr>
            <w:tcW w:w="1135"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1701"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709"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850"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1276"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851" w:type="dxa"/>
            <w:noWrap w:val="0"/>
            <w:vAlign w:val="center"/>
          </w:tcPr>
          <w:p>
            <w:pPr>
              <w:spacing w:line="300" w:lineRule="exact"/>
              <w:jc w:val="center"/>
              <w:rPr>
                <w:rFonts w:hint="eastAsia" w:ascii="宋体" w:hAnsi="宋体" w:eastAsia="宋体" w:cs="宋体"/>
                <w:szCs w:val="21"/>
                <w:highlight w:val="none"/>
              </w:rPr>
            </w:pPr>
          </w:p>
        </w:tc>
        <w:tc>
          <w:tcPr>
            <w:tcW w:w="793" w:type="dxa"/>
            <w:noWrap w:val="0"/>
            <w:vAlign w:val="center"/>
          </w:tcPr>
          <w:p>
            <w:pPr>
              <w:spacing w:line="300" w:lineRule="exact"/>
              <w:jc w:val="center"/>
              <w:rPr>
                <w:rFonts w:hint="eastAsia" w:ascii="宋体" w:hAnsi="宋体" w:eastAsia="宋体" w:cs="宋体"/>
                <w:szCs w:val="21"/>
                <w:highlight w:val="none"/>
              </w:rPr>
            </w:pPr>
          </w:p>
        </w:tc>
        <w:tc>
          <w:tcPr>
            <w:tcW w:w="908" w:type="dxa"/>
            <w:noWrap w:val="0"/>
            <w:vAlign w:val="center"/>
          </w:tcPr>
          <w:p>
            <w:pPr>
              <w:spacing w:line="3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811" w:type="dxa"/>
            <w:noWrap w:val="0"/>
            <w:vAlign w:val="center"/>
          </w:tcPr>
          <w:p>
            <w:pPr>
              <w:spacing w:line="300" w:lineRule="exact"/>
              <w:jc w:val="center"/>
              <w:rPr>
                <w:rFonts w:hint="eastAsia" w:ascii="宋体" w:hAnsi="宋体" w:eastAsia="宋体" w:cs="宋体"/>
                <w:szCs w:val="21"/>
                <w:highlight w:val="none"/>
              </w:rPr>
            </w:pPr>
            <w:r>
              <w:rPr>
                <w:rFonts w:hint="eastAsia" w:ascii="宋体" w:hAnsi="宋体" w:eastAsia="宋体" w:cs="宋体"/>
                <w:highlight w:val="none"/>
              </w:rPr>
              <w:t>...</w:t>
            </w:r>
          </w:p>
        </w:tc>
        <w:tc>
          <w:tcPr>
            <w:tcW w:w="1135" w:type="dxa"/>
            <w:noWrap w:val="0"/>
            <w:vAlign w:val="center"/>
          </w:tcPr>
          <w:p>
            <w:pPr>
              <w:adjustRightInd w:val="0"/>
              <w:spacing w:line="276" w:lineRule="auto"/>
              <w:jc w:val="center"/>
              <w:rPr>
                <w:rFonts w:hint="eastAsia" w:ascii="宋体" w:hAnsi="宋体" w:eastAsia="宋体" w:cs="宋体"/>
                <w:highlight w:val="none"/>
              </w:rPr>
            </w:pPr>
            <w:r>
              <w:rPr>
                <w:rFonts w:hint="eastAsia" w:ascii="宋体" w:hAnsi="宋体" w:eastAsia="宋体" w:cs="宋体"/>
                <w:highlight w:val="none"/>
              </w:rPr>
              <w:t>...</w:t>
            </w:r>
          </w:p>
        </w:tc>
        <w:tc>
          <w:tcPr>
            <w:tcW w:w="1701" w:type="dxa"/>
            <w:noWrap w:val="0"/>
            <w:vAlign w:val="center"/>
          </w:tcPr>
          <w:p>
            <w:pPr>
              <w:adjustRightInd w:val="0"/>
              <w:spacing w:line="276" w:lineRule="auto"/>
              <w:jc w:val="center"/>
              <w:rPr>
                <w:rFonts w:hint="eastAsia" w:ascii="宋体" w:hAnsi="宋体" w:eastAsia="宋体" w:cs="宋体"/>
                <w:highlight w:val="none"/>
              </w:rPr>
            </w:pPr>
          </w:p>
        </w:tc>
        <w:tc>
          <w:tcPr>
            <w:tcW w:w="709"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850"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1276" w:type="dxa"/>
            <w:noWrap w:val="0"/>
            <w:vAlign w:val="center"/>
          </w:tcPr>
          <w:p>
            <w:pPr>
              <w:adjustRightInd w:val="0"/>
              <w:spacing w:line="276" w:lineRule="auto"/>
              <w:ind w:left="420" w:hanging="420"/>
              <w:jc w:val="center"/>
              <w:rPr>
                <w:rFonts w:hint="eastAsia" w:ascii="宋体" w:hAnsi="宋体" w:eastAsia="宋体" w:cs="宋体"/>
                <w:highlight w:val="none"/>
              </w:rPr>
            </w:pPr>
          </w:p>
        </w:tc>
        <w:tc>
          <w:tcPr>
            <w:tcW w:w="851" w:type="dxa"/>
            <w:noWrap w:val="0"/>
            <w:vAlign w:val="center"/>
          </w:tcPr>
          <w:p>
            <w:pPr>
              <w:spacing w:line="300" w:lineRule="exact"/>
              <w:jc w:val="center"/>
              <w:rPr>
                <w:rFonts w:hint="eastAsia" w:ascii="宋体" w:hAnsi="宋体" w:eastAsia="宋体" w:cs="宋体"/>
                <w:szCs w:val="21"/>
                <w:highlight w:val="none"/>
              </w:rPr>
            </w:pPr>
          </w:p>
        </w:tc>
        <w:tc>
          <w:tcPr>
            <w:tcW w:w="793" w:type="dxa"/>
            <w:noWrap w:val="0"/>
            <w:vAlign w:val="center"/>
          </w:tcPr>
          <w:p>
            <w:pPr>
              <w:spacing w:line="300" w:lineRule="exact"/>
              <w:jc w:val="center"/>
              <w:rPr>
                <w:rFonts w:hint="eastAsia" w:ascii="宋体" w:hAnsi="宋体" w:eastAsia="宋体" w:cs="宋体"/>
                <w:szCs w:val="21"/>
                <w:highlight w:val="none"/>
              </w:rPr>
            </w:pPr>
          </w:p>
        </w:tc>
        <w:tc>
          <w:tcPr>
            <w:tcW w:w="908" w:type="dxa"/>
            <w:noWrap w:val="0"/>
            <w:vAlign w:val="center"/>
          </w:tcPr>
          <w:p>
            <w:pPr>
              <w:spacing w:line="300" w:lineRule="exact"/>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0" w:hRule="atLeast"/>
        </w:trPr>
        <w:tc>
          <w:tcPr>
            <w:tcW w:w="5206" w:type="dxa"/>
            <w:gridSpan w:val="5"/>
            <w:noWrap w:val="0"/>
            <w:vAlign w:val="center"/>
          </w:tcPr>
          <w:p>
            <w:pPr>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投标价合计</w:t>
            </w:r>
          </w:p>
        </w:tc>
        <w:tc>
          <w:tcPr>
            <w:tcW w:w="3828" w:type="dxa"/>
            <w:gridSpan w:val="4"/>
            <w:noWrap w:val="0"/>
            <w:vAlign w:val="center"/>
          </w:tcPr>
          <w:p>
            <w:pPr>
              <w:spacing w:line="300" w:lineRule="exact"/>
              <w:rPr>
                <w:rFonts w:hint="eastAsia" w:ascii="宋体" w:hAnsi="宋体" w:eastAsia="宋体" w:cs="宋体"/>
                <w:szCs w:val="21"/>
                <w:highlight w:val="none"/>
              </w:rPr>
            </w:pPr>
          </w:p>
        </w:tc>
      </w:tr>
    </w:tbl>
    <w:p>
      <w:pPr>
        <w:tabs>
          <w:tab w:val="left" w:pos="426"/>
        </w:tabs>
        <w:snapToGrid w:val="0"/>
        <w:spacing w:line="360" w:lineRule="auto"/>
        <w:ind w:firstLine="140" w:firstLineChars="67"/>
        <w:rPr>
          <w:rFonts w:hint="eastAsia" w:ascii="宋体" w:hAnsi="宋体" w:eastAsia="宋体" w:cs="宋体"/>
          <w:szCs w:val="21"/>
          <w:highlight w:val="none"/>
        </w:rPr>
      </w:pPr>
      <w:r>
        <w:rPr>
          <w:rFonts w:hint="eastAsia" w:ascii="宋体" w:hAnsi="宋体" w:eastAsia="宋体" w:cs="宋体"/>
          <w:szCs w:val="21"/>
          <w:highlight w:val="none"/>
        </w:rPr>
        <w:t>注：1、</w:t>
      </w:r>
      <w:r>
        <w:rPr>
          <w:rFonts w:hint="eastAsia" w:ascii="宋体" w:hAnsi="宋体" w:eastAsia="宋体" w:cs="宋体"/>
          <w:highlight w:val="none"/>
        </w:rPr>
        <w:t>供应商应详细列出竞争性磋商文件规定的所有费用的明细表，本表“投标价合计”应与“开标一览表”中的“投标报价”保持一致。</w:t>
      </w:r>
    </w:p>
    <w:p>
      <w:pPr>
        <w:spacing w:line="400" w:lineRule="exact"/>
        <w:ind w:firstLine="449" w:firstLineChars="214"/>
        <w:jc w:val="left"/>
        <w:rPr>
          <w:rFonts w:hint="eastAsia" w:ascii="宋体" w:hAnsi="宋体" w:eastAsia="宋体" w:cs="宋体"/>
          <w:szCs w:val="21"/>
          <w:highlight w:val="none"/>
        </w:rPr>
      </w:pPr>
      <w:r>
        <w:rPr>
          <w:rFonts w:hint="eastAsia" w:ascii="宋体" w:hAnsi="宋体" w:eastAsia="宋体" w:cs="宋体"/>
          <w:highlight w:val="none"/>
        </w:rPr>
        <w:t>2、</w:t>
      </w:r>
      <w:r>
        <w:rPr>
          <w:rFonts w:hint="eastAsia" w:ascii="宋体" w:hAnsi="宋体" w:eastAsia="宋体" w:cs="宋体"/>
          <w:szCs w:val="21"/>
          <w:highlight w:val="none"/>
        </w:rPr>
        <w:t>投标总价应为承包完成本次投标需完成全部工作所发生的所有费用，并承担一切风险责任，包括但不限于设备材料的供应、</w:t>
      </w:r>
      <w:r>
        <w:rPr>
          <w:rFonts w:hint="eastAsia" w:ascii="宋体" w:hAnsi="宋体" w:eastAsia="宋体" w:cs="宋体"/>
          <w:szCs w:val="21"/>
          <w:highlight w:val="none"/>
          <w:lang w:val="en-US" w:eastAsia="zh-CN"/>
        </w:rPr>
        <w:t>运输</w:t>
      </w:r>
      <w:r>
        <w:rPr>
          <w:rFonts w:hint="eastAsia" w:ascii="宋体" w:hAnsi="宋体" w:eastAsia="宋体" w:cs="宋体"/>
          <w:szCs w:val="21"/>
          <w:highlight w:val="none"/>
          <w:lang w:eastAsia="zh-CN"/>
        </w:rPr>
        <w:t>、</w:t>
      </w:r>
      <w:r>
        <w:rPr>
          <w:rFonts w:hint="eastAsia" w:ascii="宋体" w:hAnsi="宋体" w:eastAsia="宋体" w:cs="宋体"/>
          <w:szCs w:val="21"/>
          <w:highlight w:val="none"/>
        </w:rPr>
        <w:t>安装、实施、技术服务、调试、开通、验收、试运行、培训、系统集成及配合、成品保护、售后服务、原厂保修费、国家和有关部门规定的强制检测费用、管理费、培训费、利润、税金以及其他费用。</w:t>
      </w:r>
    </w:p>
    <w:p>
      <w:pPr>
        <w:spacing w:line="400" w:lineRule="exact"/>
        <w:ind w:firstLine="449" w:firstLineChars="214"/>
        <w:jc w:val="left"/>
        <w:rPr>
          <w:rFonts w:hint="eastAsia" w:ascii="宋体" w:hAnsi="宋体" w:eastAsia="宋体" w:cs="宋体"/>
          <w:highlight w:val="none"/>
        </w:rPr>
      </w:pPr>
      <w:r>
        <w:rPr>
          <w:rFonts w:hint="eastAsia" w:ascii="宋体" w:hAnsi="宋体" w:eastAsia="宋体" w:cs="宋体"/>
          <w:highlight w:val="none"/>
        </w:rPr>
        <w:t>采购清单中未列或与清单中设备有出入，但系统正常运行必须的设备，其价格按已包含在投标报价内处理。</w:t>
      </w:r>
    </w:p>
    <w:p>
      <w:pPr>
        <w:spacing w:line="400" w:lineRule="exact"/>
        <w:ind w:firstLine="449" w:firstLineChars="214"/>
        <w:jc w:val="left"/>
        <w:rPr>
          <w:rFonts w:hint="eastAsia" w:ascii="宋体" w:hAnsi="宋体" w:eastAsia="宋体" w:cs="宋体"/>
          <w:highlight w:val="none"/>
        </w:rPr>
      </w:pPr>
      <w:r>
        <w:rPr>
          <w:rFonts w:hint="eastAsia" w:ascii="宋体" w:hAnsi="宋体" w:eastAsia="宋体" w:cs="宋体"/>
          <w:highlight w:val="none"/>
        </w:rPr>
        <w:t>采购清单中供应商没有填入单价或价格的子目，其费用视为已分摊在采购清单中其他相关子目的单价或价格之中。供应商必须按采购人指令完成采购清单中未填入单价或价格的子目，但不能得到结算与支付。符合合同条款规定的全部费用应认为已被计入有标价的采购清单所列各子目之中，未列子目不予计量的工作，其费用应视为已分摊在本合同的有关子目的单价或总额价之中。项目实施过程中可能发生的风险和费用均由成交供应商承担。</w:t>
      </w:r>
    </w:p>
    <w:p>
      <w:pPr>
        <w:spacing w:line="400" w:lineRule="exact"/>
        <w:ind w:firstLine="449" w:firstLineChars="214"/>
        <w:jc w:val="left"/>
        <w:rPr>
          <w:rFonts w:hint="eastAsia" w:ascii="宋体" w:hAnsi="宋体" w:eastAsia="宋体" w:cs="宋体"/>
          <w:highlight w:val="none"/>
        </w:rPr>
      </w:pPr>
      <w:r>
        <w:rPr>
          <w:rFonts w:hint="eastAsia" w:ascii="宋体" w:hAnsi="宋体" w:eastAsia="宋体" w:cs="宋体"/>
          <w:highlight w:val="none"/>
        </w:rPr>
        <w:t>3、此表在不改变表式的情况下，可自行制作扩展。</w:t>
      </w:r>
    </w:p>
    <w:p>
      <w:pPr>
        <w:tabs>
          <w:tab w:val="left" w:pos="426"/>
        </w:tabs>
        <w:snapToGrid w:val="0"/>
        <w:spacing w:line="360" w:lineRule="auto"/>
        <w:ind w:firstLine="140" w:firstLineChars="67"/>
        <w:rPr>
          <w:rFonts w:hint="eastAsia" w:ascii="宋体" w:hAnsi="宋体" w:eastAsia="宋体" w:cs="宋体"/>
          <w:szCs w:val="21"/>
          <w:highlight w:val="none"/>
        </w:rPr>
      </w:pPr>
    </w:p>
    <w:p>
      <w:pPr>
        <w:widowControl/>
        <w:adjustRightIn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供应商（盖章）：</w:t>
      </w:r>
    </w:p>
    <w:p>
      <w:pPr>
        <w:widowControl/>
        <w:adjustRightIn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 xml:space="preserve">法定代表人或授权代表(签字或盖章)：                   </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日  期：</w:t>
      </w:r>
    </w:p>
    <w:p>
      <w:pPr>
        <w:widowControl/>
        <w:adjustRightIn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br w:type="page"/>
      </w:r>
      <w:r>
        <w:rPr>
          <w:rFonts w:hint="eastAsia" w:ascii="宋体" w:hAnsi="宋体" w:eastAsia="宋体" w:cs="宋体"/>
          <w:b/>
          <w:szCs w:val="21"/>
          <w:highlight w:val="none"/>
        </w:rPr>
        <w:t>格式七：</w:t>
      </w:r>
    </w:p>
    <w:p>
      <w:pPr>
        <w:widowControl/>
        <w:spacing w:line="360" w:lineRule="auto"/>
        <w:jc w:val="center"/>
        <w:rPr>
          <w:rFonts w:hint="eastAsia" w:ascii="宋体" w:hAnsi="宋体" w:eastAsia="宋体" w:cs="宋体"/>
          <w:b/>
          <w:spacing w:val="-4"/>
          <w:sz w:val="32"/>
          <w:szCs w:val="32"/>
          <w:highlight w:val="none"/>
        </w:rPr>
      </w:pPr>
      <w:r>
        <w:rPr>
          <w:rFonts w:hint="eastAsia" w:ascii="宋体" w:hAnsi="宋体" w:eastAsia="宋体" w:cs="宋体"/>
          <w:b/>
          <w:spacing w:val="-4"/>
          <w:sz w:val="32"/>
          <w:szCs w:val="32"/>
          <w:highlight w:val="none"/>
        </w:rPr>
        <w:t>技术商务条款响应（偏离）表</w:t>
      </w:r>
    </w:p>
    <w:p>
      <w:pPr>
        <w:widowControl/>
        <w:spacing w:line="360" w:lineRule="auto"/>
        <w:rPr>
          <w:rFonts w:hint="eastAsia" w:ascii="宋体" w:hAnsi="宋体" w:eastAsia="宋体" w:cs="宋体"/>
          <w:b/>
          <w:spacing w:val="-4"/>
          <w:sz w:val="24"/>
          <w:highlight w:val="none"/>
        </w:rPr>
      </w:pPr>
    </w:p>
    <w:p>
      <w:pPr>
        <w:widowControl/>
        <w:spacing w:line="360" w:lineRule="auto"/>
        <w:jc w:val="left"/>
        <w:rPr>
          <w:rFonts w:hint="eastAsia" w:ascii="宋体" w:hAnsi="宋体" w:eastAsia="宋体" w:cs="宋体"/>
          <w:kern w:val="0"/>
          <w:sz w:val="24"/>
          <w:highlight w:val="none"/>
        </w:rPr>
      </w:pPr>
      <w:r>
        <w:rPr>
          <w:rFonts w:hint="eastAsia" w:ascii="宋体" w:hAnsi="宋体" w:eastAsia="宋体" w:cs="宋体"/>
          <w:highlight w:val="none"/>
        </w:rPr>
        <w:t>项目名称：                 项目编号：</w:t>
      </w:r>
    </w:p>
    <w:tbl>
      <w:tblPr>
        <w:tblStyle w:val="44"/>
        <w:tblW w:w="0" w:type="auto"/>
        <w:tblInd w:w="1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030"/>
        <w:gridCol w:w="2640"/>
        <w:gridCol w:w="19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noWrap w:val="0"/>
            <w:vAlign w:val="center"/>
          </w:tcPr>
          <w:p>
            <w:pPr>
              <w:topLinePunct/>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3030" w:type="dxa"/>
            <w:noWrap w:val="0"/>
            <w:vAlign w:val="center"/>
          </w:tcPr>
          <w:p>
            <w:pPr>
              <w:topLinePunct/>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竞争性磋商文件服务要求</w:t>
            </w:r>
          </w:p>
        </w:tc>
        <w:tc>
          <w:tcPr>
            <w:tcW w:w="2640" w:type="dxa"/>
            <w:noWrap w:val="0"/>
            <w:vAlign w:val="center"/>
          </w:tcPr>
          <w:p>
            <w:pPr>
              <w:topLinePunct/>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响应文件响应情况</w:t>
            </w:r>
          </w:p>
        </w:tc>
        <w:tc>
          <w:tcPr>
            <w:tcW w:w="1965" w:type="dxa"/>
            <w:noWrap w:val="0"/>
            <w:vAlign w:val="center"/>
          </w:tcPr>
          <w:p>
            <w:pPr>
              <w:topLinePunct/>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7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303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2640" w:type="dxa"/>
            <w:noWrap w:val="0"/>
            <w:vAlign w:val="center"/>
          </w:tcPr>
          <w:p>
            <w:pPr>
              <w:pStyle w:val="2"/>
              <w:snapToGrid w:val="0"/>
              <w:spacing w:beforeLines="0" w:afterLines="0"/>
              <w:jc w:val="center"/>
              <w:rPr>
                <w:rFonts w:hint="eastAsia" w:ascii="宋体" w:hAnsi="宋体" w:eastAsia="宋体" w:cs="宋体"/>
                <w:highlight w:val="none"/>
                <w:u w:val="single"/>
              </w:rPr>
            </w:pPr>
          </w:p>
        </w:tc>
        <w:tc>
          <w:tcPr>
            <w:tcW w:w="1965" w:type="dxa"/>
            <w:noWrap w:val="0"/>
            <w:vAlign w:val="center"/>
          </w:tcPr>
          <w:p>
            <w:pPr>
              <w:pStyle w:val="2"/>
              <w:snapToGrid w:val="0"/>
              <w:spacing w:beforeLines="0" w:afterLines="0"/>
              <w:jc w:val="center"/>
              <w:rPr>
                <w:rFonts w:hint="eastAsia" w:ascii="宋体" w:hAnsi="宋体" w:eastAsia="宋体" w:cs="宋体"/>
                <w:highlight w:val="none"/>
                <w:u w:val="single"/>
              </w:rPr>
            </w:pPr>
          </w:p>
        </w:tc>
      </w:tr>
    </w:tbl>
    <w:p>
      <w:pPr>
        <w:spacing w:line="360" w:lineRule="auto"/>
        <w:ind w:right="25" w:rightChars="12"/>
        <w:rPr>
          <w:rFonts w:hint="eastAsia" w:ascii="宋体" w:hAnsi="宋体" w:eastAsia="宋体" w:cs="宋体"/>
          <w:bCs/>
          <w:szCs w:val="21"/>
          <w:highlight w:val="none"/>
          <w:lang w:val="zh-CN"/>
        </w:rPr>
      </w:pPr>
      <w:r>
        <w:rPr>
          <w:rFonts w:hint="eastAsia" w:ascii="宋体" w:hAnsi="宋体" w:eastAsia="宋体" w:cs="宋体"/>
          <w:highlight w:val="none"/>
        </w:rPr>
        <w:t>注：供应商可按第二章采购需求、第三章供应商须知前附表及采购文件规定的其它技术商务条款进行逐条填写，若对招标要求无偏离可在</w:t>
      </w:r>
      <w:r>
        <w:rPr>
          <w:rFonts w:hint="eastAsia" w:ascii="宋体" w:hAnsi="宋体" w:eastAsia="宋体" w:cs="宋体"/>
          <w:bCs/>
          <w:szCs w:val="21"/>
          <w:highlight w:val="none"/>
          <w:lang w:val="zh-CN"/>
        </w:rPr>
        <w:t>本表空白处醒目地注明“无招标要求条款偏离”的字样。</w:t>
      </w:r>
    </w:p>
    <w:p>
      <w:pPr>
        <w:pStyle w:val="20"/>
        <w:spacing w:line="360" w:lineRule="auto"/>
        <w:ind w:firstLine="0"/>
        <w:rPr>
          <w:rFonts w:hint="eastAsia" w:ascii="宋体" w:hAnsi="宋体" w:eastAsia="宋体" w:cs="宋体"/>
          <w:kern w:val="0"/>
          <w:highlight w:val="none"/>
        </w:rPr>
      </w:pPr>
    </w:p>
    <w:p>
      <w:pPr>
        <w:pStyle w:val="20"/>
        <w:spacing w:line="360" w:lineRule="auto"/>
        <w:ind w:firstLine="0"/>
        <w:rPr>
          <w:rFonts w:hint="eastAsia" w:ascii="宋体" w:hAnsi="宋体" w:eastAsia="宋体" w:cs="宋体"/>
          <w:kern w:val="0"/>
          <w:highlight w:val="none"/>
        </w:rPr>
      </w:pPr>
    </w:p>
    <w:p>
      <w:pPr>
        <w:pStyle w:val="20"/>
        <w:spacing w:line="360" w:lineRule="auto"/>
        <w:ind w:firstLine="0"/>
        <w:rPr>
          <w:rFonts w:hint="eastAsia" w:ascii="宋体" w:hAnsi="宋体" w:eastAsia="宋体" w:cs="宋体"/>
          <w:kern w:val="0"/>
          <w:highlight w:val="none"/>
        </w:rPr>
      </w:pPr>
    </w:p>
    <w:p>
      <w:pPr>
        <w:pStyle w:val="20"/>
        <w:spacing w:line="360" w:lineRule="auto"/>
        <w:ind w:firstLine="0"/>
        <w:rPr>
          <w:rFonts w:hint="eastAsia" w:ascii="宋体" w:hAnsi="宋体" w:eastAsia="宋体" w:cs="宋体"/>
          <w:kern w:val="0"/>
          <w:highlight w:val="none"/>
        </w:rPr>
      </w:pP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供应商（盖章）：</w:t>
      </w: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法定代表人或授权代表(签字或盖章)：</w:t>
      </w:r>
    </w:p>
    <w:p>
      <w:pPr>
        <w:pStyle w:val="20"/>
        <w:widowControl/>
        <w:spacing w:line="360" w:lineRule="auto"/>
        <w:ind w:firstLine="0"/>
        <w:jc w:val="left"/>
        <w:rPr>
          <w:rFonts w:hint="eastAsia" w:ascii="宋体" w:hAnsi="宋体" w:eastAsia="宋体" w:cs="宋体"/>
          <w:spacing w:val="0"/>
          <w:sz w:val="21"/>
          <w:szCs w:val="24"/>
          <w:highlight w:val="none"/>
        </w:rPr>
      </w:pPr>
      <w:r>
        <w:rPr>
          <w:rFonts w:hint="eastAsia" w:ascii="宋体" w:hAnsi="宋体" w:eastAsia="宋体" w:cs="宋体"/>
          <w:spacing w:val="0"/>
          <w:sz w:val="21"/>
          <w:szCs w:val="24"/>
          <w:highlight w:val="none"/>
        </w:rPr>
        <w:t>日  期：</w:t>
      </w: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pStyle w:val="20"/>
        <w:widowControl/>
        <w:spacing w:line="360" w:lineRule="auto"/>
        <w:ind w:firstLine="0"/>
        <w:jc w:val="left"/>
        <w:rPr>
          <w:rFonts w:hint="eastAsia" w:ascii="宋体" w:hAnsi="宋体" w:eastAsia="宋体" w:cs="宋体"/>
          <w:b/>
          <w:szCs w:val="21"/>
          <w:highlight w:val="none"/>
        </w:rPr>
      </w:pPr>
    </w:p>
    <w:p>
      <w:pPr>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t>格式八：</w:t>
      </w:r>
    </w:p>
    <w:p>
      <w:pPr>
        <w:spacing w:line="360" w:lineRule="auto"/>
        <w:jc w:val="center"/>
        <w:rPr>
          <w:rFonts w:hint="eastAsia" w:ascii="宋体" w:hAnsi="宋体" w:eastAsia="宋体" w:cs="宋体"/>
          <w:b/>
          <w:szCs w:val="21"/>
          <w:highlight w:val="none"/>
        </w:rPr>
      </w:pPr>
      <w:r>
        <w:rPr>
          <w:rFonts w:hint="eastAsia" w:ascii="宋体" w:hAnsi="宋体" w:eastAsia="宋体" w:cs="宋体"/>
          <w:b/>
          <w:spacing w:val="-4"/>
          <w:sz w:val="32"/>
          <w:szCs w:val="32"/>
          <w:highlight w:val="none"/>
        </w:rPr>
        <w:t>供应商技术商务分自评表</w:t>
      </w: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70"/>
        <w:gridCol w:w="4536"/>
        <w:gridCol w:w="127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6" w:type="dxa"/>
            <w:noWrap w:val="0"/>
            <w:vAlign w:val="center"/>
          </w:tcPr>
          <w:p>
            <w:pPr>
              <w:pStyle w:val="19"/>
              <w:spacing w:after="0" w:line="26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1570" w:type="dxa"/>
            <w:noWrap w:val="0"/>
            <w:vAlign w:val="center"/>
          </w:tcPr>
          <w:p>
            <w:pPr>
              <w:pStyle w:val="19"/>
              <w:spacing w:after="0" w:line="26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评分项目</w:t>
            </w:r>
          </w:p>
        </w:tc>
        <w:tc>
          <w:tcPr>
            <w:tcW w:w="4536" w:type="dxa"/>
            <w:noWrap w:val="0"/>
            <w:vAlign w:val="center"/>
          </w:tcPr>
          <w:p>
            <w:pPr>
              <w:pStyle w:val="19"/>
              <w:spacing w:after="0" w:line="26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评分标准</w:t>
            </w:r>
          </w:p>
        </w:tc>
        <w:tc>
          <w:tcPr>
            <w:tcW w:w="1276" w:type="dxa"/>
            <w:noWrap w:val="0"/>
            <w:vAlign w:val="center"/>
          </w:tcPr>
          <w:p>
            <w:pPr>
              <w:pStyle w:val="19"/>
              <w:spacing w:after="0" w:line="26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分值</w:t>
            </w:r>
          </w:p>
        </w:tc>
        <w:tc>
          <w:tcPr>
            <w:tcW w:w="1276" w:type="dxa"/>
            <w:noWrap w:val="0"/>
            <w:vAlign w:val="center"/>
          </w:tcPr>
          <w:p>
            <w:pPr>
              <w:pStyle w:val="19"/>
              <w:spacing w:after="0" w:line="26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自评分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570"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4536" w:type="dxa"/>
            <w:noWrap w:val="0"/>
            <w:vAlign w:val="center"/>
          </w:tcPr>
          <w:p>
            <w:pPr>
              <w:pStyle w:val="19"/>
              <w:spacing w:after="0" w:line="320" w:lineRule="exact"/>
              <w:jc w:val="left"/>
              <w:rPr>
                <w:rFonts w:hint="eastAsia" w:ascii="宋体" w:hAnsi="宋体" w:eastAsia="宋体" w:cs="宋体"/>
                <w:b/>
                <w:sz w:val="22"/>
                <w:szCs w:val="22"/>
                <w:highlight w:val="none"/>
              </w:rPr>
            </w:pPr>
          </w:p>
        </w:tc>
        <w:tc>
          <w:tcPr>
            <w:tcW w:w="1276" w:type="dxa"/>
            <w:noWrap w:val="0"/>
            <w:vAlign w:val="center"/>
          </w:tcPr>
          <w:p>
            <w:pPr>
              <w:pStyle w:val="19"/>
              <w:spacing w:after="0" w:line="32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832" w:type="dxa"/>
            <w:gridSpan w:val="3"/>
            <w:noWrap w:val="0"/>
            <w:vAlign w:val="center"/>
          </w:tcPr>
          <w:p>
            <w:pPr>
              <w:spacing w:line="260" w:lineRule="exact"/>
              <w:jc w:val="center"/>
              <w:rPr>
                <w:rFonts w:hint="eastAsia" w:ascii="宋体" w:hAnsi="宋体" w:eastAsia="宋体" w:cs="宋体"/>
                <w:bCs/>
                <w:szCs w:val="21"/>
                <w:highlight w:val="none"/>
              </w:rPr>
            </w:pPr>
            <w:r>
              <w:rPr>
                <w:rFonts w:hint="eastAsia" w:ascii="宋体" w:hAnsi="宋体" w:eastAsia="宋体" w:cs="宋体"/>
                <w:bCs/>
                <w:szCs w:val="21"/>
                <w:highlight w:val="none"/>
              </w:rPr>
              <w:t>合计</w:t>
            </w:r>
          </w:p>
        </w:tc>
        <w:tc>
          <w:tcPr>
            <w:tcW w:w="1276" w:type="dxa"/>
            <w:noWrap w:val="0"/>
            <w:vAlign w:val="center"/>
          </w:tcPr>
          <w:p>
            <w:pPr>
              <w:pStyle w:val="19"/>
              <w:spacing w:after="0" w:line="260" w:lineRule="exact"/>
              <w:jc w:val="center"/>
              <w:rPr>
                <w:rFonts w:hint="eastAsia" w:ascii="宋体" w:hAnsi="宋体" w:eastAsia="宋体" w:cs="宋体"/>
                <w:sz w:val="22"/>
                <w:szCs w:val="22"/>
                <w:highlight w:val="none"/>
              </w:rPr>
            </w:pPr>
          </w:p>
        </w:tc>
        <w:tc>
          <w:tcPr>
            <w:tcW w:w="1276" w:type="dxa"/>
            <w:noWrap w:val="0"/>
            <w:vAlign w:val="top"/>
          </w:tcPr>
          <w:p>
            <w:pPr>
              <w:pStyle w:val="19"/>
              <w:spacing w:after="0" w:line="260" w:lineRule="exact"/>
              <w:jc w:val="center"/>
              <w:rPr>
                <w:rFonts w:hint="eastAsia" w:ascii="宋体" w:hAnsi="宋体" w:eastAsia="宋体" w:cs="宋体"/>
                <w:sz w:val="22"/>
                <w:szCs w:val="22"/>
                <w:highlight w:val="none"/>
              </w:rPr>
            </w:pPr>
          </w:p>
        </w:tc>
      </w:tr>
    </w:tbl>
    <w:p>
      <w:pPr>
        <w:widowControl/>
        <w:adjustRightInd w:val="0"/>
        <w:jc w:val="left"/>
        <w:rPr>
          <w:rFonts w:hint="eastAsia" w:ascii="宋体" w:hAnsi="宋体" w:eastAsia="宋体" w:cs="宋体"/>
          <w:sz w:val="22"/>
          <w:szCs w:val="22"/>
          <w:highlight w:val="none"/>
        </w:rPr>
      </w:pP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注：上表评标项目、评分标准、分值，供应商可对应竞争性磋商文件中的评标办法。</w:t>
      </w:r>
    </w:p>
    <w:p>
      <w:pPr>
        <w:widowControl/>
        <w:adjustRightInd w:val="0"/>
        <w:spacing w:line="360" w:lineRule="auto"/>
        <w:jc w:val="left"/>
        <w:rPr>
          <w:rFonts w:hint="eastAsia" w:ascii="宋体" w:hAnsi="宋体" w:eastAsia="宋体" w:cs="宋体"/>
          <w:highlight w:val="none"/>
        </w:rPr>
      </w:pPr>
    </w:p>
    <w:p>
      <w:pPr>
        <w:widowControl/>
        <w:adjustRightInd w:val="0"/>
        <w:spacing w:line="360" w:lineRule="auto"/>
        <w:jc w:val="left"/>
        <w:rPr>
          <w:rFonts w:hint="eastAsia" w:ascii="宋体" w:hAnsi="宋体" w:eastAsia="宋体" w:cs="宋体"/>
          <w:highlight w:val="none"/>
        </w:rPr>
      </w:pP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供应商（盖章）：</w:t>
      </w: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法定代表人或授权代表(签字或盖章)：</w:t>
      </w: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日  期：</w:t>
      </w:r>
    </w:p>
    <w:p>
      <w:pPr>
        <w:widowControl/>
        <w:adjustRightInd w:val="0"/>
        <w:spacing w:line="360" w:lineRule="auto"/>
        <w:jc w:val="left"/>
        <w:rPr>
          <w:rFonts w:hint="eastAsia" w:ascii="宋体" w:hAnsi="宋体" w:eastAsia="宋体" w:cs="宋体"/>
          <w:highlight w:val="none"/>
        </w:rPr>
      </w:pPr>
    </w:p>
    <w:p>
      <w:pPr>
        <w:pStyle w:val="20"/>
        <w:widowControl/>
        <w:spacing w:line="240" w:lineRule="auto"/>
        <w:ind w:firstLine="0"/>
        <w:jc w:val="left"/>
        <w:rPr>
          <w:rFonts w:hint="eastAsia" w:ascii="宋体" w:hAnsi="宋体" w:eastAsia="宋体" w:cs="宋体"/>
          <w:sz w:val="22"/>
          <w:szCs w:val="22"/>
          <w:highlight w:val="none"/>
        </w:rPr>
      </w:pPr>
    </w:p>
    <w:p>
      <w:pPr>
        <w:pStyle w:val="20"/>
        <w:widowControl/>
        <w:spacing w:line="240" w:lineRule="auto"/>
        <w:ind w:firstLine="0"/>
        <w:jc w:val="left"/>
        <w:rPr>
          <w:rFonts w:hint="eastAsia" w:ascii="宋体" w:hAnsi="宋体" w:eastAsia="宋体" w:cs="宋体"/>
          <w:sz w:val="22"/>
          <w:szCs w:val="22"/>
          <w:highlight w:val="none"/>
        </w:rPr>
      </w:pPr>
    </w:p>
    <w:p>
      <w:pPr>
        <w:pStyle w:val="20"/>
        <w:widowControl/>
        <w:spacing w:line="240" w:lineRule="auto"/>
        <w:ind w:firstLine="0"/>
        <w:jc w:val="left"/>
        <w:rPr>
          <w:rFonts w:hint="eastAsia" w:ascii="宋体" w:hAnsi="宋体" w:eastAsia="宋体" w:cs="宋体"/>
          <w:sz w:val="22"/>
          <w:szCs w:val="22"/>
          <w:highlight w:val="none"/>
        </w:rPr>
      </w:pPr>
    </w:p>
    <w:p>
      <w:pPr>
        <w:pStyle w:val="20"/>
        <w:widowControl/>
        <w:spacing w:line="240" w:lineRule="auto"/>
        <w:ind w:firstLine="0"/>
        <w:jc w:val="left"/>
        <w:rPr>
          <w:rFonts w:hint="eastAsia" w:ascii="宋体" w:hAnsi="宋体" w:eastAsia="宋体" w:cs="宋体"/>
          <w:sz w:val="22"/>
          <w:szCs w:val="22"/>
          <w:highlight w:val="none"/>
        </w:rPr>
      </w:pPr>
    </w:p>
    <w:p>
      <w:pPr>
        <w:pStyle w:val="20"/>
        <w:widowControl/>
        <w:spacing w:line="360" w:lineRule="auto"/>
        <w:ind w:firstLine="0"/>
        <w:jc w:val="left"/>
        <w:rPr>
          <w:rFonts w:hint="eastAsia" w:ascii="宋体" w:hAnsi="宋体" w:eastAsia="宋体" w:cs="宋体"/>
          <w:b/>
          <w:spacing w:val="0"/>
          <w:kern w:val="2"/>
          <w:sz w:val="21"/>
          <w:szCs w:val="21"/>
          <w:highlight w:val="none"/>
          <w:lang w:val="en-US" w:eastAsia="zh-CN" w:bidi="ar-SA"/>
        </w:rPr>
      </w:pPr>
      <w:r>
        <w:rPr>
          <w:rFonts w:hint="eastAsia" w:ascii="宋体" w:hAnsi="宋体" w:eastAsia="宋体" w:cs="宋体"/>
          <w:b/>
          <w:kern w:val="0"/>
          <w:szCs w:val="21"/>
          <w:highlight w:val="none"/>
        </w:rPr>
        <w:br w:type="page"/>
      </w:r>
      <w:r>
        <w:rPr>
          <w:rFonts w:hint="eastAsia" w:ascii="宋体" w:hAnsi="宋体" w:eastAsia="宋体" w:cs="宋体"/>
          <w:b/>
          <w:spacing w:val="0"/>
          <w:kern w:val="2"/>
          <w:sz w:val="21"/>
          <w:szCs w:val="21"/>
          <w:highlight w:val="none"/>
          <w:lang w:val="en-US" w:eastAsia="zh-CN" w:bidi="ar-SA"/>
        </w:rPr>
        <w:t>格式九：</w:t>
      </w:r>
    </w:p>
    <w:p>
      <w:pPr>
        <w:snapToGrid w:val="0"/>
        <w:spacing w:before="50" w:after="120" w:line="360" w:lineRule="auto"/>
        <w:jc w:val="center"/>
        <w:rPr>
          <w:rFonts w:hint="eastAsia" w:ascii="宋体" w:hAnsi="宋体" w:eastAsia="宋体" w:cs="宋体"/>
          <w:b/>
          <w:kern w:val="0"/>
          <w:szCs w:val="21"/>
          <w:highlight w:val="none"/>
        </w:rPr>
      </w:pPr>
      <w:r>
        <w:rPr>
          <w:rFonts w:hint="eastAsia" w:ascii="宋体" w:hAnsi="宋体" w:eastAsia="宋体" w:cs="宋体"/>
          <w:b/>
          <w:kern w:val="0"/>
          <w:szCs w:val="21"/>
          <w:highlight w:val="none"/>
        </w:rPr>
        <w:t>业绩一览表</w:t>
      </w:r>
    </w:p>
    <w:tbl>
      <w:tblPr>
        <w:tblStyle w:val="4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258"/>
        <w:gridCol w:w="2704"/>
        <w:gridCol w:w="127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center"/>
          </w:tcPr>
          <w:p>
            <w:pPr>
              <w:autoSpaceDE w:val="0"/>
              <w:autoSpaceDN w:val="0"/>
              <w:adjustRightInd w:val="0"/>
              <w:jc w:val="center"/>
              <w:rPr>
                <w:rFonts w:hint="eastAsia" w:ascii="宋体" w:hAnsi="宋体" w:eastAsia="宋体" w:cs="宋体"/>
                <w:szCs w:val="21"/>
                <w:highlight w:val="none"/>
              </w:rPr>
            </w:pPr>
            <w:r>
              <w:rPr>
                <w:rFonts w:hint="eastAsia" w:ascii="宋体" w:hAnsi="宋体" w:eastAsia="宋体" w:cs="宋体"/>
                <w:szCs w:val="21"/>
                <w:highlight w:val="none"/>
              </w:rPr>
              <w:t>业主单位名称</w:t>
            </w:r>
          </w:p>
        </w:tc>
        <w:tc>
          <w:tcPr>
            <w:tcW w:w="1258" w:type="dxa"/>
            <w:noWrap w:val="0"/>
            <w:vAlign w:val="center"/>
          </w:tcPr>
          <w:p>
            <w:pPr>
              <w:autoSpaceDE w:val="0"/>
              <w:autoSpaceDN w:val="0"/>
              <w:adjustRightInd w:val="0"/>
              <w:jc w:val="center"/>
              <w:rPr>
                <w:rFonts w:hint="eastAsia" w:ascii="宋体" w:hAnsi="宋体" w:eastAsia="宋体" w:cs="宋体"/>
                <w:szCs w:val="21"/>
                <w:highlight w:val="none"/>
              </w:rPr>
            </w:pPr>
            <w:r>
              <w:rPr>
                <w:rFonts w:hint="eastAsia" w:ascii="宋体" w:hAnsi="宋体" w:eastAsia="宋体" w:cs="宋体"/>
                <w:szCs w:val="21"/>
                <w:highlight w:val="none"/>
              </w:rPr>
              <w:t>项目名称</w:t>
            </w:r>
          </w:p>
        </w:tc>
        <w:tc>
          <w:tcPr>
            <w:tcW w:w="2704" w:type="dxa"/>
            <w:noWrap w:val="0"/>
            <w:vAlign w:val="center"/>
          </w:tcPr>
          <w:p>
            <w:pPr>
              <w:autoSpaceDE w:val="0"/>
              <w:autoSpaceDN w:val="0"/>
              <w:adjustRightInd w:val="0"/>
              <w:jc w:val="center"/>
              <w:rPr>
                <w:rFonts w:hint="eastAsia" w:ascii="宋体" w:hAnsi="宋体" w:eastAsia="宋体" w:cs="宋体"/>
                <w:szCs w:val="21"/>
                <w:highlight w:val="none"/>
              </w:rPr>
            </w:pPr>
            <w:r>
              <w:rPr>
                <w:rFonts w:hint="eastAsia" w:ascii="宋体" w:hAnsi="宋体" w:eastAsia="宋体" w:cs="宋体"/>
                <w:szCs w:val="21"/>
                <w:highlight w:val="none"/>
              </w:rPr>
              <w:t>项目类型及概况描述</w:t>
            </w:r>
          </w:p>
        </w:tc>
        <w:tc>
          <w:tcPr>
            <w:tcW w:w="1276" w:type="dxa"/>
            <w:noWrap w:val="0"/>
            <w:vAlign w:val="center"/>
          </w:tcPr>
          <w:p>
            <w:pPr>
              <w:autoSpaceDE w:val="0"/>
              <w:autoSpaceDN w:val="0"/>
              <w:adjustRightInd w:val="0"/>
              <w:jc w:val="center"/>
              <w:rPr>
                <w:rFonts w:hint="eastAsia" w:ascii="宋体" w:hAnsi="宋体" w:eastAsia="宋体" w:cs="宋体"/>
                <w:szCs w:val="21"/>
                <w:highlight w:val="none"/>
              </w:rPr>
            </w:pPr>
            <w:r>
              <w:rPr>
                <w:rFonts w:hint="eastAsia" w:ascii="宋体" w:hAnsi="宋体" w:eastAsia="宋体" w:cs="宋体"/>
                <w:szCs w:val="21"/>
                <w:highlight w:val="none"/>
              </w:rPr>
              <w:t>签订时间</w:t>
            </w:r>
          </w:p>
        </w:tc>
        <w:tc>
          <w:tcPr>
            <w:tcW w:w="1417" w:type="dxa"/>
            <w:noWrap w:val="0"/>
            <w:vAlign w:val="center"/>
          </w:tcPr>
          <w:p>
            <w:pPr>
              <w:autoSpaceDE w:val="0"/>
              <w:autoSpaceDN w:val="0"/>
              <w:adjustRightInd w:val="0"/>
              <w:jc w:val="center"/>
              <w:rPr>
                <w:rFonts w:hint="eastAsia" w:ascii="宋体" w:hAnsi="宋体" w:eastAsia="宋体" w:cs="宋体"/>
                <w:szCs w:val="21"/>
                <w:highlight w:val="none"/>
              </w:rPr>
            </w:pPr>
            <w:r>
              <w:rPr>
                <w:rFonts w:hint="eastAsia" w:ascii="宋体" w:hAnsi="宋体" w:eastAsia="宋体" w:cs="宋体"/>
                <w:szCs w:val="21"/>
                <w:highlight w:val="none"/>
              </w:rPr>
              <w:t>合同金额</w:t>
            </w:r>
          </w:p>
        </w:tc>
        <w:tc>
          <w:tcPr>
            <w:tcW w:w="1276" w:type="dxa"/>
            <w:noWrap w:val="0"/>
            <w:vAlign w:val="center"/>
          </w:tcPr>
          <w:p>
            <w:pPr>
              <w:autoSpaceDE w:val="0"/>
              <w:autoSpaceDN w:val="0"/>
              <w:adjustRightInd w:val="0"/>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567" w:type="dxa"/>
            <w:noWrap w:val="0"/>
            <w:vAlign w:val="top"/>
          </w:tcPr>
          <w:p>
            <w:pPr>
              <w:autoSpaceDE w:val="0"/>
              <w:autoSpaceDN w:val="0"/>
              <w:adjustRightIn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w:t>
            </w:r>
          </w:p>
        </w:tc>
        <w:tc>
          <w:tcPr>
            <w:tcW w:w="1258"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2704"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417" w:type="dxa"/>
            <w:noWrap w:val="0"/>
            <w:vAlign w:val="top"/>
          </w:tcPr>
          <w:p>
            <w:pPr>
              <w:autoSpaceDE w:val="0"/>
              <w:autoSpaceDN w:val="0"/>
              <w:adjustRightInd w:val="0"/>
              <w:spacing w:line="360" w:lineRule="auto"/>
              <w:rPr>
                <w:rFonts w:hint="eastAsia" w:ascii="宋体" w:hAnsi="宋体" w:eastAsia="宋体" w:cs="宋体"/>
                <w:szCs w:val="21"/>
                <w:highlight w:val="none"/>
              </w:rPr>
            </w:pPr>
          </w:p>
        </w:tc>
        <w:tc>
          <w:tcPr>
            <w:tcW w:w="1276" w:type="dxa"/>
            <w:noWrap w:val="0"/>
            <w:vAlign w:val="top"/>
          </w:tcPr>
          <w:p>
            <w:pPr>
              <w:autoSpaceDE w:val="0"/>
              <w:autoSpaceDN w:val="0"/>
              <w:adjustRightInd w:val="0"/>
              <w:spacing w:line="360" w:lineRule="auto"/>
              <w:rPr>
                <w:rFonts w:hint="eastAsia" w:ascii="宋体" w:hAnsi="宋体" w:eastAsia="宋体" w:cs="宋体"/>
                <w:szCs w:val="21"/>
                <w:highlight w:val="none"/>
              </w:rPr>
            </w:pPr>
          </w:p>
        </w:tc>
      </w:tr>
    </w:tbl>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注：1、业绩须提供合同为证明材料。</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2、本表可扩展；</w:t>
      </w:r>
    </w:p>
    <w:p>
      <w:pPr>
        <w:snapToGrid w:val="0"/>
        <w:spacing w:line="360" w:lineRule="auto"/>
        <w:ind w:firstLine="465"/>
        <w:rPr>
          <w:rFonts w:hint="eastAsia" w:ascii="宋体" w:hAnsi="宋体" w:eastAsia="宋体" w:cs="宋体"/>
          <w:szCs w:val="21"/>
          <w:highlight w:val="none"/>
        </w:rPr>
      </w:pPr>
      <w:r>
        <w:rPr>
          <w:rFonts w:hint="eastAsia" w:ascii="宋体" w:hAnsi="宋体" w:eastAsia="宋体" w:cs="宋体"/>
          <w:szCs w:val="21"/>
          <w:highlight w:val="none"/>
        </w:rPr>
        <w:t>3、若发现提供虚假业绩的，响应文件将被否决。</w:t>
      </w:r>
    </w:p>
    <w:p>
      <w:pPr>
        <w:snapToGrid w:val="0"/>
        <w:spacing w:line="360" w:lineRule="auto"/>
        <w:ind w:firstLine="465"/>
        <w:rPr>
          <w:rFonts w:hint="eastAsia" w:ascii="宋体" w:hAnsi="宋体" w:eastAsia="宋体" w:cs="宋体"/>
          <w:sz w:val="24"/>
          <w:highlight w:val="none"/>
        </w:rPr>
      </w:pPr>
    </w:p>
    <w:p>
      <w:pPr>
        <w:snapToGrid w:val="0"/>
        <w:spacing w:before="50" w:after="120" w:line="360" w:lineRule="auto"/>
        <w:ind w:firstLine="465"/>
        <w:rPr>
          <w:rFonts w:hint="eastAsia" w:ascii="宋体" w:hAnsi="宋体" w:eastAsia="宋体" w:cs="宋体"/>
          <w:sz w:val="24"/>
          <w:highlight w:val="none"/>
        </w:rPr>
      </w:pP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供应商：</w:t>
      </w:r>
      <w:r>
        <w:rPr>
          <w:rFonts w:hint="eastAsia" w:ascii="宋体" w:hAnsi="宋体" w:eastAsia="宋体" w:cs="宋体"/>
          <w:szCs w:val="21"/>
          <w:highlight w:val="none"/>
          <w:u w:val="single"/>
        </w:rPr>
        <w:t>_填写全称并加盖公章</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法定代表人或授权代表签名：</w:t>
      </w:r>
      <w:r>
        <w:rPr>
          <w:rFonts w:hint="eastAsia" w:ascii="宋体" w:hAnsi="宋体" w:eastAsia="宋体" w:cs="宋体"/>
          <w:szCs w:val="21"/>
          <w:highlight w:val="none"/>
          <w:u w:val="single"/>
        </w:rPr>
        <w:t xml:space="preserve"> ________________</w:t>
      </w:r>
      <w:r>
        <w:rPr>
          <w:rFonts w:hint="eastAsia" w:ascii="宋体" w:hAnsi="宋体" w:eastAsia="宋体" w:cs="宋体"/>
          <w:szCs w:val="21"/>
          <w:highlight w:val="none"/>
        </w:rPr>
        <w:t>_</w:t>
      </w:r>
    </w:p>
    <w:p>
      <w:pPr>
        <w:snapToGrid w:val="0"/>
        <w:spacing w:line="360" w:lineRule="auto"/>
        <w:rPr>
          <w:rFonts w:hint="eastAsia" w:ascii="宋体" w:hAnsi="宋体" w:eastAsia="宋体" w:cs="宋体"/>
          <w:highlight w:val="none"/>
        </w:rPr>
      </w:pPr>
      <w:r>
        <w:rPr>
          <w:rFonts w:hint="eastAsia" w:ascii="宋体" w:hAnsi="宋体" w:eastAsia="宋体" w:cs="宋体"/>
          <w:szCs w:val="21"/>
          <w:highlight w:val="none"/>
        </w:rPr>
        <w:t>日  期：</w:t>
      </w:r>
    </w:p>
    <w:p>
      <w:pPr>
        <w:pStyle w:val="20"/>
        <w:widowControl/>
        <w:spacing w:line="240" w:lineRule="auto"/>
        <w:ind w:firstLine="0"/>
        <w:jc w:val="left"/>
        <w:rPr>
          <w:rFonts w:hint="eastAsia" w:ascii="宋体" w:hAnsi="宋体" w:eastAsia="宋体" w:cs="宋体"/>
          <w:sz w:val="22"/>
          <w:szCs w:val="22"/>
          <w:highlight w:val="none"/>
        </w:rPr>
      </w:pPr>
    </w:p>
    <w:p>
      <w:pPr>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rPr>
        <w:br w:type="page"/>
      </w:r>
      <w:r>
        <w:rPr>
          <w:rFonts w:hint="eastAsia" w:ascii="宋体" w:hAnsi="宋体" w:eastAsia="宋体" w:cs="宋体"/>
          <w:b/>
          <w:szCs w:val="21"/>
          <w:highlight w:val="none"/>
        </w:rPr>
        <w:t>格式十：</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项目组实施人员配备表</w:t>
      </w:r>
    </w:p>
    <w:p>
      <w:pPr>
        <w:spacing w:line="360" w:lineRule="auto"/>
        <w:jc w:val="center"/>
        <w:rPr>
          <w:rFonts w:hint="eastAsia" w:ascii="宋体" w:hAnsi="宋体" w:eastAsia="宋体" w:cs="宋体"/>
          <w:b/>
          <w:sz w:val="24"/>
          <w:szCs w:val="21"/>
          <w:highlight w:val="none"/>
        </w:rPr>
      </w:pPr>
    </w:p>
    <w:p>
      <w:pPr>
        <w:spacing w:line="360" w:lineRule="auto"/>
        <w:rPr>
          <w:rFonts w:hint="eastAsia" w:ascii="宋体" w:hAnsi="宋体" w:eastAsia="宋体" w:cs="宋体"/>
          <w:highlight w:val="none"/>
          <w:u w:val="single"/>
        </w:rPr>
      </w:pPr>
      <w:r>
        <w:rPr>
          <w:rFonts w:hint="eastAsia" w:ascii="宋体" w:hAnsi="宋体" w:eastAsia="宋体" w:cs="宋体"/>
          <w:highlight w:val="none"/>
        </w:rPr>
        <w:t xml:space="preserve">项目名称： </w:t>
      </w:r>
    </w:p>
    <w:tbl>
      <w:tblPr>
        <w:tblStyle w:val="44"/>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75"/>
        <w:gridCol w:w="930"/>
        <w:gridCol w:w="1110"/>
        <w:gridCol w:w="1257"/>
        <w:gridCol w:w="982"/>
        <w:gridCol w:w="1545"/>
        <w:gridCol w:w="18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5" w:hRule="atLeast"/>
        </w:trPr>
        <w:tc>
          <w:tcPr>
            <w:tcW w:w="675"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序号</w:t>
            </w:r>
          </w:p>
        </w:tc>
        <w:tc>
          <w:tcPr>
            <w:tcW w:w="930"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类型</w:t>
            </w:r>
          </w:p>
        </w:tc>
        <w:tc>
          <w:tcPr>
            <w:tcW w:w="1110"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姓名</w:t>
            </w:r>
          </w:p>
        </w:tc>
        <w:tc>
          <w:tcPr>
            <w:tcW w:w="1257"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人员岗位</w:t>
            </w:r>
          </w:p>
        </w:tc>
        <w:tc>
          <w:tcPr>
            <w:tcW w:w="982"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年龄</w:t>
            </w:r>
          </w:p>
        </w:tc>
        <w:tc>
          <w:tcPr>
            <w:tcW w:w="1545"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执业资格或职称</w:t>
            </w:r>
          </w:p>
        </w:tc>
        <w:tc>
          <w:tcPr>
            <w:tcW w:w="1811" w:type="dxa"/>
            <w:noWrap w:val="0"/>
            <w:vAlign w:val="center"/>
          </w:tcPr>
          <w:p>
            <w:pPr>
              <w:widowControl/>
              <w:snapToGrid w:val="0"/>
              <w:spacing w:line="400" w:lineRule="exact"/>
              <w:jc w:val="center"/>
              <w:rPr>
                <w:rFonts w:hint="eastAsia" w:ascii="宋体" w:hAnsi="宋体" w:eastAsia="宋体" w:cs="宋体"/>
                <w:b/>
                <w:bCs/>
                <w:kern w:val="0"/>
                <w:highlight w:val="none"/>
              </w:rPr>
            </w:pPr>
            <w:r>
              <w:rPr>
                <w:rFonts w:hint="eastAsia" w:ascii="宋体" w:hAnsi="宋体" w:eastAsia="宋体" w:cs="宋体"/>
                <w:b/>
                <w:bCs/>
                <w:kern w:val="0"/>
                <w:highlight w:val="none"/>
              </w:rPr>
              <w:t>承担过的类似项目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1</w:t>
            </w:r>
          </w:p>
        </w:tc>
        <w:tc>
          <w:tcPr>
            <w:tcW w:w="930" w:type="dxa"/>
            <w:vMerge w:val="restart"/>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团队</w:t>
            </w:r>
          </w:p>
          <w:p>
            <w:pPr>
              <w:widowControl/>
              <w:snapToGrid w:val="0"/>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主要</w:t>
            </w:r>
          </w:p>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szCs w:val="21"/>
                <w:highlight w:val="none"/>
              </w:rPr>
              <w:t>人员</w:t>
            </w: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sz w:val="22"/>
                <w:szCs w:val="22"/>
                <w:highlight w:val="none"/>
              </w:rPr>
              <w:t>项目负责人</w:t>
            </w: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5"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2</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3</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4</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5</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6</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w:t>
            </w: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7</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8</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9</w:t>
            </w:r>
          </w:p>
        </w:tc>
        <w:tc>
          <w:tcPr>
            <w:tcW w:w="930" w:type="dxa"/>
            <w:vMerge w:val="continue"/>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0" w:hRule="atLeast"/>
        </w:trPr>
        <w:tc>
          <w:tcPr>
            <w:tcW w:w="675" w:type="dxa"/>
            <w:noWrap w:val="0"/>
            <w:vAlign w:val="center"/>
          </w:tcPr>
          <w:p>
            <w:pPr>
              <w:widowControl/>
              <w:snapToGrid w:val="0"/>
              <w:spacing w:line="400" w:lineRule="exact"/>
              <w:jc w:val="center"/>
              <w:rPr>
                <w:rFonts w:hint="eastAsia" w:ascii="宋体" w:hAnsi="宋体" w:eastAsia="宋体" w:cs="宋体"/>
                <w:kern w:val="0"/>
                <w:highlight w:val="none"/>
              </w:rPr>
            </w:pPr>
            <w:r>
              <w:rPr>
                <w:rFonts w:hint="eastAsia" w:ascii="宋体" w:hAnsi="宋体" w:eastAsia="宋体" w:cs="宋体"/>
                <w:kern w:val="0"/>
                <w:highlight w:val="none"/>
              </w:rPr>
              <w:t>……</w:t>
            </w:r>
          </w:p>
        </w:tc>
        <w:tc>
          <w:tcPr>
            <w:tcW w:w="93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110" w:type="dxa"/>
            <w:noWrap w:val="0"/>
            <w:vAlign w:val="center"/>
          </w:tcPr>
          <w:p>
            <w:pPr>
              <w:widowControl/>
              <w:snapToGrid w:val="0"/>
              <w:spacing w:line="400" w:lineRule="exact"/>
              <w:ind w:firstLine="480"/>
              <w:rPr>
                <w:rFonts w:hint="eastAsia" w:ascii="宋体" w:hAnsi="宋体" w:eastAsia="宋体" w:cs="宋体"/>
                <w:kern w:val="0"/>
                <w:highlight w:val="none"/>
              </w:rPr>
            </w:pPr>
          </w:p>
        </w:tc>
        <w:tc>
          <w:tcPr>
            <w:tcW w:w="1257" w:type="dxa"/>
            <w:noWrap w:val="0"/>
            <w:vAlign w:val="center"/>
          </w:tcPr>
          <w:p>
            <w:pPr>
              <w:widowControl/>
              <w:snapToGrid w:val="0"/>
              <w:spacing w:line="400" w:lineRule="exact"/>
              <w:jc w:val="center"/>
              <w:rPr>
                <w:rFonts w:hint="eastAsia" w:ascii="宋体" w:hAnsi="宋体" w:eastAsia="宋体" w:cs="宋体"/>
                <w:kern w:val="0"/>
                <w:highlight w:val="none"/>
              </w:rPr>
            </w:pPr>
          </w:p>
        </w:tc>
        <w:tc>
          <w:tcPr>
            <w:tcW w:w="982"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545"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c>
          <w:tcPr>
            <w:tcW w:w="1811" w:type="dxa"/>
            <w:noWrap w:val="0"/>
            <w:vAlign w:val="center"/>
          </w:tcPr>
          <w:p>
            <w:pPr>
              <w:widowControl/>
              <w:snapToGrid w:val="0"/>
              <w:spacing w:line="400" w:lineRule="exact"/>
              <w:ind w:firstLine="480"/>
              <w:jc w:val="center"/>
              <w:rPr>
                <w:rFonts w:hint="eastAsia" w:ascii="宋体" w:hAnsi="宋体" w:eastAsia="宋体" w:cs="宋体"/>
                <w:kern w:val="0"/>
                <w:highlight w:val="none"/>
              </w:rPr>
            </w:pPr>
          </w:p>
        </w:tc>
      </w:tr>
    </w:tbl>
    <w:p>
      <w:pPr>
        <w:spacing w:line="360" w:lineRule="auto"/>
        <w:rPr>
          <w:rFonts w:hint="eastAsia" w:ascii="宋体" w:hAnsi="宋体" w:eastAsia="宋体" w:cs="宋体"/>
          <w:highlight w:val="none"/>
          <w:u w:val="single"/>
        </w:rPr>
      </w:pPr>
    </w:p>
    <w:p>
      <w:pPr>
        <w:spacing w:line="360" w:lineRule="auto"/>
        <w:rPr>
          <w:rFonts w:hint="eastAsia" w:ascii="宋体" w:hAnsi="宋体" w:eastAsia="宋体" w:cs="宋体"/>
          <w:highlight w:val="none"/>
          <w:u w:val="single"/>
        </w:rPr>
      </w:pPr>
    </w:p>
    <w:p>
      <w:pPr>
        <w:tabs>
          <w:tab w:val="left" w:pos="606"/>
        </w:tabs>
        <w:rPr>
          <w:rFonts w:hint="eastAsia" w:ascii="宋体" w:hAnsi="宋体" w:eastAsia="宋体" w:cs="宋体"/>
          <w:bCs/>
          <w:szCs w:val="21"/>
          <w:highlight w:val="none"/>
        </w:rPr>
      </w:pP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供应商（盖章）：</w:t>
      </w: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法定代表人或授权代表(签字或盖章)：</w:t>
      </w:r>
    </w:p>
    <w:p>
      <w:pPr>
        <w:widowControl/>
        <w:adjustRightInd w:val="0"/>
        <w:spacing w:line="360" w:lineRule="auto"/>
        <w:jc w:val="left"/>
        <w:rPr>
          <w:rFonts w:hint="eastAsia" w:ascii="宋体" w:hAnsi="宋体" w:eastAsia="宋体" w:cs="宋体"/>
          <w:highlight w:val="none"/>
        </w:rPr>
      </w:pPr>
      <w:r>
        <w:rPr>
          <w:rFonts w:hint="eastAsia" w:ascii="宋体" w:hAnsi="宋体" w:eastAsia="宋体" w:cs="宋体"/>
          <w:highlight w:val="none"/>
        </w:rPr>
        <w:t xml:space="preserve">日  期：  </w:t>
      </w:r>
    </w:p>
    <w:p>
      <w:pPr>
        <w:jc w:val="left"/>
        <w:rPr>
          <w:rFonts w:hint="eastAsia" w:ascii="宋体" w:hAnsi="宋体" w:eastAsia="宋体" w:cs="宋体"/>
          <w:sz w:val="22"/>
          <w:szCs w:val="22"/>
          <w:highlight w:val="none"/>
        </w:rPr>
      </w:pPr>
    </w:p>
    <w:p>
      <w:pPr>
        <w:jc w:val="left"/>
        <w:rPr>
          <w:rFonts w:hint="eastAsia" w:ascii="宋体" w:hAnsi="宋体" w:eastAsia="宋体" w:cs="宋体"/>
          <w:sz w:val="22"/>
          <w:szCs w:val="22"/>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jc w:val="left"/>
        <w:rPr>
          <w:rFonts w:hint="eastAsia" w:ascii="宋体" w:hAnsi="宋体" w:eastAsia="宋体" w:cs="宋体"/>
          <w:szCs w:val="21"/>
          <w:highlight w:val="none"/>
        </w:rPr>
      </w:pPr>
    </w:p>
    <w:p>
      <w:pPr>
        <w:pStyle w:val="2"/>
        <w:rPr>
          <w:rFonts w:hint="eastAsia"/>
          <w:highlight w:val="none"/>
        </w:rPr>
      </w:pPr>
    </w:p>
    <w:p>
      <w:pPr>
        <w:jc w:val="left"/>
        <w:rPr>
          <w:rFonts w:hint="eastAsia" w:ascii="宋体" w:hAnsi="宋体" w:eastAsia="宋体" w:cs="宋体"/>
          <w:szCs w:val="21"/>
          <w:highlight w:val="none"/>
        </w:rPr>
      </w:pPr>
    </w:p>
    <w:p>
      <w:pPr>
        <w:spacing w:line="360" w:lineRule="auto"/>
        <w:rPr>
          <w:rFonts w:hint="eastAsia" w:ascii="宋体" w:hAnsi="宋体" w:eastAsia="宋体" w:cs="宋体"/>
          <w:b/>
          <w:bCs/>
          <w:spacing w:val="6"/>
          <w:szCs w:val="21"/>
          <w:highlight w:val="none"/>
        </w:rPr>
      </w:pPr>
      <w:r>
        <w:rPr>
          <w:rFonts w:hint="eastAsia" w:ascii="宋体" w:hAnsi="宋体" w:eastAsia="宋体" w:cs="宋体"/>
          <w:b/>
          <w:szCs w:val="21"/>
          <w:highlight w:val="none"/>
        </w:rPr>
        <w:t>附件一：</w:t>
      </w:r>
    </w:p>
    <w:p>
      <w:pPr>
        <w:snapToGrid w:val="0"/>
        <w:spacing w:line="360" w:lineRule="auto"/>
        <w:jc w:val="center"/>
        <w:rPr>
          <w:rFonts w:hint="eastAsia" w:ascii="宋体" w:hAnsi="宋体" w:eastAsia="宋体" w:cs="宋体"/>
          <w:bCs/>
          <w:spacing w:val="6"/>
          <w:szCs w:val="21"/>
          <w:highlight w:val="none"/>
        </w:rPr>
      </w:pPr>
    </w:p>
    <w:p>
      <w:pPr>
        <w:snapToGrid w:val="0"/>
        <w:spacing w:line="360" w:lineRule="auto"/>
        <w:jc w:val="center"/>
        <w:rPr>
          <w:rFonts w:hint="eastAsia" w:ascii="宋体" w:hAnsi="宋体" w:eastAsia="宋体" w:cs="宋体"/>
          <w:b/>
          <w:szCs w:val="21"/>
          <w:highlight w:val="none"/>
        </w:rPr>
      </w:pPr>
      <w:r>
        <w:rPr>
          <w:rFonts w:hint="eastAsia" w:ascii="宋体" w:hAnsi="宋体" w:eastAsia="宋体" w:cs="宋体"/>
          <w:b/>
          <w:kern w:val="0"/>
          <w:szCs w:val="21"/>
          <w:highlight w:val="none"/>
        </w:rPr>
        <w:t>中小企业</w:t>
      </w:r>
      <w:r>
        <w:rPr>
          <w:rFonts w:hint="eastAsia" w:ascii="宋体" w:hAnsi="宋体" w:eastAsia="宋体" w:cs="宋体"/>
          <w:b/>
          <w:szCs w:val="21"/>
          <w:highlight w:val="none"/>
        </w:rPr>
        <w:t>声明函（货物）</w:t>
      </w:r>
    </w:p>
    <w:p>
      <w:pPr>
        <w:spacing w:line="276" w:lineRule="auto"/>
        <w:jc w:val="center"/>
        <w:rPr>
          <w:rFonts w:hint="eastAsia" w:ascii="宋体" w:hAnsi="宋体" w:eastAsia="宋体" w:cs="宋体"/>
          <w:b/>
          <w:sz w:val="24"/>
          <w:highlight w:val="none"/>
        </w:rPr>
      </w:pPr>
      <w:r>
        <w:rPr>
          <w:rFonts w:hint="eastAsia" w:ascii="宋体" w:hAnsi="宋体" w:eastAsia="宋体" w:cs="宋体"/>
          <w:b/>
          <w:sz w:val="24"/>
          <w:highlight w:val="none"/>
        </w:rPr>
        <w:t>（如非小微企业，可不提供此声明函）</w:t>
      </w:r>
    </w:p>
    <w:p>
      <w:pPr>
        <w:autoSpaceDN w:val="0"/>
        <w:spacing w:line="360" w:lineRule="auto"/>
        <w:jc w:val="center"/>
        <w:rPr>
          <w:rFonts w:hint="eastAsia" w:ascii="宋体" w:hAnsi="宋体" w:eastAsia="宋体" w:cs="宋体"/>
          <w:b/>
          <w:bCs/>
          <w:szCs w:val="21"/>
          <w:highlight w:val="none"/>
        </w:rPr>
      </w:pP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本公司（联合体）郑重声明，根据《政府采购促进中小企业发展管理办法》（财库﹝2020﹞46 号）的规定，本公司</w:t>
      </w:r>
      <w:r>
        <w:rPr>
          <w:rFonts w:hint="eastAsia" w:ascii="宋体" w:hAnsi="宋体" w:eastAsia="宋体" w:cs="宋体"/>
          <w:spacing w:val="6"/>
          <w:szCs w:val="21"/>
          <w:highlight w:val="none"/>
          <w:u w:val="single"/>
        </w:rPr>
        <w:t>（联合体）</w:t>
      </w:r>
      <w:r>
        <w:rPr>
          <w:rFonts w:hint="eastAsia" w:ascii="宋体" w:hAnsi="宋体" w:eastAsia="宋体" w:cs="宋体"/>
          <w:spacing w:val="6"/>
          <w:szCs w:val="21"/>
          <w:highlight w:val="none"/>
        </w:rPr>
        <w:t>参加</w:t>
      </w:r>
      <w:r>
        <w:rPr>
          <w:rFonts w:hint="eastAsia" w:ascii="宋体" w:hAnsi="宋体" w:eastAsia="宋体" w:cs="宋体"/>
          <w:spacing w:val="6"/>
          <w:szCs w:val="21"/>
          <w:highlight w:val="none"/>
          <w:u w:val="single"/>
        </w:rPr>
        <w:t>（单位名称）</w:t>
      </w:r>
      <w:r>
        <w:rPr>
          <w:rFonts w:hint="eastAsia" w:ascii="宋体" w:hAnsi="宋体" w:eastAsia="宋体" w:cs="宋体"/>
          <w:spacing w:val="6"/>
          <w:szCs w:val="21"/>
          <w:highlight w:val="none"/>
        </w:rPr>
        <w:t>的</w:t>
      </w:r>
      <w:r>
        <w:rPr>
          <w:rFonts w:hint="eastAsia" w:ascii="宋体" w:hAnsi="宋体" w:eastAsia="宋体" w:cs="宋体"/>
          <w:spacing w:val="6"/>
          <w:szCs w:val="21"/>
          <w:highlight w:val="none"/>
          <w:u w:val="single"/>
        </w:rPr>
        <w:t>（项目名称）</w:t>
      </w:r>
      <w:r>
        <w:rPr>
          <w:rFonts w:hint="eastAsia" w:ascii="宋体" w:hAnsi="宋体" w:eastAsia="宋体" w:cs="宋体"/>
          <w:spacing w:val="6"/>
          <w:szCs w:val="21"/>
          <w:highlight w:val="none"/>
        </w:rPr>
        <w:t>采购活动，提</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rPr>
        <w:t>供的货物全部由符合政策要求的中小企业制造。相关企业（含联合体中的中小企业、签订分包意向协议的中小企业） 的具体情况如下：</w:t>
      </w: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 xml:space="preserve"> 1、</w:t>
      </w:r>
      <w:r>
        <w:rPr>
          <w:rFonts w:hint="eastAsia" w:ascii="宋体" w:hAnsi="宋体" w:eastAsia="宋体" w:cs="宋体"/>
          <w:spacing w:val="6"/>
          <w:szCs w:val="21"/>
          <w:highlight w:val="none"/>
          <w:u w:val="single"/>
        </w:rPr>
        <w:t xml:space="preserve">（标的名称） </w:t>
      </w:r>
      <w:r>
        <w:rPr>
          <w:rFonts w:hint="eastAsia" w:ascii="宋体" w:hAnsi="宋体" w:eastAsia="宋体" w:cs="宋体"/>
          <w:spacing w:val="6"/>
          <w:szCs w:val="21"/>
          <w:highlight w:val="none"/>
        </w:rPr>
        <w:t>，属于</w:t>
      </w:r>
      <w:r>
        <w:rPr>
          <w:rFonts w:hint="eastAsia" w:ascii="宋体" w:hAnsi="宋体" w:eastAsia="宋体" w:cs="宋体"/>
          <w:spacing w:val="6"/>
          <w:szCs w:val="21"/>
          <w:highlight w:val="none"/>
          <w:u w:val="single"/>
        </w:rPr>
        <w:t>（采购文件中明确的所属行业）行业</w:t>
      </w:r>
      <w:r>
        <w:rPr>
          <w:rFonts w:hint="eastAsia" w:ascii="宋体" w:hAnsi="宋体" w:eastAsia="宋体" w:cs="宋体"/>
          <w:spacing w:val="6"/>
          <w:szCs w:val="21"/>
          <w:highlight w:val="none"/>
        </w:rPr>
        <w:t>；制造商为</w:t>
      </w:r>
      <w:r>
        <w:rPr>
          <w:rFonts w:hint="eastAsia" w:ascii="宋体" w:hAnsi="宋体" w:eastAsia="宋体" w:cs="宋体"/>
          <w:spacing w:val="6"/>
          <w:szCs w:val="21"/>
          <w:highlight w:val="none"/>
          <w:u w:val="single"/>
        </w:rPr>
        <w:t>（企业名称）</w:t>
      </w:r>
      <w:r>
        <w:rPr>
          <w:rFonts w:hint="eastAsia" w:ascii="宋体" w:hAnsi="宋体" w:eastAsia="宋体" w:cs="宋体"/>
          <w:spacing w:val="6"/>
          <w:szCs w:val="21"/>
          <w:highlight w:val="none"/>
        </w:rPr>
        <w:t>，从业人员</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u w:val="single"/>
        </w:rPr>
        <w:tab/>
      </w:r>
      <w:r>
        <w:rPr>
          <w:rFonts w:hint="eastAsia" w:ascii="宋体" w:hAnsi="宋体" w:eastAsia="宋体" w:cs="宋体"/>
          <w:spacing w:val="6"/>
          <w:szCs w:val="21"/>
          <w:highlight w:val="none"/>
        </w:rPr>
        <w:t>人，营业收入为</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u w:val="single"/>
        </w:rPr>
        <w:tab/>
      </w:r>
      <w:r>
        <w:rPr>
          <w:rFonts w:hint="eastAsia" w:ascii="宋体" w:hAnsi="宋体" w:eastAsia="宋体" w:cs="宋体"/>
          <w:spacing w:val="6"/>
          <w:szCs w:val="21"/>
          <w:highlight w:val="none"/>
        </w:rPr>
        <w:t>万元，资产总额为</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u w:val="single"/>
        </w:rPr>
        <w:tab/>
      </w:r>
      <w:r>
        <w:rPr>
          <w:rFonts w:hint="eastAsia" w:ascii="宋体" w:hAnsi="宋体" w:eastAsia="宋体" w:cs="宋体"/>
          <w:spacing w:val="6"/>
          <w:szCs w:val="21"/>
          <w:highlight w:val="none"/>
        </w:rPr>
        <w:t>万元，属于</w:t>
      </w:r>
      <w:r>
        <w:rPr>
          <w:rFonts w:hint="eastAsia" w:ascii="宋体" w:hAnsi="宋体" w:eastAsia="宋体" w:cs="宋体"/>
          <w:spacing w:val="6"/>
          <w:szCs w:val="21"/>
          <w:highlight w:val="none"/>
          <w:u w:val="single"/>
        </w:rPr>
        <w:t>（中型企业、小型企业、微型企业）</w:t>
      </w:r>
      <w:r>
        <w:rPr>
          <w:rFonts w:hint="eastAsia" w:ascii="宋体" w:hAnsi="宋体" w:eastAsia="宋体" w:cs="宋体"/>
          <w:spacing w:val="6"/>
          <w:szCs w:val="21"/>
          <w:highlight w:val="none"/>
        </w:rPr>
        <w:t>；</w:t>
      </w: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2、</w:t>
      </w:r>
      <w:r>
        <w:rPr>
          <w:rFonts w:hint="eastAsia" w:ascii="宋体" w:hAnsi="宋体" w:eastAsia="宋体" w:cs="宋体"/>
          <w:spacing w:val="6"/>
          <w:szCs w:val="21"/>
          <w:highlight w:val="none"/>
          <w:u w:val="single"/>
        </w:rPr>
        <w:t xml:space="preserve"> （标的名称） </w:t>
      </w:r>
      <w:r>
        <w:rPr>
          <w:rFonts w:hint="eastAsia" w:ascii="宋体" w:hAnsi="宋体" w:eastAsia="宋体" w:cs="宋体"/>
          <w:spacing w:val="6"/>
          <w:szCs w:val="21"/>
          <w:highlight w:val="none"/>
        </w:rPr>
        <w:t>，属于</w:t>
      </w:r>
      <w:r>
        <w:rPr>
          <w:rFonts w:hint="eastAsia" w:ascii="宋体" w:hAnsi="宋体" w:eastAsia="宋体" w:cs="宋体"/>
          <w:spacing w:val="6"/>
          <w:szCs w:val="21"/>
          <w:highlight w:val="none"/>
          <w:u w:val="single"/>
        </w:rPr>
        <w:t>（采购文件中明确的所属行业）</w:t>
      </w:r>
      <w:r>
        <w:rPr>
          <w:rFonts w:hint="eastAsia" w:ascii="宋体" w:hAnsi="宋体" w:eastAsia="宋体" w:cs="宋体"/>
          <w:spacing w:val="6"/>
          <w:szCs w:val="21"/>
          <w:highlight w:val="none"/>
        </w:rPr>
        <w:t>行业；制造商为（企业名称），从业人员</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u w:val="single"/>
        </w:rPr>
        <w:tab/>
      </w:r>
      <w:r>
        <w:rPr>
          <w:rFonts w:hint="eastAsia" w:ascii="宋体" w:hAnsi="宋体" w:eastAsia="宋体" w:cs="宋体"/>
          <w:spacing w:val="6"/>
          <w:szCs w:val="21"/>
          <w:highlight w:val="none"/>
        </w:rPr>
        <w:t>人，营业收入为</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u w:val="single"/>
        </w:rPr>
        <w:tab/>
      </w:r>
      <w:r>
        <w:rPr>
          <w:rFonts w:hint="eastAsia" w:ascii="宋体" w:hAnsi="宋体" w:eastAsia="宋体" w:cs="宋体"/>
          <w:spacing w:val="6"/>
          <w:szCs w:val="21"/>
          <w:highlight w:val="none"/>
        </w:rPr>
        <w:t>万元，资产总额为</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u w:val="single"/>
        </w:rPr>
        <w:tab/>
      </w:r>
      <w:r>
        <w:rPr>
          <w:rFonts w:hint="eastAsia" w:ascii="宋体" w:hAnsi="宋体" w:eastAsia="宋体" w:cs="宋体"/>
          <w:spacing w:val="6"/>
          <w:szCs w:val="21"/>
          <w:highlight w:val="none"/>
        </w:rPr>
        <w:t>万元，属于</w:t>
      </w:r>
      <w:r>
        <w:rPr>
          <w:rFonts w:hint="eastAsia" w:ascii="宋体" w:hAnsi="宋体" w:eastAsia="宋体" w:cs="宋体"/>
          <w:spacing w:val="6"/>
          <w:szCs w:val="21"/>
          <w:highlight w:val="none"/>
          <w:u w:val="single"/>
        </w:rPr>
        <w:t>（中型企业、小型企业、微型企业）</w:t>
      </w:r>
      <w:r>
        <w:rPr>
          <w:rFonts w:hint="eastAsia" w:ascii="宋体" w:hAnsi="宋体" w:eastAsia="宋体" w:cs="宋体"/>
          <w:spacing w:val="6"/>
          <w:szCs w:val="21"/>
          <w:highlight w:val="none"/>
        </w:rPr>
        <w:t>；</w:t>
      </w: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w:t>
      </w: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以上企业，不属于大企业的分支机构，不存在控股股东为大企业的情形，也不存在与大企业的负责人为同一人的情形。</w:t>
      </w:r>
    </w:p>
    <w:p>
      <w:pPr>
        <w:spacing w:line="360" w:lineRule="auto"/>
        <w:ind w:firstLine="444" w:firstLineChars="200"/>
        <w:rPr>
          <w:rFonts w:hint="eastAsia" w:ascii="宋体" w:hAnsi="宋体" w:eastAsia="宋体" w:cs="宋体"/>
          <w:spacing w:val="6"/>
          <w:szCs w:val="21"/>
          <w:highlight w:val="none"/>
        </w:rPr>
      </w:pPr>
      <w:r>
        <w:rPr>
          <w:rFonts w:hint="eastAsia" w:ascii="宋体" w:hAnsi="宋体" w:eastAsia="宋体" w:cs="宋体"/>
          <w:spacing w:val="6"/>
          <w:szCs w:val="21"/>
          <w:highlight w:val="none"/>
        </w:rPr>
        <w:t>本企业对上述声明内容的真实性负责。如有虚假，将依法承担相应责任。</w:t>
      </w:r>
    </w:p>
    <w:p>
      <w:pPr>
        <w:spacing w:line="360" w:lineRule="auto"/>
        <w:ind w:firstLine="444" w:firstLineChars="200"/>
        <w:jc w:val="center"/>
        <w:rPr>
          <w:rFonts w:hint="eastAsia" w:ascii="宋体" w:hAnsi="宋体" w:eastAsia="宋体" w:cs="宋体"/>
          <w:spacing w:val="6"/>
          <w:szCs w:val="21"/>
          <w:highlight w:val="none"/>
        </w:rPr>
      </w:pPr>
      <w:r>
        <w:rPr>
          <w:rFonts w:hint="eastAsia" w:ascii="宋体" w:hAnsi="宋体" w:eastAsia="宋体" w:cs="宋体"/>
          <w:spacing w:val="6"/>
          <w:szCs w:val="21"/>
          <w:highlight w:val="none"/>
        </w:rPr>
        <w:t xml:space="preserve">                              </w:t>
      </w:r>
    </w:p>
    <w:p>
      <w:pPr>
        <w:spacing w:line="360" w:lineRule="auto"/>
        <w:ind w:firstLine="444" w:firstLineChars="200"/>
        <w:jc w:val="center"/>
        <w:rPr>
          <w:rFonts w:hint="eastAsia" w:ascii="宋体" w:hAnsi="宋体" w:eastAsia="宋体" w:cs="宋体"/>
          <w:spacing w:val="6"/>
          <w:szCs w:val="21"/>
          <w:highlight w:val="none"/>
        </w:rPr>
      </w:pPr>
      <w:r>
        <w:rPr>
          <w:rFonts w:hint="eastAsia" w:ascii="宋体" w:hAnsi="宋体" w:eastAsia="宋体" w:cs="宋体"/>
          <w:spacing w:val="6"/>
          <w:szCs w:val="21"/>
          <w:highlight w:val="none"/>
        </w:rPr>
        <w:t xml:space="preserve">                             企业名称（盖章）：</w:t>
      </w:r>
    </w:p>
    <w:p>
      <w:pPr>
        <w:spacing w:line="360" w:lineRule="auto"/>
        <w:ind w:firstLine="444" w:firstLineChars="200"/>
        <w:jc w:val="center"/>
        <w:rPr>
          <w:rFonts w:hint="eastAsia" w:ascii="宋体" w:hAnsi="宋体" w:eastAsia="宋体" w:cs="宋体"/>
          <w:spacing w:val="6"/>
          <w:szCs w:val="21"/>
          <w:highlight w:val="none"/>
        </w:rPr>
      </w:pPr>
      <w:r>
        <w:rPr>
          <w:rFonts w:hint="eastAsia" w:ascii="宋体" w:hAnsi="宋体" w:eastAsia="宋体" w:cs="宋体"/>
          <w:spacing w:val="6"/>
          <w:szCs w:val="21"/>
          <w:highlight w:val="none"/>
        </w:rPr>
        <w:t xml:space="preserve">                   日期：</w:t>
      </w:r>
    </w:p>
    <w:p>
      <w:pPr>
        <w:spacing w:line="360" w:lineRule="auto"/>
        <w:ind w:left="2" w:leftChars="1" w:right="46"/>
        <w:rPr>
          <w:rFonts w:hint="eastAsia" w:ascii="宋体" w:hAnsi="宋体" w:eastAsia="宋体" w:cs="宋体"/>
          <w:spacing w:val="6"/>
          <w:szCs w:val="21"/>
          <w:highlight w:val="none"/>
        </w:rPr>
      </w:pPr>
    </w:p>
    <w:p>
      <w:pPr>
        <w:spacing w:line="360" w:lineRule="auto"/>
        <w:ind w:left="2" w:leftChars="1" w:right="46"/>
        <w:rPr>
          <w:rFonts w:hint="eastAsia" w:ascii="宋体" w:hAnsi="宋体" w:eastAsia="宋体" w:cs="宋体"/>
          <w:spacing w:val="6"/>
          <w:szCs w:val="21"/>
          <w:highlight w:val="none"/>
        </w:rPr>
      </w:pPr>
    </w:p>
    <w:p>
      <w:pPr>
        <w:spacing w:line="360" w:lineRule="auto"/>
        <w:ind w:left="2" w:leftChars="1" w:right="46"/>
        <w:rPr>
          <w:rFonts w:hint="eastAsia" w:ascii="宋体" w:hAnsi="宋体" w:eastAsia="宋体" w:cs="宋体"/>
          <w:spacing w:val="6"/>
          <w:szCs w:val="21"/>
          <w:highlight w:val="none"/>
        </w:rPr>
      </w:pPr>
      <w:r>
        <w:rPr>
          <w:rFonts w:hint="eastAsia" w:ascii="宋体" w:hAnsi="宋体" w:eastAsia="宋体" w:cs="宋体"/>
          <w:spacing w:val="6"/>
          <w:szCs w:val="21"/>
          <w:highlight w:val="none"/>
        </w:rPr>
        <w:t>注：从业人员、营业收入、资产总额填报上一年度数据，无上一年度数据的新成立企业可不填报。</w:t>
      </w:r>
    </w:p>
    <w:p>
      <w:pPr>
        <w:tabs>
          <w:tab w:val="left" w:pos="4860"/>
        </w:tabs>
        <w:spacing w:line="360" w:lineRule="auto"/>
        <w:ind w:left="222" w:right="46" w:hanging="222" w:hangingChars="100"/>
        <w:rPr>
          <w:rFonts w:hint="eastAsia" w:ascii="宋体" w:hAnsi="宋体" w:eastAsia="宋体" w:cs="宋体"/>
          <w:spacing w:val="6"/>
          <w:szCs w:val="21"/>
          <w:highlight w:val="none"/>
        </w:rPr>
      </w:pPr>
    </w:p>
    <w:p>
      <w:pPr>
        <w:rPr>
          <w:rFonts w:hint="eastAsia" w:ascii="宋体" w:hAnsi="宋体" w:eastAsia="宋体" w:cs="宋体"/>
          <w:b/>
          <w:spacing w:val="6"/>
          <w:sz w:val="28"/>
          <w:szCs w:val="28"/>
          <w:highlight w:val="none"/>
        </w:rPr>
        <w:sectPr>
          <w:pgSz w:w="11907" w:h="16840"/>
          <w:pgMar w:top="1304" w:right="1588" w:bottom="1304" w:left="1588" w:header="720" w:footer="720" w:gutter="0"/>
          <w:cols w:space="720" w:num="1"/>
          <w:docGrid w:linePitch="285" w:charSpace="0"/>
        </w:sectPr>
      </w:pPr>
    </w:p>
    <w:p>
      <w:pPr>
        <w:spacing w:line="360" w:lineRule="auto"/>
        <w:rPr>
          <w:rFonts w:hint="eastAsia" w:ascii="宋体" w:hAnsi="宋体" w:eastAsia="宋体" w:cs="宋体"/>
          <w:b/>
          <w:szCs w:val="21"/>
          <w:highlight w:val="none"/>
        </w:rPr>
      </w:pPr>
      <w:bookmarkStart w:id="29" w:name="OLE_LINK13"/>
      <w:bookmarkStart w:id="30" w:name="OLE_LINK14"/>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附件二：</w:t>
      </w:r>
    </w:p>
    <w:p>
      <w:pPr>
        <w:snapToGrid w:val="0"/>
        <w:spacing w:before="50" w:after="50" w:line="360" w:lineRule="auto"/>
        <w:ind w:left="-23" w:leftChars="-11" w:right="-214" w:rightChars="-102" w:firstLine="21" w:firstLineChars="10"/>
        <w:jc w:val="center"/>
        <w:rPr>
          <w:rFonts w:hint="eastAsia" w:ascii="宋体" w:hAnsi="宋体" w:eastAsia="宋体" w:cs="宋体"/>
          <w:b/>
          <w:spacing w:val="6"/>
          <w:szCs w:val="21"/>
          <w:highlight w:val="none"/>
        </w:rPr>
      </w:pPr>
      <w:r>
        <w:rPr>
          <w:rFonts w:hint="eastAsia" w:ascii="宋体" w:hAnsi="宋体" w:eastAsia="宋体" w:cs="宋体"/>
          <w:b/>
          <w:szCs w:val="21"/>
          <w:highlight w:val="none"/>
        </w:rPr>
        <w:t>残疾人福利性单位声明函</w:t>
      </w:r>
      <w:bookmarkEnd w:id="29"/>
      <w:bookmarkEnd w:id="30"/>
    </w:p>
    <w:p>
      <w:pPr>
        <w:spacing w:line="588"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本单位对上述声明的真实性负责。如有虚假，将依法承担相应责任。</w:t>
      </w:r>
    </w:p>
    <w:p>
      <w:pPr>
        <w:tabs>
          <w:tab w:val="left" w:pos="4860"/>
        </w:tabs>
        <w:spacing w:line="588" w:lineRule="exact"/>
        <w:ind w:right="1560" w:firstLine="420" w:firstLineChars="200"/>
        <w:jc w:val="center"/>
        <w:rPr>
          <w:rFonts w:hint="eastAsia" w:ascii="宋体" w:hAnsi="宋体" w:eastAsia="宋体" w:cs="宋体"/>
          <w:szCs w:val="21"/>
          <w:highlight w:val="none"/>
        </w:rPr>
      </w:pPr>
    </w:p>
    <w:p>
      <w:pPr>
        <w:tabs>
          <w:tab w:val="left" w:pos="4860"/>
        </w:tabs>
        <w:spacing w:line="588" w:lineRule="exact"/>
        <w:ind w:right="1560" w:firstLine="420" w:firstLineChars="200"/>
        <w:jc w:val="center"/>
        <w:rPr>
          <w:rFonts w:hint="eastAsia" w:ascii="宋体" w:hAnsi="宋体" w:eastAsia="宋体" w:cs="宋体"/>
          <w:szCs w:val="21"/>
          <w:highlight w:val="none"/>
        </w:rPr>
      </w:pPr>
    </w:p>
    <w:p>
      <w:pPr>
        <w:tabs>
          <w:tab w:val="left" w:pos="4860"/>
        </w:tabs>
        <w:spacing w:line="588" w:lineRule="exact"/>
        <w:ind w:right="1560" w:firstLine="420" w:firstLineChars="200"/>
        <w:jc w:val="center"/>
        <w:rPr>
          <w:rFonts w:hint="eastAsia" w:ascii="宋体" w:hAnsi="宋体" w:eastAsia="宋体" w:cs="宋体"/>
          <w:szCs w:val="21"/>
          <w:highlight w:val="none"/>
        </w:rPr>
      </w:pPr>
      <w:r>
        <w:rPr>
          <w:rFonts w:hint="eastAsia" w:ascii="宋体" w:hAnsi="宋体" w:eastAsia="宋体" w:cs="宋体"/>
          <w:szCs w:val="21"/>
          <w:highlight w:val="none"/>
        </w:rPr>
        <w:t xml:space="preserve">               单位名称（盖章）：</w:t>
      </w:r>
    </w:p>
    <w:p>
      <w:pPr>
        <w:spacing w:line="380" w:lineRule="exact"/>
        <w:rPr>
          <w:rFonts w:hint="eastAsia" w:ascii="宋体" w:hAnsi="宋体" w:eastAsia="宋体" w:cs="宋体"/>
          <w:szCs w:val="21"/>
          <w:highlight w:val="none"/>
        </w:rPr>
      </w:pPr>
      <w:r>
        <w:rPr>
          <w:rFonts w:hint="eastAsia" w:ascii="宋体" w:hAnsi="宋体" w:eastAsia="宋体" w:cs="宋体"/>
          <w:szCs w:val="21"/>
          <w:highlight w:val="none"/>
        </w:rPr>
        <w:t xml:space="preserve">                                   日  期：</w:t>
      </w:r>
    </w:p>
    <w:p>
      <w:pPr>
        <w:spacing w:line="400" w:lineRule="exact"/>
        <w:ind w:firstLine="422" w:firstLineChars="200"/>
        <w:rPr>
          <w:rFonts w:hint="eastAsia" w:ascii="宋体" w:hAnsi="宋体" w:eastAsia="宋体" w:cs="宋体"/>
          <w:b/>
          <w:szCs w:val="21"/>
          <w:highlight w:val="none"/>
        </w:rPr>
      </w:pP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注：</w:t>
      </w: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享受政府采购支持政策的残疾人福利性单位应当同时满足以下条件：</w:t>
      </w: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（一）安置的残疾人占本单位在职职工人数的比例不低于25%（含25%），并且安置的残疾人人数不少于10人（含10人）；</w:t>
      </w: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（二）依法与安置的每位残疾人签订了一年以上（含一年）的劳动合同或服务协议；</w:t>
      </w: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（三）为安置的每位残疾人按月足额缴纳了基本养老保险、基本医疗保险、失业保险、工伤保险和生育保险等社会保险费；</w:t>
      </w: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（四）通过银行等金融机构向安置的每位残疾人，按月支付了不低于单位所在区县适用的经省级人民政府批准的月最低工资标准的工资；</w:t>
      </w:r>
    </w:p>
    <w:p>
      <w:pPr>
        <w:spacing w:line="400" w:lineRule="exact"/>
        <w:ind w:firstLine="422" w:firstLineChars="200"/>
        <w:rPr>
          <w:rFonts w:hint="eastAsia" w:ascii="宋体" w:hAnsi="宋体" w:eastAsia="宋体" w:cs="宋体"/>
          <w:b/>
          <w:szCs w:val="21"/>
          <w:highlight w:val="none"/>
        </w:rPr>
      </w:pPr>
      <w:r>
        <w:rPr>
          <w:rFonts w:hint="eastAsia" w:ascii="宋体" w:hAnsi="宋体" w:eastAsia="宋体" w:cs="宋体"/>
          <w:b/>
          <w:szCs w:val="21"/>
          <w:highlight w:val="none"/>
        </w:rPr>
        <w:t>（五）提供本单位制造的货物、承担的工程或者服务（以下简称产品），或者提供其他残疾人福利性单位制造的货物（不包括使用非残疾人福利性单位注册商标的货物）。</w:t>
      </w:r>
    </w:p>
    <w:p>
      <w:pPr>
        <w:spacing w:line="380" w:lineRule="exact"/>
        <w:rPr>
          <w:rFonts w:hint="eastAsia" w:ascii="宋体" w:hAnsi="宋体" w:eastAsia="宋体" w:cs="宋体"/>
          <w:szCs w:val="21"/>
          <w:highlight w:val="none"/>
        </w:rPr>
      </w:pPr>
      <w:r>
        <w:rPr>
          <w:rFonts w:hint="eastAsia" w:ascii="宋体" w:hAnsi="宋体" w:eastAsia="宋体" w:cs="宋体"/>
          <w:b/>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hint="eastAsia" w:ascii="宋体" w:hAnsi="宋体" w:eastAsia="宋体" w:cs="宋体"/>
          <w:b/>
          <w:szCs w:val="21"/>
          <w:highlight w:val="none"/>
        </w:rPr>
      </w:pPr>
      <w:r>
        <w:rPr>
          <w:rFonts w:hint="eastAsia" w:ascii="宋体" w:hAnsi="宋体" w:eastAsia="宋体" w:cs="宋体"/>
          <w:szCs w:val="21"/>
          <w:highlight w:val="none"/>
        </w:rPr>
        <w:br w:type="page"/>
      </w:r>
    </w:p>
    <w:p>
      <w:pPr>
        <w:spacing w:line="360" w:lineRule="auto"/>
        <w:rPr>
          <w:rFonts w:hint="eastAsia" w:ascii="宋体" w:hAnsi="宋体" w:eastAsia="宋体" w:cs="宋体"/>
          <w:b/>
          <w:szCs w:val="21"/>
          <w:highlight w:val="none"/>
        </w:rPr>
      </w:pPr>
      <w:r>
        <w:rPr>
          <w:rFonts w:hint="eastAsia" w:ascii="宋体" w:hAnsi="宋体" w:eastAsia="宋体" w:cs="宋体"/>
          <w:b/>
          <w:szCs w:val="21"/>
          <w:highlight w:val="none"/>
        </w:rPr>
        <w:t>附件三：</w:t>
      </w:r>
    </w:p>
    <w:p>
      <w:pPr>
        <w:jc w:val="center"/>
        <w:rPr>
          <w:rFonts w:hint="eastAsia" w:ascii="宋体" w:hAnsi="宋体" w:eastAsia="宋体" w:cs="宋体"/>
          <w:b/>
          <w:bCs/>
          <w:sz w:val="28"/>
          <w:szCs w:val="28"/>
          <w:highlight w:val="none"/>
        </w:rPr>
      </w:pPr>
      <w:r>
        <w:rPr>
          <w:rFonts w:hint="eastAsia" w:ascii="宋体" w:hAnsi="宋体" w:eastAsia="宋体" w:cs="宋体"/>
          <w:b/>
          <w:szCs w:val="21"/>
          <w:highlight w:val="none"/>
        </w:rPr>
        <w:t>监狱企业声明函</w:t>
      </w:r>
    </w:p>
    <w:p>
      <w:pPr>
        <w:spacing w:line="360" w:lineRule="auto"/>
        <w:ind w:firstLine="525" w:firstLineChars="250"/>
        <w:rPr>
          <w:rFonts w:hint="eastAsia" w:ascii="宋体" w:hAnsi="宋体" w:eastAsia="宋体" w:cs="宋体"/>
          <w:szCs w:val="21"/>
          <w:highlight w:val="none"/>
        </w:rPr>
      </w:pPr>
    </w:p>
    <w:p>
      <w:pPr>
        <w:spacing w:line="360" w:lineRule="auto"/>
        <w:ind w:firstLine="525" w:firstLineChars="250"/>
        <w:rPr>
          <w:rFonts w:hint="eastAsia" w:ascii="宋体" w:hAnsi="宋体" w:eastAsia="宋体" w:cs="宋体"/>
          <w:szCs w:val="21"/>
          <w:highlight w:val="none"/>
        </w:rPr>
      </w:pPr>
      <w:r>
        <w:rPr>
          <w:rFonts w:hint="eastAsia" w:ascii="宋体" w:hAnsi="宋体" w:eastAsia="宋体" w:cs="宋体"/>
          <w:szCs w:val="21"/>
          <w:highlight w:val="none"/>
        </w:rPr>
        <w:t>监狱企业参加政府采购活动时，应当提供由省级以上监狱管理本企业郑重声明，根据《关于政府采购支持监狱企业发展有关问题的通知》（财库[2014]68号）的规定，本企业为监狱企业。</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根据上述标准，我企业属于监狱企业的理由为：。</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本企业为参加（项目名称： ）（项目编号： ）采购活动提供本企业的产品。</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本企业对上述声明的真实性负责。如有虚假，将依法承担相应责任。</w:t>
      </w:r>
    </w:p>
    <w:p>
      <w:pPr>
        <w:spacing w:line="360" w:lineRule="auto"/>
        <w:ind w:firstLine="480"/>
        <w:rPr>
          <w:rFonts w:hint="eastAsia" w:ascii="宋体" w:hAnsi="宋体" w:eastAsia="宋体" w:cs="宋体"/>
          <w:szCs w:val="21"/>
          <w:highlight w:val="none"/>
        </w:rPr>
      </w:pP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供应商名称（盖章）：</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日期： 年 月 日</w:t>
      </w:r>
    </w:p>
    <w:p>
      <w:pPr>
        <w:spacing w:line="360" w:lineRule="auto"/>
        <w:ind w:firstLine="480"/>
        <w:rPr>
          <w:rFonts w:hint="eastAsia" w:ascii="宋体" w:hAnsi="宋体" w:eastAsia="宋体" w:cs="宋体"/>
          <w:szCs w:val="21"/>
          <w:highlight w:val="none"/>
        </w:rPr>
      </w:pPr>
    </w:p>
    <w:p>
      <w:pPr>
        <w:spacing w:line="360" w:lineRule="auto"/>
        <w:ind w:firstLine="480"/>
        <w:rPr>
          <w:rFonts w:hint="eastAsia" w:ascii="宋体" w:hAnsi="宋体" w:eastAsia="宋体" w:cs="宋体"/>
          <w:szCs w:val="21"/>
          <w:highlight w:val="none"/>
        </w:rPr>
      </w:pP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供应商为监狱企业的提供此函。</w:t>
      </w:r>
    </w:p>
    <w:p>
      <w:pPr>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局、戒毒管理局（含新疆生产建设兵团）出具的属于监狱企业的证明文件。</w:t>
      </w:r>
    </w:p>
    <w:p>
      <w:pPr>
        <w:spacing w:line="360" w:lineRule="auto"/>
        <w:ind w:firstLine="480"/>
        <w:rPr>
          <w:rFonts w:hint="eastAsia" w:ascii="宋体" w:hAnsi="宋体" w:eastAsia="宋体" w:cs="宋体"/>
          <w:szCs w:val="21"/>
          <w:highlight w:val="none"/>
        </w:rPr>
        <w:sectPr>
          <w:headerReference r:id="rId8" w:type="default"/>
          <w:footerReference r:id="rId9" w:type="default"/>
          <w:pgSz w:w="11906" w:h="16838"/>
          <w:pgMar w:top="1474" w:right="1797" w:bottom="1247" w:left="1797" w:header="851" w:footer="851" w:gutter="0"/>
          <w:cols w:space="720" w:num="1"/>
          <w:titlePg/>
          <w:docGrid w:linePitch="312" w:charSpace="0"/>
        </w:sectPr>
      </w:pPr>
      <w:r>
        <w:rPr>
          <w:rFonts w:hint="eastAsia" w:ascii="宋体" w:hAnsi="宋体" w:eastAsia="宋体" w:cs="宋体"/>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tbl>
      <w:tblPr>
        <w:tblStyle w:val="44"/>
        <w:tblW w:w="15298" w:type="dxa"/>
        <w:tblInd w:w="-329" w:type="dxa"/>
        <w:tblLayout w:type="fixed"/>
        <w:tblCellMar>
          <w:top w:w="0" w:type="dxa"/>
          <w:left w:w="108" w:type="dxa"/>
          <w:bottom w:w="0" w:type="dxa"/>
          <w:right w:w="108" w:type="dxa"/>
        </w:tblCellMar>
      </w:tblPr>
      <w:tblGrid>
        <w:gridCol w:w="2138"/>
        <w:gridCol w:w="1498"/>
        <w:gridCol w:w="1763"/>
        <w:gridCol w:w="1660"/>
        <w:gridCol w:w="1458"/>
        <w:gridCol w:w="1480"/>
        <w:gridCol w:w="1520"/>
        <w:gridCol w:w="1285"/>
        <w:gridCol w:w="1275"/>
        <w:gridCol w:w="1221"/>
      </w:tblGrid>
      <w:tr>
        <w:tblPrEx>
          <w:tblCellMar>
            <w:top w:w="0" w:type="dxa"/>
            <w:left w:w="108" w:type="dxa"/>
            <w:bottom w:w="0" w:type="dxa"/>
            <w:right w:w="108" w:type="dxa"/>
          </w:tblCellMar>
        </w:tblPrEx>
        <w:trPr>
          <w:wBefore w:w="0" w:type="auto"/>
          <w:wAfter w:w="0" w:type="auto"/>
          <w:trHeight w:val="420" w:hRule="atLeast"/>
        </w:trPr>
        <w:tc>
          <w:tcPr>
            <w:tcW w:w="15298" w:type="dxa"/>
            <w:gridSpan w:val="10"/>
            <w:tcBorders>
              <w:top w:val="nil"/>
              <w:left w:val="nil"/>
              <w:bottom w:val="nil"/>
              <w:right w:val="nil"/>
            </w:tcBorders>
            <w:noWrap w:val="0"/>
            <w:vAlign w:val="bottom"/>
          </w:tcPr>
          <w:p>
            <w:pPr>
              <w:widowControl/>
              <w:jc w:val="center"/>
              <w:rPr>
                <w:rFonts w:hint="eastAsia" w:ascii="宋体" w:hAnsi="宋体" w:eastAsia="宋体" w:cs="宋体"/>
                <w:b/>
                <w:bCs/>
                <w:kern w:val="0"/>
                <w:sz w:val="32"/>
                <w:szCs w:val="32"/>
                <w:highlight w:val="none"/>
              </w:rPr>
            </w:pPr>
            <w:r>
              <w:rPr>
                <w:rFonts w:hint="eastAsia" w:ascii="宋体" w:hAnsi="宋体" w:eastAsia="宋体" w:cs="宋体"/>
                <w:b/>
                <w:bCs/>
                <w:kern w:val="0"/>
                <w:sz w:val="24"/>
                <w:highlight w:val="none"/>
              </w:rPr>
              <w:t>中小微行业划型标准规定（根据工信部联企业〔2011〕300号制定）</w:t>
            </w:r>
          </w:p>
        </w:tc>
      </w:tr>
      <w:tr>
        <w:tblPrEx>
          <w:tblCellMar>
            <w:top w:w="0" w:type="dxa"/>
            <w:left w:w="108" w:type="dxa"/>
            <w:bottom w:w="0" w:type="dxa"/>
            <w:right w:w="108" w:type="dxa"/>
          </w:tblCellMar>
        </w:tblPrEx>
        <w:trPr>
          <w:wBefore w:w="0" w:type="auto"/>
          <w:wAfter w:w="0" w:type="auto"/>
          <w:trHeight w:val="465" w:hRule="atLeast"/>
        </w:trPr>
        <w:tc>
          <w:tcPr>
            <w:tcW w:w="2138"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中型企业</w:t>
            </w:r>
          </w:p>
        </w:tc>
        <w:tc>
          <w:tcPr>
            <w:tcW w:w="4458"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小型企业</w:t>
            </w:r>
          </w:p>
        </w:tc>
        <w:tc>
          <w:tcPr>
            <w:tcW w:w="378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微型企业</w:t>
            </w:r>
          </w:p>
        </w:tc>
      </w:tr>
      <w:tr>
        <w:tblPrEx>
          <w:tblCellMar>
            <w:top w:w="0" w:type="dxa"/>
            <w:left w:w="108" w:type="dxa"/>
            <w:bottom w:w="0" w:type="dxa"/>
            <w:right w:w="108" w:type="dxa"/>
          </w:tblCellMar>
        </w:tblPrEx>
        <w:trPr>
          <w:wBefore w:w="0" w:type="auto"/>
          <w:wAfter w:w="0" w:type="auto"/>
          <w:trHeight w:val="525" w:hRule="atLeast"/>
        </w:trPr>
        <w:tc>
          <w:tcPr>
            <w:tcW w:w="213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hint="eastAsia" w:ascii="宋体" w:hAnsi="宋体" w:eastAsia="宋体" w:cs="宋体"/>
                <w:b/>
                <w:bCs/>
                <w:kern w:val="0"/>
                <w:sz w:val="24"/>
                <w:highlight w:val="none"/>
              </w:rPr>
            </w:pP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从业人员X（人）</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营业收入Y</w:t>
            </w:r>
          </w:p>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（万元）</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资产总额Z</w:t>
            </w:r>
          </w:p>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（万元）</w:t>
            </w: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从业人员X（人）</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营业收入Y</w:t>
            </w:r>
          </w:p>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（万元）</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资产总额Z</w:t>
            </w:r>
          </w:p>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（万元）</w:t>
            </w: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从业人员X（人）</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营业收入Y（万元）</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资产总额Z（万元）</w:t>
            </w: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1、农林牧渔业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500≤Y＜20000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50≤Y＜500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Y＜50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2、工业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2000≤Y＜40000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20≤X＜300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300≤Y＜2000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Y＜300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3、建筑业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6000≤Y＜80000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5000≤Z＜80000</w:t>
            </w: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300≤Y＜6000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300≤Z＜5000</w:t>
            </w: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Y＜300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Z＜300</w:t>
            </w: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4、批发业</w:t>
            </w:r>
          </w:p>
        </w:tc>
        <w:tc>
          <w:tcPr>
            <w:tcW w:w="149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20≤X＜200</w:t>
            </w:r>
          </w:p>
        </w:tc>
        <w:tc>
          <w:tcPr>
            <w:tcW w:w="176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5000≤Y＜40000</w:t>
            </w:r>
          </w:p>
        </w:tc>
        <w:tc>
          <w:tcPr>
            <w:tcW w:w="166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5≤X＜20</w:t>
            </w:r>
          </w:p>
        </w:tc>
        <w:tc>
          <w:tcPr>
            <w:tcW w:w="14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1000≤Y＜5000</w:t>
            </w:r>
          </w:p>
        </w:tc>
        <w:tc>
          <w:tcPr>
            <w:tcW w:w="152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X＜5</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Y＜1000</w:t>
            </w:r>
          </w:p>
        </w:tc>
        <w:tc>
          <w:tcPr>
            <w:tcW w:w="1221"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5、零售业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50≤X＜300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500≤Y＜20000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10≤X＜50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100≤Y＜500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6、交通运输业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3000≤Y＜30000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20≤X＜300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200≤Y＜3000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V＜200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7、仓储业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100≤X＜200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1000≤Y＜30000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20≤X＜100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100≤Y＜1000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8、邮政业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2000≤Y＜30000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20≤X＜300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100≤Y＜2000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X＜20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9、住宿业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2000≤Y＜10000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10≤X＜100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100≤Y＜2000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10、餐饮业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2000≤Y＜10000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10≤X＜100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100≤Y＜2000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V＜100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11、信息传输业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100≤X＜2000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1000≤Y＜100000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10≤X＜100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100≤Y＜1000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12、软件和信息技术服务业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1000≤Y＜10000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10≤X＜100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50≤Y＜1000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Y＜50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13、房地产开发经营</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1000≤Y＜200000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5000≤Z＜10000</w:t>
            </w: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100≤Y＜1000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2000≤Z＜5000</w:t>
            </w: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Y＜100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Z＜2000</w:t>
            </w: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14、物业管理</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300≤X＜1000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1000≤Y＜5000</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100≤X＜300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500≤Y＜1000</w:t>
            </w: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Y＜500</w:t>
            </w: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4"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15、租赁和商务服务业</w:t>
            </w:r>
          </w:p>
        </w:tc>
        <w:tc>
          <w:tcPr>
            <w:tcW w:w="149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100≤X＜300</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66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8000≤Z＜120000</w:t>
            </w:r>
          </w:p>
        </w:tc>
        <w:tc>
          <w:tcPr>
            <w:tcW w:w="1458"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10≤X＜100</w:t>
            </w:r>
          </w:p>
        </w:tc>
        <w:tc>
          <w:tcPr>
            <w:tcW w:w="1480"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520"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100≤Z＜8000</w:t>
            </w:r>
          </w:p>
        </w:tc>
        <w:tc>
          <w:tcPr>
            <w:tcW w:w="128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221" w:type="dxa"/>
            <w:tcBorders>
              <w:top w:val="nil"/>
              <w:left w:val="nil"/>
              <w:bottom w:val="single" w:color="auto" w:sz="4" w:space="0"/>
              <w:right w:val="single" w:color="auto" w:sz="8"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Z＜100</w:t>
            </w:r>
          </w:p>
        </w:tc>
      </w:tr>
      <w:tr>
        <w:tblPrEx>
          <w:tblCellMar>
            <w:top w:w="0" w:type="dxa"/>
            <w:left w:w="108" w:type="dxa"/>
            <w:bottom w:w="0" w:type="dxa"/>
            <w:right w:w="108" w:type="dxa"/>
          </w:tblCellMar>
        </w:tblPrEx>
        <w:trPr>
          <w:wBefore w:w="0" w:type="auto"/>
          <w:wAfter w:w="0" w:type="auto"/>
          <w:trHeight w:val="360" w:hRule="atLeast"/>
        </w:trPr>
        <w:tc>
          <w:tcPr>
            <w:tcW w:w="2138" w:type="dxa"/>
            <w:tcBorders>
              <w:top w:val="nil"/>
              <w:left w:val="single" w:color="auto" w:sz="8" w:space="0"/>
              <w:bottom w:val="single" w:color="auto" w:sz="8" w:space="0"/>
              <w:right w:val="single" w:color="auto" w:sz="8" w:space="0"/>
            </w:tcBorders>
            <w:noWrap w:val="0"/>
            <w:vAlign w:val="center"/>
          </w:tcPr>
          <w:p>
            <w:pPr>
              <w:widowControl/>
              <w:jc w:val="both"/>
              <w:rPr>
                <w:rFonts w:hint="eastAsia" w:ascii="宋体" w:hAnsi="宋体" w:eastAsia="宋体" w:cs="宋体"/>
                <w:kern w:val="0"/>
                <w:sz w:val="20"/>
                <w:highlight w:val="none"/>
              </w:rPr>
            </w:pPr>
            <w:r>
              <w:rPr>
                <w:rFonts w:hint="eastAsia" w:ascii="宋体" w:hAnsi="宋体" w:eastAsia="宋体" w:cs="宋体"/>
                <w:kern w:val="0"/>
                <w:sz w:val="20"/>
                <w:highlight w:val="none"/>
              </w:rPr>
              <w:t>16、其他未列明行业</w:t>
            </w:r>
          </w:p>
        </w:tc>
        <w:tc>
          <w:tcPr>
            <w:tcW w:w="1498" w:type="dxa"/>
            <w:tcBorders>
              <w:top w:val="nil"/>
              <w:left w:val="nil"/>
              <w:bottom w:val="single" w:color="auto" w:sz="8"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100≤X＜300</w:t>
            </w:r>
          </w:p>
        </w:tc>
        <w:tc>
          <w:tcPr>
            <w:tcW w:w="1763" w:type="dxa"/>
            <w:tcBorders>
              <w:top w:val="nil"/>
              <w:left w:val="nil"/>
              <w:bottom w:val="single" w:color="auto" w:sz="8"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660" w:type="dxa"/>
            <w:tcBorders>
              <w:top w:val="nil"/>
              <w:left w:val="nil"/>
              <w:bottom w:val="single" w:color="auto" w:sz="8"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458" w:type="dxa"/>
            <w:tcBorders>
              <w:top w:val="nil"/>
              <w:left w:val="nil"/>
              <w:bottom w:val="single" w:color="auto" w:sz="8"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10≤X＜100</w:t>
            </w:r>
          </w:p>
        </w:tc>
        <w:tc>
          <w:tcPr>
            <w:tcW w:w="1480" w:type="dxa"/>
            <w:tcBorders>
              <w:top w:val="nil"/>
              <w:left w:val="nil"/>
              <w:bottom w:val="single" w:color="auto" w:sz="8"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520" w:type="dxa"/>
            <w:tcBorders>
              <w:top w:val="nil"/>
              <w:left w:val="nil"/>
              <w:bottom w:val="single" w:color="auto" w:sz="8" w:space="0"/>
              <w:right w:val="single" w:color="auto" w:sz="8" w:space="0"/>
            </w:tcBorders>
            <w:noWrap w:val="0"/>
            <w:vAlign w:val="bottom"/>
          </w:tcPr>
          <w:p>
            <w:pPr>
              <w:widowControl/>
              <w:jc w:val="center"/>
              <w:rPr>
                <w:rFonts w:hint="eastAsia" w:ascii="宋体" w:hAnsi="宋体" w:eastAsia="宋体" w:cs="宋体"/>
                <w:kern w:val="0"/>
                <w:sz w:val="20"/>
                <w:highlight w:val="none"/>
              </w:rPr>
            </w:pPr>
          </w:p>
        </w:tc>
        <w:tc>
          <w:tcPr>
            <w:tcW w:w="1285" w:type="dxa"/>
            <w:tcBorders>
              <w:top w:val="nil"/>
              <w:left w:val="nil"/>
              <w:bottom w:val="single" w:color="auto" w:sz="8" w:space="0"/>
              <w:right w:val="single" w:color="auto" w:sz="4" w:space="0"/>
            </w:tcBorders>
            <w:noWrap w:val="0"/>
            <w:vAlign w:val="bottom"/>
          </w:tcPr>
          <w:p>
            <w:pPr>
              <w:widowControl/>
              <w:jc w:val="center"/>
              <w:rPr>
                <w:rFonts w:hint="eastAsia" w:ascii="宋体" w:hAnsi="宋体" w:eastAsia="宋体" w:cs="宋体"/>
                <w:kern w:val="0"/>
                <w:sz w:val="20"/>
                <w:highlight w:val="none"/>
              </w:rPr>
            </w:pPr>
            <w:r>
              <w:rPr>
                <w:rFonts w:hint="eastAsia" w:ascii="宋体" w:hAnsi="宋体" w:eastAsia="宋体" w:cs="宋体"/>
                <w:kern w:val="0"/>
                <w:sz w:val="20"/>
                <w:highlight w:val="none"/>
              </w:rPr>
              <w:t>X＜10</w:t>
            </w:r>
          </w:p>
        </w:tc>
        <w:tc>
          <w:tcPr>
            <w:tcW w:w="1275" w:type="dxa"/>
            <w:tcBorders>
              <w:top w:val="nil"/>
              <w:left w:val="nil"/>
              <w:bottom w:val="single" w:color="auto" w:sz="8" w:space="0"/>
              <w:right w:val="single" w:color="auto" w:sz="4" w:space="0"/>
            </w:tcBorders>
            <w:noWrap w:val="0"/>
            <w:vAlign w:val="bottom"/>
          </w:tcPr>
          <w:p>
            <w:pPr>
              <w:widowControl/>
              <w:jc w:val="center"/>
              <w:rPr>
                <w:rFonts w:hint="eastAsia" w:ascii="宋体" w:hAnsi="宋体" w:eastAsia="宋体" w:cs="宋体"/>
                <w:kern w:val="0"/>
                <w:sz w:val="20"/>
                <w:highlight w:val="none"/>
              </w:rPr>
            </w:pPr>
          </w:p>
        </w:tc>
        <w:tc>
          <w:tcPr>
            <w:tcW w:w="1221" w:type="dxa"/>
            <w:tcBorders>
              <w:top w:val="nil"/>
              <w:left w:val="nil"/>
              <w:bottom w:val="single" w:color="auto" w:sz="8" w:space="0"/>
              <w:right w:val="single" w:color="auto" w:sz="8" w:space="0"/>
            </w:tcBorders>
            <w:noWrap w:val="0"/>
            <w:vAlign w:val="bottom"/>
          </w:tcPr>
          <w:p>
            <w:pPr>
              <w:widowControl/>
              <w:jc w:val="center"/>
              <w:rPr>
                <w:rFonts w:hint="eastAsia" w:ascii="宋体" w:hAnsi="宋体" w:eastAsia="宋体" w:cs="宋体"/>
                <w:kern w:val="0"/>
                <w:sz w:val="20"/>
                <w:highlight w:val="none"/>
              </w:rPr>
            </w:pPr>
          </w:p>
        </w:tc>
      </w:tr>
      <w:tr>
        <w:tblPrEx>
          <w:tblCellMar>
            <w:top w:w="0" w:type="dxa"/>
            <w:left w:w="108" w:type="dxa"/>
            <w:bottom w:w="0" w:type="dxa"/>
            <w:right w:w="108" w:type="dxa"/>
          </w:tblCellMar>
        </w:tblPrEx>
        <w:trPr>
          <w:wBefore w:w="0" w:type="auto"/>
          <w:wAfter w:w="0" w:type="auto"/>
          <w:trHeight w:val="285" w:hRule="atLeast"/>
        </w:trPr>
        <w:tc>
          <w:tcPr>
            <w:tcW w:w="15298" w:type="dxa"/>
            <w:gridSpan w:val="10"/>
            <w:tcBorders>
              <w:top w:val="nil"/>
              <w:left w:val="nil"/>
              <w:bottom w:val="nil"/>
              <w:right w:val="nil"/>
            </w:tcBorders>
            <w:noWrap w:val="0"/>
            <w:vAlign w:val="bottom"/>
          </w:tcPr>
          <w:p>
            <w:pPr>
              <w:widowControl/>
              <w:jc w:val="left"/>
              <w:rPr>
                <w:rFonts w:hint="eastAsia" w:ascii="宋体" w:hAnsi="宋体" w:eastAsia="宋体" w:cs="宋体"/>
                <w:kern w:val="0"/>
                <w:sz w:val="20"/>
                <w:highlight w:val="none"/>
              </w:rPr>
            </w:pPr>
            <w:r>
              <w:rPr>
                <w:rFonts w:hint="eastAsia" w:ascii="宋体" w:hAnsi="宋体" w:eastAsia="宋体" w:cs="宋体"/>
                <w:kern w:val="0"/>
                <w:sz w:val="20"/>
                <w:highlight w:val="none"/>
              </w:rPr>
              <w:t>说明　1、企业类型的划分以统计部门的统计数据为依据。</w:t>
            </w:r>
          </w:p>
          <w:p>
            <w:pPr>
              <w:widowControl/>
              <w:ind w:firstLine="600" w:firstLineChars="300"/>
              <w:jc w:val="left"/>
              <w:rPr>
                <w:rFonts w:hint="eastAsia" w:ascii="宋体" w:hAnsi="宋体" w:eastAsia="宋体" w:cs="宋体"/>
                <w:kern w:val="0"/>
                <w:sz w:val="20"/>
                <w:highlight w:val="none"/>
              </w:rPr>
            </w:pPr>
            <w:r>
              <w:rPr>
                <w:rFonts w:hint="eastAsia" w:ascii="宋体" w:hAnsi="宋体" w:eastAsia="宋体" w:cs="宋体"/>
                <w:kern w:val="0"/>
                <w:sz w:val="20"/>
                <w:highlight w:val="none"/>
              </w:rPr>
              <w:t>2、个体工商户和本规定以外的行业，参照本规定进行划型。</w:t>
            </w:r>
          </w:p>
          <w:p>
            <w:pPr>
              <w:widowControl/>
              <w:ind w:firstLine="600" w:firstLineChars="300"/>
              <w:jc w:val="left"/>
              <w:rPr>
                <w:rFonts w:hint="eastAsia" w:ascii="宋体" w:hAnsi="宋体" w:eastAsia="宋体" w:cs="宋体"/>
                <w:kern w:val="0"/>
                <w:sz w:val="20"/>
                <w:highlight w:val="none"/>
              </w:rPr>
            </w:pPr>
            <w:r>
              <w:rPr>
                <w:rFonts w:hint="eastAsia" w:ascii="宋体" w:hAnsi="宋体" w:eastAsia="宋体" w:cs="宋体"/>
                <w:kern w:val="0"/>
                <w:sz w:val="20"/>
                <w:highlight w:val="none"/>
              </w:rPr>
              <w:t>3、本规定的中型企业标准上限即为大型企业标准的下限。</w:t>
            </w:r>
          </w:p>
        </w:tc>
      </w:tr>
    </w:tbl>
    <w:p>
      <w:pPr>
        <w:rPr>
          <w:rFonts w:hint="eastAsia" w:ascii="宋体" w:hAnsi="宋体" w:eastAsia="宋体" w:cs="宋体"/>
          <w:highlight w:val="none"/>
        </w:rPr>
      </w:pPr>
    </w:p>
    <w:sectPr>
      <w:pgSz w:w="16838" w:h="11906" w:orient="landscape"/>
      <w:pgMar w:top="1418" w:right="1276" w:bottom="1276" w:left="1276"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E0002EFF" w:usb1="C000785B" w:usb2="00000009" w:usb3="00000000" w:csb0="000001FF" w:csb1="00000000"/>
  </w:font>
  <w:font w:name="ヒラギノ角ゴ Pro W3">
    <w:altName w:val="Malgun Gothic Semilight"/>
    <w:panose1 w:val="00000000000000000000"/>
    <w:charset w:val="8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汉鼎简细圆">
    <w:altName w:val="宋体"/>
    <w:panose1 w:val="0201060900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58</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rPr>
                              <w:rFonts w:hint="eastAsia"/>
                            </w:rPr>
                          </w:pPr>
                          <w:r>
                            <w:fldChar w:fldCharType="begin"/>
                          </w:r>
                          <w:r>
                            <w:instrText xml:space="preserve"> PAGE   \* MERGEFORMAT </w:instrText>
                          </w:r>
                          <w:r>
                            <w:fldChar w:fldCharType="separate"/>
                          </w:r>
                          <w:r>
                            <w:rPr>
                              <w:lang/>
                            </w:rPr>
                            <w:t>3</w:t>
                          </w:r>
                          <w:r>
                            <w:fldChar w:fldCharType="end"/>
                          </w:r>
                        </w:p>
                      </w:txbxContent>
                    </wps:txbx>
                    <wps:bodyPr wrap="square" lIns="0" tIns="0" rIns="0" bIns="0" upright="1"/>
                  </wps:wsp>
                </a:graphicData>
              </a:graphic>
            </wp:anchor>
          </w:drawing>
        </mc:Choice>
        <mc:Fallback>
          <w:pict>
            <v:shape id="文本框 3" o:spid="_x0000_s1026" o:spt="202" type="#_x0000_t202" style="position:absolute;left:0pt;height:144pt;width:144pt;mso-position-horizontal:center;mso-position-horizontal-relative:margin;mso-position-vertical:top;z-index:251659264;mso-width-relative:page;mso-height-relative:page;" filled="f" stroked="f" coordsize="21600,21600" o:gfxdata="UEsDBAoAAAAAAIdO4kAAAAAAAAAAAAAAAAAEAAAAZHJzL1BLAwQUAAAACACHTuJAWaT2QNIAAAAF AQAADwAAAGRycy9kb3ducmV2LnhtbE2PzU7DMBCE75V4B2uRuLV2e6hCiFMhVE5IiDQcODrxNrEa r9PY/eHtWRASXFY7mtXsN8Xm6gdxxim6QBqWCwUCqQ3WUafhvX6eZyBiMmTNEAg1fGKETXkzK0xu w4UqPO9SJziEYm409CmNuZSx7dGbuAgjEnv7MHmTWE6dtJO5cLgf5EqptfTGEX/ozYhPPbaH3clr ePygauuOr81bta9cXd8relkftL67XaoHEAmv6e8YvvEZHUpmasKJbBSDBi6SfiZ7qyxj2fwusizk f/ryC1BLAwQUAAAACACHTuJAJkg8Tr8BAACBAwAADgAAAGRycy9lMm9Eb2MueG1srVNLbtswEN0X yB0I7mspLlAYguUAhZEgQNAWSHsAmqIsAvx1hrbkC7Q36Kqb7nsun6NDSnLadJNFN9RwZvj43htq fTNYw44KUHtX8+tFyZly0jfa7Wv++dPt6xVnGIVrhPFO1fykkN9srl6t+1Cppe+8aRQwAnFY9aHm XYyhKgqUnbICFz4oR8XWgxWRtrAvGhA9oVtTLMvybdF7aAJ4qRApux2LfEKElwD6ttVSbb08WOXi iArKiEiSsNMB+SazbVsl44e2RRWZqTkpjXmlSyjepbXYrEW1BxE6LScK4iUUnmmyQju69AK1FVGw A+h/oKyW4NG3cSG9LUYh2RFScV0+8+axE0FlLWQ1hovp+P9g5fvjR2C6oZfAmROWBn7+/u3849f5 51f2JtnTB6yo6zFQXxze+SG1TnmkZFI9tGDTl/QwqpO5p4u5aohMpkOr5WpVUklSbd4QTvF0PADG O+UtS0HNgaaXTRXHB4xj69ySbnP+VhtDeVEZ91eCMFOmSNxHjimKw26YiO98cyI9PQ2+5vjlIEBx Zu4dOZteyRzAHOzm4BBA7zsilz3IF9BksorpFaXR/7nPNJ7+nM1v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KgQAAFtDb250ZW50X1R5cGVzXS54 bWxQSwECFAAKAAAAAACHTuJAAAAAAAAAAAAAAAAABgAAAAAAAAAAABAAAAAMAwAAX3JlbHMvUEsB AhQAFAAAAAgAh07iQIoUZjzRAAAAlAEAAAsAAAAAAAAAAQAgAAAAMAMAAF9yZWxzLy5yZWxzUEsB AhQACgAAAAAAh07iQAAAAAAAAAAAAAAAAAQAAAAAAAAAAAAQAAAAAAAAAGRycy9QSwECFAAUAAAA CACHTuJAWaT2QNIAAAAFAQAADwAAAAAAAAABACAAAAAiAAAAZHJzL2Rvd25yZXYueG1sUEsBAhQA FAAAAAgAh07iQCZIPE6/AQAAgQMAAA4AAAAAAAAAAQAgAAAAIQEAAGRycy9lMm9Eb2MueG1sUEsF BgAAAAAGAAYAWQEAAFIFAAAAAA== ">
              <v:fill on="f" focussize="0,0"/>
              <v:stroke on="f"/>
              <v:imagedata o:title=""/>
              <o:lock v:ext="edit" aspectratio="f"/>
              <v:textbox inset="0mm,0mm,0mm,0mm">
                <w:txbxContent>
                  <w:p>
                    <w:pPr>
                      <w:pStyle w:val="30"/>
                      <w:jc w:val="center"/>
                      <w:rPr>
                        <w:rFonts w:hint="eastAsia"/>
                      </w:rPr>
                    </w:pPr>
                    <w:r>
                      <w:fldChar w:fldCharType="begin"/>
                    </w:r>
                    <w:r>
                      <w:instrText xml:space="preserve"> PAGE   \* MERGEFORMAT </w:instrText>
                    </w:r>
                    <w:r>
                      <w:fldChar w:fldCharType="separate"/>
                    </w:r>
                    <w:r>
                      <w:rPr>
                        <w:lang/>
                      </w:rP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napToGrid w:val="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63</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O9bcnSAQAAowMAAA4AAABkcnMvZTJvRG9jLnhtbK1TzY7TMBC+ I/EOlu80aWEhipquFlWLkBAgLTyA69iNJf/J4zbpC8AbcOLCnefqc+zYSbpouexhL86MZ/zNfN9M 1teD0eQoAihnG7pclJQIy12r7L6h37/dvqoogchsy7SzoqEnAfR68/LFuve1WLnO6VYEgiAW6t43 tIvR10UBvBOGwcJ5YTEoXTAsohv2RRtYj+hGF6uyfFv0LrQ+OC4A8HY7BumEGJ4C6KRUXGwdPxhh 44gahGYRKUGnPNBN7lZKweMXKUFEohuKTGM+sQjau3QWmzWr94H5TvGpBfaUFh5xMkxZLHqB2rLI yCGo/6CM4sGBk3HBnSlGIlkRZLEsH2lz1zEvMheUGvxFdHg+WP75+DUQ1Tb0NSWWGRz4+dfP8++/ 5z8/yJskT++hxqw7j3lxeO8GXJr5HvAysR5kMOmLfAjGUdzTRVwxRMLTo2pVVSWGOMZmB/GLh+c+ QPwgnCHJaGjA6WVR2fETxDF1TknVrLtVWucJakt6RL2q3l3lF5cQomuLRRKLsdtkxWE3TNR2rj0h sx5XoKEWN54S/dGiwmlbZiPMxm42Dj6ofYdNLnM98DeHiO3kLlOFEXYqjLPLPKc9S8vxr5+zHv6t zT1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g71tydIBAACjAwAADgAAAAAAAAABACAAAAAi AQAAZHJzL2Uyb0RvYy54bWxQSwUGAAAAAAYABgBZAQAAZgUAAAAA ">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63</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snapToGrid w:val="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59</w:t>
                          </w:r>
                          <w:r>
                            <w:rPr>
                              <w:rFonts w:hint="eastAsia"/>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LtO4CfSAQAAowMAAA4AAABkcnMvZTJvRG9jLnhtbK1TzY7TMBC+ I/EOlu80aUUhipquFlWLkBAgLTyA69iNJf/J4zbpC8AbcOLCnefqczB2ki5aLnvYizPjGX8z3zeT zc1gNDmJAMrZhi4XJSXCctcqe2jot693rypKIDLbMu2saOhZAL3Zvnyx6X0tVq5zuhWBIIiFuvcN 7WL0dVEA74RhsHBeWAxKFwyL6IZD0QbWI7rRxaos3xS9C60PjgsAvN2NQTohhqcAOikVFzvHj0bY OKIGoVlEStApD3Sbu5VS8PhZShCR6IYi05hPLIL2Pp3FdsPqQ2C+U3xqgT2lhUecDFMWi16hdiwy cgzqPyijeHDgZFxwZ4qRSFYEWSzLR9rcd8yLzAWlBn8VHZ4Pln86fQlEtQ19TYllBgd++fnj8uvP 5fd3sk7y9B5qzLr3mBeHd27ApZnvAS8T60EGk77Ih2AcxT1fxRVDJDw9qlZVVWKIY2x2EL94eO4D xPfCGZKMhgacXhaVnT5CHFPnlFTNujuldZ6gtqRH1HX1dp1fXEOIri0WSSzGbpMVh/0wUdu79ozM elyBhlrceEr0B4sKp22ZjTAb+9k4+qAOHTa5zPXA3x4jtpO7TBVG2Kkwzi7znPYsLce/fs56+Le2 f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u07gJ9IBAACjAwAADgAAAAAAAAABACAAAAAi AQAAZHJzL2Uyb0RvYy54bWxQSwUGAAAAAAYABgBZAQAAZgUAAAAA ">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59</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jc w:val="center"/>
                            <w:rPr>
                              <w:rStyle w:val="48"/>
                            </w:rPr>
                          </w:pPr>
                          <w:r>
                            <w:fldChar w:fldCharType="begin"/>
                          </w:r>
                          <w:r>
                            <w:rPr>
                              <w:rStyle w:val="48"/>
                            </w:rPr>
                            <w:instrText xml:space="preserve">PAGE  </w:instrText>
                          </w:r>
                          <w:r>
                            <w:fldChar w:fldCharType="separate"/>
                          </w:r>
                          <w:r>
                            <w:rPr>
                              <w:rStyle w:val="48"/>
                              <w:lang/>
                            </w:rPr>
                            <w:t>79</w:t>
                          </w:r>
                          <w:r>
                            <w:fldChar w:fldCharType="end"/>
                          </w:r>
                        </w:p>
                      </w:txbxContent>
                    </wps:txbx>
                    <wps:bodyPr wrap="square" lIns="0" tIns="0" rIns="0" bIns="0" upright="1"/>
                  </wps:wsp>
                </a:graphicData>
              </a:graphic>
            </wp:anchor>
          </w:drawing>
        </mc:Choice>
        <mc:Fallback>
          <w:pict>
            <v:shape id="文本框 4" o:spid="_x0000_s1026" o:spt="202" type="#_x0000_t202" style="position:absolute;left:0pt;height:144pt;width:144pt;mso-position-horizontal:center;mso-position-horizontal-relative:margin;mso-position-vertical:top;z-index:251660288;mso-width-relative:page;mso-height-relative:page;" filled="f" stroked="f" coordsize="21600,21600" o:gfxdata="UEsDBAoAAAAAAIdO4kAAAAAAAAAAAAAAAAAEAAAAZHJzL1BLAwQUAAAACACHTuJAWaT2QNIAAAAF AQAADwAAAGRycy9kb3ducmV2LnhtbE2PzU7DMBCE75V4B2uRuLV2e6hCiFMhVE5IiDQcODrxNrEa r9PY/eHtWRASXFY7mtXsN8Xm6gdxxim6QBqWCwUCqQ3WUafhvX6eZyBiMmTNEAg1fGKETXkzK0xu w4UqPO9SJziEYm409CmNuZSx7dGbuAgjEnv7MHmTWE6dtJO5cLgf5EqptfTGEX/ozYhPPbaH3clr ePygauuOr81bta9cXd8relkftL67XaoHEAmv6e8YvvEZHUpmasKJbBSDBi6SfiZ7qyxj2fwusizk f/ryC1BLAwQUAAAACACHTuJAduF7e70BAACBAwAADgAAAGRycy9lMm9Eb2MueG1srVPNjtMwEL4j 8Q6W79TZCqEqaroSqhYhIUBaeADXcRpL/mPGbdIXgDfgxIU7z9XnYOw0XVgue+DizJ+/me8bZ307 OsuOGtAE3/CbRcWZ9iq0xu8b/vnT3YsVZ5ikb6UNXjf8pJHfbp4/Ww+x1svQB9tqYATisR5iw/uU Yi0Eql47iYsQtadkF8DJRC7sRQtyIHRnxbKqXokhQBshKI1I0e2U5BdEeApg6Dqj9Daog9M+Taig rUxECXsTkW/KtF2nVfrQdagTsw0npqmc1ITsXT7FZi3rPcjYG3UZQT5lhEecnDSeml6htjJJdgDz D5QzCgKGLi1UcGIiUhQhFjfVI23uexl14UJSY7yKjv8PVr0/fgRm2oYvOfPS0cLP37+df/w6//zK XmZ5hog1Vd1Hqkvj6zDSo5njSMHMeuzA5S/xYZQncU9XcfWYmMqXVsvVqqKUotzsEL54uB4B0xsd HMtGw4G2V0SVx3eYptK5JHfz4c5YWzZo/V8BwswRkWefZsxWGnfjhdAutCfiM9DiG45fDhI0Z/at J2XzK5kNmI3dbBwimH1PwxUNSgPaTGFxeUV59X/6ZYyHP2fzG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CgEAABbQ29udGVudF9UeXBlc10ueG1s UEsBAhQACgAAAAAAh07iQAAAAAAAAAAAAAAAAAYAAAAAAAAAAAAQAAAACgMAAF9yZWxzL1BLAQIU ABQAAAAIAIdO4kCKFGY80QAAAJQBAAALAAAAAAAAAAEAIAAAAC4DAABfcmVscy8ucmVsc1BLAQIU AAoAAAAAAIdO4kAAAAAAAAAAAAAAAAAEAAAAAAAAAAAAEAAAAAAAAABkcnMvUEsBAhQAFAAAAAgA h07iQFmk9kDSAAAABQEAAA8AAAAAAAAAAQAgAAAAIgAAAGRycy9kb3ducmV2LnhtbFBLAQIUABQA AAAIAIdO4kB24Xt7vQEAAIEDAAAOAAAAAAAAAAEAIAAAACEBAABkcnMvZTJvRG9jLnhtbFBLBQYA AAAABgAGAFkBAABQBQAAAAA= ">
              <v:fill on="f" focussize="0,0"/>
              <v:stroke on="f"/>
              <v:imagedata o:title=""/>
              <o:lock v:ext="edit" aspectratio="f"/>
              <v:textbox inset="0mm,0mm,0mm,0mm">
                <w:txbxContent>
                  <w:p>
                    <w:pPr>
                      <w:pStyle w:val="30"/>
                      <w:jc w:val="center"/>
                      <w:rPr>
                        <w:rStyle w:val="48"/>
                      </w:rPr>
                    </w:pPr>
                    <w:r>
                      <w:fldChar w:fldCharType="begin"/>
                    </w:r>
                    <w:r>
                      <w:rPr>
                        <w:rStyle w:val="48"/>
                      </w:rPr>
                      <w:instrText xml:space="preserve">PAGE  </w:instrText>
                    </w:r>
                    <w:r>
                      <w:fldChar w:fldCharType="separate"/>
                    </w:r>
                    <w:r>
                      <w:rPr>
                        <w:rStyle w:val="48"/>
                        <w:lang/>
                      </w:rPr>
                      <w:t>79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4C94A"/>
    <w:multiLevelType w:val="singleLevel"/>
    <w:tmpl w:val="AC14C94A"/>
    <w:lvl w:ilvl="0" w:tentative="0">
      <w:start w:val="6"/>
      <w:numFmt w:val="decimal"/>
      <w:suff w:val="nothing"/>
      <w:lvlText w:val="%1、"/>
      <w:lvlJc w:val="left"/>
    </w:lvl>
  </w:abstractNum>
  <w:abstractNum w:abstractNumId="1">
    <w:nsid w:val="C3AF05D6"/>
    <w:multiLevelType w:val="singleLevel"/>
    <w:tmpl w:val="C3AF05D6"/>
    <w:lvl w:ilvl="0" w:tentative="0">
      <w:start w:val="1"/>
      <w:numFmt w:val="decimal"/>
      <w:lvlText w:val="%1."/>
      <w:lvlJc w:val="left"/>
      <w:pPr>
        <w:tabs>
          <w:tab w:val="left" w:pos="312"/>
        </w:tabs>
      </w:pPr>
    </w:lvl>
  </w:abstractNum>
  <w:abstractNum w:abstractNumId="2">
    <w:nsid w:val="CCDC82DC"/>
    <w:multiLevelType w:val="singleLevel"/>
    <w:tmpl w:val="CCDC82DC"/>
    <w:lvl w:ilvl="0" w:tentative="0">
      <w:start w:val="1"/>
      <w:numFmt w:val="decimal"/>
      <w:suff w:val="nothing"/>
      <w:lvlText w:val="（%1）"/>
      <w:lvlJc w:val="left"/>
    </w:lvl>
  </w:abstractNum>
  <w:abstractNum w:abstractNumId="3">
    <w:nsid w:val="00000001"/>
    <w:multiLevelType w:val="singleLevel"/>
    <w:tmpl w:val="00000001"/>
    <w:lvl w:ilvl="0" w:tentative="0">
      <w:start w:val="1"/>
      <w:numFmt w:val="decimal"/>
      <w:pStyle w:val="21"/>
      <w:lvlText w:val="%1."/>
      <w:lvlJc w:val="left"/>
      <w:pPr>
        <w:tabs>
          <w:tab w:val="left" w:pos="1200"/>
        </w:tabs>
        <w:ind w:left="1200" w:hanging="360"/>
      </w:pPr>
    </w:lvl>
  </w:abstractNum>
  <w:abstractNum w:abstractNumId="4">
    <w:nsid w:val="00000003"/>
    <w:multiLevelType w:val="singleLevel"/>
    <w:tmpl w:val="00000003"/>
    <w:lvl w:ilvl="0" w:tentative="0">
      <w:start w:val="2"/>
      <w:numFmt w:val="decimal"/>
      <w:pStyle w:val="110"/>
      <w:suff w:val="nothing"/>
      <w:lvlText w:val="%1、"/>
      <w:lvlJc w:val="left"/>
      <w:pPr>
        <w:tabs>
          <w:tab w:val="left" w:pos="0"/>
        </w:tabs>
        <w:ind w:left="0" w:firstLine="0"/>
      </w:pPr>
    </w:lvl>
  </w:abstractNum>
  <w:abstractNum w:abstractNumId="5">
    <w:nsid w:val="00000004"/>
    <w:multiLevelType w:val="singleLevel"/>
    <w:tmpl w:val="00000004"/>
    <w:lvl w:ilvl="0" w:tentative="0">
      <w:start w:val="1"/>
      <w:numFmt w:val="decimal"/>
      <w:suff w:val="nothing"/>
      <w:lvlText w:val="%1."/>
      <w:lvlJc w:val="left"/>
      <w:pPr>
        <w:tabs>
          <w:tab w:val="left" w:pos="0"/>
        </w:tabs>
        <w:ind w:left="0" w:firstLine="0"/>
      </w:pPr>
    </w:lvl>
  </w:abstractNum>
  <w:abstractNum w:abstractNumId="6">
    <w:nsid w:val="0000002B"/>
    <w:multiLevelType w:val="singleLevel"/>
    <w:tmpl w:val="0000002B"/>
    <w:lvl w:ilvl="0" w:tentative="0">
      <w:start w:val="2"/>
      <w:numFmt w:val="decimal"/>
      <w:suff w:val="nothing"/>
      <w:lvlText w:val="%1."/>
      <w:lvlJc w:val="left"/>
    </w:lvl>
  </w:abstractNum>
  <w:abstractNum w:abstractNumId="7">
    <w:nsid w:val="21487D02"/>
    <w:multiLevelType w:val="multilevel"/>
    <w:tmpl w:val="21487D02"/>
    <w:lvl w:ilvl="0" w:tentative="0">
      <w:start w:val="1"/>
      <w:numFmt w:val="decimal"/>
      <w:suff w:val="nothing"/>
      <w:lvlText w:val="（%1）"/>
      <w:lvlJc w:val="left"/>
      <w:pPr>
        <w:tabs>
          <w:tab w:val="left" w:pos="168"/>
        </w:tabs>
        <w:ind w:left="168" w:firstLine="400"/>
      </w:pPr>
      <w:rPr>
        <w:rFonts w:hint="default" w:ascii="Times New Roman" w:hAnsi="Times New Roman" w:cs="Times New Roman"/>
        <w:lang w:val="en-US"/>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8">
    <w:nsid w:val="33A7E0BA"/>
    <w:multiLevelType w:val="singleLevel"/>
    <w:tmpl w:val="33A7E0BA"/>
    <w:lvl w:ilvl="0" w:tentative="0">
      <w:start w:val="2"/>
      <w:numFmt w:val="chineseCounting"/>
      <w:suff w:val="nothing"/>
      <w:lvlText w:val="%1、"/>
      <w:lvlJc w:val="left"/>
      <w:rPr>
        <w:rFonts w:hint="eastAsia"/>
      </w:rPr>
    </w:lvl>
  </w:abstractNum>
  <w:abstractNum w:abstractNumId="9">
    <w:nsid w:val="410220D3"/>
    <w:multiLevelType w:val="multilevel"/>
    <w:tmpl w:val="410220D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3A60328"/>
    <w:multiLevelType w:val="multilevel"/>
    <w:tmpl w:val="43A6032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8FB0B8D"/>
    <w:multiLevelType w:val="singleLevel"/>
    <w:tmpl w:val="58FB0B8D"/>
    <w:lvl w:ilvl="0" w:tentative="0">
      <w:start w:val="10"/>
      <w:numFmt w:val="decimal"/>
      <w:suff w:val="nothing"/>
      <w:lvlText w:val="（%1）"/>
      <w:lvlJc w:val="left"/>
    </w:lvl>
  </w:abstractNum>
  <w:num w:numId="1">
    <w:abstractNumId w:val="3"/>
  </w:num>
  <w:num w:numId="2">
    <w:abstractNumId w:val="4"/>
  </w:num>
  <w:num w:numId="3">
    <w:abstractNumId w:val="8"/>
  </w:num>
  <w:num w:numId="4">
    <w:abstractNumId w:val="11"/>
  </w:num>
  <w:num w:numId="5">
    <w:abstractNumId w:val="1"/>
  </w:num>
  <w:num w:numId="6">
    <w:abstractNumId w:val="5"/>
  </w:num>
  <w:num w:numId="7">
    <w:abstractNumId w:val="7"/>
  </w:num>
  <w:num w:numId="8">
    <w:abstractNumId w:val="6"/>
  </w:num>
  <w:num w:numId="9">
    <w:abstractNumId w:val="2"/>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C84"/>
    <w:rsid w:val="00004DAD"/>
    <w:rsid w:val="00010EA9"/>
    <w:rsid w:val="00010EE5"/>
    <w:rsid w:val="000146C4"/>
    <w:rsid w:val="00016133"/>
    <w:rsid w:val="0002267C"/>
    <w:rsid w:val="00022EAC"/>
    <w:rsid w:val="00024732"/>
    <w:rsid w:val="000249FF"/>
    <w:rsid w:val="00026BAA"/>
    <w:rsid w:val="00045CE8"/>
    <w:rsid w:val="00047E2F"/>
    <w:rsid w:val="00050BCE"/>
    <w:rsid w:val="0005393E"/>
    <w:rsid w:val="00054AF2"/>
    <w:rsid w:val="00056325"/>
    <w:rsid w:val="00057DA4"/>
    <w:rsid w:val="000657C7"/>
    <w:rsid w:val="00065BE7"/>
    <w:rsid w:val="00066E18"/>
    <w:rsid w:val="00067097"/>
    <w:rsid w:val="0007409C"/>
    <w:rsid w:val="00083CF4"/>
    <w:rsid w:val="000923A4"/>
    <w:rsid w:val="00092F55"/>
    <w:rsid w:val="000947C1"/>
    <w:rsid w:val="000A6334"/>
    <w:rsid w:val="000B0A91"/>
    <w:rsid w:val="000B17A9"/>
    <w:rsid w:val="000B1FCD"/>
    <w:rsid w:val="000B286B"/>
    <w:rsid w:val="000B3F32"/>
    <w:rsid w:val="000B6BB2"/>
    <w:rsid w:val="000C0484"/>
    <w:rsid w:val="000C37C7"/>
    <w:rsid w:val="000C58DC"/>
    <w:rsid w:val="000D35A5"/>
    <w:rsid w:val="000D6E35"/>
    <w:rsid w:val="000D74FA"/>
    <w:rsid w:val="000E1CC3"/>
    <w:rsid w:val="000E3F7D"/>
    <w:rsid w:val="000E61BB"/>
    <w:rsid w:val="000F0302"/>
    <w:rsid w:val="000F2B54"/>
    <w:rsid w:val="000F5E84"/>
    <w:rsid w:val="00100ECD"/>
    <w:rsid w:val="00103D22"/>
    <w:rsid w:val="00104DAF"/>
    <w:rsid w:val="00105D97"/>
    <w:rsid w:val="00106050"/>
    <w:rsid w:val="0010609B"/>
    <w:rsid w:val="00107904"/>
    <w:rsid w:val="001143D4"/>
    <w:rsid w:val="001143DA"/>
    <w:rsid w:val="00115360"/>
    <w:rsid w:val="00115E82"/>
    <w:rsid w:val="001218CA"/>
    <w:rsid w:val="00125AC1"/>
    <w:rsid w:val="001262AB"/>
    <w:rsid w:val="00130B20"/>
    <w:rsid w:val="00132400"/>
    <w:rsid w:val="00133732"/>
    <w:rsid w:val="0013739C"/>
    <w:rsid w:val="001419F5"/>
    <w:rsid w:val="001501F1"/>
    <w:rsid w:val="001511C5"/>
    <w:rsid w:val="0015306E"/>
    <w:rsid w:val="00160606"/>
    <w:rsid w:val="00160D14"/>
    <w:rsid w:val="001632CA"/>
    <w:rsid w:val="00170B6D"/>
    <w:rsid w:val="001724DF"/>
    <w:rsid w:val="00172BDA"/>
    <w:rsid w:val="00172D19"/>
    <w:rsid w:val="001732A7"/>
    <w:rsid w:val="001777F8"/>
    <w:rsid w:val="0018439A"/>
    <w:rsid w:val="00184837"/>
    <w:rsid w:val="00184F53"/>
    <w:rsid w:val="00187F26"/>
    <w:rsid w:val="001917A8"/>
    <w:rsid w:val="00197DB5"/>
    <w:rsid w:val="001A26A1"/>
    <w:rsid w:val="001A2700"/>
    <w:rsid w:val="001B4399"/>
    <w:rsid w:val="001B623B"/>
    <w:rsid w:val="001B667C"/>
    <w:rsid w:val="001B7DF3"/>
    <w:rsid w:val="001C2CC5"/>
    <w:rsid w:val="001C583B"/>
    <w:rsid w:val="001C66F4"/>
    <w:rsid w:val="001C7C25"/>
    <w:rsid w:val="001D3DDA"/>
    <w:rsid w:val="001E0D4F"/>
    <w:rsid w:val="001E24E8"/>
    <w:rsid w:val="001E6092"/>
    <w:rsid w:val="001E68D3"/>
    <w:rsid w:val="001E72FC"/>
    <w:rsid w:val="001F16C5"/>
    <w:rsid w:val="001F404D"/>
    <w:rsid w:val="001F5D1A"/>
    <w:rsid w:val="001F7A32"/>
    <w:rsid w:val="00203790"/>
    <w:rsid w:val="00205966"/>
    <w:rsid w:val="002110FE"/>
    <w:rsid w:val="00215668"/>
    <w:rsid w:val="00217CC4"/>
    <w:rsid w:val="00220AD2"/>
    <w:rsid w:val="00223627"/>
    <w:rsid w:val="00227669"/>
    <w:rsid w:val="00237C0F"/>
    <w:rsid w:val="00237C4B"/>
    <w:rsid w:val="0024001A"/>
    <w:rsid w:val="002446EA"/>
    <w:rsid w:val="0024561D"/>
    <w:rsid w:val="00247539"/>
    <w:rsid w:val="00251396"/>
    <w:rsid w:val="00253F34"/>
    <w:rsid w:val="00256EB6"/>
    <w:rsid w:val="00260AA0"/>
    <w:rsid w:val="00260E88"/>
    <w:rsid w:val="00277DAB"/>
    <w:rsid w:val="00284CA3"/>
    <w:rsid w:val="002936DF"/>
    <w:rsid w:val="00295D96"/>
    <w:rsid w:val="002A60BE"/>
    <w:rsid w:val="002A7C16"/>
    <w:rsid w:val="002B4A32"/>
    <w:rsid w:val="002B5DB5"/>
    <w:rsid w:val="002C16CF"/>
    <w:rsid w:val="002C7B9E"/>
    <w:rsid w:val="002D26B5"/>
    <w:rsid w:val="002D4407"/>
    <w:rsid w:val="002D79F1"/>
    <w:rsid w:val="002E0C0C"/>
    <w:rsid w:val="002E23EB"/>
    <w:rsid w:val="002E291F"/>
    <w:rsid w:val="002E485A"/>
    <w:rsid w:val="002E703C"/>
    <w:rsid w:val="002F02A8"/>
    <w:rsid w:val="002F2CDC"/>
    <w:rsid w:val="002F6A42"/>
    <w:rsid w:val="00303CA0"/>
    <w:rsid w:val="003045D6"/>
    <w:rsid w:val="00306B07"/>
    <w:rsid w:val="0031026E"/>
    <w:rsid w:val="0031198D"/>
    <w:rsid w:val="0031222E"/>
    <w:rsid w:val="00316F3A"/>
    <w:rsid w:val="00321D5D"/>
    <w:rsid w:val="00324AE9"/>
    <w:rsid w:val="0033032B"/>
    <w:rsid w:val="0033416F"/>
    <w:rsid w:val="00352BBC"/>
    <w:rsid w:val="00356F98"/>
    <w:rsid w:val="0036250E"/>
    <w:rsid w:val="00363640"/>
    <w:rsid w:val="00364608"/>
    <w:rsid w:val="003669DC"/>
    <w:rsid w:val="00366D5B"/>
    <w:rsid w:val="00377009"/>
    <w:rsid w:val="003775CA"/>
    <w:rsid w:val="00382F61"/>
    <w:rsid w:val="00384FE5"/>
    <w:rsid w:val="00386A7C"/>
    <w:rsid w:val="0038780F"/>
    <w:rsid w:val="003915A5"/>
    <w:rsid w:val="0039240D"/>
    <w:rsid w:val="003A0C7D"/>
    <w:rsid w:val="003B148D"/>
    <w:rsid w:val="003B668D"/>
    <w:rsid w:val="003C2948"/>
    <w:rsid w:val="003C547A"/>
    <w:rsid w:val="003C771B"/>
    <w:rsid w:val="003D31B1"/>
    <w:rsid w:val="003D3F9F"/>
    <w:rsid w:val="003D6F4C"/>
    <w:rsid w:val="003E1D65"/>
    <w:rsid w:val="003E297A"/>
    <w:rsid w:val="003E2C2E"/>
    <w:rsid w:val="003E4EE3"/>
    <w:rsid w:val="003E5ED6"/>
    <w:rsid w:val="003F4BE1"/>
    <w:rsid w:val="003F5776"/>
    <w:rsid w:val="003F6A87"/>
    <w:rsid w:val="004007DE"/>
    <w:rsid w:val="004011BB"/>
    <w:rsid w:val="004053A0"/>
    <w:rsid w:val="004070E1"/>
    <w:rsid w:val="00413025"/>
    <w:rsid w:val="004156E0"/>
    <w:rsid w:val="004161EB"/>
    <w:rsid w:val="004170FE"/>
    <w:rsid w:val="00417189"/>
    <w:rsid w:val="004200E9"/>
    <w:rsid w:val="00420F6F"/>
    <w:rsid w:val="00422D3C"/>
    <w:rsid w:val="004240B8"/>
    <w:rsid w:val="00425429"/>
    <w:rsid w:val="00425CD1"/>
    <w:rsid w:val="00431C5D"/>
    <w:rsid w:val="00434B44"/>
    <w:rsid w:val="00436E50"/>
    <w:rsid w:val="0044054A"/>
    <w:rsid w:val="0044080A"/>
    <w:rsid w:val="004411EE"/>
    <w:rsid w:val="00442D97"/>
    <w:rsid w:val="004450B4"/>
    <w:rsid w:val="0044676A"/>
    <w:rsid w:val="00446E34"/>
    <w:rsid w:val="00453914"/>
    <w:rsid w:val="004540D4"/>
    <w:rsid w:val="00455FA2"/>
    <w:rsid w:val="00462D6F"/>
    <w:rsid w:val="004633FC"/>
    <w:rsid w:val="00466513"/>
    <w:rsid w:val="00473FD0"/>
    <w:rsid w:val="00474B13"/>
    <w:rsid w:val="004779D6"/>
    <w:rsid w:val="0048092C"/>
    <w:rsid w:val="004913C5"/>
    <w:rsid w:val="004929E2"/>
    <w:rsid w:val="00497BEA"/>
    <w:rsid w:val="004A00AB"/>
    <w:rsid w:val="004A02F7"/>
    <w:rsid w:val="004A16C6"/>
    <w:rsid w:val="004A4387"/>
    <w:rsid w:val="004A680A"/>
    <w:rsid w:val="004B4D30"/>
    <w:rsid w:val="004B5256"/>
    <w:rsid w:val="004B6905"/>
    <w:rsid w:val="004C08C4"/>
    <w:rsid w:val="004C2AB8"/>
    <w:rsid w:val="004C500C"/>
    <w:rsid w:val="004C5207"/>
    <w:rsid w:val="004D1A32"/>
    <w:rsid w:val="004D34F9"/>
    <w:rsid w:val="004D3A99"/>
    <w:rsid w:val="004D4AF6"/>
    <w:rsid w:val="004D5E83"/>
    <w:rsid w:val="004E481E"/>
    <w:rsid w:val="004E50EA"/>
    <w:rsid w:val="004F172D"/>
    <w:rsid w:val="004F30A5"/>
    <w:rsid w:val="004F5F88"/>
    <w:rsid w:val="0050231D"/>
    <w:rsid w:val="005035B1"/>
    <w:rsid w:val="00513512"/>
    <w:rsid w:val="00521A21"/>
    <w:rsid w:val="0052297C"/>
    <w:rsid w:val="005246AE"/>
    <w:rsid w:val="005246E1"/>
    <w:rsid w:val="005271E6"/>
    <w:rsid w:val="00530FEB"/>
    <w:rsid w:val="0053249E"/>
    <w:rsid w:val="005332BF"/>
    <w:rsid w:val="005340E2"/>
    <w:rsid w:val="00534CB1"/>
    <w:rsid w:val="00541690"/>
    <w:rsid w:val="00547274"/>
    <w:rsid w:val="00552E5F"/>
    <w:rsid w:val="0055346F"/>
    <w:rsid w:val="00557C5F"/>
    <w:rsid w:val="005649B6"/>
    <w:rsid w:val="00566108"/>
    <w:rsid w:val="00570134"/>
    <w:rsid w:val="00575C53"/>
    <w:rsid w:val="005763A1"/>
    <w:rsid w:val="00580428"/>
    <w:rsid w:val="00586B97"/>
    <w:rsid w:val="0058768D"/>
    <w:rsid w:val="00595E76"/>
    <w:rsid w:val="00597C31"/>
    <w:rsid w:val="005A3A56"/>
    <w:rsid w:val="005A5BB4"/>
    <w:rsid w:val="005B214D"/>
    <w:rsid w:val="005B66A5"/>
    <w:rsid w:val="005B7013"/>
    <w:rsid w:val="005C4515"/>
    <w:rsid w:val="005C5FDA"/>
    <w:rsid w:val="005C6F5D"/>
    <w:rsid w:val="005D0A99"/>
    <w:rsid w:val="005D3DE6"/>
    <w:rsid w:val="005D4BAB"/>
    <w:rsid w:val="005D5C1C"/>
    <w:rsid w:val="005D6929"/>
    <w:rsid w:val="005E47C2"/>
    <w:rsid w:val="005F0728"/>
    <w:rsid w:val="005F192D"/>
    <w:rsid w:val="005F1C73"/>
    <w:rsid w:val="005F581D"/>
    <w:rsid w:val="005F66BA"/>
    <w:rsid w:val="00604439"/>
    <w:rsid w:val="006046CC"/>
    <w:rsid w:val="00604D82"/>
    <w:rsid w:val="006056F8"/>
    <w:rsid w:val="00607F29"/>
    <w:rsid w:val="006104D9"/>
    <w:rsid w:val="00621B91"/>
    <w:rsid w:val="0062389B"/>
    <w:rsid w:val="00625D44"/>
    <w:rsid w:val="00626F8A"/>
    <w:rsid w:val="0064213C"/>
    <w:rsid w:val="00643539"/>
    <w:rsid w:val="00647CC6"/>
    <w:rsid w:val="0065211E"/>
    <w:rsid w:val="0065241A"/>
    <w:rsid w:val="00656FB7"/>
    <w:rsid w:val="0066166E"/>
    <w:rsid w:val="00661885"/>
    <w:rsid w:val="00661DF2"/>
    <w:rsid w:val="00666E00"/>
    <w:rsid w:val="006700E0"/>
    <w:rsid w:val="006736C5"/>
    <w:rsid w:val="00674DB4"/>
    <w:rsid w:val="006757C2"/>
    <w:rsid w:val="00680479"/>
    <w:rsid w:val="006839AB"/>
    <w:rsid w:val="006840B6"/>
    <w:rsid w:val="006845C1"/>
    <w:rsid w:val="006878FA"/>
    <w:rsid w:val="00687C03"/>
    <w:rsid w:val="0069712B"/>
    <w:rsid w:val="006A1811"/>
    <w:rsid w:val="006A3F80"/>
    <w:rsid w:val="006A41C5"/>
    <w:rsid w:val="006A4FCC"/>
    <w:rsid w:val="006A5B26"/>
    <w:rsid w:val="006A673E"/>
    <w:rsid w:val="006B56F1"/>
    <w:rsid w:val="006C2078"/>
    <w:rsid w:val="006C2AD2"/>
    <w:rsid w:val="006C47EF"/>
    <w:rsid w:val="006C5B33"/>
    <w:rsid w:val="006D09AA"/>
    <w:rsid w:val="006D24A9"/>
    <w:rsid w:val="006D61B4"/>
    <w:rsid w:val="006D7C82"/>
    <w:rsid w:val="006E36EB"/>
    <w:rsid w:val="006F3B28"/>
    <w:rsid w:val="006F400E"/>
    <w:rsid w:val="00710C2C"/>
    <w:rsid w:val="00712827"/>
    <w:rsid w:val="00712EBD"/>
    <w:rsid w:val="00722CCE"/>
    <w:rsid w:val="00723C35"/>
    <w:rsid w:val="00731EA7"/>
    <w:rsid w:val="00734A38"/>
    <w:rsid w:val="00736140"/>
    <w:rsid w:val="00736AE0"/>
    <w:rsid w:val="00740894"/>
    <w:rsid w:val="007440FB"/>
    <w:rsid w:val="00745760"/>
    <w:rsid w:val="0075252A"/>
    <w:rsid w:val="007534E4"/>
    <w:rsid w:val="00755E31"/>
    <w:rsid w:val="00757482"/>
    <w:rsid w:val="00761BC5"/>
    <w:rsid w:val="00766444"/>
    <w:rsid w:val="007665DA"/>
    <w:rsid w:val="00767871"/>
    <w:rsid w:val="00767974"/>
    <w:rsid w:val="007768A1"/>
    <w:rsid w:val="00776B0B"/>
    <w:rsid w:val="007815FC"/>
    <w:rsid w:val="007821FD"/>
    <w:rsid w:val="00784417"/>
    <w:rsid w:val="007859AE"/>
    <w:rsid w:val="007928AE"/>
    <w:rsid w:val="00796D65"/>
    <w:rsid w:val="007B35F0"/>
    <w:rsid w:val="007B48C4"/>
    <w:rsid w:val="007B4D67"/>
    <w:rsid w:val="007B5179"/>
    <w:rsid w:val="007C21C7"/>
    <w:rsid w:val="007C467B"/>
    <w:rsid w:val="007D2F26"/>
    <w:rsid w:val="007D6684"/>
    <w:rsid w:val="007D79BE"/>
    <w:rsid w:val="007D7AA0"/>
    <w:rsid w:val="007E0AD6"/>
    <w:rsid w:val="007E2A24"/>
    <w:rsid w:val="007E2BAC"/>
    <w:rsid w:val="007E6663"/>
    <w:rsid w:val="007F09A3"/>
    <w:rsid w:val="007F0EA5"/>
    <w:rsid w:val="007F5218"/>
    <w:rsid w:val="007F65F3"/>
    <w:rsid w:val="007F7262"/>
    <w:rsid w:val="00800195"/>
    <w:rsid w:val="008035D3"/>
    <w:rsid w:val="00804AF4"/>
    <w:rsid w:val="0080659F"/>
    <w:rsid w:val="008114F5"/>
    <w:rsid w:val="00814BA8"/>
    <w:rsid w:val="00815F59"/>
    <w:rsid w:val="008206AE"/>
    <w:rsid w:val="00821873"/>
    <w:rsid w:val="00827C92"/>
    <w:rsid w:val="00835A9B"/>
    <w:rsid w:val="0083654B"/>
    <w:rsid w:val="00841DA9"/>
    <w:rsid w:val="00845F1B"/>
    <w:rsid w:val="008514D4"/>
    <w:rsid w:val="0086000A"/>
    <w:rsid w:val="00860D18"/>
    <w:rsid w:val="00864C21"/>
    <w:rsid w:val="00867E96"/>
    <w:rsid w:val="00871F60"/>
    <w:rsid w:val="00872DEC"/>
    <w:rsid w:val="0087311A"/>
    <w:rsid w:val="008732BC"/>
    <w:rsid w:val="00875875"/>
    <w:rsid w:val="00877242"/>
    <w:rsid w:val="00877996"/>
    <w:rsid w:val="00880BF8"/>
    <w:rsid w:val="00880D1D"/>
    <w:rsid w:val="00886F1F"/>
    <w:rsid w:val="0089065A"/>
    <w:rsid w:val="008920BF"/>
    <w:rsid w:val="00894737"/>
    <w:rsid w:val="00897984"/>
    <w:rsid w:val="008A5DC1"/>
    <w:rsid w:val="008B0F6F"/>
    <w:rsid w:val="008B29ED"/>
    <w:rsid w:val="008B2A39"/>
    <w:rsid w:val="008B4B12"/>
    <w:rsid w:val="008B5496"/>
    <w:rsid w:val="008B57A1"/>
    <w:rsid w:val="008B62F1"/>
    <w:rsid w:val="008C1D46"/>
    <w:rsid w:val="008C45A9"/>
    <w:rsid w:val="008C5FB6"/>
    <w:rsid w:val="008D1236"/>
    <w:rsid w:val="008D6C31"/>
    <w:rsid w:val="008E0EED"/>
    <w:rsid w:val="008E31AA"/>
    <w:rsid w:val="008F202A"/>
    <w:rsid w:val="008F7037"/>
    <w:rsid w:val="008F72B5"/>
    <w:rsid w:val="008F79B2"/>
    <w:rsid w:val="00906B23"/>
    <w:rsid w:val="00906CB7"/>
    <w:rsid w:val="00914E19"/>
    <w:rsid w:val="00914E76"/>
    <w:rsid w:val="00916538"/>
    <w:rsid w:val="009212E9"/>
    <w:rsid w:val="00921A3D"/>
    <w:rsid w:val="00921B1A"/>
    <w:rsid w:val="0093095C"/>
    <w:rsid w:val="00930AAE"/>
    <w:rsid w:val="00933C31"/>
    <w:rsid w:val="0093543A"/>
    <w:rsid w:val="00940FDD"/>
    <w:rsid w:val="00943BA7"/>
    <w:rsid w:val="00944CEB"/>
    <w:rsid w:val="00946D11"/>
    <w:rsid w:val="00956E59"/>
    <w:rsid w:val="00960C0A"/>
    <w:rsid w:val="00964173"/>
    <w:rsid w:val="009642CD"/>
    <w:rsid w:val="00964AA2"/>
    <w:rsid w:val="0097079B"/>
    <w:rsid w:val="0097324F"/>
    <w:rsid w:val="00980DA0"/>
    <w:rsid w:val="0098161E"/>
    <w:rsid w:val="00987260"/>
    <w:rsid w:val="0099018E"/>
    <w:rsid w:val="00991CEB"/>
    <w:rsid w:val="009920BB"/>
    <w:rsid w:val="00997604"/>
    <w:rsid w:val="009A2B27"/>
    <w:rsid w:val="009A2C82"/>
    <w:rsid w:val="009B011C"/>
    <w:rsid w:val="009B0E0D"/>
    <w:rsid w:val="009B1CE8"/>
    <w:rsid w:val="009B2D1D"/>
    <w:rsid w:val="009B553B"/>
    <w:rsid w:val="009B56C2"/>
    <w:rsid w:val="009C1B4C"/>
    <w:rsid w:val="009C2808"/>
    <w:rsid w:val="009C45C3"/>
    <w:rsid w:val="009C716F"/>
    <w:rsid w:val="009C72A7"/>
    <w:rsid w:val="009C7713"/>
    <w:rsid w:val="009D386F"/>
    <w:rsid w:val="009E4CFD"/>
    <w:rsid w:val="009E50B5"/>
    <w:rsid w:val="009F0931"/>
    <w:rsid w:val="009F4B15"/>
    <w:rsid w:val="009F7D29"/>
    <w:rsid w:val="00A011F0"/>
    <w:rsid w:val="00A0142A"/>
    <w:rsid w:val="00A0494A"/>
    <w:rsid w:val="00A055BE"/>
    <w:rsid w:val="00A0659C"/>
    <w:rsid w:val="00A10A56"/>
    <w:rsid w:val="00A1157C"/>
    <w:rsid w:val="00A20710"/>
    <w:rsid w:val="00A22667"/>
    <w:rsid w:val="00A23717"/>
    <w:rsid w:val="00A2531E"/>
    <w:rsid w:val="00A25427"/>
    <w:rsid w:val="00A25FD9"/>
    <w:rsid w:val="00A314C9"/>
    <w:rsid w:val="00A31986"/>
    <w:rsid w:val="00A3418F"/>
    <w:rsid w:val="00A372DE"/>
    <w:rsid w:val="00A37F49"/>
    <w:rsid w:val="00A42C25"/>
    <w:rsid w:val="00A4528C"/>
    <w:rsid w:val="00A46A75"/>
    <w:rsid w:val="00A46B4A"/>
    <w:rsid w:val="00A50ABD"/>
    <w:rsid w:val="00A52D31"/>
    <w:rsid w:val="00A57BB3"/>
    <w:rsid w:val="00A57CE6"/>
    <w:rsid w:val="00A6231A"/>
    <w:rsid w:val="00A63A48"/>
    <w:rsid w:val="00A6610B"/>
    <w:rsid w:val="00A71606"/>
    <w:rsid w:val="00A74BB3"/>
    <w:rsid w:val="00A77CE3"/>
    <w:rsid w:val="00A8748B"/>
    <w:rsid w:val="00AA2A47"/>
    <w:rsid w:val="00AA68D1"/>
    <w:rsid w:val="00AA6C8C"/>
    <w:rsid w:val="00AA6DD2"/>
    <w:rsid w:val="00AA749C"/>
    <w:rsid w:val="00AA7862"/>
    <w:rsid w:val="00AB166F"/>
    <w:rsid w:val="00AB2ACA"/>
    <w:rsid w:val="00AB7AF3"/>
    <w:rsid w:val="00AC36CA"/>
    <w:rsid w:val="00AC3A35"/>
    <w:rsid w:val="00AD0530"/>
    <w:rsid w:val="00AD1176"/>
    <w:rsid w:val="00AD4807"/>
    <w:rsid w:val="00AD5FB2"/>
    <w:rsid w:val="00AD7C6E"/>
    <w:rsid w:val="00AE4D25"/>
    <w:rsid w:val="00AF2825"/>
    <w:rsid w:val="00AF4018"/>
    <w:rsid w:val="00AF5817"/>
    <w:rsid w:val="00AF7501"/>
    <w:rsid w:val="00B00343"/>
    <w:rsid w:val="00B01F84"/>
    <w:rsid w:val="00B03353"/>
    <w:rsid w:val="00B03A3E"/>
    <w:rsid w:val="00B06CB4"/>
    <w:rsid w:val="00B11A6F"/>
    <w:rsid w:val="00B176C1"/>
    <w:rsid w:val="00B21DAE"/>
    <w:rsid w:val="00B21EC1"/>
    <w:rsid w:val="00B2423B"/>
    <w:rsid w:val="00B30314"/>
    <w:rsid w:val="00B3175C"/>
    <w:rsid w:val="00B32065"/>
    <w:rsid w:val="00B328A3"/>
    <w:rsid w:val="00B361E8"/>
    <w:rsid w:val="00B36CF1"/>
    <w:rsid w:val="00B370E9"/>
    <w:rsid w:val="00B40FF0"/>
    <w:rsid w:val="00B4174B"/>
    <w:rsid w:val="00B51DC3"/>
    <w:rsid w:val="00B53C92"/>
    <w:rsid w:val="00B54E80"/>
    <w:rsid w:val="00B56961"/>
    <w:rsid w:val="00B56CB5"/>
    <w:rsid w:val="00B57D43"/>
    <w:rsid w:val="00B62200"/>
    <w:rsid w:val="00B65DCE"/>
    <w:rsid w:val="00B65E76"/>
    <w:rsid w:val="00B66605"/>
    <w:rsid w:val="00B676A7"/>
    <w:rsid w:val="00B67F44"/>
    <w:rsid w:val="00B72845"/>
    <w:rsid w:val="00B74C66"/>
    <w:rsid w:val="00BA0C66"/>
    <w:rsid w:val="00BA2AA2"/>
    <w:rsid w:val="00BA5943"/>
    <w:rsid w:val="00BB1B89"/>
    <w:rsid w:val="00BB2D20"/>
    <w:rsid w:val="00BB7CF3"/>
    <w:rsid w:val="00BC0247"/>
    <w:rsid w:val="00BC0815"/>
    <w:rsid w:val="00BC0B41"/>
    <w:rsid w:val="00BC0B6D"/>
    <w:rsid w:val="00BC1D3F"/>
    <w:rsid w:val="00BC3EB8"/>
    <w:rsid w:val="00BC41B2"/>
    <w:rsid w:val="00BC4767"/>
    <w:rsid w:val="00BC6AB5"/>
    <w:rsid w:val="00BD3F96"/>
    <w:rsid w:val="00BE02A2"/>
    <w:rsid w:val="00BE16D6"/>
    <w:rsid w:val="00BE3305"/>
    <w:rsid w:val="00BE4376"/>
    <w:rsid w:val="00BE7F4B"/>
    <w:rsid w:val="00BF661F"/>
    <w:rsid w:val="00C025D3"/>
    <w:rsid w:val="00C02FA7"/>
    <w:rsid w:val="00C04277"/>
    <w:rsid w:val="00C14E5F"/>
    <w:rsid w:val="00C167AF"/>
    <w:rsid w:val="00C17B05"/>
    <w:rsid w:val="00C21D39"/>
    <w:rsid w:val="00C242A1"/>
    <w:rsid w:val="00C25530"/>
    <w:rsid w:val="00C2566C"/>
    <w:rsid w:val="00C3354E"/>
    <w:rsid w:val="00C345CC"/>
    <w:rsid w:val="00C4083D"/>
    <w:rsid w:val="00C46032"/>
    <w:rsid w:val="00C46816"/>
    <w:rsid w:val="00C47344"/>
    <w:rsid w:val="00C54017"/>
    <w:rsid w:val="00C5450C"/>
    <w:rsid w:val="00C5689D"/>
    <w:rsid w:val="00C5733D"/>
    <w:rsid w:val="00C62FC3"/>
    <w:rsid w:val="00C6393E"/>
    <w:rsid w:val="00C63A85"/>
    <w:rsid w:val="00C71E4F"/>
    <w:rsid w:val="00C722B8"/>
    <w:rsid w:val="00C72716"/>
    <w:rsid w:val="00C7732D"/>
    <w:rsid w:val="00C775C8"/>
    <w:rsid w:val="00C813F4"/>
    <w:rsid w:val="00C84044"/>
    <w:rsid w:val="00C8478E"/>
    <w:rsid w:val="00C85DCD"/>
    <w:rsid w:val="00C87851"/>
    <w:rsid w:val="00C90458"/>
    <w:rsid w:val="00C9110D"/>
    <w:rsid w:val="00C92D0D"/>
    <w:rsid w:val="00C95F88"/>
    <w:rsid w:val="00CA4871"/>
    <w:rsid w:val="00CA66D2"/>
    <w:rsid w:val="00CA6EFB"/>
    <w:rsid w:val="00CC0141"/>
    <w:rsid w:val="00CC0216"/>
    <w:rsid w:val="00CC148D"/>
    <w:rsid w:val="00CC169D"/>
    <w:rsid w:val="00CC402F"/>
    <w:rsid w:val="00CC5BC6"/>
    <w:rsid w:val="00CC60B4"/>
    <w:rsid w:val="00CC6813"/>
    <w:rsid w:val="00CE5553"/>
    <w:rsid w:val="00CE5D8F"/>
    <w:rsid w:val="00CE70AC"/>
    <w:rsid w:val="00CF2E34"/>
    <w:rsid w:val="00CF2FBA"/>
    <w:rsid w:val="00CF3C4A"/>
    <w:rsid w:val="00CF4BE7"/>
    <w:rsid w:val="00CF68CC"/>
    <w:rsid w:val="00D053C3"/>
    <w:rsid w:val="00D07012"/>
    <w:rsid w:val="00D1282E"/>
    <w:rsid w:val="00D12E0E"/>
    <w:rsid w:val="00D13E6E"/>
    <w:rsid w:val="00D276FE"/>
    <w:rsid w:val="00D30419"/>
    <w:rsid w:val="00D4306A"/>
    <w:rsid w:val="00D443D7"/>
    <w:rsid w:val="00D47966"/>
    <w:rsid w:val="00D53533"/>
    <w:rsid w:val="00D61E6E"/>
    <w:rsid w:val="00D64707"/>
    <w:rsid w:val="00D64AB3"/>
    <w:rsid w:val="00D72EC0"/>
    <w:rsid w:val="00D7333D"/>
    <w:rsid w:val="00D7570A"/>
    <w:rsid w:val="00D77A44"/>
    <w:rsid w:val="00D8197E"/>
    <w:rsid w:val="00D84F1E"/>
    <w:rsid w:val="00D94796"/>
    <w:rsid w:val="00DA02E8"/>
    <w:rsid w:val="00DA19AA"/>
    <w:rsid w:val="00DA2709"/>
    <w:rsid w:val="00DA2A61"/>
    <w:rsid w:val="00DA3E47"/>
    <w:rsid w:val="00DA661A"/>
    <w:rsid w:val="00DB0BFF"/>
    <w:rsid w:val="00DB1BA2"/>
    <w:rsid w:val="00DB24CF"/>
    <w:rsid w:val="00DB46F6"/>
    <w:rsid w:val="00DB788E"/>
    <w:rsid w:val="00DB7AC5"/>
    <w:rsid w:val="00DC04AB"/>
    <w:rsid w:val="00DC34AB"/>
    <w:rsid w:val="00DC77BF"/>
    <w:rsid w:val="00DD1A2F"/>
    <w:rsid w:val="00DD25F6"/>
    <w:rsid w:val="00DD61FA"/>
    <w:rsid w:val="00DD63E2"/>
    <w:rsid w:val="00DE09BE"/>
    <w:rsid w:val="00DE0B02"/>
    <w:rsid w:val="00DE1670"/>
    <w:rsid w:val="00DE4891"/>
    <w:rsid w:val="00DE583E"/>
    <w:rsid w:val="00DF1EBF"/>
    <w:rsid w:val="00E01AFC"/>
    <w:rsid w:val="00E05B04"/>
    <w:rsid w:val="00E07FD8"/>
    <w:rsid w:val="00E106F6"/>
    <w:rsid w:val="00E14CEE"/>
    <w:rsid w:val="00E1601E"/>
    <w:rsid w:val="00E20429"/>
    <w:rsid w:val="00E221DD"/>
    <w:rsid w:val="00E23182"/>
    <w:rsid w:val="00E27B2B"/>
    <w:rsid w:val="00E3386E"/>
    <w:rsid w:val="00E35ECE"/>
    <w:rsid w:val="00E4152D"/>
    <w:rsid w:val="00E416D8"/>
    <w:rsid w:val="00E46D7C"/>
    <w:rsid w:val="00E52055"/>
    <w:rsid w:val="00E52650"/>
    <w:rsid w:val="00E55953"/>
    <w:rsid w:val="00E5711A"/>
    <w:rsid w:val="00E6469D"/>
    <w:rsid w:val="00E65495"/>
    <w:rsid w:val="00E67EAA"/>
    <w:rsid w:val="00E7033E"/>
    <w:rsid w:val="00E7167C"/>
    <w:rsid w:val="00E74978"/>
    <w:rsid w:val="00E77016"/>
    <w:rsid w:val="00E77C2C"/>
    <w:rsid w:val="00E9078F"/>
    <w:rsid w:val="00E90AFA"/>
    <w:rsid w:val="00E93766"/>
    <w:rsid w:val="00E94268"/>
    <w:rsid w:val="00E95261"/>
    <w:rsid w:val="00E9738C"/>
    <w:rsid w:val="00E978DE"/>
    <w:rsid w:val="00EA0242"/>
    <w:rsid w:val="00EA1F2D"/>
    <w:rsid w:val="00EA38C9"/>
    <w:rsid w:val="00EA5889"/>
    <w:rsid w:val="00EA65FA"/>
    <w:rsid w:val="00EA69D4"/>
    <w:rsid w:val="00EA709F"/>
    <w:rsid w:val="00EB0BF6"/>
    <w:rsid w:val="00EB12B2"/>
    <w:rsid w:val="00EB1E6A"/>
    <w:rsid w:val="00EB21E2"/>
    <w:rsid w:val="00EB3626"/>
    <w:rsid w:val="00EB52C8"/>
    <w:rsid w:val="00EB567D"/>
    <w:rsid w:val="00EB64E7"/>
    <w:rsid w:val="00EC4247"/>
    <w:rsid w:val="00EC7034"/>
    <w:rsid w:val="00ED2111"/>
    <w:rsid w:val="00ED2A2A"/>
    <w:rsid w:val="00ED2D63"/>
    <w:rsid w:val="00ED454F"/>
    <w:rsid w:val="00EE53AE"/>
    <w:rsid w:val="00EE610F"/>
    <w:rsid w:val="00EE706B"/>
    <w:rsid w:val="00EE763E"/>
    <w:rsid w:val="00EF1EE0"/>
    <w:rsid w:val="00EF66C0"/>
    <w:rsid w:val="00F00082"/>
    <w:rsid w:val="00F050C3"/>
    <w:rsid w:val="00F06855"/>
    <w:rsid w:val="00F07B34"/>
    <w:rsid w:val="00F14044"/>
    <w:rsid w:val="00F21C28"/>
    <w:rsid w:val="00F226CD"/>
    <w:rsid w:val="00F27B9D"/>
    <w:rsid w:val="00F316AE"/>
    <w:rsid w:val="00F322A1"/>
    <w:rsid w:val="00F32E09"/>
    <w:rsid w:val="00F3584E"/>
    <w:rsid w:val="00F35F21"/>
    <w:rsid w:val="00F36EF7"/>
    <w:rsid w:val="00F36FAF"/>
    <w:rsid w:val="00F3790A"/>
    <w:rsid w:val="00F406BD"/>
    <w:rsid w:val="00F40AB0"/>
    <w:rsid w:val="00F4528C"/>
    <w:rsid w:val="00F53BE1"/>
    <w:rsid w:val="00F57638"/>
    <w:rsid w:val="00F602F7"/>
    <w:rsid w:val="00F62555"/>
    <w:rsid w:val="00F64F3D"/>
    <w:rsid w:val="00F657F4"/>
    <w:rsid w:val="00F67110"/>
    <w:rsid w:val="00F70F73"/>
    <w:rsid w:val="00F72EA8"/>
    <w:rsid w:val="00F80167"/>
    <w:rsid w:val="00F80585"/>
    <w:rsid w:val="00F848C6"/>
    <w:rsid w:val="00F91F58"/>
    <w:rsid w:val="00F93F96"/>
    <w:rsid w:val="00FA31E5"/>
    <w:rsid w:val="00FB364B"/>
    <w:rsid w:val="00FC034C"/>
    <w:rsid w:val="00FC5EC7"/>
    <w:rsid w:val="00FC6AC0"/>
    <w:rsid w:val="00FC71E6"/>
    <w:rsid w:val="00FD2A65"/>
    <w:rsid w:val="00FE0691"/>
    <w:rsid w:val="00FE1459"/>
    <w:rsid w:val="00FE2573"/>
    <w:rsid w:val="00FE5222"/>
    <w:rsid w:val="00FF1A5E"/>
    <w:rsid w:val="00FF5C5B"/>
    <w:rsid w:val="01F45106"/>
    <w:rsid w:val="06C04C06"/>
    <w:rsid w:val="0BC57C57"/>
    <w:rsid w:val="0FF06A88"/>
    <w:rsid w:val="10147E0F"/>
    <w:rsid w:val="10F12826"/>
    <w:rsid w:val="11F30231"/>
    <w:rsid w:val="13A75DAC"/>
    <w:rsid w:val="13CA09F7"/>
    <w:rsid w:val="14AB35FB"/>
    <w:rsid w:val="15053A51"/>
    <w:rsid w:val="187015C3"/>
    <w:rsid w:val="1B1F5C09"/>
    <w:rsid w:val="1F3D1604"/>
    <w:rsid w:val="1F787A0A"/>
    <w:rsid w:val="201D3119"/>
    <w:rsid w:val="21A553A5"/>
    <w:rsid w:val="23957D4E"/>
    <w:rsid w:val="24140310"/>
    <w:rsid w:val="26F0310B"/>
    <w:rsid w:val="2930720A"/>
    <w:rsid w:val="2A5E0991"/>
    <w:rsid w:val="2AA25D4B"/>
    <w:rsid w:val="2B324AEE"/>
    <w:rsid w:val="2DBD0FFD"/>
    <w:rsid w:val="2EC31E91"/>
    <w:rsid w:val="2EE76A63"/>
    <w:rsid w:val="325325B7"/>
    <w:rsid w:val="32AB6ADD"/>
    <w:rsid w:val="35FC50D9"/>
    <w:rsid w:val="37B07A7B"/>
    <w:rsid w:val="3A745EF5"/>
    <w:rsid w:val="3BF2091A"/>
    <w:rsid w:val="3C766313"/>
    <w:rsid w:val="3D7976EC"/>
    <w:rsid w:val="3D83470C"/>
    <w:rsid w:val="3E6B1947"/>
    <w:rsid w:val="3E8C04B5"/>
    <w:rsid w:val="3F4B7B6F"/>
    <w:rsid w:val="400144D2"/>
    <w:rsid w:val="41DC429C"/>
    <w:rsid w:val="433E2BDA"/>
    <w:rsid w:val="441B2E6A"/>
    <w:rsid w:val="46896661"/>
    <w:rsid w:val="478551BE"/>
    <w:rsid w:val="47907D9B"/>
    <w:rsid w:val="47B8315F"/>
    <w:rsid w:val="4885166B"/>
    <w:rsid w:val="48B32EC9"/>
    <w:rsid w:val="49790378"/>
    <w:rsid w:val="4B005D1D"/>
    <w:rsid w:val="5CE31AF3"/>
    <w:rsid w:val="5E4E3EED"/>
    <w:rsid w:val="60E467FB"/>
    <w:rsid w:val="617C0E30"/>
    <w:rsid w:val="644A170E"/>
    <w:rsid w:val="65645EFA"/>
    <w:rsid w:val="67222669"/>
    <w:rsid w:val="67B41B29"/>
    <w:rsid w:val="6CAC58B6"/>
    <w:rsid w:val="70C97E1B"/>
    <w:rsid w:val="72B30178"/>
    <w:rsid w:val="73512B07"/>
    <w:rsid w:val="77391286"/>
    <w:rsid w:val="79596424"/>
    <w:rsid w:val="7DB679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54"/>
    <w:qFormat/>
    <w:uiPriority w:val="0"/>
    <w:pPr>
      <w:keepNext/>
      <w:keepLines/>
      <w:widowControl w:val="0"/>
      <w:spacing w:before="340" w:after="330" w:line="576" w:lineRule="auto"/>
      <w:jc w:val="center"/>
      <w:outlineLvl w:val="0"/>
    </w:pPr>
    <w:rPr>
      <w:b/>
      <w:bCs/>
      <w:kern w:val="44"/>
      <w:sz w:val="30"/>
      <w:szCs w:val="44"/>
    </w:rPr>
  </w:style>
  <w:style w:type="paragraph" w:styleId="4">
    <w:name w:val="heading 2"/>
    <w:basedOn w:val="1"/>
    <w:next w:val="1"/>
    <w:qFormat/>
    <w:uiPriority w:val="0"/>
    <w:pPr>
      <w:keepNext/>
      <w:keepLines/>
      <w:widowControl w:val="0"/>
      <w:spacing w:before="260" w:after="260" w:line="412"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spacing w:before="260" w:after="260" w:line="415" w:lineRule="auto"/>
      <w:jc w:val="center"/>
      <w:outlineLvl w:val="2"/>
    </w:pPr>
    <w:rPr>
      <w:rFonts w:ascii="Calibri" w:hAnsi="Calibri"/>
      <w:b/>
      <w:bCs/>
      <w:sz w:val="28"/>
      <w:szCs w:val="32"/>
    </w:rPr>
  </w:style>
  <w:style w:type="paragraph" w:styleId="6">
    <w:name w:val="heading 4"/>
    <w:basedOn w:val="1"/>
    <w:next w:val="1"/>
    <w:qFormat/>
    <w:uiPriority w:val="0"/>
    <w:pPr>
      <w:keepNext/>
      <w:keepLines/>
      <w:widowControl w:val="0"/>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widowControl w:val="0"/>
      <w:tabs>
        <w:tab w:val="left" w:pos="1800"/>
      </w:tabs>
      <w:spacing w:before="280" w:after="290" w:line="374" w:lineRule="auto"/>
      <w:ind w:left="1800" w:hanging="1800"/>
      <w:outlineLvl w:val="4"/>
    </w:pPr>
    <w:rPr>
      <w:b/>
      <w:bCs/>
      <w:sz w:val="28"/>
      <w:szCs w:val="28"/>
    </w:rPr>
  </w:style>
  <w:style w:type="paragraph" w:styleId="8">
    <w:name w:val="heading 6"/>
    <w:basedOn w:val="1"/>
    <w:next w:val="1"/>
    <w:qFormat/>
    <w:uiPriority w:val="0"/>
    <w:pPr>
      <w:keepNext/>
      <w:keepLines/>
      <w:widowControl w:val="0"/>
      <w:adjustRightInd w:val="0"/>
      <w:spacing w:before="240" w:after="64" w:line="319" w:lineRule="auto"/>
      <w:textAlignment w:val="baseline"/>
      <w:outlineLvl w:val="5"/>
    </w:pPr>
    <w:rPr>
      <w:rFonts w:ascii="Arial" w:hAnsi="Arial" w:eastAsia="黑体"/>
      <w:b/>
      <w:szCs w:val="20"/>
    </w:rPr>
  </w:style>
  <w:style w:type="paragraph" w:styleId="9">
    <w:name w:val="heading 7"/>
    <w:basedOn w:val="1"/>
    <w:next w:val="1"/>
    <w:qFormat/>
    <w:uiPriority w:val="0"/>
    <w:pPr>
      <w:keepNext/>
      <w:keepLines/>
      <w:widowControl w:val="0"/>
      <w:adjustRightInd w:val="0"/>
      <w:spacing w:before="240" w:after="64" w:line="319" w:lineRule="auto"/>
      <w:textAlignment w:val="baseline"/>
      <w:outlineLvl w:val="6"/>
    </w:pPr>
    <w:rPr>
      <w:b/>
      <w:szCs w:val="20"/>
    </w:rPr>
  </w:style>
  <w:style w:type="paragraph" w:styleId="10">
    <w:name w:val="heading 8"/>
    <w:basedOn w:val="1"/>
    <w:next w:val="1"/>
    <w:qFormat/>
    <w:uiPriority w:val="0"/>
    <w:pPr>
      <w:keepNext/>
      <w:keepLines/>
      <w:widowControl w:val="0"/>
      <w:adjustRightInd w:val="0"/>
      <w:spacing w:before="240" w:after="64" w:line="319" w:lineRule="auto"/>
      <w:textAlignment w:val="baseline"/>
      <w:outlineLvl w:val="7"/>
    </w:pPr>
    <w:rPr>
      <w:rFonts w:ascii="Arial" w:hAnsi="Arial" w:eastAsia="黑体"/>
      <w:szCs w:val="20"/>
    </w:rPr>
  </w:style>
  <w:style w:type="paragraph" w:styleId="11">
    <w:name w:val="heading 9"/>
    <w:basedOn w:val="1"/>
    <w:next w:val="1"/>
    <w:qFormat/>
    <w:uiPriority w:val="0"/>
    <w:pPr>
      <w:keepNext/>
      <w:keepLines/>
      <w:widowControl w:val="0"/>
      <w:adjustRightInd w:val="0"/>
      <w:spacing w:before="240" w:after="64" w:line="319" w:lineRule="auto"/>
      <w:textAlignment w:val="baseline"/>
      <w:outlineLvl w:val="8"/>
    </w:pPr>
    <w:rPr>
      <w:rFonts w:ascii="Arial" w:hAnsi="Arial" w:eastAsia="黑体"/>
      <w:szCs w:val="20"/>
    </w:rPr>
  </w:style>
  <w:style w:type="character" w:default="1" w:styleId="46">
    <w:name w:val="Default Paragraph Font"/>
    <w:uiPriority w:val="0"/>
  </w:style>
  <w:style w:type="table" w:default="1" w:styleId="44">
    <w:name w:val="Normal Table"/>
    <w:unhideWhenUsed/>
    <w:uiPriority w:val="99"/>
    <w:tblPr>
      <w:tblStyle w:val="44"/>
      <w:tblCellMar>
        <w:top w:w="0" w:type="dxa"/>
        <w:left w:w="108" w:type="dxa"/>
        <w:bottom w:w="0" w:type="dxa"/>
        <w:right w:w="108" w:type="dxa"/>
      </w:tblCellMar>
    </w:tblPr>
  </w:style>
  <w:style w:type="paragraph" w:styleId="2">
    <w:name w:val="Plain Text"/>
    <w:basedOn w:val="1"/>
    <w:link w:val="53"/>
    <w:qFormat/>
    <w:uiPriority w:val="0"/>
    <w:pPr>
      <w:spacing w:before="50" w:beforeLines="50" w:after="50" w:afterLines="50" w:line="400" w:lineRule="exact"/>
    </w:pPr>
    <w:rPr>
      <w:rFonts w:ascii="宋体"/>
      <w:szCs w:val="21"/>
    </w:rPr>
  </w:style>
  <w:style w:type="paragraph" w:styleId="12">
    <w:name w:val="toc 7"/>
    <w:basedOn w:val="1"/>
    <w:next w:val="1"/>
    <w:uiPriority w:val="0"/>
    <w:pPr>
      <w:ind w:left="1260"/>
      <w:jc w:val="left"/>
    </w:pPr>
    <w:rPr>
      <w:rFonts w:ascii="Calibri" w:hAnsi="Calibri" w:cs="Calibri"/>
      <w:sz w:val="18"/>
      <w:szCs w:val="18"/>
      <w:lang w:bidi="ar-SA"/>
    </w:rPr>
  </w:style>
  <w:style w:type="paragraph" w:styleId="13">
    <w:name w:val="List Number"/>
    <w:basedOn w:val="1"/>
    <w:uiPriority w:val="0"/>
    <w:pPr>
      <w:widowControl/>
      <w:tabs>
        <w:tab w:val="left" w:pos="454"/>
        <w:tab w:val="left" w:pos="720"/>
      </w:tabs>
      <w:spacing w:after="50" w:afterLines="50"/>
      <w:ind w:left="454" w:hanging="284"/>
      <w:jc w:val="left"/>
    </w:pPr>
    <w:rPr>
      <w:kern w:val="0"/>
      <w:sz w:val="24"/>
      <w:szCs w:val="20"/>
    </w:rPr>
  </w:style>
  <w:style w:type="paragraph" w:styleId="14">
    <w:name w:val="Normal Indent"/>
    <w:basedOn w:val="1"/>
    <w:uiPriority w:val="0"/>
    <w:pPr>
      <w:ind w:firstLine="420"/>
    </w:pPr>
    <w:rPr>
      <w:szCs w:val="20"/>
    </w:rPr>
  </w:style>
  <w:style w:type="paragraph" w:styleId="15">
    <w:name w:val="caption"/>
    <w:basedOn w:val="1"/>
    <w:next w:val="1"/>
    <w:qFormat/>
    <w:uiPriority w:val="0"/>
    <w:pPr>
      <w:spacing w:before="152" w:after="160"/>
    </w:pPr>
    <w:rPr>
      <w:rFonts w:ascii="Arial" w:hAnsi="Arial" w:eastAsia="黑体" w:cs="Arial"/>
      <w:sz w:val="20"/>
      <w:szCs w:val="20"/>
      <w:lang w:bidi="ar-SA"/>
    </w:rPr>
  </w:style>
  <w:style w:type="paragraph" w:styleId="16">
    <w:name w:val="Document Map"/>
    <w:basedOn w:val="1"/>
    <w:uiPriority w:val="0"/>
    <w:pPr>
      <w:shd w:val="clear" w:color="auto" w:fill="000080"/>
    </w:pPr>
  </w:style>
  <w:style w:type="paragraph" w:styleId="17">
    <w:name w:val="annotation text"/>
    <w:qFormat/>
    <w:uiPriority w:val="0"/>
    <w:pPr>
      <w:widowControl w:val="0"/>
    </w:pPr>
    <w:rPr>
      <w:kern w:val="2"/>
      <w:sz w:val="21"/>
      <w:szCs w:val="24"/>
      <w:lang w:val="en-US" w:eastAsia="zh-CN" w:bidi="ar-SA"/>
    </w:rPr>
  </w:style>
  <w:style w:type="paragraph" w:styleId="18">
    <w:name w:val="Body Text 3"/>
    <w:basedOn w:val="1"/>
    <w:uiPriority w:val="0"/>
    <w:pPr>
      <w:snapToGrid w:val="0"/>
      <w:spacing w:before="50" w:after="50"/>
    </w:pPr>
    <w:rPr>
      <w:rFonts w:eastAsia="仿宋_GB2312"/>
      <w:b/>
      <w:bCs/>
      <w:sz w:val="24"/>
      <w:szCs w:val="20"/>
    </w:rPr>
  </w:style>
  <w:style w:type="paragraph" w:styleId="19">
    <w:name w:val="Body Text"/>
    <w:basedOn w:val="1"/>
    <w:uiPriority w:val="0"/>
    <w:pPr>
      <w:spacing w:after="120"/>
    </w:pPr>
    <w:rPr>
      <w:sz w:val="28"/>
    </w:rPr>
  </w:style>
  <w:style w:type="paragraph" w:styleId="20">
    <w:name w:val="Body Text Indent"/>
    <w:basedOn w:val="1"/>
    <w:link w:val="55"/>
    <w:uiPriority w:val="0"/>
    <w:pPr>
      <w:spacing w:line="200" w:lineRule="exact"/>
      <w:ind w:firstLine="301"/>
    </w:pPr>
    <w:rPr>
      <w:rFonts w:ascii="宋体"/>
      <w:spacing w:val="-4"/>
      <w:sz w:val="18"/>
      <w:szCs w:val="20"/>
    </w:rPr>
  </w:style>
  <w:style w:type="paragraph" w:styleId="21">
    <w:name w:val="List Number 3"/>
    <w:basedOn w:val="1"/>
    <w:uiPriority w:val="0"/>
    <w:pPr>
      <w:numPr>
        <w:ilvl w:val="0"/>
        <w:numId w:val="1"/>
      </w:numPr>
    </w:pPr>
  </w:style>
  <w:style w:type="paragraph" w:styleId="22">
    <w:name w:val="List 2"/>
    <w:basedOn w:val="1"/>
    <w:uiPriority w:val="0"/>
    <w:pPr>
      <w:ind w:left="400" w:leftChars="200" w:hanging="200" w:hangingChars="200"/>
    </w:pPr>
    <w:rPr>
      <w:sz w:val="28"/>
    </w:rPr>
  </w:style>
  <w:style w:type="paragraph" w:styleId="23">
    <w:name w:val="toc 5"/>
    <w:basedOn w:val="1"/>
    <w:next w:val="1"/>
    <w:uiPriority w:val="0"/>
    <w:pPr>
      <w:ind w:left="840"/>
      <w:jc w:val="left"/>
    </w:pPr>
    <w:rPr>
      <w:rFonts w:ascii="Calibri" w:hAnsi="Calibri" w:cs="Calibri"/>
      <w:sz w:val="18"/>
      <w:szCs w:val="18"/>
      <w:lang w:bidi="ar-SA"/>
    </w:rPr>
  </w:style>
  <w:style w:type="paragraph" w:styleId="24">
    <w:name w:val="toc 3"/>
    <w:basedOn w:val="1"/>
    <w:next w:val="1"/>
    <w:uiPriority w:val="0"/>
    <w:pPr>
      <w:ind w:left="400" w:leftChars="400"/>
    </w:pPr>
  </w:style>
  <w:style w:type="paragraph" w:styleId="25">
    <w:name w:val="toc 8"/>
    <w:basedOn w:val="1"/>
    <w:next w:val="1"/>
    <w:uiPriority w:val="0"/>
    <w:pPr>
      <w:ind w:left="1470"/>
      <w:jc w:val="left"/>
    </w:pPr>
    <w:rPr>
      <w:rFonts w:ascii="Calibri" w:hAnsi="Calibri" w:cs="Calibri"/>
      <w:sz w:val="18"/>
      <w:szCs w:val="18"/>
      <w:lang w:bidi="ar-SA"/>
    </w:rPr>
  </w:style>
  <w:style w:type="paragraph" w:styleId="26">
    <w:name w:val="Date"/>
    <w:basedOn w:val="1"/>
    <w:next w:val="1"/>
    <w:uiPriority w:val="0"/>
    <w:pPr>
      <w:ind w:left="2500" w:leftChars="2500"/>
    </w:pPr>
    <w:rPr>
      <w:rFonts w:eastAsia="楷体_GB2312"/>
      <w:sz w:val="32"/>
      <w:szCs w:val="20"/>
    </w:rPr>
  </w:style>
  <w:style w:type="paragraph" w:styleId="27">
    <w:name w:val="Body Text Indent 2"/>
    <w:basedOn w:val="1"/>
    <w:uiPriority w:val="0"/>
    <w:pPr>
      <w:snapToGrid w:val="0"/>
      <w:ind w:firstLine="225" w:firstLineChars="225"/>
    </w:pPr>
    <w:rPr>
      <w:rFonts w:ascii="仿宋_GB2312" w:hAnsi="仿宋_GB2312"/>
      <w:b/>
      <w:bCs/>
      <w:color w:val="000000"/>
      <w:sz w:val="24"/>
    </w:rPr>
  </w:style>
  <w:style w:type="paragraph" w:styleId="28">
    <w:name w:val="endnote text"/>
    <w:basedOn w:val="1"/>
    <w:uiPriority w:val="0"/>
    <w:pPr>
      <w:snapToGrid w:val="0"/>
      <w:jc w:val="left"/>
    </w:pPr>
  </w:style>
  <w:style w:type="paragraph" w:styleId="29">
    <w:name w:val="Balloon Text"/>
    <w:basedOn w:val="1"/>
    <w:uiPriority w:val="0"/>
    <w:rPr>
      <w:sz w:val="18"/>
      <w:szCs w:val="18"/>
    </w:rPr>
  </w:style>
  <w:style w:type="paragraph" w:styleId="30">
    <w:name w:val="footer"/>
    <w:basedOn w:val="1"/>
    <w:link w:val="56"/>
    <w:qFormat/>
    <w:uiPriority w:val="99"/>
    <w:pPr>
      <w:tabs>
        <w:tab w:val="center" w:pos="4153"/>
        <w:tab w:val="right" w:pos="8306"/>
      </w:tabs>
      <w:snapToGrid w:val="0"/>
      <w:jc w:val="left"/>
    </w:pPr>
    <w:rPr>
      <w:rFonts w:eastAsia="黑体"/>
      <w:kern w:val="0"/>
      <w:sz w:val="18"/>
      <w:szCs w:val="18"/>
    </w:rPr>
  </w:style>
  <w:style w:type="paragraph" w:styleId="31">
    <w:name w:val="header"/>
    <w:basedOn w:val="1"/>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2">
    <w:name w:val="toc 1"/>
    <w:basedOn w:val="1"/>
    <w:next w:val="1"/>
    <w:uiPriority w:val="39"/>
    <w:pPr>
      <w:spacing w:before="600" w:after="600"/>
    </w:pPr>
    <w:rPr>
      <w:b/>
      <w:sz w:val="32"/>
    </w:rPr>
  </w:style>
  <w:style w:type="paragraph" w:styleId="33">
    <w:name w:val="toc 4"/>
    <w:basedOn w:val="1"/>
    <w:next w:val="1"/>
    <w:uiPriority w:val="0"/>
    <w:pPr>
      <w:ind w:left="630"/>
      <w:jc w:val="left"/>
    </w:pPr>
    <w:rPr>
      <w:rFonts w:ascii="Calibri" w:hAnsi="Calibri" w:cs="Calibri"/>
      <w:sz w:val="18"/>
      <w:szCs w:val="18"/>
      <w:lang w:bidi="ar-SA"/>
    </w:rPr>
  </w:style>
  <w:style w:type="paragraph" w:styleId="34">
    <w:name w:val="List"/>
    <w:basedOn w:val="1"/>
    <w:uiPriority w:val="0"/>
    <w:pPr>
      <w:ind w:left="200" w:hanging="200" w:hangingChars="200"/>
    </w:pPr>
    <w:rPr>
      <w:sz w:val="28"/>
    </w:rPr>
  </w:style>
  <w:style w:type="paragraph" w:styleId="35">
    <w:name w:val="footnote text"/>
    <w:basedOn w:val="1"/>
    <w:uiPriority w:val="0"/>
    <w:pPr>
      <w:snapToGrid w:val="0"/>
      <w:jc w:val="left"/>
    </w:pPr>
    <w:rPr>
      <w:sz w:val="18"/>
      <w:szCs w:val="18"/>
    </w:rPr>
  </w:style>
  <w:style w:type="paragraph" w:styleId="36">
    <w:name w:val="toc 6"/>
    <w:basedOn w:val="1"/>
    <w:next w:val="1"/>
    <w:uiPriority w:val="0"/>
    <w:pPr>
      <w:ind w:left="1050"/>
      <w:jc w:val="left"/>
    </w:pPr>
    <w:rPr>
      <w:rFonts w:ascii="Calibri" w:hAnsi="Calibri" w:cs="Calibri"/>
      <w:sz w:val="18"/>
      <w:szCs w:val="18"/>
      <w:lang w:bidi="ar-SA"/>
    </w:rPr>
  </w:style>
  <w:style w:type="paragraph" w:styleId="37">
    <w:name w:val="Body Text Indent 3"/>
    <w:basedOn w:val="1"/>
    <w:uiPriority w:val="0"/>
    <w:pPr>
      <w:snapToGrid w:val="0"/>
      <w:ind w:firstLine="200" w:firstLineChars="200"/>
      <w:jc w:val="left"/>
    </w:pPr>
    <w:rPr>
      <w:sz w:val="16"/>
      <w:szCs w:val="16"/>
    </w:rPr>
  </w:style>
  <w:style w:type="paragraph" w:styleId="38">
    <w:name w:val="toc 2"/>
    <w:basedOn w:val="1"/>
    <w:next w:val="1"/>
    <w:uiPriority w:val="39"/>
    <w:pPr>
      <w:ind w:left="200" w:leftChars="200"/>
    </w:pPr>
  </w:style>
  <w:style w:type="paragraph" w:styleId="39">
    <w:name w:val="toc 9"/>
    <w:basedOn w:val="1"/>
    <w:next w:val="1"/>
    <w:uiPriority w:val="0"/>
    <w:pPr>
      <w:ind w:left="1680"/>
      <w:jc w:val="left"/>
    </w:pPr>
    <w:rPr>
      <w:rFonts w:ascii="Calibri" w:hAnsi="Calibri" w:cs="Calibri"/>
      <w:sz w:val="18"/>
      <w:szCs w:val="18"/>
      <w:lang w:bidi="ar-SA"/>
    </w:rPr>
  </w:style>
  <w:style w:type="paragraph" w:styleId="40">
    <w:name w:val="Body Text 2"/>
    <w:basedOn w:val="1"/>
    <w:uiPriority w:val="0"/>
    <w:pPr>
      <w:widowControl/>
      <w:snapToGrid w:val="0"/>
      <w:spacing w:before="50" w:after="50" w:afterLines="50" w:line="400" w:lineRule="exact"/>
      <w:jc w:val="left"/>
    </w:pPr>
    <w:rPr>
      <w:rFonts w:ascii="宋体"/>
      <w:color w:val="000000"/>
      <w:sz w:val="24"/>
    </w:rPr>
  </w:style>
  <w:style w:type="paragraph" w:styleId="41">
    <w:name w:val="Normal (Web)"/>
    <w:basedOn w:val="1"/>
    <w:qFormat/>
    <w:uiPriority w:val="99"/>
    <w:pPr>
      <w:widowControl/>
      <w:spacing w:before="100" w:beforeAutospacing="1" w:after="100" w:afterAutospacing="1"/>
      <w:jc w:val="left"/>
    </w:pPr>
    <w:rPr>
      <w:kern w:val="0"/>
      <w:sz w:val="24"/>
    </w:rPr>
  </w:style>
  <w:style w:type="paragraph" w:styleId="42">
    <w:name w:val="annotation subject"/>
    <w:basedOn w:val="17"/>
    <w:next w:val="17"/>
    <w:uiPriority w:val="0"/>
    <w:rPr>
      <w:b/>
      <w:bCs/>
    </w:rPr>
  </w:style>
  <w:style w:type="paragraph" w:styleId="43">
    <w:name w:val="Body Text First Indent 2"/>
    <w:basedOn w:val="20"/>
    <w:link w:val="57"/>
    <w:unhideWhenUsed/>
    <w:uiPriority w:val="99"/>
    <w:pPr>
      <w:spacing w:after="120" w:line="240" w:lineRule="auto"/>
      <w:ind w:left="420" w:leftChars="200" w:firstLine="420" w:firstLineChars="200"/>
    </w:pPr>
    <w:rPr>
      <w:rFonts w:ascii="Times New Roman"/>
      <w:spacing w:val="0"/>
      <w:sz w:val="21"/>
      <w:szCs w:val="24"/>
    </w:rPr>
  </w:style>
  <w:style w:type="table" w:styleId="45">
    <w:name w:val="Table Grid"/>
    <w:basedOn w:val="44"/>
    <w:uiPriority w:val="59"/>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rPr>
  </w:style>
  <w:style w:type="character" w:styleId="48">
    <w:name w:val="page number"/>
    <w:basedOn w:val="46"/>
    <w:qFormat/>
    <w:uiPriority w:val="99"/>
  </w:style>
  <w:style w:type="character" w:styleId="49">
    <w:name w:val="FollowedHyperlink"/>
    <w:uiPriority w:val="0"/>
    <w:rPr>
      <w:color w:val="333333"/>
      <w:sz w:val="16"/>
      <w:szCs w:val="0"/>
      <w:u w:val="none"/>
    </w:rPr>
  </w:style>
  <w:style w:type="character" w:styleId="50">
    <w:name w:val="Emphasis"/>
    <w:qFormat/>
    <w:uiPriority w:val="20"/>
  </w:style>
  <w:style w:type="character" w:styleId="51">
    <w:name w:val="Hyperlink"/>
    <w:uiPriority w:val="99"/>
    <w:rPr>
      <w:color w:val="333333"/>
      <w:u w:val="none"/>
    </w:rPr>
  </w:style>
  <w:style w:type="character" w:styleId="52">
    <w:name w:val="annotation reference"/>
    <w:qFormat/>
    <w:uiPriority w:val="0"/>
    <w:rPr>
      <w:sz w:val="21"/>
      <w:szCs w:val="21"/>
    </w:rPr>
  </w:style>
  <w:style w:type="character" w:customStyle="1" w:styleId="53">
    <w:name w:val="纯文本 Char3"/>
    <w:link w:val="2"/>
    <w:qFormat/>
    <w:uiPriority w:val="0"/>
    <w:rPr>
      <w:rFonts w:ascii="宋体"/>
      <w:kern w:val="2"/>
      <w:sz w:val="21"/>
      <w:szCs w:val="21"/>
    </w:rPr>
  </w:style>
  <w:style w:type="character" w:customStyle="1" w:styleId="54">
    <w:name w:val="标题 1 Char1"/>
    <w:link w:val="3"/>
    <w:uiPriority w:val="0"/>
    <w:rPr>
      <w:b/>
      <w:bCs/>
      <w:kern w:val="44"/>
      <w:sz w:val="30"/>
      <w:szCs w:val="44"/>
    </w:rPr>
  </w:style>
  <w:style w:type="character" w:customStyle="1" w:styleId="55">
    <w:name w:val="正文文本缩进 Char"/>
    <w:link w:val="20"/>
    <w:uiPriority w:val="0"/>
    <w:rPr>
      <w:rFonts w:ascii="宋体"/>
      <w:spacing w:val="-4"/>
      <w:kern w:val="2"/>
      <w:sz w:val="18"/>
    </w:rPr>
  </w:style>
  <w:style w:type="character" w:customStyle="1" w:styleId="56">
    <w:name w:val="页脚 Char"/>
    <w:link w:val="30"/>
    <w:qFormat/>
    <w:uiPriority w:val="99"/>
    <w:rPr>
      <w:rFonts w:eastAsia="黑体"/>
      <w:snapToGrid/>
      <w:sz w:val="18"/>
      <w:szCs w:val="18"/>
    </w:rPr>
  </w:style>
  <w:style w:type="character" w:customStyle="1" w:styleId="57">
    <w:name w:val="正文首行缩进 2 Char"/>
    <w:basedOn w:val="55"/>
    <w:link w:val="43"/>
    <w:uiPriority w:val="0"/>
  </w:style>
  <w:style w:type="character" w:customStyle="1" w:styleId="58">
    <w:name w:val="focus"/>
    <w:uiPriority w:val="0"/>
    <w:rPr>
      <w:color w:val="23527C"/>
      <w:shd w:val="clear" w:color="auto" w:fill="EEEEEE"/>
    </w:rPr>
  </w:style>
  <w:style w:type="character" w:customStyle="1" w:styleId="59">
    <w:name w:val="text-overflow"/>
    <w:uiPriority w:val="0"/>
    <w:rPr>
      <w:sz w:val="21"/>
      <w:szCs w:val="21"/>
    </w:rPr>
  </w:style>
  <w:style w:type="character" w:customStyle="1" w:styleId="60">
    <w:name w:val="标题 1 Char"/>
    <w:uiPriority w:val="0"/>
    <w:rPr>
      <w:rFonts w:ascii="Times New Roman" w:hAnsi="Times New Roman" w:eastAsia="宋体" w:cs="Times New Roman"/>
      <w:b/>
      <w:bCs/>
      <w:kern w:val="44"/>
      <w:sz w:val="44"/>
      <w:szCs w:val="44"/>
    </w:rPr>
  </w:style>
  <w:style w:type="character" w:customStyle="1" w:styleId="61">
    <w:name w:val="hover"/>
    <w:uiPriority w:val="0"/>
    <w:rPr>
      <w:color w:val="23527C"/>
      <w:shd w:val="clear" w:color="auto" w:fill="EEEEEE"/>
    </w:rPr>
  </w:style>
  <w:style w:type="character" w:customStyle="1" w:styleId="62">
    <w:name w:val="m_491"/>
    <w:uiPriority w:val="0"/>
  </w:style>
  <w:style w:type="character" w:customStyle="1" w:styleId="63">
    <w:name w:val="m_01"/>
    <w:uiPriority w:val="0"/>
  </w:style>
  <w:style w:type="character" w:customStyle="1" w:styleId="64">
    <w:name w:val="纯文本 Char"/>
    <w:qFormat/>
    <w:uiPriority w:val="0"/>
    <w:rPr>
      <w:rFonts w:ascii="宋体" w:eastAsia="宋体"/>
      <w:kern w:val="2"/>
      <w:sz w:val="24"/>
      <w:szCs w:val="24"/>
      <w:lang w:val="en-US" w:eastAsia="zh-CN" w:bidi="ar-SA"/>
    </w:rPr>
  </w:style>
  <w:style w:type="character" w:customStyle="1" w:styleId="65">
    <w:name w:val="纯文本 Char1"/>
    <w:qFormat/>
    <w:uiPriority w:val="0"/>
    <w:rPr>
      <w:rFonts w:hint="eastAsia" w:ascii="宋体" w:hAnsi="Courier New" w:eastAsia="宋体" w:cs="宋体"/>
      <w:kern w:val="2"/>
      <w:sz w:val="24"/>
      <w:szCs w:val="24"/>
    </w:rPr>
  </w:style>
  <w:style w:type="character" w:customStyle="1" w:styleId="66">
    <w:name w:val="样式 标题 1合同标题卷标题H1h1Level 1 Topic HeadingH11H12H111H13H1... Char"/>
    <w:uiPriority w:val="0"/>
    <w:rPr>
      <w:rFonts w:ascii="宋体" w:eastAsia="宋体"/>
      <w:b/>
      <w:bCs/>
      <w:kern w:val="44"/>
      <w:sz w:val="24"/>
      <w:szCs w:val="44"/>
      <w:lang w:val="en-US" w:eastAsia="zh-CN" w:bidi="ar-SA"/>
    </w:rPr>
  </w:style>
  <w:style w:type="character" w:customStyle="1" w:styleId="67">
    <w:name w:val="列出段落 Char"/>
    <w:link w:val="68"/>
    <w:qFormat/>
    <w:uiPriority w:val="0"/>
    <w:rPr>
      <w:rFonts w:ascii="Calibri" w:hAnsi="Calibri"/>
      <w:kern w:val="2"/>
      <w:sz w:val="21"/>
      <w:szCs w:val="22"/>
    </w:rPr>
  </w:style>
  <w:style w:type="paragraph" w:styleId="68">
    <w:name w:val="List Paragraph"/>
    <w:basedOn w:val="1"/>
    <w:link w:val="67"/>
    <w:qFormat/>
    <w:uiPriority w:val="0"/>
    <w:pPr>
      <w:ind w:firstLine="420" w:firstLineChars="200"/>
    </w:pPr>
    <w:rPr>
      <w:rFonts w:ascii="Calibri" w:hAnsi="Calibri"/>
      <w:szCs w:val="22"/>
    </w:rPr>
  </w:style>
  <w:style w:type="character" w:customStyle="1" w:styleId="69">
    <w:name w:val="m_461"/>
    <w:uiPriority w:val="0"/>
  </w:style>
  <w:style w:type="character" w:customStyle="1" w:styleId="70">
    <w:name w:val="m_171"/>
    <w:uiPriority w:val="0"/>
  </w:style>
  <w:style w:type="character" w:customStyle="1" w:styleId="71">
    <w:name w:val="hover9"/>
    <w:uiPriority w:val="0"/>
    <w:rPr>
      <w:color w:val="23527C"/>
      <w:shd w:val="clear" w:color="auto" w:fill="EEEEEE"/>
    </w:rPr>
  </w:style>
  <w:style w:type="character" w:customStyle="1" w:styleId="72">
    <w:name w:val="second-line"/>
    <w:uiPriority w:val="0"/>
    <w:rPr>
      <w:color w:val="727272"/>
    </w:rPr>
  </w:style>
  <w:style w:type="character" w:customStyle="1" w:styleId="73">
    <w:name w:val="批注文字 Char"/>
    <w:qFormat/>
    <w:uiPriority w:val="0"/>
    <w:rPr>
      <w:kern w:val="2"/>
      <w:sz w:val="21"/>
      <w:szCs w:val="24"/>
    </w:rPr>
  </w:style>
  <w:style w:type="character" w:customStyle="1" w:styleId="74">
    <w:name w:val="focus1"/>
    <w:uiPriority w:val="0"/>
    <w:rPr>
      <w:color w:val="23527C"/>
      <w:shd w:val="clear" w:color="auto" w:fill="EEEEEE"/>
    </w:rPr>
  </w:style>
  <w:style w:type="character" w:customStyle="1" w:styleId="75">
    <w:name w:val="publishtime"/>
    <w:uiPriority w:val="0"/>
    <w:rPr>
      <w:color w:val="666666"/>
    </w:rPr>
  </w:style>
  <w:style w:type="character" w:customStyle="1" w:styleId="76">
    <w:name w:val="m_391"/>
    <w:uiPriority w:val="0"/>
  </w:style>
  <w:style w:type="character" w:customStyle="1" w:styleId="77">
    <w:name w:val="纯文本 Char2"/>
    <w:qFormat/>
    <w:uiPriority w:val="0"/>
    <w:rPr>
      <w:rFonts w:hint="eastAsia" w:ascii="宋体" w:hAnsi="Courier New" w:eastAsia="宋体" w:cs="宋体"/>
      <w:sz w:val="21"/>
    </w:rPr>
  </w:style>
  <w:style w:type="character" w:customStyle="1" w:styleId="78">
    <w:name w:val="m_51"/>
    <w:uiPriority w:val="0"/>
  </w:style>
  <w:style w:type="character" w:customStyle="1" w:styleId="79">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uiPriority w:val="0"/>
    <w:rPr>
      <w:kern w:val="2"/>
      <w:sz w:val="21"/>
    </w:rPr>
  </w:style>
  <w:style w:type="character" w:customStyle="1" w:styleId="80">
    <w:name w:val="font14zd"/>
    <w:basedOn w:val="46"/>
    <w:uiPriority w:val="0"/>
  </w:style>
  <w:style w:type="character" w:customStyle="1" w:styleId="81">
    <w:name w:val="无"/>
    <w:qFormat/>
    <w:uiPriority w:val="99"/>
  </w:style>
  <w:style w:type="character" w:customStyle="1" w:styleId="82">
    <w:name w:val="bold"/>
    <w:uiPriority w:val="0"/>
    <w:rPr>
      <w:b/>
    </w:rPr>
  </w:style>
  <w:style w:type="character" w:customStyle="1" w:styleId="83">
    <w:name w:val="正文文本缩进 3 Char"/>
    <w:uiPriority w:val="0"/>
    <w:rPr>
      <w:rFonts w:ascii="仿宋_GB2312" w:eastAsia="仿宋_GB2312"/>
      <w:color w:val="000000"/>
      <w:kern w:val="2"/>
      <w:sz w:val="24"/>
      <w:szCs w:val="24"/>
    </w:rPr>
  </w:style>
  <w:style w:type="paragraph" w:customStyle="1" w:styleId="84">
    <w:name w:val=" Char1 Char Char Char"/>
    <w:basedOn w:val="1"/>
    <w:uiPriority w:val="0"/>
    <w:pPr>
      <w:tabs>
        <w:tab w:val="left" w:pos="840"/>
      </w:tabs>
      <w:ind w:left="840" w:hanging="420"/>
    </w:pPr>
    <w:rPr>
      <w:sz w:val="24"/>
    </w:rPr>
  </w:style>
  <w:style w:type="paragraph" w:customStyle="1" w:styleId="85">
    <w:name w:val="默认段落字体 Para Char Char Char Char Char Char Char Char Char1 Char Char Char Char"/>
    <w:basedOn w:val="1"/>
    <w:uiPriority w:val="0"/>
    <w:rPr>
      <w:rFonts w:ascii="Tahoma" w:hAnsi="Tahoma"/>
      <w:sz w:val="24"/>
      <w:szCs w:val="20"/>
    </w:rPr>
  </w:style>
  <w:style w:type="paragraph" w:customStyle="1" w:styleId="86">
    <w:name w:val="文档正文"/>
    <w:basedOn w:val="41"/>
    <w:qFormat/>
    <w:uiPriority w:val="0"/>
    <w:pPr>
      <w:shd w:val="clear" w:color="auto" w:fill="FFFFFF"/>
      <w:spacing w:beforeLines="50" w:beforeAutospacing="0" w:after="0" w:afterAutospacing="0" w:line="360" w:lineRule="auto"/>
      <w:ind w:firstLine="560" w:firstLineChars="200"/>
      <w:jc w:val="both"/>
    </w:pPr>
    <w:rPr>
      <w:rFonts w:ascii="Arial Unicode MS" w:hAnsi="Arial Unicode MS" w:eastAsia="仿宋"/>
      <w:sz w:val="28"/>
      <w:szCs w:val="32"/>
    </w:rPr>
  </w:style>
  <w:style w:type="paragraph" w:customStyle="1" w:styleId="87">
    <w:name w:val="标准正文"/>
    <w:basedOn w:val="1"/>
    <w:uiPriority w:val="0"/>
    <w:pPr>
      <w:spacing w:line="360" w:lineRule="auto"/>
      <w:ind w:firstLine="200" w:firstLineChars="200"/>
    </w:pPr>
    <w:rPr>
      <w:rFonts w:ascii="仿宋" w:eastAsia="仿宋"/>
      <w:sz w:val="28"/>
      <w:szCs w:val="21"/>
    </w:rPr>
  </w:style>
  <w:style w:type="paragraph" w:customStyle="1" w:styleId="88">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89">
    <w:name w:val="big"/>
    <w:basedOn w:val="1"/>
    <w:uiPriority w:val="0"/>
    <w:pPr>
      <w:widowControl/>
      <w:spacing w:before="100" w:beforeAutospacing="1" w:after="100" w:afterAutospacing="1"/>
      <w:jc w:val="left"/>
    </w:pPr>
    <w:rPr>
      <w:rFonts w:ascii="宋体"/>
      <w:kern w:val="0"/>
      <w:sz w:val="24"/>
    </w:rPr>
  </w:style>
  <w:style w:type="paragraph" w:customStyle="1" w:styleId="90">
    <w:name w:val="Char"/>
    <w:basedOn w:val="1"/>
    <w:uiPriority w:val="0"/>
    <w:pPr>
      <w:widowControl/>
      <w:spacing w:after="160" w:line="240" w:lineRule="exact"/>
      <w:jc w:val="left"/>
    </w:pPr>
    <w:rPr>
      <w:szCs w:val="20"/>
    </w:rPr>
  </w:style>
  <w:style w:type="paragraph" w:customStyle="1" w:styleId="91">
    <w:name w:val=" Char Char Char Char Char Char Char Char Char Char Char Char1 Char"/>
    <w:basedOn w:val="16"/>
    <w:uiPriority w:val="0"/>
    <w:rPr>
      <w:rFonts w:ascii="Tahoma" w:hAnsi="Tahoma"/>
      <w:sz w:val="24"/>
    </w:rPr>
  </w:style>
  <w:style w:type="paragraph" w:customStyle="1" w:styleId="92">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lang w:bidi="ar-SA"/>
    </w:rPr>
  </w:style>
  <w:style w:type="paragraph" w:customStyle="1" w:styleId="93">
    <w:name w:val="正文段"/>
    <w:basedOn w:val="1"/>
    <w:uiPriority w:val="0"/>
    <w:pPr>
      <w:widowControl/>
      <w:snapToGrid w:val="0"/>
      <w:spacing w:after="50" w:afterLines="50"/>
      <w:ind w:firstLine="200" w:firstLineChars="200"/>
    </w:pPr>
    <w:rPr>
      <w:kern w:val="0"/>
      <w:sz w:val="24"/>
      <w:szCs w:val="20"/>
    </w:rPr>
  </w:style>
  <w:style w:type="paragraph" w:customStyle="1" w:styleId="94">
    <w:name w:val="自由格式 A"/>
    <w:uiPriority w:val="0"/>
    <w:rPr>
      <w:rFonts w:ascii="Helvetica" w:hAnsi="Helvetica" w:eastAsia="ヒラギノ角ゴ Pro W3"/>
      <w:color w:val="000000"/>
      <w:sz w:val="24"/>
      <w:lang w:val="en-US" w:eastAsia="zh-CN" w:bidi="ar-SA"/>
    </w:rPr>
  </w:style>
  <w:style w:type="paragraph" w:customStyle="1" w:styleId="95">
    <w:name w:val="SANGFOR_6_正文"/>
    <w:basedOn w:val="1"/>
    <w:qFormat/>
    <w:uiPriority w:val="0"/>
    <w:pPr>
      <w:widowControl/>
      <w:spacing w:line="360" w:lineRule="auto"/>
      <w:jc w:val="left"/>
    </w:pPr>
    <w:rPr>
      <w:rFonts w:ascii="宋体" w:hAnsi="宋体" w:cs="宋体"/>
      <w:kern w:val="0"/>
      <w:sz w:val="24"/>
      <w:szCs w:val="20"/>
    </w:rPr>
  </w:style>
  <w:style w:type="paragraph" w:customStyle="1" w:styleId="96">
    <w:name w:val="_Style 3"/>
    <w:basedOn w:val="1"/>
    <w:qFormat/>
    <w:uiPriority w:val="0"/>
    <w:pPr>
      <w:ind w:firstLine="420" w:firstLineChars="200"/>
    </w:pPr>
    <w:rPr>
      <w:rFonts w:ascii="Calibri" w:hAnsi="Calibri"/>
      <w:szCs w:val="22"/>
    </w:rPr>
  </w:style>
  <w:style w:type="paragraph" w:customStyle="1" w:styleId="97">
    <w:name w:val="正文空2格  1."/>
    <w:basedOn w:val="1"/>
    <w:uiPriority w:val="0"/>
    <w:pPr>
      <w:adjustRightInd w:val="0"/>
      <w:spacing w:line="360" w:lineRule="auto"/>
      <w:ind w:firstLine="200" w:firstLineChars="200"/>
      <w:textAlignment w:val="baseline"/>
    </w:pPr>
    <w:rPr>
      <w:rFonts w:ascii="宋体" w:hAnsi="宋体" w:eastAsia="仿宋" w:cs="宋体"/>
      <w:kern w:val="0"/>
      <w:sz w:val="28"/>
      <w:szCs w:val="20"/>
      <w:lang w:bidi="ar-SA"/>
    </w:rPr>
  </w:style>
  <w:style w:type="paragraph" w:customStyle="1" w:styleId="98">
    <w:name w:val="地址内"/>
    <w:basedOn w:val="1"/>
    <w:uiPriority w:val="0"/>
    <w:rPr>
      <w:szCs w:val="20"/>
    </w:rPr>
  </w:style>
  <w:style w:type="paragraph" w:customStyle="1" w:styleId="99">
    <w:name w:val="样式 标题 3 +1"/>
    <w:basedOn w:val="5"/>
    <w:uiPriority w:val="0"/>
    <w:rPr>
      <w:kern w:val="0"/>
    </w:rPr>
  </w:style>
  <w:style w:type="paragraph" w:customStyle="1" w:styleId="100">
    <w:name w:val="_Style 1"/>
    <w:basedOn w:val="1"/>
    <w:qFormat/>
    <w:uiPriority w:val="34"/>
    <w:pPr>
      <w:ind w:firstLine="420" w:firstLineChars="200"/>
    </w:pPr>
    <w:rPr>
      <w:rFonts w:ascii="Calibri" w:hAnsi="Calibri" w:eastAsia="宋体" w:cs="Times New Roman"/>
    </w:rPr>
  </w:style>
  <w:style w:type="paragraph" w:customStyle="1" w:styleId="101">
    <w:name w:val="Default"/>
    <w:uiPriority w:val="0"/>
    <w:pPr>
      <w:widowControl w:val="0"/>
      <w:autoSpaceDE w:val="0"/>
      <w:autoSpaceDN w:val="0"/>
      <w:adjustRightInd w:val="0"/>
    </w:pPr>
    <w:rPr>
      <w:color w:val="000000"/>
      <w:sz w:val="24"/>
      <w:szCs w:val="24"/>
      <w:lang w:val="en-US" w:eastAsia="zh-CN" w:bidi="ar-SA"/>
    </w:rPr>
  </w:style>
  <w:style w:type="paragraph" w:customStyle="1" w:styleId="102">
    <w:name w:val="首行缩进2字符"/>
    <w:basedOn w:val="1"/>
    <w:uiPriority w:val="0"/>
    <w:pPr>
      <w:spacing w:line="360" w:lineRule="auto"/>
      <w:ind w:firstLine="200" w:firstLineChars="200"/>
    </w:pPr>
    <w:rPr>
      <w:rFonts w:ascii="Calibri" w:hAnsi="Calibri"/>
      <w:sz w:val="24"/>
      <w:szCs w:val="21"/>
    </w:rPr>
  </w:style>
  <w:style w:type="paragraph" w:customStyle="1" w:styleId="103">
    <w:name w:val=" Char1"/>
    <w:basedOn w:val="1"/>
    <w:uiPriority w:val="0"/>
    <w:rPr>
      <w:rFonts w:ascii="Tahoma" w:hAnsi="Tahoma"/>
      <w:sz w:val="24"/>
      <w:szCs w:val="20"/>
    </w:rPr>
  </w:style>
  <w:style w:type="paragraph" w:customStyle="1" w:styleId="104">
    <w:name w:val="彩色列表 - 强调文字颜色 11"/>
    <w:basedOn w:val="1"/>
    <w:uiPriority w:val="0"/>
    <w:pPr>
      <w:ind w:firstLine="200" w:firstLineChars="200"/>
    </w:pPr>
    <w:rPr>
      <w:rFonts w:ascii="Calibri" w:hAnsi="Calibri"/>
      <w:szCs w:val="22"/>
    </w:rPr>
  </w:style>
  <w:style w:type="paragraph" w:customStyle="1" w:styleId="105">
    <w:name w:val="正文首行缩进2字符"/>
    <w:basedOn w:val="1"/>
    <w:uiPriority w:val="0"/>
    <w:pPr>
      <w:spacing w:line="360" w:lineRule="auto"/>
      <w:ind w:firstLine="200" w:firstLineChars="200"/>
    </w:pPr>
    <w:rPr>
      <w:rFonts w:eastAsia="仿宋"/>
      <w:sz w:val="28"/>
      <w:szCs w:val="20"/>
    </w:rPr>
  </w:style>
  <w:style w:type="paragraph" w:customStyle="1" w:styleId="106">
    <w:name w:val="彩色列表 - 着色 12"/>
    <w:basedOn w:val="1"/>
    <w:qFormat/>
    <w:uiPriority w:val="34"/>
    <w:pPr>
      <w:widowControl/>
      <w:ind w:firstLine="420" w:firstLineChars="200"/>
      <w:jc w:val="left"/>
    </w:pPr>
    <w:rPr>
      <w:rFonts w:ascii="宋体" w:hAnsi="宋体" w:cs="宋体"/>
      <w:kern w:val="0"/>
      <w:sz w:val="24"/>
    </w:rPr>
  </w:style>
  <w:style w:type="paragraph" w:customStyle="1" w:styleId="107">
    <w:name w:val="此正文"/>
    <w:basedOn w:val="1"/>
    <w:uiPriority w:val="0"/>
    <w:pPr>
      <w:spacing w:line="360" w:lineRule="auto"/>
      <w:ind w:firstLine="200" w:firstLineChars="200"/>
    </w:pPr>
    <w:rPr>
      <w:sz w:val="24"/>
      <w:szCs w:val="24"/>
    </w:rPr>
  </w:style>
  <w:style w:type="paragraph" w:customStyle="1" w:styleId="108">
    <w:name w:val="列出段落1"/>
    <w:basedOn w:val="1"/>
    <w:uiPriority w:val="0"/>
    <w:pPr>
      <w:ind w:firstLine="200" w:firstLineChars="200"/>
    </w:pPr>
    <w:rPr>
      <w:rFonts w:ascii="Calibri" w:hAnsi="Calibri"/>
      <w:szCs w:val="22"/>
    </w:rPr>
  </w:style>
  <w:style w:type="paragraph" w:styleId="109">
    <w:name w:val=""/>
    <w:basedOn w:val="3"/>
    <w:next w:val="1"/>
    <w:qFormat/>
    <w:uiPriority w:val="0"/>
    <w:pPr>
      <w:keepNext/>
      <w:keepLines/>
      <w:widowControl/>
      <w:spacing w:before="480" w:after="0" w:line="276" w:lineRule="auto"/>
      <w:jc w:val="left"/>
      <w:outlineLvl w:val="9"/>
    </w:pPr>
    <w:rPr>
      <w:rFonts w:ascii="Cambria" w:hAnsi="Cambria" w:eastAsia="宋体" w:cs="Times New Roman"/>
      <w:color w:val="365F91"/>
      <w:kern w:val="0"/>
      <w:sz w:val="28"/>
      <w:szCs w:val="28"/>
      <w:lang w:bidi="ar-SA"/>
    </w:rPr>
  </w:style>
  <w:style w:type="paragraph" w:customStyle="1" w:styleId="110">
    <w:name w:val="_Style 78"/>
    <w:basedOn w:val="1"/>
    <w:next w:val="68"/>
    <w:qFormat/>
    <w:uiPriority w:val="34"/>
    <w:pPr>
      <w:numPr>
        <w:ilvl w:val="0"/>
        <w:numId w:val="2"/>
      </w:numPr>
      <w:tabs>
        <w:tab w:val="left" w:pos="360"/>
      </w:tabs>
    </w:pPr>
    <w:rPr>
      <w:rFonts w:ascii="Calibri" w:hAnsi="Calibri"/>
      <w:szCs w:val="22"/>
    </w:rPr>
  </w:style>
  <w:style w:type="paragraph" w:customStyle="1" w:styleId="111">
    <w:name w:val="msolistparagraph"/>
    <w:basedOn w:val="1"/>
    <w:uiPriority w:val="0"/>
    <w:pPr>
      <w:keepNext w:val="0"/>
      <w:keepLines w:val="0"/>
      <w:widowControl w:val="0"/>
      <w:suppressLineNumbers w:val="0"/>
      <w:spacing w:before="0" w:beforeAutospacing="0" w:after="0" w:afterAutospacing="0"/>
      <w:ind w:left="0" w:right="0" w:firstLine="200" w:firstLineChars="200"/>
      <w:jc w:val="both"/>
    </w:pPr>
    <w:rPr>
      <w:rFonts w:ascii="Calibri" w:hAnsi="Calibri" w:eastAsia="宋体" w:cs="Times New Roman"/>
      <w:kern w:val="2"/>
      <w:sz w:val="21"/>
      <w:szCs w:val="22"/>
      <w:lang w:val="en-US" w:eastAsia="zh-CN" w:bidi="ar-SA"/>
    </w:rPr>
  </w:style>
  <w:style w:type="paragraph" w:customStyle="1" w:styleId="112">
    <w:name w:val=" Char"/>
    <w:basedOn w:val="1"/>
    <w:uiPriority w:val="0"/>
    <w:rPr>
      <w:rFonts w:ascii="仿宋_GB2312" w:eastAsia="仿宋_GB2312"/>
      <w:b/>
      <w:sz w:val="32"/>
      <w:szCs w:val="32"/>
    </w:rPr>
  </w:style>
  <w:style w:type="paragraph" w:customStyle="1" w:styleId="113">
    <w:name w:val="证文"/>
    <w:basedOn w:val="1"/>
    <w:uiPriority w:val="0"/>
    <w:pPr>
      <w:spacing w:line="360" w:lineRule="auto"/>
    </w:pPr>
    <w:rPr>
      <w:sz w:val="24"/>
      <w:szCs w:val="20"/>
    </w:rPr>
  </w:style>
  <w:style w:type="paragraph" w:customStyle="1" w:styleId="114">
    <w:name w:val="样式 标题 1 + 两端对齐"/>
    <w:basedOn w:val="4"/>
    <w:next w:val="4"/>
    <w:uiPriority w:val="0"/>
    <w:pPr>
      <w:autoSpaceDE w:val="0"/>
      <w:autoSpaceDN w:val="0"/>
      <w:adjustRightInd w:val="0"/>
      <w:spacing w:before="340" w:after="330" w:line="240" w:lineRule="auto"/>
      <w:jc w:val="center"/>
    </w:pPr>
    <w:rPr>
      <w:rFonts w:ascii="汉鼎简细圆" w:hAnsi="汉鼎简细圆" w:eastAsia="宋体" w:cs="宋体"/>
      <w:kern w:val="44"/>
      <w:sz w:val="28"/>
      <w:szCs w:val="20"/>
      <w:lang w:bidi="ar-SA"/>
    </w:rPr>
  </w:style>
  <w:style w:type="paragraph" w:customStyle="1" w:styleId="115">
    <w:name w:val="List Paragraph"/>
    <w:basedOn w:val="1"/>
    <w:uiPriority w:val="0"/>
    <w:pPr>
      <w:ind w:firstLine="200" w:firstLineChars="200"/>
    </w:pPr>
    <w:rPr>
      <w:rFonts w:ascii="Calibri" w:hAnsi="Calibri" w:cs="Calibri"/>
      <w:lang w:bidi="ar-SA"/>
    </w:rPr>
  </w:style>
  <w:style w:type="paragraph" w:customStyle="1" w:styleId="116">
    <w:name w:val="xl29"/>
    <w:basedOn w:val="1"/>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17">
    <w:name w:val="xl66"/>
    <w:basedOn w:val="1"/>
    <w:uiPriority w:val="0"/>
    <w:pPr>
      <w:widowControl/>
      <w:pBdr>
        <w:left w:val="single" w:color="auto" w:sz="4" w:space="0"/>
        <w:bottom w:val="single" w:color="auto" w:sz="4" w:space="0"/>
      </w:pBdr>
      <w:spacing w:before="100" w:beforeAutospacing="1" w:after="100" w:afterAutospacing="1"/>
      <w:jc w:val="center"/>
    </w:pPr>
    <w:rPr>
      <w:rFonts w:ascii="宋体"/>
      <w:kern w:val="0"/>
      <w:sz w:val="24"/>
    </w:rPr>
  </w:style>
  <w:style w:type="paragraph" w:customStyle="1" w:styleId="118">
    <w:name w:val="Char1"/>
    <w:basedOn w:val="1"/>
    <w:uiPriority w:val="0"/>
    <w:rPr>
      <w:rFonts w:ascii="Tahoma" w:hAnsi="Tahoma"/>
      <w:sz w:val="24"/>
      <w:szCs w:val="20"/>
    </w:rPr>
  </w:style>
  <w:style w:type="paragraph" w:customStyle="1" w:styleId="119">
    <w:name w:val="样式 标题 3 +"/>
    <w:basedOn w:val="5"/>
    <w:uiPriority w:val="0"/>
    <w:rPr>
      <w:kern w:val="0"/>
    </w:rPr>
  </w:style>
  <w:style w:type="paragraph" w:customStyle="1" w:styleId="120">
    <w:name w:val="xl24"/>
    <w:basedOn w:val="1"/>
    <w:uiPriority w:val="0"/>
    <w:pPr>
      <w:widowControl/>
      <w:spacing w:before="100" w:beforeAutospacing="1" w:after="100" w:afterAutospacing="1"/>
      <w:jc w:val="center"/>
      <w:textAlignment w:val="center"/>
    </w:pPr>
    <w:rPr>
      <w:rFonts w:ascii="宋体"/>
      <w:kern w:val="0"/>
      <w:sz w:val="24"/>
    </w:rPr>
  </w:style>
  <w:style w:type="paragraph" w:customStyle="1" w:styleId="121">
    <w:name w:val="正文2"/>
    <w:basedOn w:val="1"/>
    <w:qFormat/>
    <w:uiPriority w:val="0"/>
    <w:pPr>
      <w:adjustRightInd w:val="0"/>
      <w:spacing w:line="318" w:lineRule="atLeast"/>
      <w:ind w:left="369" w:firstLine="369"/>
      <w:textAlignment w:val="baseline"/>
    </w:pPr>
    <w:rPr>
      <w:rFonts w:ascii="宋体"/>
      <w:szCs w:val="20"/>
    </w:rPr>
  </w:style>
  <w:style w:type="paragraph" w:customStyle="1" w:styleId="122">
    <w:name w:val="Plain Text"/>
    <w:basedOn w:val="1"/>
    <w:uiPriority w:val="0"/>
    <w:pPr>
      <w:adjustRightInd w:val="0"/>
      <w:textAlignment w:val="baseline"/>
    </w:pPr>
    <w:rPr>
      <w:rFonts w:ascii="宋体"/>
      <w:kern w:val="0"/>
      <w:szCs w:val="20"/>
    </w:rPr>
  </w:style>
  <w:style w:type="paragraph" w:customStyle="1" w:styleId="123">
    <w:name w:val="样式1"/>
    <w:basedOn w:val="6"/>
    <w:uiPriority w:val="0"/>
  </w:style>
  <w:style w:type="paragraph" w:customStyle="1" w:styleId="124">
    <w:name w:val="p0"/>
    <w:basedOn w:val="1"/>
    <w:uiPriority w:val="0"/>
    <w:pPr>
      <w:widowControl/>
    </w:pPr>
    <w:rPr>
      <w:kern w:val="0"/>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footer5.xml" Type="http://schemas.openxmlformats.org/officeDocument/2006/relationships/footer"/><Relationship Id="rId8" Target="header1.xml" Type="http://schemas.openxmlformats.org/officeDocument/2006/relationships/header"/><Relationship Id="rId9" Target="footer6.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79</Pages>
  <Words>10090</Words>
  <Characters>57518</Characters>
  <Lines>479</Lines>
  <Paragraphs>134</Paragraphs>
  <TotalTime>24</TotalTime>
  <ScaleCrop>false</ScaleCrop>
  <LinksUpToDate>false</LinksUpToDate>
  <CharactersWithSpaces>67474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2021-09-14T04:37:00Z</dcterms:created>
  <dc:creator>黄旭明</dc:creator>
  <cp:lastModifiedBy>WPS_1701756769</cp:lastModifiedBy>
  <cp:lastPrinted>2021-09-09T06:42:00Z</cp:lastPrinted>
  <dcterms:modified xsi:type="dcterms:W3CDTF">2024-02-26T01:39:05Z</dcterms:modified>
  <cp:revision>5</cp:revision>
  <dc:title>宁波市鄞州区城区内河管理处工程项目设计单位年度资格入围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FBF9F6DC2C184C958AE0DB5DB6823B6B_13</vt:lpwstr>
  </property>
</Properties>
</file>