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新宋体" w:hAnsi="新宋体" w:eastAsia="新宋体" w:cs="新宋体"/>
          <w:b/>
          <w:bCs/>
          <w:color w:val="auto"/>
          <w:spacing w:val="100"/>
          <w:sz w:val="84"/>
          <w:szCs w:val="84"/>
        </w:rPr>
      </w:pPr>
      <w:bookmarkStart w:id="153" w:name="_GoBack"/>
      <w:bookmarkEnd w:id="153"/>
      <w:r>
        <w:rPr>
          <w:rFonts w:hint="eastAsia" w:ascii="新宋体" w:hAnsi="新宋体" w:eastAsia="新宋体" w:cs="新宋体"/>
          <w:b/>
          <w:bCs/>
          <w:color w:val="auto"/>
          <w:spacing w:val="100"/>
          <w:sz w:val="84"/>
          <w:szCs w:val="84"/>
          <w:lang w:eastAsia="zh-CN"/>
        </w:rPr>
        <w:t>鹿城区</w:t>
      </w:r>
      <w:r>
        <w:rPr>
          <w:rFonts w:hint="eastAsia" w:ascii="新宋体" w:hAnsi="新宋体" w:eastAsia="新宋体" w:cs="新宋体"/>
          <w:b/>
          <w:bCs/>
          <w:color w:val="auto"/>
          <w:spacing w:val="100"/>
          <w:sz w:val="84"/>
          <w:szCs w:val="84"/>
        </w:rPr>
        <w:t>政府</w:t>
      </w:r>
      <w:r>
        <w:rPr>
          <w:rFonts w:hint="eastAsia" w:ascii="新宋体" w:hAnsi="新宋体" w:eastAsia="新宋体" w:cs="新宋体"/>
          <w:b/>
          <w:bCs/>
          <w:color w:val="auto"/>
          <w:spacing w:val="100"/>
          <w:sz w:val="84"/>
          <w:szCs w:val="84"/>
          <w:lang w:eastAsia="zh-CN"/>
        </w:rPr>
        <w:t>分散</w:t>
      </w:r>
      <w:r>
        <w:rPr>
          <w:rFonts w:hint="eastAsia" w:ascii="新宋体" w:hAnsi="新宋体" w:eastAsia="新宋体" w:cs="新宋体"/>
          <w:b/>
          <w:bCs/>
          <w:color w:val="auto"/>
          <w:spacing w:val="100"/>
          <w:sz w:val="84"/>
          <w:szCs w:val="84"/>
        </w:rPr>
        <w:t>采购</w:t>
      </w:r>
    </w:p>
    <w:p>
      <w:pPr>
        <w:jc w:val="center"/>
        <w:rPr>
          <w:rFonts w:hint="eastAsia" w:ascii="新宋体" w:hAnsi="新宋体" w:eastAsia="新宋体" w:cs="新宋体"/>
          <w:b/>
          <w:bCs/>
          <w:color w:val="auto"/>
          <w:spacing w:val="26"/>
          <w:sz w:val="52"/>
        </w:rPr>
      </w:pPr>
    </w:p>
    <w:p>
      <w:pPr>
        <w:jc w:val="center"/>
        <w:rPr>
          <w:rFonts w:hint="eastAsia" w:ascii="新宋体" w:hAnsi="新宋体" w:eastAsia="新宋体" w:cs="新宋体"/>
          <w:b/>
          <w:bCs/>
          <w:color w:val="auto"/>
          <w:spacing w:val="140"/>
          <w:sz w:val="84"/>
          <w:szCs w:val="84"/>
        </w:rPr>
      </w:pPr>
    </w:p>
    <w:p>
      <w:pPr>
        <w:pStyle w:val="4"/>
        <w:bidi w:val="0"/>
        <w:rPr>
          <w:rFonts w:hint="eastAsia"/>
          <w:color w:val="auto"/>
        </w:rPr>
      </w:pPr>
    </w:p>
    <w:p>
      <w:pPr>
        <w:jc w:val="center"/>
        <w:rPr>
          <w:rFonts w:hint="eastAsia" w:ascii="新宋体" w:hAnsi="新宋体" w:eastAsia="新宋体" w:cs="新宋体"/>
          <w:b/>
          <w:bCs/>
          <w:color w:val="auto"/>
          <w:spacing w:val="140"/>
          <w:sz w:val="84"/>
          <w:szCs w:val="84"/>
        </w:rPr>
      </w:pPr>
      <w:r>
        <w:rPr>
          <w:rFonts w:hint="eastAsia" w:ascii="新宋体" w:hAnsi="新宋体" w:eastAsia="新宋体" w:cs="新宋体"/>
          <w:b/>
          <w:bCs/>
          <w:color w:val="auto"/>
          <w:spacing w:val="140"/>
          <w:sz w:val="84"/>
          <w:szCs w:val="84"/>
        </w:rPr>
        <w:t>招标文件</w:t>
      </w:r>
    </w:p>
    <w:p>
      <w:pPr>
        <w:spacing w:line="600" w:lineRule="exact"/>
        <w:jc w:val="center"/>
        <w:rPr>
          <w:rFonts w:hint="eastAsia" w:ascii="新宋体" w:hAnsi="新宋体" w:eastAsia="新宋体" w:cs="新宋体"/>
          <w:b/>
          <w:bCs/>
          <w:color w:val="auto"/>
          <w:spacing w:val="140"/>
          <w:sz w:val="84"/>
          <w:szCs w:val="84"/>
        </w:rPr>
      </w:pPr>
    </w:p>
    <w:p>
      <w:pPr>
        <w:spacing w:line="400" w:lineRule="exact"/>
        <w:jc w:val="center"/>
        <w:rPr>
          <w:rFonts w:hint="eastAsia" w:ascii="新宋体" w:hAnsi="新宋体" w:eastAsia="新宋体" w:cs="新宋体"/>
          <w:b/>
          <w:bCs/>
          <w:color w:val="auto"/>
          <w:sz w:val="32"/>
          <w:szCs w:val="32"/>
        </w:rPr>
      </w:pPr>
    </w:p>
    <w:p>
      <w:pPr>
        <w:pStyle w:val="23"/>
        <w:rPr>
          <w:rFonts w:hint="eastAsia"/>
          <w:color w:val="auto"/>
        </w:rPr>
      </w:pPr>
    </w:p>
    <w:p>
      <w:pPr>
        <w:jc w:val="center"/>
        <w:rPr>
          <w:rFonts w:hint="eastAsia" w:ascii="新宋体" w:hAnsi="新宋体" w:eastAsia="新宋体" w:cs="新宋体"/>
          <w:color w:val="auto"/>
          <w:spacing w:val="40"/>
          <w:sz w:val="30"/>
          <w:szCs w:val="30"/>
        </w:rPr>
      </w:pPr>
    </w:p>
    <w:p>
      <w:pPr>
        <w:jc w:val="center"/>
        <w:rPr>
          <w:rFonts w:hint="eastAsia" w:ascii="新宋体" w:hAnsi="新宋体" w:eastAsia="新宋体" w:cs="新宋体"/>
          <w:color w:val="auto"/>
          <w:spacing w:val="40"/>
          <w:sz w:val="30"/>
          <w:szCs w:val="30"/>
        </w:rPr>
      </w:pPr>
    </w:p>
    <w:p>
      <w:pPr>
        <w:jc w:val="center"/>
        <w:rPr>
          <w:rFonts w:hint="eastAsia" w:ascii="新宋体" w:hAnsi="新宋体" w:eastAsia="新宋体" w:cs="新宋体"/>
          <w:color w:val="auto"/>
          <w:spacing w:val="40"/>
          <w:sz w:val="30"/>
          <w:szCs w:val="30"/>
        </w:rPr>
      </w:pPr>
    </w:p>
    <w:tbl>
      <w:tblPr>
        <w:tblStyle w:val="56"/>
        <w:tblW w:w="0" w:type="auto"/>
        <w:jc w:val="center"/>
        <w:tblLayout w:type="fixed"/>
        <w:tblCellMar>
          <w:top w:w="0" w:type="dxa"/>
          <w:left w:w="108" w:type="dxa"/>
          <w:bottom w:w="0" w:type="dxa"/>
          <w:right w:w="108" w:type="dxa"/>
        </w:tblCellMar>
      </w:tblPr>
      <w:tblGrid>
        <w:gridCol w:w="1483"/>
        <w:gridCol w:w="3657"/>
      </w:tblGrid>
      <w:tr>
        <w:tblPrEx>
          <w:tblCellMar>
            <w:top w:w="0" w:type="dxa"/>
            <w:left w:w="108" w:type="dxa"/>
            <w:bottom w:w="0" w:type="dxa"/>
            <w:right w:w="108" w:type="dxa"/>
          </w:tblCellMar>
        </w:tblPrEx>
        <w:trPr>
          <w:trHeight w:val="707" w:hRule="atLeast"/>
          <w:jc w:val="center"/>
        </w:trPr>
        <w:tc>
          <w:tcPr>
            <w:tcW w:w="1483" w:type="dxa"/>
            <w:noWrap w:val="0"/>
            <w:vAlign w:val="center"/>
          </w:tcPr>
          <w:p>
            <w:pP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项目编号：</w:t>
            </w:r>
          </w:p>
        </w:tc>
        <w:tc>
          <w:tcPr>
            <w:tcW w:w="3657" w:type="dxa"/>
            <w:noWrap w:val="0"/>
            <w:vAlign w:val="center"/>
          </w:tcPr>
          <w:p>
            <w:pPr>
              <w:rPr>
                <w:rFonts w:hint="eastAsia" w:ascii="新宋体" w:hAnsi="新宋体" w:eastAsia="新宋体" w:cs="新宋体"/>
                <w:b/>
                <w:color w:val="auto"/>
                <w:sz w:val="28"/>
                <w:szCs w:val="28"/>
                <w:lang w:eastAsia="zh-CN"/>
              </w:rPr>
            </w:pPr>
            <w:r>
              <w:rPr>
                <w:rFonts w:hint="eastAsia" w:ascii="新宋体" w:hAnsi="新宋体" w:eastAsia="新宋体" w:cs="新宋体"/>
                <w:b/>
                <w:color w:val="auto"/>
                <w:sz w:val="28"/>
                <w:szCs w:val="28"/>
                <w:lang w:eastAsia="zh-CN"/>
              </w:rPr>
              <w:t>GZWZ[2020]014</w:t>
            </w:r>
          </w:p>
        </w:tc>
      </w:tr>
      <w:tr>
        <w:tblPrEx>
          <w:tblCellMar>
            <w:top w:w="0" w:type="dxa"/>
            <w:left w:w="108" w:type="dxa"/>
            <w:bottom w:w="0" w:type="dxa"/>
            <w:right w:w="108" w:type="dxa"/>
          </w:tblCellMar>
        </w:tblPrEx>
        <w:trPr>
          <w:trHeight w:val="942" w:hRule="atLeast"/>
          <w:jc w:val="center"/>
        </w:trPr>
        <w:tc>
          <w:tcPr>
            <w:tcW w:w="1483" w:type="dxa"/>
            <w:noWrap w:val="0"/>
            <w:vAlign w:val="center"/>
          </w:tcPr>
          <w:p>
            <w:pP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项目名称：</w:t>
            </w:r>
          </w:p>
        </w:tc>
        <w:tc>
          <w:tcPr>
            <w:tcW w:w="3657" w:type="dxa"/>
            <w:noWrap w:val="0"/>
            <w:vAlign w:val="center"/>
          </w:tcPr>
          <w:p>
            <w:pPr>
              <w:rPr>
                <w:rFonts w:hint="eastAsia" w:ascii="新宋体" w:hAnsi="新宋体" w:eastAsia="新宋体" w:cs="新宋体"/>
                <w:b/>
                <w:color w:val="auto"/>
                <w:sz w:val="28"/>
                <w:szCs w:val="28"/>
                <w:lang w:eastAsia="zh-CN"/>
              </w:rPr>
            </w:pPr>
            <w:r>
              <w:rPr>
                <w:rFonts w:hint="eastAsia" w:ascii="新宋体" w:hAnsi="新宋体" w:eastAsia="新宋体" w:cs="新宋体"/>
                <w:b/>
                <w:color w:val="auto"/>
                <w:sz w:val="28"/>
                <w:szCs w:val="28"/>
                <w:lang w:eastAsia="zh-CN"/>
              </w:rPr>
              <w:t>山福镇村级道路、河道、公厕清扫保洁及垃圾分类</w:t>
            </w:r>
          </w:p>
        </w:tc>
      </w:tr>
      <w:tr>
        <w:tblPrEx>
          <w:tblCellMar>
            <w:top w:w="0" w:type="dxa"/>
            <w:left w:w="108" w:type="dxa"/>
            <w:bottom w:w="0" w:type="dxa"/>
            <w:right w:w="108" w:type="dxa"/>
          </w:tblCellMar>
        </w:tblPrEx>
        <w:trPr>
          <w:trHeight w:val="707" w:hRule="atLeast"/>
          <w:jc w:val="center"/>
        </w:trPr>
        <w:tc>
          <w:tcPr>
            <w:tcW w:w="1483" w:type="dxa"/>
            <w:noWrap w:val="0"/>
            <w:vAlign w:val="center"/>
          </w:tcPr>
          <w:p>
            <w:pP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采购方式：</w:t>
            </w:r>
          </w:p>
        </w:tc>
        <w:tc>
          <w:tcPr>
            <w:tcW w:w="3657" w:type="dxa"/>
            <w:noWrap w:val="0"/>
            <w:vAlign w:val="center"/>
          </w:tcPr>
          <w:p>
            <w:pP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公开招标</w:t>
            </w:r>
          </w:p>
        </w:tc>
      </w:tr>
    </w:tbl>
    <w:p>
      <w:pPr>
        <w:spacing w:line="600" w:lineRule="exact"/>
        <w:jc w:val="center"/>
        <w:rPr>
          <w:rFonts w:hint="eastAsia" w:ascii="新宋体" w:hAnsi="新宋体" w:eastAsia="新宋体" w:cs="新宋体"/>
          <w:b/>
          <w:color w:val="auto"/>
          <w:sz w:val="30"/>
          <w:szCs w:val="30"/>
        </w:rPr>
      </w:pPr>
    </w:p>
    <w:p>
      <w:pPr>
        <w:spacing w:line="600" w:lineRule="exact"/>
        <w:jc w:val="center"/>
        <w:rPr>
          <w:rFonts w:hint="eastAsia" w:ascii="新宋体" w:hAnsi="新宋体" w:eastAsia="新宋体" w:cs="新宋体"/>
          <w:b/>
          <w:color w:val="auto"/>
          <w:sz w:val="30"/>
          <w:szCs w:val="30"/>
        </w:rPr>
      </w:pPr>
    </w:p>
    <w:p>
      <w:pPr>
        <w:spacing w:line="600" w:lineRule="exact"/>
        <w:jc w:val="center"/>
        <w:rPr>
          <w:rFonts w:hint="eastAsia" w:ascii="新宋体" w:hAnsi="新宋体" w:eastAsia="新宋体" w:cs="新宋体"/>
          <w:b/>
          <w:color w:val="auto"/>
          <w:sz w:val="30"/>
          <w:szCs w:val="30"/>
        </w:rPr>
      </w:pPr>
    </w:p>
    <w:p>
      <w:pPr>
        <w:spacing w:line="600" w:lineRule="exact"/>
        <w:jc w:val="center"/>
        <w:rPr>
          <w:rFonts w:hint="eastAsia" w:ascii="新宋体" w:hAnsi="新宋体" w:eastAsia="新宋体" w:cs="新宋体"/>
          <w:b/>
          <w:color w:val="auto"/>
          <w:sz w:val="30"/>
          <w:szCs w:val="30"/>
        </w:rPr>
      </w:pPr>
    </w:p>
    <w:tbl>
      <w:tblPr>
        <w:tblStyle w:val="56"/>
        <w:tblW w:w="0" w:type="auto"/>
        <w:jc w:val="center"/>
        <w:tblLayout w:type="fixed"/>
        <w:tblCellMar>
          <w:top w:w="0" w:type="dxa"/>
          <w:left w:w="108" w:type="dxa"/>
          <w:bottom w:w="0" w:type="dxa"/>
          <w:right w:w="108" w:type="dxa"/>
        </w:tblCellMar>
      </w:tblPr>
      <w:tblGrid>
        <w:gridCol w:w="1342"/>
        <w:gridCol w:w="236"/>
        <w:gridCol w:w="4246"/>
      </w:tblGrid>
      <w:tr>
        <w:tblPrEx>
          <w:tblCellMar>
            <w:top w:w="0" w:type="dxa"/>
            <w:left w:w="108" w:type="dxa"/>
            <w:bottom w:w="0" w:type="dxa"/>
            <w:right w:w="108" w:type="dxa"/>
          </w:tblCellMar>
        </w:tblPrEx>
        <w:trPr>
          <w:wBefore w:w="0" w:type="auto"/>
          <w:wAfter w:w="0" w:type="auto"/>
          <w:trHeight w:val="707" w:hRule="atLeast"/>
          <w:jc w:val="center"/>
        </w:trPr>
        <w:tc>
          <w:tcPr>
            <w:tcW w:w="1342" w:type="dxa"/>
            <w:noWrap w:val="0"/>
            <w:vAlign w:val="center"/>
          </w:tcPr>
          <w:p>
            <w:pPr>
              <w:jc w:val="distribute"/>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采购人</w:t>
            </w:r>
          </w:p>
        </w:tc>
        <w:tc>
          <w:tcPr>
            <w:tcW w:w="236" w:type="dxa"/>
            <w:noWrap w:val="0"/>
            <w:vAlign w:val="center"/>
          </w:tcPr>
          <w:p>
            <w:pPr>
              <w:jc w:val="distribute"/>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w:t>
            </w:r>
          </w:p>
        </w:tc>
        <w:tc>
          <w:tcPr>
            <w:tcW w:w="4246" w:type="dxa"/>
            <w:noWrap w:val="0"/>
            <w:vAlign w:val="center"/>
          </w:tcPr>
          <w:p>
            <w:pPr>
              <w:jc w:val="distribute"/>
              <w:rPr>
                <w:rFonts w:hint="eastAsia" w:ascii="新宋体" w:hAnsi="新宋体" w:eastAsia="新宋体" w:cs="新宋体"/>
                <w:b/>
                <w:color w:val="auto"/>
                <w:sz w:val="28"/>
                <w:szCs w:val="28"/>
                <w:lang w:eastAsia="zh-CN"/>
              </w:rPr>
            </w:pPr>
            <w:r>
              <w:rPr>
                <w:rFonts w:hint="eastAsia" w:ascii="新宋体" w:hAnsi="新宋体" w:eastAsia="新宋体" w:cs="新宋体"/>
                <w:b/>
                <w:color w:val="auto"/>
                <w:sz w:val="28"/>
                <w:szCs w:val="28"/>
                <w:lang w:eastAsia="zh-CN"/>
              </w:rPr>
              <w:t>温州市鹿城区山福镇人民政府</w:t>
            </w:r>
          </w:p>
        </w:tc>
      </w:tr>
      <w:tr>
        <w:tblPrEx>
          <w:tblCellMar>
            <w:top w:w="0" w:type="dxa"/>
            <w:left w:w="108" w:type="dxa"/>
            <w:bottom w:w="0" w:type="dxa"/>
            <w:right w:w="108" w:type="dxa"/>
          </w:tblCellMar>
        </w:tblPrEx>
        <w:trPr>
          <w:wBefore w:w="0" w:type="auto"/>
          <w:wAfter w:w="0" w:type="auto"/>
          <w:trHeight w:val="707" w:hRule="atLeast"/>
          <w:jc w:val="center"/>
        </w:trPr>
        <w:tc>
          <w:tcPr>
            <w:tcW w:w="1342" w:type="dxa"/>
            <w:noWrap w:val="0"/>
            <w:vAlign w:val="center"/>
          </w:tcPr>
          <w:p>
            <w:pPr>
              <w:jc w:val="distribute"/>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代理机构</w:t>
            </w:r>
          </w:p>
        </w:tc>
        <w:tc>
          <w:tcPr>
            <w:tcW w:w="236" w:type="dxa"/>
            <w:noWrap w:val="0"/>
            <w:vAlign w:val="center"/>
          </w:tcPr>
          <w:p>
            <w:pPr>
              <w:jc w:val="distribute"/>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w:t>
            </w:r>
          </w:p>
        </w:tc>
        <w:tc>
          <w:tcPr>
            <w:tcW w:w="4246" w:type="dxa"/>
            <w:noWrap w:val="0"/>
            <w:vAlign w:val="center"/>
          </w:tcPr>
          <w:p>
            <w:pPr>
              <w:jc w:val="distribute"/>
              <w:rPr>
                <w:rFonts w:hint="eastAsia" w:ascii="新宋体" w:hAnsi="新宋体" w:eastAsia="新宋体" w:cs="新宋体"/>
                <w:b/>
                <w:color w:val="auto"/>
                <w:sz w:val="28"/>
                <w:szCs w:val="28"/>
                <w:lang w:eastAsia="zh-CN"/>
              </w:rPr>
            </w:pPr>
            <w:r>
              <w:rPr>
                <w:rFonts w:hint="eastAsia" w:ascii="新宋体" w:hAnsi="新宋体" w:eastAsia="新宋体" w:cs="新宋体"/>
                <w:b/>
                <w:color w:val="auto"/>
                <w:sz w:val="28"/>
                <w:szCs w:val="28"/>
                <w:lang w:eastAsia="zh-CN"/>
              </w:rPr>
              <w:t>宁波国咨工程造价咨询有限公司</w:t>
            </w:r>
          </w:p>
        </w:tc>
      </w:tr>
    </w:tbl>
    <w:p>
      <w:pPr>
        <w:spacing w:line="600" w:lineRule="exact"/>
        <w:jc w:val="center"/>
        <w:rPr>
          <w:rFonts w:hint="eastAsia" w:ascii="新宋体" w:hAnsi="新宋体" w:eastAsia="新宋体" w:cs="新宋体"/>
          <w:b/>
          <w:color w:val="auto"/>
          <w:sz w:val="30"/>
          <w:szCs w:val="30"/>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新宋体" w:hAnsi="新宋体" w:eastAsia="新宋体" w:cs="新宋体"/>
          <w:b/>
          <w:color w:val="auto"/>
          <w:sz w:val="30"/>
          <w:szCs w:val="30"/>
        </w:rPr>
        <w:t xml:space="preserve">     二○二○年</w:t>
      </w:r>
      <w:r>
        <w:rPr>
          <w:rFonts w:hint="eastAsia" w:ascii="新宋体" w:hAnsi="新宋体" w:eastAsia="新宋体" w:cs="新宋体"/>
          <w:b/>
          <w:color w:val="auto"/>
          <w:sz w:val="30"/>
          <w:szCs w:val="30"/>
          <w:lang w:eastAsia="zh-CN"/>
        </w:rPr>
        <w:t>七</w:t>
      </w:r>
      <w:r>
        <w:rPr>
          <w:rFonts w:hint="eastAsia" w:ascii="新宋体" w:hAnsi="新宋体" w:eastAsia="新宋体" w:cs="新宋体"/>
          <w:b/>
          <w:color w:val="auto"/>
          <w:sz w:val="30"/>
          <w:szCs w:val="30"/>
        </w:rPr>
        <w:t>月</w:t>
      </w:r>
    </w:p>
    <w:p>
      <w:pPr>
        <w:pStyle w:val="40"/>
        <w:tabs>
          <w:tab w:val="right" w:leader="dot" w:pos="9638"/>
        </w:tabs>
        <w:ind w:left="1030" w:hanging="1030"/>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目 录</w:t>
      </w:r>
    </w:p>
    <w:p>
      <w:pPr>
        <w:rPr>
          <w:rFonts w:hint="eastAsia"/>
          <w:color w:val="auto"/>
        </w:rPr>
      </w:pPr>
    </w:p>
    <w:p>
      <w:pPr>
        <w:pStyle w:val="40"/>
        <w:tabs>
          <w:tab w:val="right" w:leader="dot" w:pos="9628"/>
        </w:tabs>
        <w:spacing w:line="480" w:lineRule="auto"/>
        <w:ind w:left="1" w:firstLine="0" w:firstLineChars="0"/>
        <w:rPr>
          <w:rFonts w:hint="eastAsia" w:ascii="新宋体" w:hAnsi="新宋体" w:eastAsia="新宋体" w:cs="新宋体"/>
          <w:b/>
          <w:bCs/>
          <w:color w:val="auto"/>
          <w:szCs w:val="21"/>
        </w:rPr>
      </w:pPr>
    </w:p>
    <w:p>
      <w:pPr>
        <w:pStyle w:val="40"/>
        <w:tabs>
          <w:tab w:val="right" w:leader="dot" w:pos="9628"/>
        </w:tabs>
        <w:spacing w:line="480" w:lineRule="auto"/>
        <w:ind w:left="1" w:firstLine="0" w:firstLineChars="0"/>
        <w:rPr>
          <w:rFonts w:ascii="新宋体" w:hAnsi="新宋体" w:eastAsia="新宋体" w:cs="Times New Roman"/>
          <w:color w:val="auto"/>
          <w:sz w:val="24"/>
          <w:lang/>
        </w:rPr>
      </w:pPr>
      <w:r>
        <w:rPr>
          <w:rFonts w:hint="eastAsia" w:ascii="新宋体" w:hAnsi="新宋体" w:eastAsia="新宋体" w:cs="新宋体"/>
          <w:b/>
          <w:bCs/>
          <w:color w:val="auto"/>
          <w:sz w:val="24"/>
        </w:rPr>
        <w:fldChar w:fldCharType="begin"/>
      </w:r>
      <w:r>
        <w:rPr>
          <w:rFonts w:hint="eastAsia" w:ascii="新宋体" w:hAnsi="新宋体" w:eastAsia="新宋体" w:cs="新宋体"/>
          <w:b/>
          <w:bCs/>
          <w:color w:val="auto"/>
          <w:sz w:val="24"/>
        </w:rPr>
        <w:instrText xml:space="preserve">TOC \o "1-3" \h \u </w:instrText>
      </w:r>
      <w:r>
        <w:rPr>
          <w:rFonts w:hint="eastAsia" w:ascii="新宋体" w:hAnsi="新宋体" w:eastAsia="新宋体" w:cs="新宋体"/>
          <w:b/>
          <w:bCs/>
          <w:color w:val="auto"/>
          <w:sz w:val="24"/>
        </w:rPr>
        <w:fldChar w:fldCharType="separate"/>
      </w: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"_Toc34572026"</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s="新宋体"/>
          <w:color w:val="auto"/>
          <w:sz w:val="24"/>
          <w:szCs w:val="24"/>
          <w:lang/>
        </w:rPr>
        <w:t>关于</w:t>
      </w:r>
      <w:r>
        <w:rPr>
          <w:rStyle w:val="68"/>
          <w:rFonts w:hint="eastAsia" w:ascii="新宋体" w:hAnsi="新宋体" w:eastAsia="新宋体" w:cs="新宋体"/>
          <w:color w:val="auto"/>
          <w:sz w:val="24"/>
          <w:szCs w:val="24"/>
          <w:lang w:eastAsia="zh-CN"/>
        </w:rPr>
        <w:t>山福镇村级道路、河道、公厕清扫保洁及垃圾分类</w:t>
      </w:r>
      <w:r>
        <w:rPr>
          <w:rStyle w:val="68"/>
          <w:rFonts w:hint="eastAsia" w:ascii="新宋体" w:hAnsi="新宋体" w:eastAsia="新宋体" w:cs="新宋体"/>
          <w:color w:val="auto"/>
          <w:sz w:val="24"/>
          <w:szCs w:val="24"/>
          <w:lang/>
        </w:rPr>
        <w:t>项目的公开招标公告</w:t>
      </w:r>
      <w:r>
        <w:rPr>
          <w:rFonts w:ascii="新宋体" w:hAnsi="新宋体" w:eastAsia="新宋体"/>
          <w:color w:val="auto"/>
          <w:sz w:val="24"/>
          <w:lang/>
        </w:rPr>
        <w:tab/>
      </w:r>
      <w:r>
        <w:rPr>
          <w:rFonts w:ascii="新宋体" w:hAnsi="新宋体" w:eastAsia="新宋体"/>
          <w:color w:val="auto"/>
          <w:sz w:val="24"/>
          <w:lang/>
        </w:rPr>
        <w:fldChar w:fldCharType="begin"/>
      </w:r>
      <w:r>
        <w:rPr>
          <w:rFonts w:ascii="新宋体" w:hAnsi="新宋体" w:eastAsia="新宋体"/>
          <w:color w:val="auto"/>
          <w:sz w:val="24"/>
          <w:lang/>
        </w:rPr>
        <w:instrText xml:space="preserve"> PAGEREF _Toc34572026 \h </w:instrText>
      </w:r>
      <w:r>
        <w:rPr>
          <w:rFonts w:ascii="新宋体" w:hAnsi="新宋体" w:eastAsia="新宋体"/>
          <w:color w:val="auto"/>
          <w:sz w:val="24"/>
          <w:lang/>
        </w:rPr>
        <w:fldChar w:fldCharType="separate"/>
      </w:r>
      <w:r>
        <w:rPr>
          <w:rFonts w:ascii="新宋体" w:hAnsi="新宋体" w:eastAsia="新宋体"/>
          <w:color w:val="auto"/>
          <w:sz w:val="24"/>
          <w:lang/>
        </w:rPr>
        <w:t>2</w:t>
      </w:r>
      <w:r>
        <w:rPr>
          <w:rFonts w:ascii="新宋体" w:hAnsi="新宋体" w:eastAsia="新宋体"/>
          <w:color w:val="auto"/>
          <w:sz w:val="24"/>
          <w:lang/>
        </w:rPr>
        <w:fldChar w:fldCharType="end"/>
      </w:r>
      <w:r>
        <w:rPr>
          <w:rFonts w:ascii="新宋体" w:hAnsi="新宋体" w:eastAsia="新宋体"/>
          <w:color w:val="auto"/>
          <w:sz w:val="24"/>
          <w:lang/>
        </w:rPr>
        <w:fldChar w:fldCharType="end"/>
      </w:r>
    </w:p>
    <w:p>
      <w:pPr>
        <w:pStyle w:val="40"/>
        <w:tabs>
          <w:tab w:val="right" w:leader="dot" w:pos="9628"/>
        </w:tabs>
        <w:spacing w:line="480" w:lineRule="auto"/>
        <w:ind w:left="0" w:firstLine="0" w:firstLineChars="0"/>
        <w:rPr>
          <w:rFonts w:ascii="新宋体" w:hAnsi="新宋体" w:eastAsia="新宋体" w:cs="Times New Roman"/>
          <w:color w:val="auto"/>
          <w:sz w:val="24"/>
          <w:lang/>
        </w:rPr>
      </w:pP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"_Toc34572027"</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s="新宋体"/>
          <w:color w:val="auto"/>
          <w:sz w:val="24"/>
          <w:szCs w:val="24"/>
          <w:lang/>
        </w:rPr>
        <w:t>第一部分</w:t>
      </w:r>
      <w:r>
        <w:rPr>
          <w:rStyle w:val="68"/>
          <w:rFonts w:ascii="新宋体" w:hAnsi="新宋体" w:eastAsia="新宋体" w:cs="新宋体"/>
          <w:color w:val="auto"/>
          <w:sz w:val="24"/>
          <w:szCs w:val="24"/>
          <w:lang/>
        </w:rPr>
        <w:t xml:space="preserve">   </w:t>
      </w:r>
      <w:r>
        <w:rPr>
          <w:rStyle w:val="68"/>
          <w:rFonts w:hint="eastAsia" w:ascii="新宋体" w:hAnsi="新宋体" w:eastAsia="新宋体" w:cs="新宋体"/>
          <w:color w:val="auto"/>
          <w:sz w:val="24"/>
          <w:szCs w:val="24"/>
          <w:lang/>
        </w:rPr>
        <w:t>投标人须知</w:t>
      </w:r>
      <w:r>
        <w:rPr>
          <w:rFonts w:ascii="新宋体" w:hAnsi="新宋体" w:eastAsia="新宋体"/>
          <w:color w:val="auto"/>
          <w:sz w:val="24"/>
          <w:lang/>
        </w:rPr>
        <w:tab/>
      </w:r>
      <w:r>
        <w:rPr>
          <w:rFonts w:ascii="新宋体" w:hAnsi="新宋体" w:eastAsia="新宋体"/>
          <w:color w:val="auto"/>
          <w:sz w:val="24"/>
          <w:lang/>
        </w:rPr>
        <w:fldChar w:fldCharType="begin"/>
      </w:r>
      <w:r>
        <w:rPr>
          <w:rFonts w:ascii="新宋体" w:hAnsi="新宋体" w:eastAsia="新宋体"/>
          <w:color w:val="auto"/>
          <w:sz w:val="24"/>
          <w:lang/>
        </w:rPr>
        <w:instrText xml:space="preserve"> PAGEREF _Toc34572027 \h </w:instrText>
      </w:r>
      <w:r>
        <w:rPr>
          <w:rFonts w:ascii="新宋体" w:hAnsi="新宋体" w:eastAsia="新宋体"/>
          <w:color w:val="auto"/>
          <w:sz w:val="24"/>
          <w:lang/>
        </w:rPr>
        <w:fldChar w:fldCharType="separate"/>
      </w:r>
      <w:r>
        <w:rPr>
          <w:rFonts w:ascii="新宋体" w:hAnsi="新宋体" w:eastAsia="新宋体"/>
          <w:color w:val="auto"/>
          <w:sz w:val="24"/>
          <w:lang/>
        </w:rPr>
        <w:t>6</w:t>
      </w:r>
      <w:r>
        <w:rPr>
          <w:rFonts w:ascii="新宋体" w:hAnsi="新宋体" w:eastAsia="新宋体"/>
          <w:color w:val="auto"/>
          <w:sz w:val="24"/>
          <w:lang/>
        </w:rPr>
        <w:fldChar w:fldCharType="end"/>
      </w:r>
      <w:r>
        <w:rPr>
          <w:rFonts w:ascii="新宋体" w:hAnsi="新宋体" w:eastAsia="新宋体"/>
          <w:color w:val="auto"/>
          <w:sz w:val="24"/>
          <w:lang/>
        </w:rPr>
        <w:fldChar w:fldCharType="end"/>
      </w:r>
    </w:p>
    <w:p>
      <w:pPr>
        <w:pStyle w:val="40"/>
        <w:tabs>
          <w:tab w:val="right" w:leader="dot" w:pos="9628"/>
        </w:tabs>
        <w:spacing w:line="480" w:lineRule="auto"/>
        <w:ind w:left="0" w:firstLine="0" w:firstLineChars="0"/>
        <w:rPr>
          <w:rFonts w:ascii="新宋体" w:hAnsi="新宋体" w:eastAsia="新宋体" w:cs="Times New Roman"/>
          <w:color w:val="auto"/>
          <w:sz w:val="24"/>
          <w:lang/>
        </w:rPr>
      </w:pP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"_Toc34572028"</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s="新宋体"/>
          <w:color w:val="auto"/>
          <w:sz w:val="24"/>
          <w:szCs w:val="24"/>
          <w:lang/>
        </w:rPr>
        <w:t>投标人须知前附表</w:t>
      </w:r>
      <w:r>
        <w:rPr>
          <w:rFonts w:ascii="新宋体" w:hAnsi="新宋体" w:eastAsia="新宋体"/>
          <w:color w:val="auto"/>
          <w:sz w:val="24"/>
          <w:lang/>
        </w:rPr>
        <w:tab/>
      </w:r>
      <w:r>
        <w:rPr>
          <w:rFonts w:ascii="新宋体" w:hAnsi="新宋体" w:eastAsia="新宋体"/>
          <w:color w:val="auto"/>
          <w:sz w:val="24"/>
          <w:lang/>
        </w:rPr>
        <w:fldChar w:fldCharType="begin"/>
      </w:r>
      <w:r>
        <w:rPr>
          <w:rFonts w:ascii="新宋体" w:hAnsi="新宋体" w:eastAsia="新宋体"/>
          <w:color w:val="auto"/>
          <w:sz w:val="24"/>
          <w:lang/>
        </w:rPr>
        <w:instrText xml:space="preserve"> PAGEREF _Toc34572028 \h </w:instrText>
      </w:r>
      <w:r>
        <w:rPr>
          <w:rFonts w:ascii="新宋体" w:hAnsi="新宋体" w:eastAsia="新宋体"/>
          <w:color w:val="auto"/>
          <w:sz w:val="24"/>
          <w:lang/>
        </w:rPr>
        <w:fldChar w:fldCharType="separate"/>
      </w:r>
      <w:r>
        <w:rPr>
          <w:rFonts w:ascii="新宋体" w:hAnsi="新宋体" w:eastAsia="新宋体"/>
          <w:color w:val="auto"/>
          <w:sz w:val="24"/>
          <w:lang/>
        </w:rPr>
        <w:t>6</w:t>
      </w:r>
      <w:r>
        <w:rPr>
          <w:rFonts w:ascii="新宋体" w:hAnsi="新宋体" w:eastAsia="新宋体"/>
          <w:color w:val="auto"/>
          <w:sz w:val="24"/>
          <w:lang/>
        </w:rPr>
        <w:fldChar w:fldCharType="end"/>
      </w:r>
      <w:r>
        <w:rPr>
          <w:rFonts w:ascii="新宋体" w:hAnsi="新宋体" w:eastAsia="新宋体"/>
          <w:color w:val="auto"/>
          <w:sz w:val="24"/>
          <w:lang/>
        </w:rPr>
        <w:fldChar w:fldCharType="end"/>
      </w:r>
    </w:p>
    <w:p>
      <w:pPr>
        <w:pStyle w:val="48"/>
        <w:tabs>
          <w:tab w:val="right" w:leader="dot" w:pos="9628"/>
        </w:tabs>
        <w:spacing w:line="480" w:lineRule="auto"/>
        <w:ind w:left="0" w:leftChars="0"/>
        <w:rPr>
          <w:rFonts w:ascii="新宋体" w:hAnsi="新宋体" w:eastAsia="新宋体"/>
          <w:color w:val="auto"/>
          <w:sz w:val="24"/>
          <w:lang/>
        </w:rPr>
      </w:pP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"_Toc34572029"</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olor w:val="auto"/>
          <w:sz w:val="24"/>
          <w:szCs w:val="24"/>
          <w:lang/>
        </w:rPr>
        <w:t>一、</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说明</w:t>
      </w:r>
      <w:r>
        <w:rPr>
          <w:rFonts w:ascii="新宋体" w:hAnsi="新宋体" w:eastAsia="新宋体"/>
          <w:color w:val="auto"/>
          <w:sz w:val="24"/>
          <w:lang/>
        </w:rPr>
        <w:tab/>
      </w:r>
      <w:r>
        <w:rPr>
          <w:rFonts w:ascii="新宋体" w:hAnsi="新宋体" w:eastAsia="新宋体"/>
          <w:color w:val="auto"/>
          <w:sz w:val="24"/>
          <w:lang/>
        </w:rPr>
        <w:fldChar w:fldCharType="begin"/>
      </w:r>
      <w:r>
        <w:rPr>
          <w:rFonts w:ascii="新宋体" w:hAnsi="新宋体" w:eastAsia="新宋体"/>
          <w:color w:val="auto"/>
          <w:sz w:val="24"/>
          <w:lang/>
        </w:rPr>
        <w:instrText xml:space="preserve"> PAGEREF _Toc34572029 \h </w:instrText>
      </w:r>
      <w:r>
        <w:rPr>
          <w:rFonts w:ascii="新宋体" w:hAnsi="新宋体" w:eastAsia="新宋体"/>
          <w:color w:val="auto"/>
          <w:sz w:val="24"/>
          <w:lang/>
        </w:rPr>
        <w:fldChar w:fldCharType="separate"/>
      </w:r>
      <w:r>
        <w:rPr>
          <w:rFonts w:ascii="新宋体" w:hAnsi="新宋体" w:eastAsia="新宋体"/>
          <w:color w:val="auto"/>
          <w:sz w:val="24"/>
          <w:lang/>
        </w:rPr>
        <w:t>10</w:t>
      </w:r>
      <w:r>
        <w:rPr>
          <w:rFonts w:ascii="新宋体" w:hAnsi="新宋体" w:eastAsia="新宋体"/>
          <w:color w:val="auto"/>
          <w:sz w:val="24"/>
          <w:lang/>
        </w:rPr>
        <w:fldChar w:fldCharType="end"/>
      </w:r>
      <w:r>
        <w:rPr>
          <w:rFonts w:ascii="新宋体" w:hAnsi="新宋体" w:eastAsia="新宋体"/>
          <w:color w:val="auto"/>
          <w:sz w:val="24"/>
          <w:lang/>
        </w:rPr>
        <w:fldChar w:fldCharType="end"/>
      </w:r>
    </w:p>
    <w:p>
      <w:pPr>
        <w:pStyle w:val="48"/>
        <w:tabs>
          <w:tab w:val="right" w:leader="dot" w:pos="9628"/>
        </w:tabs>
        <w:spacing w:line="480" w:lineRule="auto"/>
        <w:ind w:left="0" w:leftChars="0"/>
        <w:rPr>
          <w:rFonts w:ascii="新宋体" w:hAnsi="新宋体" w:eastAsia="新宋体"/>
          <w:color w:val="auto"/>
          <w:sz w:val="24"/>
          <w:lang/>
        </w:rPr>
      </w:pP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"_Toc34572030"</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olor w:val="auto"/>
          <w:sz w:val="24"/>
          <w:szCs w:val="24"/>
          <w:lang/>
        </w:rPr>
        <w:t>二、</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采购文件</w:t>
      </w:r>
      <w:r>
        <w:rPr>
          <w:rFonts w:ascii="新宋体" w:hAnsi="新宋体" w:eastAsia="新宋体"/>
          <w:color w:val="auto"/>
          <w:sz w:val="24"/>
          <w:lang/>
        </w:rPr>
        <w:tab/>
      </w:r>
      <w:r>
        <w:rPr>
          <w:rFonts w:ascii="新宋体" w:hAnsi="新宋体" w:eastAsia="新宋体"/>
          <w:color w:val="auto"/>
          <w:sz w:val="24"/>
          <w:lang/>
        </w:rPr>
        <w:fldChar w:fldCharType="begin"/>
      </w:r>
      <w:r>
        <w:rPr>
          <w:rFonts w:ascii="新宋体" w:hAnsi="新宋体" w:eastAsia="新宋体"/>
          <w:color w:val="auto"/>
          <w:sz w:val="24"/>
          <w:lang/>
        </w:rPr>
        <w:instrText xml:space="preserve"> PAGEREF _Toc34572030 \h </w:instrText>
      </w:r>
      <w:r>
        <w:rPr>
          <w:rFonts w:ascii="新宋体" w:hAnsi="新宋体" w:eastAsia="新宋体"/>
          <w:color w:val="auto"/>
          <w:sz w:val="24"/>
          <w:lang/>
        </w:rPr>
        <w:fldChar w:fldCharType="separate"/>
      </w:r>
      <w:r>
        <w:rPr>
          <w:rFonts w:ascii="新宋体" w:hAnsi="新宋体" w:eastAsia="新宋体"/>
          <w:color w:val="auto"/>
          <w:sz w:val="24"/>
          <w:lang/>
        </w:rPr>
        <w:t>11</w:t>
      </w:r>
      <w:r>
        <w:rPr>
          <w:rFonts w:ascii="新宋体" w:hAnsi="新宋体" w:eastAsia="新宋体"/>
          <w:color w:val="auto"/>
          <w:sz w:val="24"/>
          <w:lang/>
        </w:rPr>
        <w:fldChar w:fldCharType="end"/>
      </w:r>
      <w:r>
        <w:rPr>
          <w:rFonts w:ascii="新宋体" w:hAnsi="新宋体" w:eastAsia="新宋体"/>
          <w:color w:val="auto"/>
          <w:sz w:val="24"/>
          <w:lang/>
        </w:rPr>
        <w:fldChar w:fldCharType="end"/>
      </w:r>
    </w:p>
    <w:p>
      <w:pPr>
        <w:pStyle w:val="48"/>
        <w:tabs>
          <w:tab w:val="right" w:leader="dot" w:pos="9628"/>
        </w:tabs>
        <w:spacing w:line="480" w:lineRule="auto"/>
        <w:ind w:left="0" w:leftChars="0"/>
        <w:rPr>
          <w:rFonts w:ascii="新宋体" w:hAnsi="新宋体" w:eastAsia="新宋体"/>
          <w:color w:val="auto"/>
          <w:sz w:val="24"/>
          <w:lang/>
        </w:rPr>
      </w:pP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"_Toc34572031"</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olor w:val="auto"/>
          <w:sz w:val="24"/>
          <w:szCs w:val="24"/>
          <w:lang/>
        </w:rPr>
        <w:t>三、</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投标文件的编制</w:t>
      </w:r>
      <w:r>
        <w:rPr>
          <w:rFonts w:ascii="新宋体" w:hAnsi="新宋体" w:eastAsia="新宋体"/>
          <w:color w:val="auto"/>
          <w:sz w:val="24"/>
          <w:lang/>
        </w:rPr>
        <w:tab/>
      </w:r>
      <w:r>
        <w:rPr>
          <w:rFonts w:ascii="新宋体" w:hAnsi="新宋体" w:eastAsia="新宋体"/>
          <w:color w:val="auto"/>
          <w:sz w:val="24"/>
          <w:lang/>
        </w:rPr>
        <w:fldChar w:fldCharType="begin"/>
      </w:r>
      <w:r>
        <w:rPr>
          <w:rFonts w:ascii="新宋体" w:hAnsi="新宋体" w:eastAsia="新宋体"/>
          <w:color w:val="auto"/>
          <w:sz w:val="24"/>
          <w:lang/>
        </w:rPr>
        <w:instrText xml:space="preserve"> PAGEREF _Toc34572031 \h </w:instrText>
      </w:r>
      <w:r>
        <w:rPr>
          <w:rFonts w:ascii="新宋体" w:hAnsi="新宋体" w:eastAsia="新宋体"/>
          <w:color w:val="auto"/>
          <w:sz w:val="24"/>
          <w:lang/>
        </w:rPr>
        <w:fldChar w:fldCharType="separate"/>
      </w:r>
      <w:r>
        <w:rPr>
          <w:rFonts w:ascii="新宋体" w:hAnsi="新宋体" w:eastAsia="新宋体"/>
          <w:color w:val="auto"/>
          <w:sz w:val="24"/>
          <w:lang/>
        </w:rPr>
        <w:t>12</w:t>
      </w:r>
      <w:r>
        <w:rPr>
          <w:rFonts w:ascii="新宋体" w:hAnsi="新宋体" w:eastAsia="新宋体"/>
          <w:color w:val="auto"/>
          <w:sz w:val="24"/>
          <w:lang/>
        </w:rPr>
        <w:fldChar w:fldCharType="end"/>
      </w:r>
      <w:r>
        <w:rPr>
          <w:rFonts w:ascii="新宋体" w:hAnsi="新宋体" w:eastAsia="新宋体"/>
          <w:color w:val="auto"/>
          <w:sz w:val="24"/>
          <w:lang/>
        </w:rPr>
        <w:fldChar w:fldCharType="end"/>
      </w:r>
    </w:p>
    <w:p>
      <w:pPr>
        <w:pStyle w:val="48"/>
        <w:tabs>
          <w:tab w:val="right" w:leader="dot" w:pos="9628"/>
        </w:tabs>
        <w:spacing w:line="480" w:lineRule="auto"/>
        <w:ind w:left="0" w:leftChars="0"/>
        <w:rPr>
          <w:rFonts w:ascii="新宋体" w:hAnsi="新宋体" w:eastAsia="新宋体"/>
          <w:color w:val="auto"/>
          <w:sz w:val="24"/>
          <w:lang/>
        </w:rPr>
      </w:pP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"_Toc34572032"</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olor w:val="auto"/>
          <w:sz w:val="24"/>
          <w:szCs w:val="24"/>
          <w:lang/>
        </w:rPr>
        <w:t>四、</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投标文件的递交</w:t>
      </w:r>
      <w:r>
        <w:rPr>
          <w:rFonts w:ascii="新宋体" w:hAnsi="新宋体" w:eastAsia="新宋体"/>
          <w:color w:val="auto"/>
          <w:sz w:val="24"/>
          <w:lang/>
        </w:rPr>
        <w:tab/>
      </w:r>
      <w:r>
        <w:rPr>
          <w:rFonts w:ascii="新宋体" w:hAnsi="新宋体" w:eastAsia="新宋体"/>
          <w:color w:val="auto"/>
          <w:sz w:val="24"/>
          <w:lang/>
        </w:rPr>
        <w:fldChar w:fldCharType="begin"/>
      </w:r>
      <w:r>
        <w:rPr>
          <w:rFonts w:ascii="新宋体" w:hAnsi="新宋体" w:eastAsia="新宋体"/>
          <w:color w:val="auto"/>
          <w:sz w:val="24"/>
          <w:lang/>
        </w:rPr>
        <w:instrText xml:space="preserve"> PAGEREF _Toc34572032 \h </w:instrText>
      </w:r>
      <w:r>
        <w:rPr>
          <w:rFonts w:ascii="新宋体" w:hAnsi="新宋体" w:eastAsia="新宋体"/>
          <w:color w:val="auto"/>
          <w:sz w:val="24"/>
          <w:lang/>
        </w:rPr>
        <w:fldChar w:fldCharType="separate"/>
      </w:r>
      <w:r>
        <w:rPr>
          <w:rFonts w:ascii="新宋体" w:hAnsi="新宋体" w:eastAsia="新宋体"/>
          <w:color w:val="auto"/>
          <w:sz w:val="24"/>
          <w:lang/>
        </w:rPr>
        <w:t>16</w:t>
      </w:r>
      <w:r>
        <w:rPr>
          <w:rFonts w:ascii="新宋体" w:hAnsi="新宋体" w:eastAsia="新宋体"/>
          <w:color w:val="auto"/>
          <w:sz w:val="24"/>
          <w:lang/>
        </w:rPr>
        <w:fldChar w:fldCharType="end"/>
      </w:r>
      <w:r>
        <w:rPr>
          <w:rFonts w:ascii="新宋体" w:hAnsi="新宋体" w:eastAsia="新宋体"/>
          <w:color w:val="auto"/>
          <w:sz w:val="24"/>
          <w:lang/>
        </w:rPr>
        <w:fldChar w:fldCharType="end"/>
      </w:r>
    </w:p>
    <w:p>
      <w:pPr>
        <w:pStyle w:val="48"/>
        <w:tabs>
          <w:tab w:val="right" w:leader="dot" w:pos="9628"/>
        </w:tabs>
        <w:spacing w:line="480" w:lineRule="auto"/>
        <w:ind w:left="0" w:leftChars="0"/>
        <w:rPr>
          <w:rFonts w:ascii="新宋体" w:hAnsi="新宋体" w:eastAsia="新宋体"/>
          <w:color w:val="auto"/>
          <w:sz w:val="24"/>
          <w:lang/>
        </w:rPr>
      </w:pP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"_Toc34572033"</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olor w:val="auto"/>
          <w:sz w:val="24"/>
          <w:szCs w:val="24"/>
          <w:lang/>
        </w:rPr>
        <w:t>五、</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开标</w:t>
      </w:r>
      <w:r>
        <w:rPr>
          <w:rFonts w:ascii="新宋体" w:hAnsi="新宋体" w:eastAsia="新宋体"/>
          <w:color w:val="auto"/>
          <w:sz w:val="24"/>
          <w:lang/>
        </w:rPr>
        <w:tab/>
      </w:r>
      <w:r>
        <w:rPr>
          <w:rFonts w:ascii="新宋体" w:hAnsi="新宋体" w:eastAsia="新宋体"/>
          <w:color w:val="auto"/>
          <w:sz w:val="24"/>
          <w:lang/>
        </w:rPr>
        <w:fldChar w:fldCharType="begin"/>
      </w:r>
      <w:r>
        <w:rPr>
          <w:rFonts w:ascii="新宋体" w:hAnsi="新宋体" w:eastAsia="新宋体"/>
          <w:color w:val="auto"/>
          <w:sz w:val="24"/>
          <w:lang/>
        </w:rPr>
        <w:instrText xml:space="preserve"> PAGEREF _Toc34572033 \h </w:instrText>
      </w:r>
      <w:r>
        <w:rPr>
          <w:rFonts w:ascii="新宋体" w:hAnsi="新宋体" w:eastAsia="新宋体"/>
          <w:color w:val="auto"/>
          <w:sz w:val="24"/>
          <w:lang/>
        </w:rPr>
        <w:fldChar w:fldCharType="separate"/>
      </w:r>
      <w:r>
        <w:rPr>
          <w:rFonts w:ascii="新宋体" w:hAnsi="新宋体" w:eastAsia="新宋体"/>
          <w:color w:val="auto"/>
          <w:sz w:val="24"/>
          <w:lang/>
        </w:rPr>
        <w:t>16</w:t>
      </w:r>
      <w:r>
        <w:rPr>
          <w:rFonts w:ascii="新宋体" w:hAnsi="新宋体" w:eastAsia="新宋体"/>
          <w:color w:val="auto"/>
          <w:sz w:val="24"/>
          <w:lang/>
        </w:rPr>
        <w:fldChar w:fldCharType="end"/>
      </w:r>
      <w:r>
        <w:rPr>
          <w:rFonts w:ascii="新宋体" w:hAnsi="新宋体" w:eastAsia="新宋体"/>
          <w:color w:val="auto"/>
          <w:sz w:val="24"/>
          <w:lang/>
        </w:rPr>
        <w:fldChar w:fldCharType="end"/>
      </w:r>
    </w:p>
    <w:p>
      <w:pPr>
        <w:pStyle w:val="48"/>
        <w:tabs>
          <w:tab w:val="right" w:leader="dot" w:pos="9628"/>
        </w:tabs>
        <w:spacing w:line="480" w:lineRule="auto"/>
        <w:ind w:left="0" w:leftChars="0"/>
        <w:rPr>
          <w:rFonts w:ascii="新宋体" w:hAnsi="新宋体" w:eastAsia="新宋体"/>
          <w:color w:val="auto"/>
          <w:sz w:val="24"/>
          <w:lang/>
        </w:rPr>
      </w:pP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"_Toc34572034"</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olor w:val="auto"/>
          <w:sz w:val="24"/>
          <w:szCs w:val="24"/>
          <w:lang/>
        </w:rPr>
        <w:t>六、</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评</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标</w:t>
      </w:r>
      <w:r>
        <w:rPr>
          <w:rFonts w:ascii="新宋体" w:hAnsi="新宋体" w:eastAsia="新宋体"/>
          <w:color w:val="auto"/>
          <w:sz w:val="24"/>
          <w:lang/>
        </w:rPr>
        <w:tab/>
      </w:r>
      <w:r>
        <w:rPr>
          <w:rFonts w:ascii="新宋体" w:hAnsi="新宋体" w:eastAsia="新宋体"/>
          <w:color w:val="auto"/>
          <w:sz w:val="24"/>
          <w:lang/>
        </w:rPr>
        <w:fldChar w:fldCharType="begin"/>
      </w:r>
      <w:r>
        <w:rPr>
          <w:rFonts w:ascii="新宋体" w:hAnsi="新宋体" w:eastAsia="新宋体"/>
          <w:color w:val="auto"/>
          <w:sz w:val="24"/>
          <w:lang/>
        </w:rPr>
        <w:instrText xml:space="preserve"> PAGEREF _Toc34572034 \h </w:instrText>
      </w:r>
      <w:r>
        <w:rPr>
          <w:rFonts w:ascii="新宋体" w:hAnsi="新宋体" w:eastAsia="新宋体"/>
          <w:color w:val="auto"/>
          <w:sz w:val="24"/>
          <w:lang/>
        </w:rPr>
        <w:fldChar w:fldCharType="separate"/>
      </w:r>
      <w:r>
        <w:rPr>
          <w:rFonts w:ascii="新宋体" w:hAnsi="新宋体" w:eastAsia="新宋体"/>
          <w:color w:val="auto"/>
          <w:sz w:val="24"/>
          <w:lang/>
        </w:rPr>
        <w:t>18</w:t>
      </w:r>
      <w:r>
        <w:rPr>
          <w:rFonts w:ascii="新宋体" w:hAnsi="新宋体" w:eastAsia="新宋体"/>
          <w:color w:val="auto"/>
          <w:sz w:val="24"/>
          <w:lang/>
        </w:rPr>
        <w:fldChar w:fldCharType="end"/>
      </w:r>
      <w:r>
        <w:rPr>
          <w:rFonts w:ascii="新宋体" w:hAnsi="新宋体" w:eastAsia="新宋体"/>
          <w:color w:val="auto"/>
          <w:sz w:val="24"/>
          <w:lang/>
        </w:rPr>
        <w:fldChar w:fldCharType="end"/>
      </w:r>
    </w:p>
    <w:p>
      <w:pPr>
        <w:pStyle w:val="48"/>
        <w:tabs>
          <w:tab w:val="right" w:leader="dot" w:pos="9628"/>
        </w:tabs>
        <w:spacing w:line="480" w:lineRule="auto"/>
        <w:ind w:left="0" w:leftChars="0"/>
        <w:rPr>
          <w:rFonts w:ascii="新宋体" w:hAnsi="新宋体" w:eastAsia="新宋体"/>
          <w:color w:val="auto"/>
          <w:sz w:val="24"/>
          <w:lang/>
        </w:rPr>
      </w:pP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"_Toc34572035"</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olor w:val="auto"/>
          <w:sz w:val="24"/>
          <w:szCs w:val="24"/>
          <w:lang/>
        </w:rPr>
        <w:t>七、</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授予合同</w:t>
      </w:r>
      <w:r>
        <w:rPr>
          <w:rFonts w:ascii="新宋体" w:hAnsi="新宋体" w:eastAsia="新宋体"/>
          <w:color w:val="auto"/>
          <w:sz w:val="24"/>
          <w:lang/>
        </w:rPr>
        <w:tab/>
      </w:r>
      <w:r>
        <w:rPr>
          <w:rFonts w:ascii="新宋体" w:hAnsi="新宋体" w:eastAsia="新宋体"/>
          <w:color w:val="auto"/>
          <w:sz w:val="24"/>
          <w:lang/>
        </w:rPr>
        <w:fldChar w:fldCharType="begin"/>
      </w:r>
      <w:r>
        <w:rPr>
          <w:rFonts w:ascii="新宋体" w:hAnsi="新宋体" w:eastAsia="新宋体"/>
          <w:color w:val="auto"/>
          <w:sz w:val="24"/>
          <w:lang/>
        </w:rPr>
        <w:instrText xml:space="preserve"> PAGEREF _Toc34572035 \h </w:instrText>
      </w:r>
      <w:r>
        <w:rPr>
          <w:rFonts w:ascii="新宋体" w:hAnsi="新宋体" w:eastAsia="新宋体"/>
          <w:color w:val="auto"/>
          <w:sz w:val="24"/>
          <w:lang/>
        </w:rPr>
        <w:fldChar w:fldCharType="separate"/>
      </w:r>
      <w:r>
        <w:rPr>
          <w:rFonts w:ascii="新宋体" w:hAnsi="新宋体" w:eastAsia="新宋体"/>
          <w:color w:val="auto"/>
          <w:sz w:val="24"/>
          <w:lang/>
        </w:rPr>
        <w:t>21</w:t>
      </w:r>
      <w:r>
        <w:rPr>
          <w:rFonts w:ascii="新宋体" w:hAnsi="新宋体" w:eastAsia="新宋体"/>
          <w:color w:val="auto"/>
          <w:sz w:val="24"/>
          <w:lang/>
        </w:rPr>
        <w:fldChar w:fldCharType="end"/>
      </w:r>
      <w:r>
        <w:rPr>
          <w:rFonts w:ascii="新宋体" w:hAnsi="新宋体" w:eastAsia="新宋体"/>
          <w:color w:val="auto"/>
          <w:sz w:val="24"/>
          <w:lang/>
        </w:rPr>
        <w:fldChar w:fldCharType="end"/>
      </w:r>
    </w:p>
    <w:p>
      <w:pPr>
        <w:pStyle w:val="40"/>
        <w:tabs>
          <w:tab w:val="right" w:leader="dot" w:pos="9628"/>
        </w:tabs>
        <w:spacing w:line="480" w:lineRule="auto"/>
        <w:ind w:left="0" w:firstLine="0" w:firstLineChars="0"/>
        <w:rPr>
          <w:rFonts w:ascii="新宋体" w:hAnsi="新宋体" w:eastAsia="新宋体" w:cs="Times New Roman"/>
          <w:color w:val="auto"/>
          <w:sz w:val="24"/>
          <w:lang/>
        </w:rPr>
      </w:pP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"_Toc34572036"</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s="新宋体"/>
          <w:color w:val="auto"/>
          <w:sz w:val="24"/>
          <w:szCs w:val="24"/>
          <w:lang/>
        </w:rPr>
        <w:t>第二部分</w:t>
      </w:r>
      <w:r>
        <w:rPr>
          <w:rStyle w:val="68"/>
          <w:rFonts w:ascii="新宋体" w:hAnsi="新宋体" w:eastAsia="新宋体" w:cs="新宋体"/>
          <w:color w:val="auto"/>
          <w:sz w:val="24"/>
          <w:szCs w:val="24"/>
          <w:lang/>
        </w:rPr>
        <w:t xml:space="preserve">   </w:t>
      </w:r>
      <w:r>
        <w:rPr>
          <w:rStyle w:val="68"/>
          <w:rFonts w:hint="eastAsia" w:ascii="新宋体" w:hAnsi="新宋体" w:eastAsia="新宋体" w:cs="新宋体"/>
          <w:color w:val="auto"/>
          <w:sz w:val="24"/>
          <w:szCs w:val="24"/>
          <w:lang/>
        </w:rPr>
        <w:t>政府采购政策功能相关说明</w:t>
      </w:r>
      <w:r>
        <w:rPr>
          <w:rFonts w:ascii="新宋体" w:hAnsi="新宋体" w:eastAsia="新宋体"/>
          <w:color w:val="auto"/>
          <w:sz w:val="24"/>
          <w:lang/>
        </w:rPr>
        <w:tab/>
      </w:r>
      <w:r>
        <w:rPr>
          <w:rFonts w:ascii="新宋体" w:hAnsi="新宋体" w:eastAsia="新宋体"/>
          <w:color w:val="auto"/>
          <w:sz w:val="24"/>
          <w:lang/>
        </w:rPr>
        <w:fldChar w:fldCharType="begin"/>
      </w:r>
      <w:r>
        <w:rPr>
          <w:rFonts w:ascii="新宋体" w:hAnsi="新宋体" w:eastAsia="新宋体"/>
          <w:color w:val="auto"/>
          <w:sz w:val="24"/>
          <w:lang/>
        </w:rPr>
        <w:instrText xml:space="preserve"> PAGEREF _Toc34572036 \h </w:instrText>
      </w:r>
      <w:r>
        <w:rPr>
          <w:rFonts w:ascii="新宋体" w:hAnsi="新宋体" w:eastAsia="新宋体"/>
          <w:color w:val="auto"/>
          <w:sz w:val="24"/>
          <w:lang/>
        </w:rPr>
        <w:fldChar w:fldCharType="separate"/>
      </w:r>
      <w:r>
        <w:rPr>
          <w:rFonts w:ascii="新宋体" w:hAnsi="新宋体" w:eastAsia="新宋体"/>
          <w:color w:val="auto"/>
          <w:sz w:val="24"/>
          <w:lang/>
        </w:rPr>
        <w:t>24</w:t>
      </w:r>
      <w:r>
        <w:rPr>
          <w:rFonts w:ascii="新宋体" w:hAnsi="新宋体" w:eastAsia="新宋体"/>
          <w:color w:val="auto"/>
          <w:sz w:val="24"/>
          <w:lang/>
        </w:rPr>
        <w:fldChar w:fldCharType="end"/>
      </w:r>
      <w:r>
        <w:rPr>
          <w:rFonts w:ascii="新宋体" w:hAnsi="新宋体" w:eastAsia="新宋体"/>
          <w:color w:val="auto"/>
          <w:sz w:val="24"/>
          <w:lang/>
        </w:rPr>
        <w:fldChar w:fldCharType="end"/>
      </w:r>
    </w:p>
    <w:p>
      <w:pPr>
        <w:pStyle w:val="40"/>
        <w:tabs>
          <w:tab w:val="right" w:leader="dot" w:pos="9628"/>
        </w:tabs>
        <w:spacing w:line="480" w:lineRule="auto"/>
        <w:ind w:left="0" w:firstLine="0" w:firstLineChars="0"/>
        <w:rPr>
          <w:rFonts w:ascii="新宋体" w:hAnsi="新宋体" w:eastAsia="新宋体" w:cs="Times New Roman"/>
          <w:color w:val="auto"/>
          <w:sz w:val="24"/>
          <w:lang/>
        </w:rPr>
      </w:pP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"_Toc34572037"</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s="新宋体"/>
          <w:color w:val="auto"/>
          <w:sz w:val="24"/>
          <w:szCs w:val="24"/>
          <w:lang/>
        </w:rPr>
        <w:t>第三部分</w:t>
      </w:r>
      <w:r>
        <w:rPr>
          <w:rStyle w:val="68"/>
          <w:rFonts w:ascii="新宋体" w:hAnsi="新宋体" w:eastAsia="新宋体" w:cs="新宋体"/>
          <w:color w:val="auto"/>
          <w:sz w:val="24"/>
          <w:szCs w:val="24"/>
          <w:lang/>
        </w:rPr>
        <w:t xml:space="preserve">   </w:t>
      </w:r>
      <w:r>
        <w:rPr>
          <w:rStyle w:val="68"/>
          <w:rFonts w:hint="eastAsia" w:ascii="新宋体" w:hAnsi="新宋体" w:eastAsia="新宋体" w:cs="新宋体"/>
          <w:color w:val="auto"/>
          <w:sz w:val="24"/>
          <w:szCs w:val="24"/>
          <w:lang/>
        </w:rPr>
        <w:t>合同条款及格式</w:t>
      </w:r>
      <w:r>
        <w:rPr>
          <w:rFonts w:ascii="新宋体" w:hAnsi="新宋体" w:eastAsia="新宋体"/>
          <w:color w:val="auto"/>
          <w:sz w:val="24"/>
          <w:lang/>
        </w:rPr>
        <w:tab/>
      </w:r>
      <w:r>
        <w:rPr>
          <w:rFonts w:ascii="新宋体" w:hAnsi="新宋体" w:eastAsia="新宋体"/>
          <w:color w:val="auto"/>
          <w:sz w:val="24"/>
          <w:lang/>
        </w:rPr>
        <w:fldChar w:fldCharType="begin"/>
      </w:r>
      <w:r>
        <w:rPr>
          <w:rFonts w:ascii="新宋体" w:hAnsi="新宋体" w:eastAsia="新宋体"/>
          <w:color w:val="auto"/>
          <w:sz w:val="24"/>
          <w:lang/>
        </w:rPr>
        <w:instrText xml:space="preserve"> PAGEREF _Toc34572037 \h </w:instrText>
      </w:r>
      <w:r>
        <w:rPr>
          <w:rFonts w:ascii="新宋体" w:hAnsi="新宋体" w:eastAsia="新宋体"/>
          <w:color w:val="auto"/>
          <w:sz w:val="24"/>
          <w:lang/>
        </w:rPr>
        <w:fldChar w:fldCharType="separate"/>
      </w:r>
      <w:r>
        <w:rPr>
          <w:rFonts w:ascii="新宋体" w:hAnsi="新宋体" w:eastAsia="新宋体"/>
          <w:color w:val="auto"/>
          <w:sz w:val="24"/>
          <w:lang/>
        </w:rPr>
        <w:t>28</w:t>
      </w:r>
      <w:r>
        <w:rPr>
          <w:rFonts w:ascii="新宋体" w:hAnsi="新宋体" w:eastAsia="新宋体"/>
          <w:color w:val="auto"/>
          <w:sz w:val="24"/>
          <w:lang/>
        </w:rPr>
        <w:fldChar w:fldCharType="end"/>
      </w:r>
      <w:r>
        <w:rPr>
          <w:rFonts w:ascii="新宋体" w:hAnsi="新宋体" w:eastAsia="新宋体"/>
          <w:color w:val="auto"/>
          <w:sz w:val="24"/>
          <w:lang/>
        </w:rPr>
        <w:fldChar w:fldCharType="end"/>
      </w:r>
    </w:p>
    <w:p>
      <w:pPr>
        <w:pStyle w:val="40"/>
        <w:tabs>
          <w:tab w:val="right" w:leader="dot" w:pos="9628"/>
        </w:tabs>
        <w:spacing w:line="480" w:lineRule="auto"/>
        <w:ind w:left="0" w:firstLine="0" w:firstLineChars="0"/>
        <w:rPr>
          <w:rFonts w:ascii="新宋体" w:hAnsi="新宋体" w:eastAsia="新宋体" w:cs="Times New Roman"/>
          <w:color w:val="auto"/>
          <w:sz w:val="24"/>
          <w:lang/>
        </w:rPr>
      </w:pP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"_Toc34572038"</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s="新宋体"/>
          <w:color w:val="auto"/>
          <w:sz w:val="24"/>
          <w:szCs w:val="24"/>
          <w:lang/>
        </w:rPr>
        <w:t>第四部分</w:t>
      </w:r>
      <w:r>
        <w:rPr>
          <w:rStyle w:val="68"/>
          <w:rFonts w:ascii="新宋体" w:hAnsi="新宋体" w:eastAsia="新宋体" w:cs="新宋体"/>
          <w:color w:val="auto"/>
          <w:sz w:val="24"/>
          <w:szCs w:val="24"/>
          <w:lang/>
        </w:rPr>
        <w:t xml:space="preserve">   </w:t>
      </w:r>
      <w:r>
        <w:rPr>
          <w:rStyle w:val="68"/>
          <w:rFonts w:hint="eastAsia" w:ascii="新宋体" w:hAnsi="新宋体" w:eastAsia="新宋体" w:cs="新宋体"/>
          <w:color w:val="auto"/>
          <w:sz w:val="24"/>
          <w:szCs w:val="24"/>
          <w:lang/>
        </w:rPr>
        <w:t>投标文件格式</w:t>
      </w:r>
      <w:r>
        <w:rPr>
          <w:rFonts w:ascii="新宋体" w:hAnsi="新宋体" w:eastAsia="新宋体"/>
          <w:color w:val="auto"/>
          <w:sz w:val="24"/>
          <w:lang/>
        </w:rPr>
        <w:tab/>
      </w:r>
      <w:r>
        <w:rPr>
          <w:rFonts w:ascii="新宋体" w:hAnsi="新宋体" w:eastAsia="新宋体"/>
          <w:color w:val="auto"/>
          <w:sz w:val="24"/>
          <w:lang/>
        </w:rPr>
        <w:fldChar w:fldCharType="begin"/>
      </w:r>
      <w:r>
        <w:rPr>
          <w:rFonts w:ascii="新宋体" w:hAnsi="新宋体" w:eastAsia="新宋体"/>
          <w:color w:val="auto"/>
          <w:sz w:val="24"/>
          <w:lang/>
        </w:rPr>
        <w:instrText xml:space="preserve"> PAGEREF _Toc34572038 \h </w:instrText>
      </w:r>
      <w:r>
        <w:rPr>
          <w:rFonts w:ascii="新宋体" w:hAnsi="新宋体" w:eastAsia="新宋体"/>
          <w:color w:val="auto"/>
          <w:sz w:val="24"/>
          <w:lang/>
        </w:rPr>
        <w:fldChar w:fldCharType="separate"/>
      </w:r>
      <w:r>
        <w:rPr>
          <w:rFonts w:ascii="新宋体" w:hAnsi="新宋体" w:eastAsia="新宋体"/>
          <w:color w:val="auto"/>
          <w:sz w:val="24"/>
          <w:lang/>
        </w:rPr>
        <w:t>32</w:t>
      </w:r>
      <w:r>
        <w:rPr>
          <w:rFonts w:ascii="新宋体" w:hAnsi="新宋体" w:eastAsia="新宋体"/>
          <w:color w:val="auto"/>
          <w:sz w:val="24"/>
          <w:lang/>
        </w:rPr>
        <w:fldChar w:fldCharType="end"/>
      </w:r>
      <w:r>
        <w:rPr>
          <w:rFonts w:ascii="新宋体" w:hAnsi="新宋体" w:eastAsia="新宋体"/>
          <w:color w:val="auto"/>
          <w:sz w:val="24"/>
          <w:lang/>
        </w:rPr>
        <w:fldChar w:fldCharType="end"/>
      </w:r>
    </w:p>
    <w:p>
      <w:pPr>
        <w:pStyle w:val="40"/>
        <w:tabs>
          <w:tab w:val="right" w:leader="dot" w:pos="9628"/>
        </w:tabs>
        <w:spacing w:line="480" w:lineRule="auto"/>
        <w:ind w:left="0" w:firstLine="0" w:firstLineChars="0"/>
        <w:rPr>
          <w:rFonts w:ascii="新宋体" w:hAnsi="新宋体" w:eastAsia="新宋体" w:cs="Times New Roman"/>
          <w:color w:val="auto"/>
          <w:sz w:val="24"/>
          <w:lang/>
        </w:rPr>
      </w:pP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"_Toc34572039"</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s="新宋体"/>
          <w:color w:val="auto"/>
          <w:sz w:val="24"/>
          <w:szCs w:val="24"/>
          <w:lang/>
        </w:rPr>
        <w:t>第五部分</w:t>
      </w:r>
      <w:r>
        <w:rPr>
          <w:rStyle w:val="68"/>
          <w:rFonts w:ascii="新宋体" w:hAnsi="新宋体" w:eastAsia="新宋体" w:cs="新宋体"/>
          <w:color w:val="auto"/>
          <w:sz w:val="24"/>
          <w:szCs w:val="24"/>
          <w:lang/>
        </w:rPr>
        <w:t xml:space="preserve">   </w:t>
      </w:r>
      <w:r>
        <w:rPr>
          <w:rStyle w:val="68"/>
          <w:rFonts w:hint="eastAsia" w:ascii="新宋体" w:hAnsi="新宋体" w:eastAsia="新宋体" w:cs="新宋体"/>
          <w:color w:val="auto"/>
          <w:sz w:val="24"/>
          <w:szCs w:val="24"/>
          <w:lang/>
        </w:rPr>
        <w:t>采购内容及要求</w:t>
      </w:r>
      <w:r>
        <w:rPr>
          <w:rFonts w:ascii="新宋体" w:hAnsi="新宋体" w:eastAsia="新宋体"/>
          <w:color w:val="auto"/>
          <w:sz w:val="24"/>
          <w:lang/>
        </w:rPr>
        <w:tab/>
      </w:r>
      <w:r>
        <w:rPr>
          <w:rFonts w:ascii="新宋体" w:hAnsi="新宋体" w:eastAsia="新宋体"/>
          <w:color w:val="auto"/>
          <w:sz w:val="24"/>
          <w:lang/>
        </w:rPr>
        <w:fldChar w:fldCharType="begin"/>
      </w:r>
      <w:r>
        <w:rPr>
          <w:rFonts w:ascii="新宋体" w:hAnsi="新宋体" w:eastAsia="新宋体"/>
          <w:color w:val="auto"/>
          <w:sz w:val="24"/>
          <w:lang/>
        </w:rPr>
        <w:instrText xml:space="preserve"> PAGEREF _Toc34572039 \h </w:instrText>
      </w:r>
      <w:r>
        <w:rPr>
          <w:rFonts w:ascii="新宋体" w:hAnsi="新宋体" w:eastAsia="新宋体"/>
          <w:color w:val="auto"/>
          <w:sz w:val="24"/>
          <w:lang/>
        </w:rPr>
        <w:fldChar w:fldCharType="separate"/>
      </w:r>
      <w:r>
        <w:rPr>
          <w:rFonts w:ascii="新宋体" w:hAnsi="新宋体" w:eastAsia="新宋体"/>
          <w:color w:val="auto"/>
          <w:sz w:val="24"/>
          <w:lang/>
        </w:rPr>
        <w:t>5</w:t>
      </w:r>
      <w:r>
        <w:rPr>
          <w:rFonts w:hint="eastAsia" w:ascii="新宋体" w:hAnsi="新宋体" w:eastAsia="新宋体"/>
          <w:color w:val="auto"/>
          <w:sz w:val="24"/>
          <w:lang/>
        </w:rPr>
        <w:t>3</w:t>
      </w:r>
      <w:r>
        <w:rPr>
          <w:rFonts w:ascii="新宋体" w:hAnsi="新宋体" w:eastAsia="新宋体"/>
          <w:color w:val="auto"/>
          <w:sz w:val="24"/>
          <w:lang/>
        </w:rPr>
        <w:fldChar w:fldCharType="end"/>
      </w:r>
      <w:r>
        <w:rPr>
          <w:rFonts w:ascii="新宋体" w:hAnsi="新宋体" w:eastAsia="新宋体"/>
          <w:color w:val="auto"/>
          <w:sz w:val="24"/>
          <w:lang/>
        </w:rPr>
        <w:fldChar w:fldCharType="end"/>
      </w:r>
    </w:p>
    <w:p>
      <w:pPr>
        <w:pStyle w:val="40"/>
        <w:tabs>
          <w:tab w:val="right" w:leader="dot" w:pos="9628"/>
        </w:tabs>
        <w:spacing w:line="480" w:lineRule="auto"/>
        <w:ind w:left="0" w:firstLine="0" w:firstLineChars="0"/>
        <w:rPr>
          <w:rFonts w:ascii="新宋体" w:hAnsi="新宋体" w:eastAsia="新宋体" w:cs="Times New Roman"/>
          <w:color w:val="auto"/>
          <w:sz w:val="24"/>
          <w:lang/>
        </w:rPr>
      </w:pPr>
      <w:r>
        <w:rPr>
          <w:rFonts w:ascii="新宋体" w:hAnsi="新宋体" w:eastAsia="新宋体"/>
          <w:color w:val="auto"/>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instrText xml:space="preserve">HYPERLINK \l "_Toc34572094"</w:instrText>
      </w:r>
      <w:r>
        <w:rPr>
          <w:rStyle w:val="68"/>
          <w:rFonts w:ascii="新宋体" w:hAnsi="新宋体" w:eastAsia="新宋体"/>
          <w:color w:val="auto"/>
          <w:sz w:val="24"/>
          <w:szCs w:val="24"/>
          <w:lang/>
        </w:rPr>
        <w:instrText xml:space="preserve"> </w:instrText>
      </w:r>
      <w:r>
        <w:rPr>
          <w:rFonts w:ascii="新宋体" w:hAnsi="新宋体" w:eastAsia="新宋体"/>
          <w:color w:val="auto"/>
          <w:sz w:val="24"/>
          <w:lang/>
        </w:rPr>
        <w:fldChar w:fldCharType="separate"/>
      </w:r>
      <w:r>
        <w:rPr>
          <w:rStyle w:val="68"/>
          <w:rFonts w:hint="eastAsia" w:ascii="新宋体" w:hAnsi="新宋体" w:eastAsia="新宋体" w:cs="新宋体"/>
          <w:color w:val="auto"/>
          <w:sz w:val="24"/>
          <w:szCs w:val="24"/>
          <w:lang/>
        </w:rPr>
        <w:t>第六部分</w:t>
      </w:r>
      <w:r>
        <w:rPr>
          <w:rStyle w:val="68"/>
          <w:rFonts w:ascii="新宋体" w:hAnsi="新宋体" w:eastAsia="新宋体" w:cs="新宋体"/>
          <w:color w:val="auto"/>
          <w:sz w:val="24"/>
          <w:szCs w:val="24"/>
          <w:lang/>
        </w:rPr>
        <w:t xml:space="preserve">   </w:t>
      </w:r>
      <w:r>
        <w:rPr>
          <w:rStyle w:val="68"/>
          <w:rFonts w:hint="eastAsia" w:ascii="新宋体" w:hAnsi="新宋体" w:eastAsia="新宋体" w:cs="新宋体"/>
          <w:color w:val="auto"/>
          <w:sz w:val="24"/>
          <w:szCs w:val="24"/>
          <w:lang/>
        </w:rPr>
        <w:t>评标原则及方法</w:t>
      </w:r>
      <w:r>
        <w:rPr>
          <w:rFonts w:ascii="新宋体" w:hAnsi="新宋体" w:eastAsia="新宋体"/>
          <w:color w:val="auto"/>
          <w:sz w:val="24"/>
          <w:lang/>
        </w:rPr>
        <w:tab/>
      </w:r>
      <w:r>
        <w:rPr>
          <w:rFonts w:hint="eastAsia" w:ascii="新宋体" w:hAnsi="新宋体" w:eastAsia="新宋体"/>
          <w:color w:val="auto"/>
          <w:sz w:val="24"/>
          <w:lang/>
        </w:rPr>
        <w:t>60</w:t>
      </w:r>
      <w:r>
        <w:rPr>
          <w:rFonts w:ascii="新宋体" w:hAnsi="新宋体" w:eastAsia="新宋体"/>
          <w:color w:val="auto"/>
          <w:sz w:val="24"/>
          <w:lang/>
        </w:rPr>
        <w:fldChar w:fldCharType="end"/>
      </w:r>
    </w:p>
    <w:p>
      <w:pPr>
        <w:pStyle w:val="23"/>
        <w:spacing w:line="480" w:lineRule="auto"/>
        <w:ind w:left="-720"/>
        <w:rPr>
          <w:rFonts w:hint="eastAsia" w:ascii="新宋体" w:hAnsi="新宋体" w:eastAsia="新宋体" w:cs="新宋体"/>
          <w:b/>
          <w:bCs/>
          <w:color w:val="auto"/>
          <w:szCs w:val="21"/>
        </w:rPr>
      </w:pPr>
      <w:r>
        <w:rPr>
          <w:rFonts w:hint="eastAsia" w:ascii="新宋体" w:hAnsi="新宋体" w:eastAsia="新宋体" w:cs="新宋体"/>
          <w:bCs/>
          <w:color w:val="auto"/>
          <w:sz w:val="24"/>
        </w:rPr>
        <w:fldChar w:fldCharType="end"/>
      </w:r>
    </w:p>
    <w:p>
      <w:pPr>
        <w:pStyle w:val="24"/>
        <w:ind w:firstLine="320"/>
        <w:rPr>
          <w:rFonts w:hint="eastAsia" w:ascii="新宋体" w:hAnsi="新宋体" w:eastAsia="新宋体" w:cs="新宋体"/>
          <w:b w:val="0"/>
          <w:bCs/>
          <w:color w:val="auto"/>
          <w:szCs w:val="21"/>
        </w:rPr>
      </w:pPr>
    </w:p>
    <w:p>
      <w:pPr>
        <w:pStyle w:val="24"/>
        <w:ind w:firstLine="320"/>
        <w:rPr>
          <w:rFonts w:hint="eastAsia" w:ascii="新宋体" w:hAnsi="新宋体" w:eastAsia="新宋体" w:cs="新宋体"/>
          <w:b w:val="0"/>
          <w:bCs/>
          <w:color w:val="auto"/>
          <w:szCs w:val="21"/>
        </w:rPr>
      </w:pPr>
    </w:p>
    <w:p>
      <w:pPr>
        <w:pStyle w:val="24"/>
        <w:ind w:firstLine="320"/>
        <w:rPr>
          <w:rFonts w:hint="eastAsia" w:ascii="新宋体" w:hAnsi="新宋体" w:eastAsia="新宋体" w:cs="新宋体"/>
          <w:b w:val="0"/>
          <w:bCs/>
          <w:color w:val="auto"/>
          <w:szCs w:val="21"/>
        </w:rPr>
      </w:pPr>
    </w:p>
    <w:p>
      <w:pPr>
        <w:pStyle w:val="24"/>
        <w:ind w:firstLine="320"/>
        <w:rPr>
          <w:rFonts w:hint="eastAsia" w:ascii="新宋体" w:hAnsi="新宋体" w:eastAsia="新宋体" w:cs="新宋体"/>
          <w:b w:val="0"/>
          <w:bCs/>
          <w:color w:val="auto"/>
          <w:szCs w:val="21"/>
        </w:rPr>
      </w:pPr>
    </w:p>
    <w:p>
      <w:pPr>
        <w:pStyle w:val="24"/>
        <w:ind w:firstLine="320"/>
        <w:rPr>
          <w:rFonts w:hint="eastAsia" w:ascii="新宋体" w:hAnsi="新宋体" w:eastAsia="新宋体" w:cs="新宋体"/>
          <w:b w:val="0"/>
          <w:bCs/>
          <w:color w:val="auto"/>
          <w:szCs w:val="21"/>
        </w:rPr>
      </w:pPr>
    </w:p>
    <w:p>
      <w:pPr>
        <w:pStyle w:val="24"/>
        <w:ind w:firstLine="320"/>
        <w:rPr>
          <w:rFonts w:hint="eastAsia" w:ascii="新宋体" w:hAnsi="新宋体" w:eastAsia="新宋体" w:cs="新宋体"/>
          <w:b w:val="0"/>
          <w:bCs/>
          <w:color w:val="auto"/>
          <w:szCs w:val="21"/>
        </w:rPr>
      </w:pPr>
    </w:p>
    <w:p>
      <w:pPr>
        <w:pStyle w:val="4"/>
        <w:rPr>
          <w:rFonts w:hint="eastAsia" w:ascii="新宋体" w:hAnsi="新宋体" w:eastAsia="新宋体" w:cs="新宋体"/>
          <w:b w:val="0"/>
          <w:bCs w:val="0"/>
          <w:color w:val="auto"/>
          <w:kern w:val="0"/>
          <w:sz w:val="32"/>
          <w:szCs w:val="32"/>
          <w:highlight w:val="none"/>
        </w:rPr>
      </w:pPr>
      <w:bookmarkStart w:id="0" w:name="_Toc26845"/>
      <w:bookmarkStart w:id="1" w:name="_Toc34572026"/>
      <w:bookmarkStart w:id="2" w:name="_Toc445914867"/>
      <w:bookmarkStart w:id="3" w:name="_Toc363576971"/>
      <w:bookmarkStart w:id="4" w:name="_Toc361035134"/>
      <w:r>
        <w:rPr>
          <w:rFonts w:hint="eastAsia" w:ascii="新宋体" w:hAnsi="新宋体" w:eastAsia="新宋体" w:cs="新宋体"/>
          <w:color w:val="auto"/>
          <w:sz w:val="32"/>
          <w:szCs w:val="32"/>
          <w:highlight w:val="none"/>
        </w:rPr>
        <w:t>关于</w:t>
      </w:r>
      <w:r>
        <w:rPr>
          <w:rFonts w:hint="eastAsia" w:ascii="新宋体" w:hAnsi="新宋体" w:eastAsia="新宋体" w:cs="新宋体"/>
          <w:color w:val="auto"/>
          <w:sz w:val="32"/>
          <w:szCs w:val="32"/>
          <w:highlight w:val="none"/>
          <w:lang w:eastAsia="zh-CN"/>
        </w:rPr>
        <w:t>山福镇村级道路、河道、公厕清扫保洁及垃圾分类</w:t>
      </w:r>
      <w:r>
        <w:rPr>
          <w:rFonts w:hint="eastAsia" w:ascii="新宋体" w:hAnsi="新宋体" w:eastAsia="新宋体" w:cs="新宋体"/>
          <w:color w:val="auto"/>
          <w:sz w:val="32"/>
          <w:szCs w:val="32"/>
          <w:highlight w:val="none"/>
        </w:rPr>
        <w:t>项目的公开招标公告</w:t>
      </w:r>
    </w:p>
    <w:p>
      <w:pPr>
        <w:pBdr>
          <w:top w:val="single" w:color="auto" w:sz="4" w:space="1"/>
          <w:left w:val="single" w:color="auto" w:sz="4" w:space="4"/>
          <w:bottom w:val="single" w:color="auto" w:sz="4" w:space="1"/>
          <w:right w:val="single" w:color="auto" w:sz="4" w:space="4"/>
        </w:pBdr>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pPr>
        <w:pBdr>
          <w:top w:val="single" w:color="auto" w:sz="4" w:space="1"/>
          <w:left w:val="single" w:color="auto" w:sz="4" w:space="4"/>
          <w:bottom w:val="single" w:color="auto" w:sz="4" w:space="1"/>
          <w:right w:val="single" w:color="auto" w:sz="4" w:space="4"/>
        </w:pBdr>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kern w:val="0"/>
          <w:sz w:val="22"/>
          <w:szCs w:val="22"/>
          <w:highlight w:val="none"/>
          <w:u w:val="single"/>
          <w:lang w:eastAsia="zh-CN"/>
        </w:rPr>
        <w:t>山福镇村级道路、河道、公厕清扫保洁及垃圾分类</w:t>
      </w:r>
      <w:r>
        <w:rPr>
          <w:rFonts w:hint="eastAsia" w:ascii="新宋体" w:hAnsi="新宋体" w:eastAsia="新宋体" w:cs="新宋体"/>
          <w:color w:val="auto"/>
          <w:sz w:val="22"/>
          <w:szCs w:val="22"/>
          <w:highlight w:val="none"/>
        </w:rPr>
        <w:t xml:space="preserve"> 招标项目的潜在投标人应在</w:t>
      </w:r>
      <w:r>
        <w:rPr>
          <w:rFonts w:hint="eastAsia" w:ascii="新宋体" w:hAnsi="新宋体" w:eastAsia="新宋体" w:cs="新宋体"/>
          <w:color w:val="auto"/>
          <w:kern w:val="0"/>
          <w:sz w:val="22"/>
          <w:szCs w:val="22"/>
          <w:highlight w:val="none"/>
          <w:u w:val="single"/>
        </w:rPr>
        <w:t>政府采购云平台（www.zcygov.cn）</w:t>
      </w:r>
      <w:r>
        <w:rPr>
          <w:rFonts w:hint="eastAsia" w:ascii="新宋体" w:hAnsi="新宋体" w:eastAsia="新宋体" w:cs="新宋体"/>
          <w:color w:val="auto"/>
          <w:sz w:val="22"/>
          <w:szCs w:val="22"/>
          <w:highlight w:val="none"/>
        </w:rPr>
        <w:t>获取招标文件，并于</w:t>
      </w:r>
      <w:r>
        <w:rPr>
          <w:rFonts w:hint="eastAsia" w:ascii="新宋体" w:hAnsi="新宋体" w:eastAsia="新宋体" w:cs="新宋体"/>
          <w:color w:val="auto"/>
          <w:sz w:val="22"/>
          <w:szCs w:val="22"/>
          <w:highlight w:val="none"/>
          <w:u w:val="single"/>
          <w:lang w:val="en-US" w:eastAsia="zh-CN"/>
        </w:rPr>
        <w:t>2020</w:t>
      </w:r>
      <w:r>
        <w:rPr>
          <w:rFonts w:hint="eastAsia" w:ascii="新宋体" w:hAnsi="新宋体" w:eastAsia="新宋体" w:cs="新宋体"/>
          <w:bCs/>
          <w:color w:val="auto"/>
          <w:sz w:val="22"/>
          <w:szCs w:val="22"/>
          <w:highlight w:val="none"/>
          <w:u w:val="single"/>
        </w:rPr>
        <w:t>年</w:t>
      </w:r>
      <w:r>
        <w:rPr>
          <w:rFonts w:hint="eastAsia" w:ascii="新宋体" w:hAnsi="新宋体" w:eastAsia="新宋体" w:cs="新宋体"/>
          <w:bCs/>
          <w:color w:val="auto"/>
          <w:sz w:val="22"/>
          <w:szCs w:val="22"/>
          <w:highlight w:val="none"/>
          <w:u w:val="single"/>
          <w:lang w:val="en-US" w:eastAsia="zh-CN"/>
        </w:rPr>
        <w:t>08</w:t>
      </w:r>
      <w:r>
        <w:rPr>
          <w:rFonts w:hint="eastAsia" w:ascii="新宋体" w:hAnsi="新宋体" w:eastAsia="新宋体" w:cs="新宋体"/>
          <w:bCs/>
          <w:color w:val="auto"/>
          <w:sz w:val="22"/>
          <w:szCs w:val="22"/>
          <w:highlight w:val="none"/>
          <w:u w:val="single"/>
        </w:rPr>
        <w:t>月</w:t>
      </w:r>
      <w:r>
        <w:rPr>
          <w:rFonts w:hint="eastAsia" w:ascii="新宋体" w:hAnsi="新宋体" w:eastAsia="新宋体" w:cs="新宋体"/>
          <w:bCs/>
          <w:color w:val="auto"/>
          <w:sz w:val="22"/>
          <w:szCs w:val="22"/>
          <w:highlight w:val="none"/>
          <w:u w:val="single"/>
          <w:lang w:val="en-US" w:eastAsia="zh-CN"/>
        </w:rPr>
        <w:t>14</w:t>
      </w:r>
      <w:r>
        <w:rPr>
          <w:rFonts w:hint="eastAsia" w:ascii="新宋体" w:hAnsi="新宋体" w:eastAsia="新宋体" w:cs="新宋体"/>
          <w:bCs/>
          <w:color w:val="auto"/>
          <w:sz w:val="22"/>
          <w:szCs w:val="22"/>
          <w:highlight w:val="none"/>
          <w:u w:val="single"/>
        </w:rPr>
        <w:t>日</w:t>
      </w:r>
      <w:r>
        <w:rPr>
          <w:rFonts w:hint="eastAsia" w:ascii="新宋体" w:hAnsi="新宋体" w:eastAsia="新宋体" w:cs="新宋体"/>
          <w:bCs/>
          <w:color w:val="auto"/>
          <w:sz w:val="22"/>
          <w:szCs w:val="22"/>
          <w:highlight w:val="none"/>
          <w:u w:val="single"/>
          <w:lang w:val="en-US" w:eastAsia="zh-CN"/>
        </w:rPr>
        <w:t>09</w:t>
      </w:r>
      <w:r>
        <w:rPr>
          <w:rFonts w:hint="eastAsia" w:ascii="新宋体" w:hAnsi="新宋体" w:eastAsia="新宋体" w:cs="新宋体"/>
          <w:bCs/>
          <w:color w:val="auto"/>
          <w:sz w:val="22"/>
          <w:szCs w:val="22"/>
          <w:highlight w:val="none"/>
          <w:u w:val="single"/>
        </w:rPr>
        <w:t>点</w:t>
      </w:r>
      <w:r>
        <w:rPr>
          <w:rFonts w:hint="eastAsia" w:ascii="新宋体" w:hAnsi="新宋体" w:eastAsia="新宋体" w:cs="新宋体"/>
          <w:bCs/>
          <w:color w:val="auto"/>
          <w:sz w:val="22"/>
          <w:szCs w:val="22"/>
          <w:highlight w:val="none"/>
          <w:u w:val="single"/>
          <w:lang w:val="en-US" w:eastAsia="zh-CN"/>
        </w:rPr>
        <w:t>30</w:t>
      </w:r>
      <w:r>
        <w:rPr>
          <w:rFonts w:hint="eastAsia" w:ascii="新宋体" w:hAnsi="新宋体" w:eastAsia="新宋体" w:cs="新宋体"/>
          <w:bCs/>
          <w:color w:val="auto"/>
          <w:sz w:val="22"/>
          <w:szCs w:val="22"/>
          <w:highlight w:val="none"/>
          <w:u w:val="single"/>
        </w:rPr>
        <w:t>分（</w:t>
      </w:r>
      <w:r>
        <w:rPr>
          <w:rFonts w:hint="eastAsia" w:ascii="新宋体" w:hAnsi="新宋体" w:eastAsia="新宋体" w:cs="新宋体"/>
          <w:bCs/>
          <w:color w:val="auto"/>
          <w:sz w:val="22"/>
          <w:szCs w:val="22"/>
          <w:highlight w:val="none"/>
        </w:rPr>
        <w:t>北京时间）前递交投标文件</w:t>
      </w:r>
      <w:r>
        <w:rPr>
          <w:rFonts w:hint="eastAsia" w:ascii="新宋体" w:hAnsi="新宋体" w:eastAsia="新宋体" w:cs="新宋体"/>
          <w:color w:val="auto"/>
          <w:sz w:val="22"/>
          <w:szCs w:val="22"/>
          <w:highlight w:val="none"/>
        </w:rPr>
        <w:t>。</w:t>
      </w:r>
    </w:p>
    <w:p>
      <w:pPr>
        <w:widowControl/>
        <w:spacing w:before="60" w:after="60" w:line="400" w:lineRule="exact"/>
        <w:ind w:right="60"/>
        <w:jc w:val="left"/>
        <w:rPr>
          <w:rFonts w:hint="eastAsia" w:ascii="新宋体" w:hAnsi="新宋体" w:eastAsia="新宋体" w:cs="新宋体"/>
          <w:b/>
          <w:color w:val="auto"/>
          <w:kern w:val="0"/>
          <w:sz w:val="22"/>
          <w:szCs w:val="22"/>
          <w:highlight w:val="none"/>
        </w:rPr>
      </w:pPr>
      <w:bookmarkStart w:id="5" w:name="_Toc35393790"/>
      <w:bookmarkStart w:id="6" w:name="_Toc35393621"/>
      <w:bookmarkStart w:id="7" w:name="_Toc28359002"/>
      <w:bookmarkStart w:id="8" w:name="_Toc28359079"/>
      <w:bookmarkStart w:id="9" w:name="_Hlk24379207"/>
      <w:r>
        <w:rPr>
          <w:rFonts w:hint="eastAsia" w:ascii="新宋体" w:hAnsi="新宋体" w:eastAsia="新宋体" w:cs="新宋体"/>
          <w:b/>
          <w:color w:val="auto"/>
          <w:kern w:val="0"/>
          <w:sz w:val="22"/>
          <w:szCs w:val="22"/>
          <w:highlight w:val="none"/>
        </w:rPr>
        <w:t>一、项目基本情况</w:t>
      </w:r>
      <w:bookmarkEnd w:id="5"/>
      <w:bookmarkEnd w:id="6"/>
      <w:bookmarkEnd w:id="7"/>
      <w:bookmarkEnd w:id="8"/>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项目编号：GZWZ[2020]</w:t>
      </w:r>
    </w:p>
    <w:p>
      <w:pPr>
        <w:widowControl/>
        <w:spacing w:before="60" w:after="60" w:line="400" w:lineRule="exact"/>
        <w:ind w:right="60"/>
        <w:jc w:val="left"/>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Cs/>
          <w:color w:val="auto"/>
          <w:kern w:val="0"/>
          <w:sz w:val="22"/>
          <w:szCs w:val="22"/>
          <w:highlight w:val="none"/>
        </w:rPr>
        <w:t>项目名称：</w:t>
      </w:r>
      <w:r>
        <w:rPr>
          <w:rFonts w:hint="eastAsia" w:ascii="新宋体" w:hAnsi="新宋体" w:eastAsia="新宋体" w:cs="新宋体"/>
          <w:color w:val="auto"/>
          <w:kern w:val="0"/>
          <w:sz w:val="22"/>
          <w:szCs w:val="22"/>
          <w:highlight w:val="none"/>
          <w:u w:val="single"/>
          <w:lang w:eastAsia="zh-CN"/>
        </w:rPr>
        <w:t>山福镇村级道路、河道、公厕清扫保洁及垃圾分类</w:t>
      </w:r>
    </w:p>
    <w:bookmarkEnd w:id="9"/>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预算金额：</w:t>
      </w:r>
      <w:r>
        <w:rPr>
          <w:rFonts w:hint="eastAsia" w:ascii="新宋体" w:hAnsi="新宋体" w:eastAsia="新宋体" w:cs="新宋体"/>
          <w:color w:val="auto"/>
          <w:kern w:val="0"/>
          <w:sz w:val="22"/>
          <w:szCs w:val="22"/>
          <w:highlight w:val="none"/>
          <w:u w:val="single"/>
          <w:lang w:val="en-US" w:eastAsia="zh-CN"/>
        </w:rPr>
        <w:t>560</w:t>
      </w:r>
      <w:r>
        <w:rPr>
          <w:rFonts w:hint="eastAsia" w:ascii="新宋体" w:hAnsi="新宋体" w:eastAsia="新宋体" w:cs="新宋体"/>
          <w:bCs/>
          <w:color w:val="auto"/>
          <w:kern w:val="0"/>
          <w:sz w:val="22"/>
          <w:szCs w:val="22"/>
          <w:highlight w:val="none"/>
        </w:rPr>
        <w:t>万元</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最高限价：</w:t>
      </w:r>
      <w:r>
        <w:rPr>
          <w:rFonts w:hint="eastAsia" w:ascii="新宋体" w:hAnsi="新宋体" w:eastAsia="新宋体" w:cs="新宋体"/>
          <w:color w:val="auto"/>
          <w:kern w:val="0"/>
          <w:sz w:val="22"/>
          <w:szCs w:val="22"/>
          <w:highlight w:val="none"/>
          <w:u w:val="single"/>
          <w:lang w:val="en-US" w:eastAsia="zh-CN"/>
        </w:rPr>
        <w:t>560</w:t>
      </w:r>
      <w:r>
        <w:rPr>
          <w:rFonts w:hint="eastAsia" w:ascii="新宋体" w:hAnsi="新宋体" w:eastAsia="新宋体" w:cs="新宋体"/>
          <w:bCs/>
          <w:color w:val="auto"/>
          <w:kern w:val="0"/>
          <w:sz w:val="22"/>
          <w:szCs w:val="22"/>
          <w:highlight w:val="none"/>
        </w:rPr>
        <w:t>万元</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采购需求：</w:t>
      </w:r>
    </w:p>
    <w:tbl>
      <w:tblPr>
        <w:tblStyle w:val="56"/>
        <w:tblW w:w="0" w:type="auto"/>
        <w:tblInd w:w="0" w:type="dxa"/>
        <w:tblLayout w:type="fixed"/>
        <w:tblCellMar>
          <w:top w:w="0" w:type="dxa"/>
          <w:left w:w="108" w:type="dxa"/>
          <w:bottom w:w="0" w:type="dxa"/>
          <w:right w:w="108" w:type="dxa"/>
        </w:tblCellMar>
      </w:tblPr>
      <w:tblGrid>
        <w:gridCol w:w="742"/>
        <w:gridCol w:w="4156"/>
        <w:gridCol w:w="720"/>
        <w:gridCol w:w="795"/>
        <w:gridCol w:w="1135"/>
        <w:gridCol w:w="2219"/>
      </w:tblGrid>
      <w:tr>
        <w:tblPrEx>
          <w:tblCellMar>
            <w:top w:w="0" w:type="dxa"/>
            <w:left w:w="108" w:type="dxa"/>
            <w:bottom w:w="0" w:type="dxa"/>
            <w:right w:w="108" w:type="dxa"/>
          </w:tblCellMar>
        </w:tblPrEx>
        <w:trPr>
          <w:trHeight w:val="42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41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标项名称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预算金额(万元)</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r>
      <w:tr>
        <w:tblPrEx>
          <w:tblCellMar>
            <w:top w:w="0" w:type="dxa"/>
            <w:left w:w="108" w:type="dxa"/>
            <w:bottom w:w="0" w:type="dxa"/>
            <w:right w:w="108" w:type="dxa"/>
          </w:tblCellMar>
        </w:tblPrEx>
        <w:tc>
          <w:tcPr>
            <w:tcW w:w="7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415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ind w:left="880" w:right="60" w:hanging="880" w:hangingChars="4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eastAsia="zh-CN"/>
              </w:rPr>
              <w:t>山福镇村级道路、河道、公厕清扫保洁及垃圾分类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ind w:right="6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bCs/>
                <w:color w:val="auto"/>
                <w:kern w:val="0"/>
                <w:sz w:val="22"/>
                <w:szCs w:val="22"/>
                <w:highlight w:val="none"/>
                <w:lang w:val="en-US" w:eastAsia="zh-CN"/>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ind w:right="6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bCs/>
                <w:color w:val="auto"/>
                <w:kern w:val="0"/>
                <w:sz w:val="22"/>
                <w:szCs w:val="22"/>
                <w:highlight w:val="none"/>
                <w:lang w:eastAsia="zh-CN"/>
              </w:rPr>
              <w:t>年</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ind w:right="60"/>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560</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ind w:right="60"/>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具体见招标文件采购内容及要求</w:t>
            </w:r>
          </w:p>
        </w:tc>
      </w:tr>
    </w:tbl>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本项目</w:t>
      </w:r>
      <w:r>
        <w:rPr>
          <w:rFonts w:hint="eastAsia" w:ascii="新宋体" w:hAnsi="新宋体" w:eastAsia="新宋体" w:cs="新宋体"/>
          <w:b/>
          <w:bCs w:val="0"/>
          <w:color w:val="auto"/>
          <w:kern w:val="0"/>
          <w:sz w:val="22"/>
          <w:szCs w:val="22"/>
          <w:highlight w:val="none"/>
          <w:u w:val="single"/>
        </w:rPr>
        <w:t>不接受</w:t>
      </w:r>
      <w:r>
        <w:rPr>
          <w:rFonts w:hint="eastAsia" w:ascii="新宋体" w:hAnsi="新宋体" w:eastAsia="新宋体" w:cs="新宋体"/>
          <w:bCs/>
          <w:color w:val="auto"/>
          <w:kern w:val="0"/>
          <w:sz w:val="22"/>
          <w:szCs w:val="22"/>
          <w:highlight w:val="none"/>
        </w:rPr>
        <w:t>联合体投标。</w:t>
      </w:r>
    </w:p>
    <w:p>
      <w:pPr>
        <w:widowControl/>
        <w:spacing w:before="60" w:after="60" w:line="400" w:lineRule="exact"/>
        <w:ind w:right="60"/>
        <w:jc w:val="left"/>
        <w:rPr>
          <w:rFonts w:hint="eastAsia" w:ascii="新宋体" w:hAnsi="新宋体" w:eastAsia="新宋体" w:cs="新宋体"/>
          <w:b/>
          <w:color w:val="auto"/>
          <w:kern w:val="0"/>
          <w:sz w:val="22"/>
          <w:szCs w:val="22"/>
          <w:highlight w:val="none"/>
        </w:rPr>
      </w:pPr>
      <w:bookmarkStart w:id="10" w:name="_Toc35393791"/>
      <w:bookmarkStart w:id="11" w:name="_Toc28359080"/>
      <w:bookmarkStart w:id="12" w:name="_Toc35393622"/>
      <w:bookmarkStart w:id="13" w:name="_Toc28359003"/>
      <w:r>
        <w:rPr>
          <w:rFonts w:hint="eastAsia" w:ascii="新宋体" w:hAnsi="新宋体" w:eastAsia="新宋体" w:cs="新宋体"/>
          <w:b/>
          <w:color w:val="auto"/>
          <w:kern w:val="0"/>
          <w:sz w:val="22"/>
          <w:szCs w:val="22"/>
          <w:highlight w:val="none"/>
        </w:rPr>
        <w:t>二、申请人的资格要求：</w:t>
      </w:r>
      <w:bookmarkEnd w:id="10"/>
      <w:bookmarkEnd w:id="11"/>
      <w:bookmarkEnd w:id="12"/>
      <w:bookmarkEnd w:id="13"/>
    </w:p>
    <w:p>
      <w:pPr>
        <w:widowControl/>
        <w:spacing w:before="60" w:after="60" w:line="400" w:lineRule="exact"/>
        <w:ind w:right="60"/>
        <w:jc w:val="left"/>
        <w:rPr>
          <w:rFonts w:hint="eastAsia" w:ascii="新宋体" w:hAnsi="新宋体" w:eastAsia="新宋体" w:cs="新宋体"/>
          <w:color w:val="auto"/>
          <w:kern w:val="0"/>
          <w:sz w:val="22"/>
          <w:szCs w:val="22"/>
          <w:highlight w:val="none"/>
        </w:rPr>
      </w:pPr>
      <w:bookmarkStart w:id="14" w:name="_Toc28359081"/>
      <w:bookmarkStart w:id="15" w:name="_Toc28359004"/>
      <w:bookmarkStart w:id="16" w:name="_Toc35393623"/>
      <w:bookmarkStart w:id="17" w:name="_Toc35393792"/>
      <w:r>
        <w:rPr>
          <w:rFonts w:hint="eastAsia" w:ascii="新宋体" w:hAnsi="新宋体" w:eastAsia="新宋体" w:cs="新宋体"/>
          <w:color w:val="auto"/>
          <w:kern w:val="0"/>
          <w:sz w:val="22"/>
          <w:szCs w:val="22"/>
          <w:highlight w:val="none"/>
        </w:rPr>
        <w:t>1.一般资格条件：</w:t>
      </w:r>
    </w:p>
    <w:p>
      <w:pPr>
        <w:widowControl/>
        <w:spacing w:before="60" w:after="60" w:line="400" w:lineRule="exact"/>
        <w:ind w:right="6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（1）符合《中华人民共和国政府采购法》第二十二条对供应商主体的要求；</w:t>
      </w:r>
    </w:p>
    <w:p>
      <w:pPr>
        <w:widowControl/>
        <w:spacing w:before="60" w:after="60" w:line="400" w:lineRule="exact"/>
        <w:ind w:right="6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（2）须为未被列入“信用中国”网站(www.creditchina.gov.cn)、中国政府采购网(www.ccgp.gov.cn)渠道信用记录失信被执行人、重大税收违法案件当事人名单、政府采购严重违法失信行为记录名单的投标人。</w:t>
      </w:r>
    </w:p>
    <w:p>
      <w:pPr>
        <w:widowControl/>
        <w:spacing w:before="60" w:after="60" w:line="400" w:lineRule="exact"/>
        <w:ind w:right="6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2.特殊资格条件：无。</w:t>
      </w:r>
    </w:p>
    <w:p>
      <w:pPr>
        <w:widowControl/>
        <w:spacing w:before="60" w:after="60" w:line="400" w:lineRule="exact"/>
        <w:ind w:right="60"/>
        <w:jc w:val="lef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三、获取招标文件</w:t>
      </w:r>
      <w:bookmarkEnd w:id="14"/>
      <w:bookmarkEnd w:id="15"/>
      <w:bookmarkEnd w:id="16"/>
      <w:bookmarkEnd w:id="17"/>
    </w:p>
    <w:p>
      <w:pPr>
        <w:widowControl/>
        <w:spacing w:before="60" w:after="60" w:line="400" w:lineRule="exact"/>
        <w:ind w:right="6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时间：</w:t>
      </w:r>
      <w:r>
        <w:rPr>
          <w:rFonts w:hint="eastAsia" w:ascii="新宋体" w:hAnsi="新宋体" w:eastAsia="新宋体" w:cs="新宋体"/>
          <w:color w:val="auto"/>
          <w:kern w:val="0"/>
          <w:sz w:val="22"/>
          <w:szCs w:val="22"/>
          <w:highlight w:val="none"/>
          <w:u w:val="single"/>
        </w:rPr>
        <w:t>招标公告发布时间 </w:t>
      </w:r>
      <w:r>
        <w:rPr>
          <w:rFonts w:hint="eastAsia" w:ascii="新宋体" w:hAnsi="新宋体" w:eastAsia="新宋体" w:cs="新宋体"/>
          <w:color w:val="auto"/>
          <w:kern w:val="0"/>
          <w:sz w:val="22"/>
          <w:szCs w:val="22"/>
          <w:highlight w:val="none"/>
        </w:rPr>
        <w:t>至 </w:t>
      </w:r>
      <w:r>
        <w:rPr>
          <w:rFonts w:hint="eastAsia" w:ascii="新宋体" w:hAnsi="新宋体" w:eastAsia="新宋体" w:cs="新宋体"/>
          <w:color w:val="auto"/>
          <w:kern w:val="0"/>
          <w:sz w:val="22"/>
          <w:szCs w:val="22"/>
          <w:highlight w:val="none"/>
          <w:u w:val="single"/>
        </w:rPr>
        <w:t> 投标截止时间 </w:t>
      </w:r>
      <w:r>
        <w:rPr>
          <w:rFonts w:hint="eastAsia" w:ascii="新宋体" w:hAnsi="新宋体" w:eastAsia="新宋体" w:cs="新宋体"/>
          <w:color w:val="auto"/>
          <w:kern w:val="0"/>
          <w:sz w:val="22"/>
          <w:szCs w:val="22"/>
          <w:highlight w:val="none"/>
        </w:rPr>
        <w:t>（提供期限自本公告发布之日起不得少于5个工作日），每天上午 00:00至12:00，下午 12:00至23:59 （北京时间，法定节假日除外）</w:t>
      </w:r>
    </w:p>
    <w:p>
      <w:pPr>
        <w:widowControl/>
        <w:spacing w:before="60" w:after="60" w:line="400" w:lineRule="exact"/>
        <w:ind w:right="6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地点：政采云平台 </w:t>
      </w:r>
    </w:p>
    <w:p>
      <w:pPr>
        <w:widowControl/>
        <w:spacing w:before="60" w:after="60" w:line="400" w:lineRule="exact"/>
        <w:ind w:right="6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方式：网上获取</w:t>
      </w:r>
    </w:p>
    <w:p>
      <w:pPr>
        <w:widowControl/>
        <w:spacing w:before="60" w:after="60" w:line="400" w:lineRule="exact"/>
        <w:ind w:right="6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售价：免费</w:t>
      </w:r>
    </w:p>
    <w:p>
      <w:pPr>
        <w:widowControl/>
        <w:spacing w:before="60" w:after="60" w:line="400" w:lineRule="exact"/>
        <w:ind w:right="60"/>
        <w:jc w:val="left"/>
        <w:rPr>
          <w:rFonts w:hint="eastAsia" w:ascii="新宋体" w:hAnsi="新宋体" w:eastAsia="新宋体" w:cs="新宋体"/>
          <w:b/>
          <w:color w:val="auto"/>
          <w:kern w:val="0"/>
          <w:sz w:val="22"/>
          <w:szCs w:val="22"/>
          <w:highlight w:val="none"/>
        </w:rPr>
      </w:pPr>
      <w:bookmarkStart w:id="18" w:name="_Toc28359082"/>
      <w:bookmarkStart w:id="19" w:name="_Toc28359005"/>
      <w:bookmarkStart w:id="20" w:name="_Toc35393624"/>
      <w:bookmarkStart w:id="21" w:name="_Toc35393793"/>
      <w:r>
        <w:rPr>
          <w:rFonts w:hint="eastAsia" w:ascii="新宋体" w:hAnsi="新宋体" w:eastAsia="新宋体" w:cs="新宋体"/>
          <w:b/>
          <w:color w:val="auto"/>
          <w:kern w:val="0"/>
          <w:sz w:val="22"/>
          <w:szCs w:val="22"/>
          <w:highlight w:val="none"/>
        </w:rPr>
        <w:t>四、提交投标文件</w:t>
      </w:r>
      <w:bookmarkEnd w:id="18"/>
      <w:bookmarkEnd w:id="19"/>
      <w:r>
        <w:rPr>
          <w:rFonts w:hint="eastAsia" w:ascii="新宋体" w:hAnsi="新宋体" w:eastAsia="新宋体" w:cs="新宋体"/>
          <w:b/>
          <w:color w:val="auto"/>
          <w:kern w:val="0"/>
          <w:sz w:val="22"/>
          <w:szCs w:val="22"/>
          <w:highlight w:val="none"/>
        </w:rPr>
        <w:t>截止时间、开标时间和地点</w:t>
      </w:r>
      <w:bookmarkEnd w:id="20"/>
      <w:bookmarkEnd w:id="21"/>
    </w:p>
    <w:p>
      <w:pPr>
        <w:widowControl/>
        <w:spacing w:before="60" w:after="60" w:line="400" w:lineRule="exact"/>
        <w:ind w:right="6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提交投标文件截止时间：2020年0</w:t>
      </w:r>
      <w:r>
        <w:rPr>
          <w:rFonts w:hint="eastAsia" w:ascii="新宋体" w:hAnsi="新宋体" w:eastAsia="新宋体" w:cs="新宋体"/>
          <w:color w:val="auto"/>
          <w:kern w:val="0"/>
          <w:sz w:val="22"/>
          <w:szCs w:val="22"/>
          <w:highlight w:val="none"/>
          <w:lang w:val="en-US" w:eastAsia="zh-CN"/>
        </w:rPr>
        <w:t>8</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14</w:t>
      </w:r>
      <w:r>
        <w:rPr>
          <w:rFonts w:hint="eastAsia" w:ascii="新宋体" w:hAnsi="新宋体" w:eastAsia="新宋体" w:cs="新宋体"/>
          <w:color w:val="auto"/>
          <w:kern w:val="0"/>
          <w:sz w:val="22"/>
          <w:szCs w:val="22"/>
          <w:highlight w:val="none"/>
        </w:rPr>
        <w:t>日</w:t>
      </w:r>
      <w:r>
        <w:rPr>
          <w:rFonts w:hint="eastAsia" w:ascii="新宋体" w:hAnsi="新宋体" w:eastAsia="新宋体" w:cs="新宋体"/>
          <w:color w:val="auto"/>
          <w:kern w:val="0"/>
          <w:sz w:val="22"/>
          <w:szCs w:val="22"/>
          <w:highlight w:val="none"/>
          <w:lang w:val="en-US" w:eastAsia="zh-CN"/>
        </w:rPr>
        <w:t>09</w:t>
      </w:r>
      <w:r>
        <w:rPr>
          <w:rFonts w:hint="eastAsia" w:ascii="新宋体" w:hAnsi="新宋体" w:eastAsia="新宋体" w:cs="新宋体"/>
          <w:color w:val="auto"/>
          <w:kern w:val="0"/>
          <w:sz w:val="22"/>
          <w:szCs w:val="22"/>
          <w:highlight w:val="none"/>
        </w:rPr>
        <w:t xml:space="preserve"> 点</w:t>
      </w:r>
      <w:r>
        <w:rPr>
          <w:rFonts w:hint="eastAsia" w:ascii="新宋体" w:hAnsi="新宋体" w:eastAsia="新宋体" w:cs="新宋体"/>
          <w:color w:val="auto"/>
          <w:kern w:val="0"/>
          <w:sz w:val="22"/>
          <w:szCs w:val="22"/>
          <w:highlight w:val="none"/>
          <w:lang w:val="en-US" w:eastAsia="zh-CN"/>
        </w:rPr>
        <w:t>30</w:t>
      </w:r>
      <w:r>
        <w:rPr>
          <w:rFonts w:hint="eastAsia" w:ascii="新宋体" w:hAnsi="新宋体" w:eastAsia="新宋体" w:cs="新宋体"/>
          <w:color w:val="auto"/>
          <w:kern w:val="0"/>
          <w:sz w:val="22"/>
          <w:szCs w:val="22"/>
          <w:highlight w:val="none"/>
        </w:rPr>
        <w:t>分（北京时间）（自招标文件开始发出之日起至投标人提交投标文件截止之日止，不得少于20日）</w:t>
      </w:r>
    </w:p>
    <w:p>
      <w:pPr>
        <w:widowControl/>
        <w:spacing w:before="60" w:after="60" w:line="400" w:lineRule="exact"/>
        <w:ind w:right="60"/>
        <w:jc w:val="left"/>
        <w:rPr>
          <w:rFonts w:hint="eastAsia" w:ascii="新宋体" w:hAnsi="新宋体" w:eastAsia="新宋体" w:cs="新宋体"/>
          <w:color w:val="auto"/>
          <w:kern w:val="0"/>
          <w:sz w:val="22"/>
          <w:szCs w:val="22"/>
          <w:highlight w:val="none"/>
        </w:rPr>
      </w:pPr>
      <w:bookmarkStart w:id="22" w:name="_Toc28359084"/>
      <w:bookmarkStart w:id="23" w:name="_Toc35393794"/>
      <w:bookmarkStart w:id="24" w:name="_Toc28359007"/>
      <w:bookmarkStart w:id="25" w:name="_Toc35393625"/>
      <w:r>
        <w:rPr>
          <w:rFonts w:hint="eastAsia" w:ascii="新宋体" w:hAnsi="新宋体" w:eastAsia="新宋体" w:cs="新宋体"/>
          <w:color w:val="auto"/>
          <w:kern w:val="0"/>
          <w:sz w:val="22"/>
          <w:szCs w:val="22"/>
          <w:highlight w:val="none"/>
        </w:rPr>
        <w:t>投标地点（网址）：政府采购云平台（www.zcygov.cn）</w:t>
      </w:r>
      <w:r>
        <w:rPr>
          <w:rFonts w:hint="eastAsia" w:ascii="新宋体" w:hAnsi="新宋体" w:eastAsia="新宋体" w:cs="新宋体"/>
          <w:bCs/>
          <w:color w:val="auto"/>
          <w:kern w:val="0"/>
          <w:sz w:val="22"/>
          <w:szCs w:val="22"/>
          <w:highlight w:val="none"/>
        </w:rPr>
        <w:t>。</w:t>
      </w:r>
    </w:p>
    <w:p>
      <w:pPr>
        <w:widowControl/>
        <w:spacing w:before="60" w:after="60" w:line="400" w:lineRule="exact"/>
        <w:ind w:right="6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开标时间：2020年</w:t>
      </w:r>
      <w:r>
        <w:rPr>
          <w:rFonts w:hint="eastAsia" w:ascii="新宋体" w:hAnsi="新宋体" w:eastAsia="新宋体" w:cs="新宋体"/>
          <w:color w:val="auto"/>
          <w:kern w:val="0"/>
          <w:sz w:val="22"/>
          <w:szCs w:val="22"/>
          <w:highlight w:val="none"/>
          <w:lang w:val="en-US" w:eastAsia="zh-CN"/>
        </w:rPr>
        <w:t>08</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14</w:t>
      </w:r>
      <w:r>
        <w:rPr>
          <w:rFonts w:hint="eastAsia" w:ascii="新宋体" w:hAnsi="新宋体" w:eastAsia="新宋体" w:cs="新宋体"/>
          <w:color w:val="auto"/>
          <w:kern w:val="0"/>
          <w:sz w:val="22"/>
          <w:szCs w:val="22"/>
          <w:highlight w:val="none"/>
        </w:rPr>
        <w:t>日</w:t>
      </w:r>
      <w:r>
        <w:rPr>
          <w:rFonts w:hint="eastAsia" w:ascii="新宋体" w:hAnsi="新宋体" w:eastAsia="新宋体" w:cs="新宋体"/>
          <w:color w:val="auto"/>
          <w:kern w:val="0"/>
          <w:sz w:val="22"/>
          <w:szCs w:val="22"/>
          <w:highlight w:val="none"/>
          <w:lang w:val="en-US" w:eastAsia="zh-CN"/>
        </w:rPr>
        <w:t>09</w:t>
      </w:r>
      <w:r>
        <w:rPr>
          <w:rFonts w:hint="eastAsia" w:ascii="新宋体" w:hAnsi="新宋体" w:eastAsia="新宋体" w:cs="新宋体"/>
          <w:color w:val="auto"/>
          <w:kern w:val="0"/>
          <w:sz w:val="22"/>
          <w:szCs w:val="22"/>
          <w:highlight w:val="none"/>
        </w:rPr>
        <w:t>点</w:t>
      </w:r>
      <w:r>
        <w:rPr>
          <w:rFonts w:hint="eastAsia" w:ascii="新宋体" w:hAnsi="新宋体" w:eastAsia="新宋体" w:cs="新宋体"/>
          <w:color w:val="auto"/>
          <w:kern w:val="0"/>
          <w:sz w:val="22"/>
          <w:szCs w:val="22"/>
          <w:highlight w:val="none"/>
          <w:lang w:val="en-US" w:eastAsia="zh-CN"/>
        </w:rPr>
        <w:t>30</w:t>
      </w:r>
      <w:r>
        <w:rPr>
          <w:rFonts w:hint="eastAsia" w:ascii="新宋体" w:hAnsi="新宋体" w:eastAsia="新宋体" w:cs="新宋体"/>
          <w:color w:val="auto"/>
          <w:kern w:val="0"/>
          <w:sz w:val="22"/>
          <w:szCs w:val="22"/>
          <w:highlight w:val="none"/>
        </w:rPr>
        <w:t>分（北京时间）</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开标地点（网址）：</w:t>
      </w:r>
      <w:r>
        <w:rPr>
          <w:rFonts w:hint="eastAsia" w:ascii="新宋体" w:hAnsi="新宋体" w:eastAsia="新宋体" w:cs="新宋体"/>
          <w:bCs/>
          <w:color w:val="auto"/>
          <w:kern w:val="0"/>
          <w:sz w:val="22"/>
          <w:szCs w:val="22"/>
        </w:rPr>
        <w:t>温州市公共资源交易中心鹿城分中心三楼（温州市宽带路18号科技大楼）</w:t>
      </w:r>
      <w:r>
        <w:rPr>
          <w:rFonts w:hint="eastAsia" w:ascii="新宋体" w:hAnsi="新宋体" w:eastAsia="新宋体" w:cs="新宋体"/>
          <w:bCs/>
          <w:color w:val="auto"/>
          <w:kern w:val="0"/>
          <w:sz w:val="22"/>
          <w:szCs w:val="22"/>
          <w:highlight w:val="none"/>
        </w:rPr>
        <w:t>。</w:t>
      </w:r>
    </w:p>
    <w:p>
      <w:pPr>
        <w:widowControl/>
        <w:spacing w:before="60" w:after="60" w:line="400" w:lineRule="exact"/>
        <w:ind w:right="60"/>
        <w:jc w:val="lef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五、公告期限</w:t>
      </w:r>
      <w:bookmarkEnd w:id="22"/>
      <w:bookmarkEnd w:id="23"/>
      <w:bookmarkEnd w:id="24"/>
      <w:bookmarkEnd w:id="25"/>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自本公告发布之日起5个工作日。</w:t>
      </w:r>
    </w:p>
    <w:p>
      <w:pPr>
        <w:widowControl/>
        <w:numPr>
          <w:ilvl w:val="0"/>
          <w:numId w:val="17"/>
        </w:numPr>
        <w:spacing w:before="60" w:after="60" w:line="400" w:lineRule="exact"/>
        <w:ind w:right="60"/>
        <w:jc w:val="left"/>
        <w:rPr>
          <w:rFonts w:hint="eastAsia" w:ascii="新宋体" w:hAnsi="新宋体" w:eastAsia="新宋体" w:cs="新宋体"/>
          <w:b/>
          <w:color w:val="auto"/>
          <w:kern w:val="0"/>
          <w:sz w:val="22"/>
          <w:szCs w:val="22"/>
          <w:highlight w:val="none"/>
        </w:rPr>
      </w:pPr>
      <w:bookmarkStart w:id="26" w:name="_Toc35393626"/>
      <w:bookmarkStart w:id="27" w:name="_Toc35393795"/>
      <w:r>
        <w:rPr>
          <w:rFonts w:hint="eastAsia" w:ascii="新宋体" w:hAnsi="新宋体" w:eastAsia="新宋体" w:cs="新宋体"/>
          <w:b/>
          <w:color w:val="auto"/>
          <w:kern w:val="0"/>
          <w:sz w:val="22"/>
          <w:szCs w:val="22"/>
          <w:highlight w:val="none"/>
        </w:rPr>
        <w:t>其他补充事宜</w:t>
      </w:r>
      <w:bookmarkEnd w:id="26"/>
      <w:bookmarkEnd w:id="27"/>
    </w:p>
    <w:p>
      <w:pPr>
        <w:spacing w:line="460" w:lineRule="exact"/>
        <w:rPr>
          <w:rFonts w:hint="eastAsia" w:ascii="宋体" w:hAnsi="宋体" w:cs="Arial"/>
          <w:color w:val="auto"/>
          <w:sz w:val="22"/>
          <w:szCs w:val="22"/>
          <w:highlight w:val="none"/>
        </w:rPr>
      </w:pPr>
      <w:r>
        <w:rPr>
          <w:rFonts w:hint="eastAsia" w:ascii="宋体" w:hAnsi="宋体" w:cs="Arial"/>
          <w:color w:val="auto"/>
          <w:sz w:val="22"/>
          <w:szCs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w:t>
      </w:r>
      <w:r>
        <w:rPr>
          <w:rFonts w:hint="eastAsia" w:ascii="宋体" w:hAnsi="宋体" w:cs="Arial"/>
          <w:color w:val="auto"/>
          <w:sz w:val="22"/>
          <w:szCs w:val="22"/>
          <w:highlight w:val="none"/>
          <w:lang w:eastAsia="zh-CN"/>
        </w:rPr>
        <w:t>或在项目系统中</w:t>
      </w:r>
      <w:r>
        <w:rPr>
          <w:rFonts w:hint="eastAsia" w:ascii="宋体" w:hAnsi="宋体" w:cs="Arial"/>
          <w:color w:val="auto"/>
          <w:sz w:val="22"/>
          <w:szCs w:val="22"/>
          <w:highlight w:val="none"/>
        </w:rPr>
        <w:t>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60" w:lineRule="exact"/>
        <w:rPr>
          <w:rFonts w:hint="eastAsia" w:ascii="宋体" w:hAnsi="宋体" w:cs="Arial"/>
          <w:color w:val="auto"/>
          <w:sz w:val="22"/>
          <w:szCs w:val="22"/>
          <w:highlight w:val="none"/>
        </w:rPr>
      </w:pPr>
      <w:r>
        <w:rPr>
          <w:rFonts w:hint="eastAsia" w:ascii="宋体" w:hAnsi="宋体" w:cs="Arial"/>
          <w:color w:val="auto"/>
          <w:sz w:val="22"/>
          <w:szCs w:val="22"/>
          <w:highlight w:val="none"/>
        </w:rPr>
        <w:t>2.本项目通过“政府采购云平台（www.zcygov.cn）”实行在线投标响应，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spacing w:line="460" w:lineRule="exact"/>
        <w:rPr>
          <w:rFonts w:hint="eastAsia" w:ascii="宋体" w:hAnsi="宋体" w:cs="Arial"/>
          <w:color w:val="auto"/>
          <w:sz w:val="22"/>
          <w:szCs w:val="22"/>
          <w:highlight w:val="none"/>
        </w:rPr>
      </w:pPr>
      <w:r>
        <w:rPr>
          <w:rFonts w:hint="eastAsia" w:ascii="宋体" w:hAnsi="宋体" w:cs="Arial"/>
          <w:color w:val="auto"/>
          <w:sz w:val="22"/>
          <w:szCs w:val="22"/>
          <w:highlight w:val="none"/>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460" w:lineRule="exact"/>
        <w:rPr>
          <w:rFonts w:hint="eastAsia" w:ascii="宋体" w:hAnsi="宋体" w:cs="Arial"/>
          <w:color w:val="auto"/>
          <w:sz w:val="22"/>
          <w:szCs w:val="22"/>
          <w:highlight w:val="none"/>
        </w:rPr>
      </w:pPr>
      <w:r>
        <w:rPr>
          <w:rFonts w:hint="eastAsia" w:ascii="宋体" w:hAnsi="宋体" w:cs="Arial"/>
          <w:color w:val="auto"/>
          <w:sz w:val="22"/>
          <w:szCs w:val="22"/>
          <w:highlight w:val="none"/>
        </w:rPr>
        <w:t>4.投标供应商应当在投标截止时间前，将生成的“电子加密投标文件”上传递交至“政府采购云平台”。投标截止时间以后上传递交的投标文件将被“政府采购云平台”拒收。</w:t>
      </w:r>
    </w:p>
    <w:p>
      <w:pPr>
        <w:spacing w:line="460" w:lineRule="exact"/>
        <w:rPr>
          <w:rFonts w:hint="eastAsia" w:ascii="宋体" w:hAnsi="宋体" w:cs="Arial"/>
          <w:color w:val="auto"/>
          <w:sz w:val="22"/>
          <w:szCs w:val="22"/>
          <w:highlight w:val="none"/>
        </w:rPr>
      </w:pPr>
      <w:r>
        <w:rPr>
          <w:rFonts w:hint="eastAsia" w:ascii="宋体" w:hAnsi="宋体" w:cs="Arial"/>
          <w:color w:val="auto"/>
          <w:sz w:val="22"/>
          <w:szCs w:val="22"/>
          <w:highlight w:val="none"/>
        </w:rPr>
        <w:t>5.投标供应商在“政府采购云平台”完成“电子加密投标文件”的上传递交后，还可以递交（邮寄形式）以介质（U盘）存储的数据电文形式的“备份投标文件”,必须在2020年</w:t>
      </w:r>
      <w:r>
        <w:rPr>
          <w:rFonts w:hint="eastAsia" w:ascii="宋体" w:hAnsi="宋体" w:cs="Arial"/>
          <w:color w:val="auto"/>
          <w:sz w:val="22"/>
          <w:szCs w:val="22"/>
          <w:highlight w:val="none"/>
          <w:u w:val="single"/>
          <w:lang w:val="en-US" w:eastAsia="zh-CN"/>
        </w:rPr>
        <w:t>08</w:t>
      </w:r>
      <w:r>
        <w:rPr>
          <w:rFonts w:hint="eastAsia" w:ascii="宋体" w:hAnsi="宋体" w:cs="Arial"/>
          <w:color w:val="auto"/>
          <w:sz w:val="22"/>
          <w:szCs w:val="22"/>
          <w:highlight w:val="none"/>
        </w:rPr>
        <w:t>月</w:t>
      </w:r>
      <w:r>
        <w:rPr>
          <w:rFonts w:hint="eastAsia" w:ascii="宋体" w:hAnsi="宋体" w:cs="Arial"/>
          <w:color w:val="auto"/>
          <w:sz w:val="22"/>
          <w:szCs w:val="22"/>
          <w:highlight w:val="none"/>
          <w:u w:val="single"/>
          <w:lang w:val="en-US" w:eastAsia="zh-CN"/>
        </w:rPr>
        <w:t>13</w:t>
      </w:r>
      <w:r>
        <w:rPr>
          <w:rFonts w:hint="eastAsia" w:ascii="宋体" w:hAnsi="宋体" w:cs="Arial"/>
          <w:color w:val="auto"/>
          <w:sz w:val="22"/>
          <w:szCs w:val="22"/>
          <w:highlight w:val="none"/>
        </w:rPr>
        <w:t>日</w:t>
      </w:r>
      <w:r>
        <w:rPr>
          <w:rFonts w:hint="eastAsia" w:ascii="宋体" w:hAnsi="宋体" w:cs="Arial"/>
          <w:color w:val="auto"/>
          <w:sz w:val="22"/>
          <w:szCs w:val="22"/>
          <w:highlight w:val="none"/>
          <w:u w:val="single"/>
          <w:lang w:val="en-US" w:eastAsia="zh-CN"/>
        </w:rPr>
        <w:t>12</w:t>
      </w:r>
      <w:r>
        <w:rPr>
          <w:rFonts w:hint="eastAsia" w:ascii="宋体" w:hAnsi="宋体" w:cs="Arial"/>
          <w:color w:val="auto"/>
          <w:sz w:val="22"/>
          <w:szCs w:val="22"/>
          <w:highlight w:val="none"/>
        </w:rPr>
        <w:t>时</w:t>
      </w:r>
      <w:r>
        <w:rPr>
          <w:rFonts w:hint="eastAsia" w:ascii="宋体" w:hAnsi="宋体" w:cs="Arial"/>
          <w:color w:val="auto"/>
          <w:sz w:val="22"/>
          <w:szCs w:val="22"/>
          <w:highlight w:val="none"/>
          <w:u w:val="single"/>
        </w:rPr>
        <w:t>00</w:t>
      </w:r>
      <w:r>
        <w:rPr>
          <w:rFonts w:hint="eastAsia" w:ascii="宋体" w:hAnsi="宋体" w:cs="Arial"/>
          <w:color w:val="auto"/>
          <w:sz w:val="22"/>
          <w:szCs w:val="22"/>
          <w:highlight w:val="none"/>
        </w:rPr>
        <w:t>分之前到达温州市鹿城区市府路592号新益大厦13楼1302室并由采购代理机构签收，否则视作投标人未提交“备份投标文件”。“备份投标文件”应当密封包装并在包装上标注投标项目名称、投标单位名称并加盖公章。</w:t>
      </w:r>
    </w:p>
    <w:p>
      <w:pPr>
        <w:spacing w:line="460" w:lineRule="exact"/>
        <w:rPr>
          <w:rFonts w:hint="eastAsia" w:ascii="宋体" w:hAnsi="宋体" w:cs="Arial"/>
          <w:color w:val="auto"/>
          <w:sz w:val="22"/>
          <w:szCs w:val="22"/>
          <w:highlight w:val="none"/>
        </w:rPr>
      </w:pPr>
      <w:r>
        <w:rPr>
          <w:rFonts w:hint="eastAsia" w:ascii="宋体" w:hAnsi="宋体" w:cs="Arial"/>
          <w:color w:val="auto"/>
          <w:sz w:val="22"/>
          <w:szCs w:val="22"/>
          <w:highlight w:val="none"/>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spacing w:before="60" w:after="60" w:line="400" w:lineRule="exact"/>
        <w:ind w:right="60"/>
        <w:jc w:val="left"/>
        <w:rPr>
          <w:rFonts w:hint="eastAsia" w:ascii="新宋体" w:hAnsi="新宋体" w:eastAsia="新宋体" w:cs="新宋体"/>
          <w:b/>
          <w:color w:val="auto"/>
          <w:kern w:val="0"/>
          <w:sz w:val="22"/>
          <w:szCs w:val="22"/>
          <w:highlight w:val="none"/>
        </w:rPr>
      </w:pPr>
      <w:bookmarkStart w:id="28" w:name="_Toc28359008"/>
      <w:bookmarkStart w:id="29" w:name="_Toc28359085"/>
      <w:bookmarkStart w:id="30" w:name="_Toc35393627"/>
      <w:bookmarkStart w:id="31" w:name="_Toc35393796"/>
      <w:r>
        <w:rPr>
          <w:rFonts w:hint="eastAsia" w:ascii="新宋体" w:hAnsi="新宋体" w:eastAsia="新宋体" w:cs="新宋体"/>
          <w:b/>
          <w:color w:val="auto"/>
          <w:kern w:val="0"/>
          <w:sz w:val="22"/>
          <w:szCs w:val="22"/>
          <w:highlight w:val="none"/>
        </w:rPr>
        <w:t>七、对本次招标提出询</w:t>
      </w:r>
      <w:r>
        <w:rPr>
          <w:rFonts w:hint="eastAsia" w:ascii="新宋体" w:hAnsi="新宋体" w:eastAsia="新宋体" w:cs="新宋体"/>
          <w:b/>
          <w:bCs w:val="0"/>
          <w:color w:val="auto"/>
          <w:kern w:val="0"/>
          <w:sz w:val="22"/>
          <w:szCs w:val="22"/>
          <w:highlight w:val="none"/>
        </w:rPr>
        <w:t>问</w:t>
      </w:r>
      <w:r>
        <w:rPr>
          <w:rStyle w:val="59"/>
          <w:rFonts w:ascii="新宋体" w:hAnsi="新宋体" w:eastAsia="新宋体" w:cs="新宋体"/>
          <w:b/>
          <w:bCs w:val="0"/>
          <w:color w:val="auto"/>
          <w:kern w:val="0"/>
          <w:sz w:val="22"/>
          <w:szCs w:val="22"/>
          <w:highlight w:val="none"/>
        </w:rPr>
        <w:t>、质疑、投诉</w:t>
      </w:r>
      <w:r>
        <w:rPr>
          <w:rFonts w:hint="eastAsia" w:ascii="新宋体" w:hAnsi="新宋体" w:eastAsia="新宋体" w:cs="新宋体"/>
          <w:b/>
          <w:bCs w:val="0"/>
          <w:color w:val="auto"/>
          <w:kern w:val="0"/>
          <w:sz w:val="22"/>
          <w:szCs w:val="22"/>
          <w:highlight w:val="none"/>
        </w:rPr>
        <w:t>请</w:t>
      </w:r>
      <w:r>
        <w:rPr>
          <w:rFonts w:hint="eastAsia" w:ascii="新宋体" w:hAnsi="新宋体" w:eastAsia="新宋体" w:cs="新宋体"/>
          <w:b/>
          <w:color w:val="auto"/>
          <w:kern w:val="0"/>
          <w:sz w:val="22"/>
          <w:szCs w:val="22"/>
          <w:highlight w:val="none"/>
        </w:rPr>
        <w:t>按以下方式联系。</w:t>
      </w:r>
      <w:bookmarkEnd w:id="28"/>
      <w:bookmarkEnd w:id="29"/>
      <w:bookmarkEnd w:id="30"/>
      <w:bookmarkEnd w:id="31"/>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1.采购人信息</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名 称：</w:t>
      </w:r>
      <w:r>
        <w:rPr>
          <w:rFonts w:hint="eastAsia" w:ascii="宋体" w:hAnsi="宋体" w:eastAsia="新宋体" w:cs="Arial"/>
          <w:color w:val="auto"/>
          <w:sz w:val="22"/>
          <w:szCs w:val="22"/>
          <w:highlight w:val="none"/>
          <w:lang w:eastAsia="zh-CN"/>
        </w:rPr>
        <w:t>温州市鹿城区山福镇人民政府</w:t>
      </w:r>
      <w:r>
        <w:rPr>
          <w:rFonts w:hint="eastAsia" w:ascii="宋体" w:hAnsi="宋体" w:cs="Arial"/>
          <w:color w:val="auto"/>
          <w:sz w:val="22"/>
          <w:szCs w:val="22"/>
          <w:highlight w:val="none"/>
        </w:rPr>
        <w:t>　</w:t>
      </w:r>
      <w:r>
        <w:rPr>
          <w:rFonts w:hint="eastAsia" w:ascii="新宋体" w:hAnsi="新宋体" w:eastAsia="新宋体" w:cs="新宋体"/>
          <w:bCs/>
          <w:color w:val="auto"/>
          <w:kern w:val="0"/>
          <w:sz w:val="22"/>
          <w:szCs w:val="22"/>
          <w:highlight w:val="none"/>
        </w:rPr>
        <w:t>　　　　　　　　　　　</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地址：</w:t>
      </w:r>
      <w:r>
        <w:rPr>
          <w:rFonts w:hint="eastAsia" w:ascii="宋体" w:hAnsi="宋体" w:eastAsia="新宋体" w:cs="Arial"/>
          <w:color w:val="auto"/>
          <w:sz w:val="22"/>
          <w:szCs w:val="22"/>
          <w:highlight w:val="none"/>
          <w:lang w:eastAsia="zh-CN"/>
        </w:rPr>
        <w:t>温州市鹿城区山福镇</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项目联系人:</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lang w:eastAsia="zh-CN"/>
        </w:rPr>
        <w:t>严先生</w:t>
      </w:r>
      <w:r>
        <w:rPr>
          <w:rFonts w:hint="eastAsia" w:ascii="新宋体" w:hAnsi="新宋体" w:eastAsia="新宋体" w:cs="新宋体"/>
          <w:color w:val="auto"/>
          <w:kern w:val="0"/>
          <w:sz w:val="22"/>
          <w:szCs w:val="22"/>
        </w:rPr>
        <w:t xml:space="preserve"> </w:t>
      </w:r>
      <w:r>
        <w:rPr>
          <w:rFonts w:hint="eastAsia" w:ascii="新宋体" w:hAnsi="新宋体" w:eastAsia="新宋体" w:cs="新宋体"/>
          <w:bCs/>
          <w:color w:val="auto"/>
          <w:kern w:val="0"/>
          <w:sz w:val="22"/>
          <w:szCs w:val="22"/>
          <w:highlight w:val="none"/>
        </w:rPr>
        <w:t>　　　　　　　　　</w:t>
      </w:r>
    </w:p>
    <w:p>
      <w:pPr>
        <w:widowControl/>
        <w:spacing w:line="46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联系方式：</w:t>
      </w:r>
      <w:r>
        <w:rPr>
          <w:rFonts w:hint="eastAsia" w:ascii="新宋体" w:hAnsi="新宋体" w:eastAsia="新宋体" w:cs="新宋体"/>
          <w:color w:val="auto"/>
          <w:kern w:val="0"/>
          <w:sz w:val="22"/>
          <w:szCs w:val="22"/>
          <w:lang w:val="en-US" w:eastAsia="zh-CN"/>
        </w:rPr>
        <w:t>13505774675</w:t>
      </w:r>
      <w:r>
        <w:rPr>
          <w:rFonts w:hint="eastAsia" w:ascii="新宋体" w:hAnsi="新宋体" w:eastAsia="新宋体" w:cs="新宋体"/>
          <w:color w:val="auto"/>
          <w:kern w:val="0"/>
          <w:sz w:val="22"/>
          <w:szCs w:val="22"/>
        </w:rPr>
        <w:t xml:space="preserve"> </w:t>
      </w:r>
      <w:r>
        <w:rPr>
          <w:rFonts w:hint="eastAsia" w:ascii="新宋体" w:hAnsi="新宋体" w:eastAsia="新宋体" w:cs="新宋体"/>
          <w:bCs/>
          <w:color w:val="auto"/>
          <w:kern w:val="0"/>
          <w:sz w:val="22"/>
          <w:szCs w:val="22"/>
          <w:highlight w:val="none"/>
        </w:rPr>
        <w:t xml:space="preserve">　　　　　　　 </w:t>
      </w:r>
      <w:bookmarkStart w:id="32" w:name="_Toc28359009"/>
      <w:bookmarkStart w:id="33" w:name="_Toc28359086"/>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2.采购代理机构信息</w:t>
      </w:r>
      <w:bookmarkEnd w:id="32"/>
      <w:bookmarkEnd w:id="33"/>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名 称：　宁波国咨工程造价咨询有限公司　　　　　　　　　　　</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地　址：　</w:t>
      </w:r>
      <w:r>
        <w:rPr>
          <w:rFonts w:hint="eastAsia" w:ascii="新宋体" w:hAnsi="新宋体" w:eastAsia="新宋体" w:cs="新宋体"/>
          <w:color w:val="auto"/>
          <w:kern w:val="0"/>
          <w:sz w:val="22"/>
          <w:szCs w:val="22"/>
          <w:highlight w:val="none"/>
        </w:rPr>
        <w:t>温州市鹿城区市府路592号新益大厦13楼1302室</w:t>
      </w:r>
      <w:r>
        <w:rPr>
          <w:rFonts w:hint="eastAsia" w:ascii="新宋体" w:hAnsi="新宋体" w:eastAsia="新宋体" w:cs="新宋体"/>
          <w:bCs/>
          <w:color w:val="auto"/>
          <w:kern w:val="0"/>
          <w:sz w:val="22"/>
          <w:szCs w:val="22"/>
          <w:highlight w:val="none"/>
        </w:rPr>
        <w:t>　　　　　　　　　　　</w:t>
      </w:r>
    </w:p>
    <w:p>
      <w:pPr>
        <w:widowControl/>
        <w:spacing w:before="60" w:after="60" w:line="400" w:lineRule="exact"/>
        <w:ind w:right="60"/>
        <w:rPr>
          <w:rFonts w:hint="eastAsia" w:ascii="新宋体" w:hAnsi="新宋体" w:eastAsia="新宋体" w:cs="新宋体"/>
          <w:bCs/>
          <w:color w:val="auto"/>
          <w:kern w:val="0"/>
          <w:sz w:val="22"/>
          <w:szCs w:val="22"/>
          <w:highlight w:val="none"/>
        </w:rPr>
      </w:pPr>
      <w:bookmarkStart w:id="34" w:name="_Toc28359010"/>
      <w:bookmarkStart w:id="35" w:name="_Toc28359087"/>
      <w:r>
        <w:rPr>
          <w:rFonts w:hint="eastAsia" w:ascii="新宋体" w:hAnsi="新宋体" w:eastAsia="新宋体" w:cs="新宋体"/>
          <w:bCs/>
          <w:color w:val="auto"/>
          <w:kern w:val="0"/>
          <w:sz w:val="22"/>
          <w:szCs w:val="22"/>
          <w:highlight w:val="none"/>
        </w:rPr>
        <w:t>项目联系人（询问）：卢旭 黄伟 　   　　　　　　　　　　　</w:t>
      </w:r>
    </w:p>
    <w:p>
      <w:pPr>
        <w:widowControl/>
        <w:spacing w:before="60" w:after="60" w:line="400" w:lineRule="exact"/>
        <w:ind w:right="60"/>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项目联系方式（询问）： 0577-89975889</w:t>
      </w:r>
    </w:p>
    <w:p>
      <w:pPr>
        <w:widowControl/>
        <w:spacing w:before="60" w:after="60" w:line="400" w:lineRule="exact"/>
        <w:ind w:right="60"/>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质疑联系人： 卢旭 </w:t>
      </w:r>
    </w:p>
    <w:p>
      <w:pPr>
        <w:widowControl/>
        <w:spacing w:before="60" w:after="60" w:line="400" w:lineRule="exact"/>
        <w:ind w:right="60"/>
        <w:jc w:val="left"/>
        <w:rPr>
          <w:rFonts w:hint="eastAsia" w:ascii="新宋体" w:hAnsi="新宋体" w:eastAsia="新宋体" w:cs="新宋体"/>
          <w:b/>
          <w:color w:val="auto"/>
          <w:kern w:val="0"/>
          <w:sz w:val="22"/>
          <w:szCs w:val="22"/>
          <w:highlight w:val="none"/>
        </w:rPr>
      </w:pPr>
      <w:r>
        <w:rPr>
          <w:rFonts w:hint="eastAsia" w:ascii="新宋体" w:hAnsi="新宋体" w:eastAsia="新宋体" w:cs="新宋体"/>
          <w:bCs/>
          <w:color w:val="auto"/>
          <w:kern w:val="0"/>
          <w:sz w:val="22"/>
          <w:szCs w:val="22"/>
          <w:highlight w:val="none"/>
        </w:rPr>
        <w:t>质疑联系方式：13868320746　　　　　　　　</w:t>
      </w:r>
      <w:bookmarkEnd w:id="34"/>
      <w:bookmarkEnd w:id="35"/>
      <w:r>
        <w:rPr>
          <w:rFonts w:hint="eastAsia" w:ascii="新宋体" w:hAnsi="新宋体" w:eastAsia="新宋体" w:cs="新宋体"/>
          <w:b/>
          <w:color w:val="auto"/>
          <w:kern w:val="0"/>
          <w:sz w:val="22"/>
          <w:szCs w:val="22"/>
          <w:highlight w:val="none"/>
        </w:rPr>
        <w:t>　　　</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3.同级政府采购监管管理部门：</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名称：</w:t>
      </w:r>
      <w:r>
        <w:rPr>
          <w:rFonts w:hint="eastAsia" w:ascii="新宋体" w:hAnsi="新宋体" w:eastAsia="新宋体" w:cs="新宋体"/>
          <w:color w:val="auto"/>
          <w:kern w:val="0"/>
          <w:sz w:val="22"/>
          <w:szCs w:val="22"/>
          <w:highlight w:val="none"/>
        </w:rPr>
        <w:t>温州市鹿城区财政局</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地址：</w:t>
      </w:r>
      <w:r>
        <w:rPr>
          <w:rFonts w:hint="eastAsia" w:ascii="新宋体" w:hAnsi="新宋体" w:eastAsia="新宋体" w:cs="新宋体"/>
          <w:color w:val="auto"/>
          <w:kern w:val="0"/>
          <w:sz w:val="22"/>
          <w:szCs w:val="22"/>
          <w:highlight w:val="none"/>
        </w:rPr>
        <w:t>温州市鹿城区</w:t>
      </w:r>
      <w:r>
        <w:rPr>
          <w:rFonts w:ascii="新宋体" w:hAnsi="新宋体" w:eastAsia="新宋体" w:cs="新宋体"/>
          <w:color w:val="auto"/>
          <w:kern w:val="0"/>
          <w:sz w:val="22"/>
          <w:szCs w:val="22"/>
          <w:highlight w:val="none"/>
        </w:rPr>
        <w:t>江滨西路552号</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联系人：</w:t>
      </w:r>
      <w:r>
        <w:rPr>
          <w:rFonts w:hint="eastAsia" w:ascii="新宋体" w:hAnsi="新宋体" w:eastAsia="新宋体" w:cs="新宋体"/>
          <w:color w:val="auto"/>
          <w:kern w:val="0"/>
          <w:sz w:val="22"/>
          <w:szCs w:val="22"/>
          <w:highlight w:val="none"/>
        </w:rPr>
        <w:t>郑女士</w:t>
      </w:r>
      <w:r>
        <w:rPr>
          <w:rFonts w:hint="eastAsia" w:ascii="新宋体" w:hAnsi="新宋体" w:eastAsia="新宋体" w:cs="新宋体"/>
          <w:bCs/>
          <w:color w:val="auto"/>
          <w:kern w:val="0"/>
          <w:sz w:val="22"/>
          <w:szCs w:val="22"/>
          <w:highlight w:val="none"/>
        </w:rPr>
        <w:t xml:space="preserve">   </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联系电话：</w:t>
      </w:r>
      <w:r>
        <w:rPr>
          <w:rFonts w:hint="eastAsia" w:ascii="新宋体" w:hAnsi="新宋体" w:eastAsia="新宋体" w:cs="新宋体"/>
          <w:color w:val="auto"/>
          <w:kern w:val="0"/>
          <w:sz w:val="22"/>
          <w:szCs w:val="22"/>
          <w:highlight w:val="none"/>
        </w:rPr>
        <w:t>0577-88359173</w:t>
      </w:r>
      <w:r>
        <w:rPr>
          <w:rFonts w:hint="eastAsia" w:ascii="新宋体" w:hAnsi="新宋体" w:eastAsia="新宋体" w:cs="新宋体"/>
          <w:bCs/>
          <w:color w:val="auto"/>
          <w:kern w:val="0"/>
          <w:sz w:val="22"/>
          <w:szCs w:val="22"/>
          <w:highlight w:val="none"/>
        </w:rPr>
        <w:t xml:space="preserve">    </w:t>
      </w:r>
    </w:p>
    <w:p>
      <w:pPr>
        <w:rPr>
          <w:color w:val="auto"/>
          <w:highlight w:val="none"/>
        </w:rPr>
      </w:pPr>
      <w:r>
        <w:rPr>
          <w:rFonts w:hint="eastAsia" w:ascii="新宋体" w:hAnsi="新宋体" w:eastAsia="新宋体" w:cs="新宋体"/>
          <w:bCs/>
          <w:color w:val="auto"/>
          <w:kern w:val="0"/>
          <w:sz w:val="22"/>
          <w:szCs w:val="22"/>
          <w:highlight w:val="none"/>
        </w:rPr>
        <w:t>传真：</w:t>
      </w:r>
      <w:r>
        <w:rPr>
          <w:rFonts w:hint="eastAsia" w:ascii="新宋体" w:hAnsi="新宋体" w:eastAsia="新宋体" w:cs="新宋体"/>
          <w:color w:val="auto"/>
          <w:kern w:val="0"/>
          <w:sz w:val="22"/>
          <w:szCs w:val="22"/>
          <w:highlight w:val="none"/>
        </w:rPr>
        <w:t>0577-88359173</w:t>
      </w:r>
    </w:p>
    <w:p>
      <w:pPr>
        <w:pStyle w:val="4"/>
        <w:rPr>
          <w:rFonts w:hint="eastAsia" w:ascii="新宋体" w:hAnsi="新宋体" w:eastAsia="新宋体" w:cs="新宋体"/>
          <w:color w:val="auto"/>
          <w:sz w:val="32"/>
          <w:szCs w:val="32"/>
        </w:rPr>
      </w:pPr>
    </w:p>
    <w:p>
      <w:pPr>
        <w:pStyle w:val="4"/>
        <w:rPr>
          <w:rFonts w:hint="eastAsia" w:ascii="新宋体" w:hAnsi="新宋体" w:eastAsia="新宋体" w:cs="新宋体"/>
          <w:color w:val="auto"/>
          <w:sz w:val="32"/>
          <w:szCs w:val="32"/>
        </w:rPr>
      </w:pPr>
    </w:p>
    <w:bookmarkEnd w:id="0"/>
    <w:bookmarkEnd w:id="1"/>
    <w:bookmarkEnd w:id="2"/>
    <w:bookmarkEnd w:id="3"/>
    <w:bookmarkEnd w:id="4"/>
    <w:p>
      <w:pPr>
        <w:pStyle w:val="4"/>
        <w:rPr>
          <w:rFonts w:hint="eastAsia" w:ascii="新宋体" w:hAnsi="新宋体" w:eastAsia="新宋体" w:cs="新宋体"/>
          <w:color w:val="auto"/>
          <w:sz w:val="36"/>
          <w:szCs w:val="36"/>
        </w:rPr>
      </w:pPr>
      <w:r>
        <w:rPr>
          <w:rFonts w:hint="eastAsia" w:ascii="新宋体" w:hAnsi="新宋体" w:eastAsia="新宋体" w:cs="新宋体"/>
          <w:b w:val="0"/>
          <w:color w:val="auto"/>
          <w:sz w:val="36"/>
          <w:szCs w:val="36"/>
        </w:rPr>
        <w:br w:type="page"/>
      </w:r>
      <w:bookmarkStart w:id="36" w:name="_Toc34572027"/>
      <w:bookmarkStart w:id="37" w:name="_Toc32301"/>
      <w:r>
        <w:rPr>
          <w:rFonts w:hint="eastAsia" w:ascii="新宋体" w:hAnsi="新宋体" w:eastAsia="新宋体" w:cs="新宋体"/>
          <w:color w:val="auto"/>
          <w:sz w:val="36"/>
          <w:szCs w:val="36"/>
        </w:rPr>
        <w:t>第一部分   投标人须知</w:t>
      </w:r>
      <w:bookmarkEnd w:id="36"/>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36"/>
          <w:szCs w:val="36"/>
        </w:rPr>
      </w:pPr>
      <w:bookmarkStart w:id="38" w:name="_Toc34572028"/>
      <w:r>
        <w:rPr>
          <w:rFonts w:hint="eastAsia" w:ascii="新宋体" w:hAnsi="新宋体" w:eastAsia="新宋体" w:cs="新宋体"/>
          <w:color w:val="auto"/>
          <w:sz w:val="36"/>
          <w:szCs w:val="36"/>
        </w:rPr>
        <w:t>投标人须知前附表</w:t>
      </w:r>
      <w:bookmarkEnd w:id="37"/>
      <w:bookmarkEnd w:id="38"/>
    </w:p>
    <w:tbl>
      <w:tblPr>
        <w:tblStyle w:val="56"/>
        <w:tblW w:w="10123" w:type="dxa"/>
        <w:tblInd w:w="0" w:type="dxa"/>
        <w:tblLayout w:type="fixed"/>
        <w:tblCellMar>
          <w:top w:w="0" w:type="dxa"/>
          <w:left w:w="108" w:type="dxa"/>
          <w:bottom w:w="0" w:type="dxa"/>
          <w:right w:w="108" w:type="dxa"/>
        </w:tblCellMar>
      </w:tblPr>
      <w:tblGrid>
        <w:gridCol w:w="667"/>
        <w:gridCol w:w="2037"/>
        <w:gridCol w:w="7419"/>
      </w:tblGrid>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序号</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条款名称</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编列内容</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采购人</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bCs/>
                <w:color w:val="auto"/>
                <w:kern w:val="0"/>
                <w:sz w:val="22"/>
                <w:szCs w:val="22"/>
                <w:lang w:eastAsia="zh-CN"/>
              </w:rPr>
            </w:pPr>
            <w:r>
              <w:rPr>
                <w:rFonts w:hint="eastAsia" w:ascii="新宋体" w:hAnsi="新宋体" w:eastAsia="新宋体" w:cs="新宋体"/>
                <w:bCs/>
                <w:color w:val="auto"/>
                <w:kern w:val="0"/>
                <w:sz w:val="22"/>
                <w:szCs w:val="22"/>
              </w:rPr>
              <w:t>采购人名称：</w:t>
            </w:r>
            <w:r>
              <w:rPr>
                <w:rFonts w:hint="eastAsia" w:ascii="新宋体" w:hAnsi="新宋体" w:eastAsia="新宋体" w:cs="新宋体"/>
                <w:bCs/>
                <w:color w:val="auto"/>
                <w:kern w:val="0"/>
                <w:sz w:val="22"/>
                <w:szCs w:val="22"/>
                <w:lang w:eastAsia="zh-CN"/>
              </w:rPr>
              <w:t>温州市鹿城区山福镇人民政府</w:t>
            </w:r>
          </w:p>
          <w:p>
            <w:pPr>
              <w:spacing w:line="30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联系地址：</w:t>
            </w:r>
            <w:r>
              <w:rPr>
                <w:rFonts w:hint="eastAsia" w:ascii="新宋体" w:hAnsi="新宋体" w:eastAsia="新宋体" w:cs="新宋体"/>
                <w:bCs/>
                <w:color w:val="auto"/>
                <w:kern w:val="0"/>
                <w:sz w:val="22"/>
                <w:szCs w:val="22"/>
                <w:lang w:eastAsia="zh-CN"/>
              </w:rPr>
              <w:t>温州市鹿城区山福镇人民政府</w:t>
            </w:r>
          </w:p>
          <w:p>
            <w:pPr>
              <w:spacing w:line="30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联系人：</w:t>
            </w:r>
            <w:r>
              <w:rPr>
                <w:rFonts w:hint="eastAsia" w:ascii="新宋体" w:hAnsi="新宋体" w:eastAsia="新宋体" w:cs="新宋体"/>
                <w:bCs/>
                <w:color w:val="auto"/>
                <w:kern w:val="0"/>
                <w:sz w:val="22"/>
                <w:szCs w:val="22"/>
                <w:lang w:eastAsia="zh-CN"/>
              </w:rPr>
              <w:t>严先生</w:t>
            </w:r>
            <w:r>
              <w:rPr>
                <w:rFonts w:hint="eastAsia" w:ascii="新宋体" w:hAnsi="新宋体" w:eastAsia="新宋体" w:cs="新宋体"/>
                <w:bCs/>
                <w:color w:val="auto"/>
                <w:kern w:val="0"/>
                <w:sz w:val="22"/>
                <w:szCs w:val="22"/>
              </w:rPr>
              <w:t xml:space="preserve">    </w:t>
            </w:r>
          </w:p>
          <w:p>
            <w:pPr>
              <w:spacing w:line="30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联系电话：</w:t>
            </w:r>
            <w:r>
              <w:rPr>
                <w:rFonts w:hint="eastAsia" w:ascii="新宋体" w:hAnsi="新宋体" w:eastAsia="新宋体" w:cs="新宋体"/>
                <w:color w:val="auto"/>
                <w:kern w:val="0"/>
                <w:sz w:val="22"/>
                <w:szCs w:val="22"/>
                <w:lang w:val="en-US" w:eastAsia="zh-CN"/>
              </w:rPr>
              <w:t>13505774675</w:t>
            </w:r>
            <w:r>
              <w:rPr>
                <w:rFonts w:hint="eastAsia" w:ascii="新宋体" w:hAnsi="新宋体" w:eastAsia="新宋体" w:cs="新宋体"/>
                <w:bCs/>
                <w:color w:val="auto"/>
                <w:kern w:val="0"/>
                <w:sz w:val="22"/>
                <w:szCs w:val="22"/>
              </w:rPr>
              <w:t xml:space="preserve"> </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采购代理机构</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bCs/>
                <w:color w:val="auto"/>
                <w:kern w:val="0"/>
                <w:sz w:val="22"/>
                <w:szCs w:val="22"/>
                <w:lang w:eastAsia="zh-CN"/>
              </w:rPr>
            </w:pPr>
            <w:r>
              <w:rPr>
                <w:rFonts w:hint="eastAsia" w:ascii="新宋体" w:hAnsi="新宋体" w:eastAsia="新宋体" w:cs="新宋体"/>
                <w:bCs/>
                <w:color w:val="auto"/>
                <w:kern w:val="0"/>
                <w:sz w:val="22"/>
                <w:szCs w:val="22"/>
              </w:rPr>
              <w:t>采购代理机构名称：</w:t>
            </w:r>
            <w:r>
              <w:rPr>
                <w:rFonts w:hint="eastAsia" w:ascii="新宋体" w:hAnsi="新宋体" w:eastAsia="新宋体" w:cs="新宋体"/>
                <w:bCs/>
                <w:color w:val="auto"/>
                <w:kern w:val="0"/>
                <w:sz w:val="22"/>
                <w:szCs w:val="22"/>
                <w:lang w:eastAsia="zh-CN"/>
              </w:rPr>
              <w:t>宁波国咨工程造价咨询有限公司</w:t>
            </w:r>
          </w:p>
          <w:p>
            <w:pPr>
              <w:spacing w:line="30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地 址：温州市鹿城区市府路592号新益大厦13楼1302室。</w:t>
            </w:r>
          </w:p>
          <w:p>
            <w:pPr>
              <w:spacing w:line="30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 xml:space="preserve">联系人：卢先生 </w:t>
            </w:r>
          </w:p>
          <w:p>
            <w:pPr>
              <w:spacing w:line="30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联系电话：</w:t>
            </w:r>
            <w:r>
              <w:rPr>
                <w:rFonts w:hint="eastAsia" w:ascii="新宋体" w:hAnsi="新宋体" w:eastAsia="新宋体" w:cs="新宋体"/>
                <w:color w:val="auto"/>
                <w:kern w:val="0"/>
                <w:sz w:val="22"/>
                <w:szCs w:val="22"/>
              </w:rPr>
              <w:t>13868320746、0577-89975889</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项目名称</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lang w:eastAsia="zh-CN"/>
              </w:rPr>
              <w:t>山福镇村级道路、河道、公厕清扫保洁及垃圾分类</w:t>
            </w:r>
            <w:r>
              <w:rPr>
                <w:rFonts w:hint="eastAsia" w:ascii="新宋体" w:hAnsi="新宋体" w:eastAsia="新宋体" w:cs="新宋体"/>
                <w:bCs/>
                <w:color w:val="auto"/>
                <w:kern w:val="0"/>
                <w:sz w:val="22"/>
                <w:szCs w:val="22"/>
              </w:rPr>
              <w:t xml:space="preserve"> </w:t>
            </w:r>
          </w:p>
          <w:p>
            <w:pPr>
              <w:spacing w:line="30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项目编号：</w:t>
            </w:r>
            <w:r>
              <w:rPr>
                <w:rFonts w:hint="eastAsia" w:ascii="新宋体" w:hAnsi="新宋体" w:eastAsia="新宋体" w:cs="新宋体"/>
                <w:bCs/>
                <w:color w:val="auto"/>
                <w:kern w:val="0"/>
                <w:sz w:val="22"/>
                <w:szCs w:val="22"/>
                <w:lang w:eastAsia="zh-CN"/>
              </w:rPr>
              <w:t>GZWZ[2020]014</w:t>
            </w:r>
            <w:r>
              <w:rPr>
                <w:rFonts w:hint="eastAsia" w:ascii="新宋体" w:hAnsi="新宋体" w:eastAsia="新宋体" w:cs="新宋体"/>
                <w:bCs/>
                <w:color w:val="auto"/>
                <w:kern w:val="0"/>
                <w:sz w:val="22"/>
                <w:szCs w:val="22"/>
              </w:rPr>
              <w:t xml:space="preserve"> </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采购内容</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widowControl/>
              <w:spacing w:before="60" w:after="60"/>
              <w:ind w:right="60"/>
              <w:jc w:val="lef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具体采购内容及需求见项目招标文件相关部分。</w:t>
            </w:r>
          </w:p>
        </w:tc>
      </w:tr>
      <w:tr>
        <w:tblPrEx>
          <w:tblCellMar>
            <w:top w:w="0" w:type="dxa"/>
            <w:left w:w="108" w:type="dxa"/>
            <w:bottom w:w="0" w:type="dxa"/>
            <w:right w:w="108" w:type="dxa"/>
          </w:tblCellMar>
        </w:tblPrEx>
        <w:trPr>
          <w:wBefore w:w="0" w:type="dxa"/>
          <w:wAfter w:w="0" w:type="dxa"/>
          <w:trHeight w:val="733"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lang w:eastAsia="zh-CN"/>
              </w:rPr>
            </w:pPr>
            <w:r>
              <w:rPr>
                <w:rFonts w:hint="eastAsia" w:ascii="新宋体" w:hAnsi="新宋体" w:eastAsia="新宋体" w:cs="新宋体"/>
                <w:color w:val="auto"/>
                <w:kern w:val="0"/>
                <w:sz w:val="22"/>
                <w:szCs w:val="22"/>
              </w:rPr>
              <w:t>项目</w:t>
            </w:r>
            <w:r>
              <w:rPr>
                <w:rFonts w:hint="eastAsia" w:ascii="新宋体" w:hAnsi="新宋体" w:eastAsia="新宋体" w:cs="新宋体"/>
                <w:color w:val="auto"/>
                <w:kern w:val="0"/>
                <w:sz w:val="22"/>
                <w:szCs w:val="22"/>
                <w:lang w:eastAsia="zh-CN"/>
              </w:rPr>
              <w:t>服务期</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sz w:val="22"/>
                <w:szCs w:val="22"/>
                <w:lang w:eastAsia="zh-CN"/>
              </w:rPr>
              <w:t>一年</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供应商资格要求</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widowControl/>
              <w:spacing w:before="60" w:after="60" w:line="240" w:lineRule="auto"/>
              <w:ind w:right="6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1.一般资格条件：</w:t>
            </w:r>
          </w:p>
          <w:p>
            <w:pPr>
              <w:widowControl/>
              <w:spacing w:before="60" w:after="60" w:line="240" w:lineRule="auto"/>
              <w:ind w:right="6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（1）符合《中华人民共和国政府采购法》第二十二条对供应商主体的要求；</w:t>
            </w:r>
          </w:p>
          <w:p>
            <w:pPr>
              <w:widowControl/>
              <w:spacing w:before="60" w:after="60" w:line="240" w:lineRule="auto"/>
              <w:ind w:right="6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（2）须为未被列入“信用中国”网站(www.creditchina.gov.cn)、中国政府采购网(www.ccgp.gov.cn)渠道信用记录失信被执行人、重大税收违法案件当事人名单、政府采购严重违法失信行为记录名单的投标人。</w:t>
            </w:r>
          </w:p>
          <w:p>
            <w:pPr>
              <w:widowControl/>
              <w:spacing w:before="60" w:after="60" w:line="240" w:lineRule="auto"/>
              <w:ind w:right="60"/>
              <w:jc w:val="left"/>
              <w:rPr>
                <w:rFonts w:hint="eastAsia" w:ascii="新宋体" w:hAnsi="新宋体" w:eastAsia="新宋体" w:cs="新宋体"/>
                <w:bCs/>
                <w:color w:val="auto"/>
                <w:sz w:val="22"/>
                <w:szCs w:val="22"/>
              </w:rPr>
            </w:pPr>
            <w:r>
              <w:rPr>
                <w:rFonts w:hint="eastAsia" w:ascii="新宋体" w:hAnsi="新宋体" w:eastAsia="新宋体" w:cs="新宋体"/>
                <w:color w:val="auto"/>
                <w:kern w:val="0"/>
                <w:sz w:val="22"/>
                <w:szCs w:val="22"/>
                <w:highlight w:val="none"/>
              </w:rPr>
              <w:t>2.特殊资格条件：无。</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是否接受联合体投标</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rPr>
            </w:pPr>
            <w:r>
              <w:rPr>
                <w:rFonts w:hint="eastAsia" w:ascii="新宋体" w:hAnsi="新宋体" w:eastAsia="新宋体" w:cs="新宋体"/>
                <w:b/>
                <w:snapToGrid w:val="0"/>
                <w:color w:val="auto"/>
                <w:sz w:val="22"/>
                <w:szCs w:val="22"/>
              </w:rPr>
              <w:sym w:font="Wingdings" w:char="F0FE"/>
            </w:r>
            <w:r>
              <w:rPr>
                <w:rFonts w:hint="eastAsia" w:ascii="新宋体" w:hAnsi="新宋体" w:eastAsia="新宋体" w:cs="新宋体"/>
                <w:color w:val="auto"/>
                <w:kern w:val="0"/>
                <w:sz w:val="22"/>
                <w:szCs w:val="22"/>
              </w:rPr>
              <w:t>不接受</w:t>
            </w:r>
          </w:p>
          <w:p>
            <w:pPr>
              <w:spacing w:line="30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□接受，应满足下列要求：</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踏勘现场</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□组织</w:t>
            </w:r>
          </w:p>
          <w:p>
            <w:pPr>
              <w:spacing w:line="300" w:lineRule="exact"/>
              <w:rPr>
                <w:rFonts w:hint="eastAsia" w:ascii="新宋体" w:hAnsi="新宋体" w:eastAsia="新宋体" w:cs="新宋体"/>
                <w:color w:val="auto"/>
                <w:kern w:val="0"/>
                <w:sz w:val="22"/>
                <w:szCs w:val="22"/>
              </w:rPr>
            </w:pPr>
            <w:r>
              <w:rPr>
                <w:rFonts w:hint="eastAsia" w:ascii="新宋体" w:hAnsi="新宋体" w:eastAsia="新宋体" w:cs="新宋体"/>
                <w:b/>
                <w:snapToGrid w:val="0"/>
                <w:color w:val="auto"/>
                <w:sz w:val="22"/>
                <w:szCs w:val="22"/>
              </w:rPr>
              <w:sym w:font="Wingdings" w:char="F0FE"/>
            </w:r>
            <w:r>
              <w:rPr>
                <w:rFonts w:hint="eastAsia" w:ascii="新宋体" w:hAnsi="新宋体" w:eastAsia="新宋体" w:cs="新宋体"/>
                <w:color w:val="auto"/>
                <w:kern w:val="0"/>
                <w:sz w:val="22"/>
                <w:szCs w:val="22"/>
              </w:rPr>
              <w:t>不组织，供应商自行前往项目现场进行踏勘。</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9</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投标预备会</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□召开</w:t>
            </w:r>
          </w:p>
          <w:p>
            <w:pPr>
              <w:spacing w:line="300" w:lineRule="exact"/>
              <w:rPr>
                <w:rFonts w:hint="eastAsia" w:ascii="新宋体" w:hAnsi="新宋体" w:eastAsia="新宋体" w:cs="新宋体"/>
                <w:color w:val="auto"/>
                <w:kern w:val="0"/>
                <w:sz w:val="22"/>
                <w:szCs w:val="22"/>
              </w:rPr>
            </w:pPr>
            <w:r>
              <w:rPr>
                <w:rFonts w:hint="eastAsia" w:ascii="新宋体" w:hAnsi="新宋体" w:eastAsia="新宋体" w:cs="新宋体"/>
                <w:b/>
                <w:snapToGrid w:val="0"/>
                <w:color w:val="auto"/>
                <w:sz w:val="22"/>
                <w:szCs w:val="22"/>
              </w:rPr>
              <w:sym w:font="Wingdings" w:char="F0FE"/>
            </w:r>
            <w:r>
              <w:rPr>
                <w:rFonts w:hint="eastAsia" w:ascii="新宋体" w:hAnsi="新宋体" w:eastAsia="新宋体" w:cs="新宋体"/>
                <w:color w:val="auto"/>
                <w:kern w:val="0"/>
                <w:sz w:val="22"/>
                <w:szCs w:val="22"/>
              </w:rPr>
              <w:t>不召开</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10</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投标截止时间</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2020年</w:t>
            </w:r>
            <w:r>
              <w:rPr>
                <w:rFonts w:hint="eastAsia" w:ascii="新宋体" w:hAnsi="新宋体" w:eastAsia="新宋体" w:cs="新宋体"/>
                <w:color w:val="auto"/>
                <w:kern w:val="0"/>
                <w:sz w:val="22"/>
                <w:szCs w:val="22"/>
                <w:lang w:val="en-US" w:eastAsia="zh-CN"/>
              </w:rPr>
              <w:t>08</w:t>
            </w:r>
            <w:r>
              <w:rPr>
                <w:rFonts w:hint="eastAsia" w:ascii="新宋体" w:hAnsi="新宋体" w:eastAsia="新宋体" w:cs="新宋体"/>
                <w:color w:val="auto"/>
                <w:kern w:val="0"/>
                <w:sz w:val="22"/>
                <w:szCs w:val="22"/>
              </w:rPr>
              <w:t>月</w:t>
            </w:r>
            <w:r>
              <w:rPr>
                <w:rFonts w:hint="eastAsia" w:ascii="新宋体" w:hAnsi="新宋体" w:eastAsia="新宋体" w:cs="新宋体"/>
                <w:color w:val="auto"/>
                <w:kern w:val="0"/>
                <w:sz w:val="22"/>
                <w:szCs w:val="22"/>
                <w:lang w:val="en-US" w:eastAsia="zh-CN"/>
              </w:rPr>
              <w:t>14</w:t>
            </w:r>
            <w:r>
              <w:rPr>
                <w:rFonts w:hint="eastAsia" w:ascii="新宋体" w:hAnsi="新宋体" w:eastAsia="新宋体" w:cs="新宋体"/>
                <w:color w:val="auto"/>
                <w:kern w:val="0"/>
                <w:sz w:val="22"/>
                <w:szCs w:val="22"/>
              </w:rPr>
              <w:t>日</w:t>
            </w:r>
            <w:r>
              <w:rPr>
                <w:rFonts w:hint="eastAsia" w:ascii="新宋体" w:hAnsi="新宋体" w:eastAsia="新宋体" w:cs="新宋体"/>
                <w:color w:val="auto"/>
                <w:kern w:val="0"/>
                <w:sz w:val="22"/>
                <w:szCs w:val="22"/>
                <w:lang w:val="en-US" w:eastAsia="zh-CN"/>
              </w:rPr>
              <w:t>0</w:t>
            </w:r>
            <w:r>
              <w:rPr>
                <w:rFonts w:hint="eastAsia" w:ascii="新宋体" w:hAnsi="新宋体" w:eastAsia="新宋体" w:cs="新宋体"/>
                <w:color w:val="auto"/>
                <w:kern w:val="0"/>
                <w:sz w:val="22"/>
                <w:szCs w:val="22"/>
              </w:rPr>
              <w:t>9时30分整</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分包</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□允许</w:t>
            </w:r>
          </w:p>
          <w:p>
            <w:pPr>
              <w:spacing w:line="300" w:lineRule="exact"/>
              <w:rPr>
                <w:rFonts w:hint="eastAsia" w:ascii="新宋体" w:hAnsi="新宋体" w:eastAsia="新宋体" w:cs="新宋体"/>
                <w:color w:val="auto"/>
                <w:kern w:val="0"/>
                <w:sz w:val="22"/>
                <w:szCs w:val="22"/>
              </w:rPr>
            </w:pPr>
            <w:r>
              <w:rPr>
                <w:rFonts w:hint="eastAsia" w:ascii="新宋体" w:hAnsi="新宋体" w:eastAsia="新宋体" w:cs="新宋体"/>
                <w:b/>
                <w:snapToGrid w:val="0"/>
                <w:color w:val="auto"/>
                <w:sz w:val="22"/>
                <w:szCs w:val="22"/>
              </w:rPr>
              <w:sym w:font="Wingdings" w:char="F0FE"/>
            </w:r>
            <w:r>
              <w:rPr>
                <w:rFonts w:hint="eastAsia" w:ascii="新宋体" w:hAnsi="新宋体" w:eastAsia="新宋体" w:cs="新宋体"/>
                <w:color w:val="auto"/>
                <w:kern w:val="0"/>
                <w:sz w:val="22"/>
                <w:szCs w:val="22"/>
              </w:rPr>
              <w:t>不允许</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12</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偏离</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13</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投标文件有效期</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投标文件自投标截止时间起生效，有效期</w:t>
            </w:r>
            <w:r>
              <w:rPr>
                <w:rFonts w:hint="eastAsia" w:ascii="新宋体" w:hAnsi="新宋体" w:eastAsia="新宋体" w:cs="新宋体"/>
                <w:color w:val="auto"/>
                <w:kern w:val="0"/>
                <w:sz w:val="22"/>
                <w:szCs w:val="22"/>
                <w:u w:val="single"/>
              </w:rPr>
              <w:t>90</w:t>
            </w:r>
            <w:r>
              <w:rPr>
                <w:rFonts w:hint="eastAsia" w:ascii="新宋体" w:hAnsi="新宋体" w:eastAsia="新宋体" w:cs="新宋体"/>
                <w:color w:val="auto"/>
                <w:kern w:val="0"/>
                <w:sz w:val="22"/>
                <w:szCs w:val="22"/>
              </w:rPr>
              <w:t>天。</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14</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投标保证金</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无须提交。</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15</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投标文件的组成</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完整的投标文件由资格审查资料、商务技术文件、报价文件三个部分组成。</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16</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投标文件的编制</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供应商应先安装“政采云电子交易客户端”，并按照本采购文件和“政采云平台”的要求，通过“政采云电子交易客户端”编制并加密投标文件。</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17</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签字或盖章要求</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投标文件公章采用电子签章，法定代表人或委托人可以采用签字或盖章后扫描也可以电子签章。</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18</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本项目实行在线投标响应（电子投标）。</w:t>
            </w:r>
          </w:p>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投标人须准备电子投标文件（包括“电子加密投标文件”和“备份投标文件”两类，在投标文件编制完成后同时生成）。</w:t>
            </w:r>
          </w:p>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（1）“电子加密投标文件”是指通过“政采云电子交易客户端”完成投标文件编制后生成并加密的数据电文形式的投标文件。</w:t>
            </w:r>
          </w:p>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以上两类投标文件均由资格审查资料、商务技术文件、报价文件三部分组成。</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19</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投标文件份数</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（1）“电子加密投标文件”：在线上传递交、一份。</w:t>
            </w:r>
          </w:p>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（2）“备份投标文件”：以U盘存储，密封包装后（顺丰快递形式）在2020年</w:t>
            </w:r>
            <w:r>
              <w:rPr>
                <w:rFonts w:hint="eastAsia" w:ascii="新宋体" w:hAnsi="新宋体" w:eastAsia="新宋体" w:cs="新宋体"/>
                <w:color w:val="auto"/>
                <w:kern w:val="0"/>
                <w:sz w:val="22"/>
                <w:szCs w:val="22"/>
                <w:lang w:val="en-US" w:eastAsia="zh-CN"/>
              </w:rPr>
              <w:t>08</w:t>
            </w:r>
            <w:r>
              <w:rPr>
                <w:rFonts w:hint="eastAsia" w:ascii="新宋体" w:hAnsi="新宋体" w:eastAsia="新宋体" w:cs="新宋体"/>
                <w:color w:val="auto"/>
                <w:kern w:val="0"/>
                <w:sz w:val="22"/>
                <w:szCs w:val="22"/>
                <w:lang w:val="zh-CN"/>
              </w:rPr>
              <w:t>月</w:t>
            </w:r>
            <w:r>
              <w:rPr>
                <w:rFonts w:hint="eastAsia" w:ascii="新宋体" w:hAnsi="新宋体" w:eastAsia="新宋体" w:cs="新宋体"/>
                <w:color w:val="auto"/>
                <w:kern w:val="0"/>
                <w:sz w:val="22"/>
                <w:szCs w:val="22"/>
                <w:lang w:val="en-US" w:eastAsia="zh-CN"/>
              </w:rPr>
              <w:t>13</w:t>
            </w:r>
            <w:r>
              <w:rPr>
                <w:rFonts w:hint="eastAsia" w:ascii="新宋体" w:hAnsi="新宋体" w:eastAsia="新宋体" w:cs="新宋体"/>
                <w:color w:val="auto"/>
                <w:kern w:val="0"/>
                <w:sz w:val="22"/>
                <w:szCs w:val="22"/>
                <w:lang w:val="zh-CN"/>
              </w:rPr>
              <w:t>日</w:t>
            </w:r>
            <w:r>
              <w:rPr>
                <w:rFonts w:hint="eastAsia" w:ascii="新宋体" w:hAnsi="新宋体" w:eastAsia="新宋体" w:cs="新宋体"/>
                <w:color w:val="auto"/>
                <w:kern w:val="0"/>
                <w:sz w:val="22"/>
                <w:szCs w:val="22"/>
                <w:lang w:val="en-US" w:eastAsia="zh-CN"/>
              </w:rPr>
              <w:t>12</w:t>
            </w:r>
            <w:r>
              <w:rPr>
                <w:rFonts w:hint="eastAsia" w:ascii="新宋体" w:hAnsi="新宋体" w:eastAsia="新宋体" w:cs="新宋体"/>
                <w:color w:val="auto"/>
                <w:kern w:val="0"/>
                <w:sz w:val="22"/>
                <w:szCs w:val="22"/>
                <w:lang w:val="zh-CN"/>
              </w:rPr>
              <w:t>时00分前递交，一份，邮寄地址：</w:t>
            </w:r>
            <w:r>
              <w:rPr>
                <w:rFonts w:hint="eastAsia" w:ascii="新宋体" w:hAnsi="新宋体" w:eastAsia="新宋体" w:cs="新宋体"/>
                <w:color w:val="auto"/>
                <w:kern w:val="0"/>
                <w:sz w:val="22"/>
                <w:szCs w:val="22"/>
              </w:rPr>
              <w:t>温州市鹿城区市府路592号新益大厦13楼1302室</w:t>
            </w:r>
            <w:r>
              <w:rPr>
                <w:rFonts w:hint="eastAsia" w:ascii="新宋体" w:hAnsi="新宋体" w:eastAsia="新宋体" w:cs="新宋体"/>
                <w:color w:val="auto"/>
                <w:kern w:val="0"/>
                <w:sz w:val="22"/>
                <w:szCs w:val="22"/>
                <w:lang w:val="zh-CN"/>
              </w:rPr>
              <w:t>，卢先生收。</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20</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pStyle w:val="465"/>
              <w:autoSpaceDE w:val="0"/>
              <w:autoSpaceDN w:val="0"/>
              <w:adjustRightInd w:val="0"/>
              <w:spacing w:line="300" w:lineRule="atLeast"/>
              <w:jc w:val="both"/>
              <w:rPr>
                <w:rFonts w:hint="eastAsia" w:ascii="新宋体" w:hAnsi="新宋体" w:eastAsia="新宋体" w:cs="新宋体"/>
                <w:color w:val="auto"/>
                <w:sz w:val="22"/>
              </w:rPr>
            </w:pPr>
            <w:r>
              <w:rPr>
                <w:rFonts w:hint="eastAsia" w:ascii="新宋体" w:hAnsi="新宋体" w:eastAsia="新宋体" w:cs="新宋体"/>
                <w:color w:val="auto"/>
                <w:sz w:val="22"/>
              </w:rPr>
              <w:t>（1）“电子加密投标文件”的上传、递交：</w:t>
            </w:r>
          </w:p>
          <w:p>
            <w:pPr>
              <w:pStyle w:val="465"/>
              <w:autoSpaceDE w:val="0"/>
              <w:autoSpaceDN w:val="0"/>
              <w:adjustRightInd w:val="0"/>
              <w:spacing w:line="300" w:lineRule="atLeast"/>
              <w:jc w:val="both"/>
              <w:rPr>
                <w:rFonts w:hint="eastAsia" w:ascii="新宋体" w:hAnsi="新宋体" w:eastAsia="新宋体" w:cs="新宋体"/>
                <w:color w:val="auto"/>
                <w:sz w:val="22"/>
              </w:rPr>
            </w:pPr>
            <w:r>
              <w:rPr>
                <w:rFonts w:hint="eastAsia" w:ascii="新宋体" w:hAnsi="新宋体" w:eastAsia="新宋体" w:cs="新宋体"/>
                <w:color w:val="auto"/>
                <w:sz w:val="22"/>
              </w:rPr>
              <w:t>a.投标人应在投标文件递交截止时间前将“电子加密投标文件”成功上传递交至“政采云平台”，否则投标无效。</w:t>
            </w:r>
          </w:p>
          <w:p>
            <w:pPr>
              <w:pStyle w:val="465"/>
              <w:autoSpaceDE w:val="0"/>
              <w:autoSpaceDN w:val="0"/>
              <w:adjustRightInd w:val="0"/>
              <w:spacing w:line="300" w:lineRule="atLeast"/>
              <w:jc w:val="both"/>
              <w:rPr>
                <w:rFonts w:hint="eastAsia" w:ascii="新宋体" w:hAnsi="新宋体" w:eastAsia="新宋体" w:cs="新宋体"/>
                <w:color w:val="auto"/>
                <w:sz w:val="22"/>
              </w:rPr>
            </w:pPr>
            <w:r>
              <w:rPr>
                <w:rFonts w:hint="eastAsia" w:ascii="新宋体" w:hAnsi="新宋体" w:eastAsia="新宋体" w:cs="新宋体"/>
                <w:color w:val="auto"/>
                <w:sz w:val="22"/>
              </w:rPr>
              <w:t>b.“电子加密投标文件”成功上传递交后，供应商可自行打印投标文件接收回执。</w:t>
            </w:r>
          </w:p>
          <w:p>
            <w:pPr>
              <w:pStyle w:val="465"/>
              <w:autoSpaceDE w:val="0"/>
              <w:autoSpaceDN w:val="0"/>
              <w:adjustRightInd w:val="0"/>
              <w:spacing w:line="300" w:lineRule="atLeast"/>
              <w:jc w:val="both"/>
              <w:rPr>
                <w:rFonts w:hint="eastAsia" w:ascii="新宋体" w:hAnsi="新宋体" w:eastAsia="新宋体" w:cs="新宋体"/>
                <w:color w:val="auto"/>
                <w:sz w:val="22"/>
              </w:rPr>
            </w:pPr>
            <w:r>
              <w:rPr>
                <w:rFonts w:hint="eastAsia" w:ascii="新宋体" w:hAnsi="新宋体" w:eastAsia="新宋体" w:cs="新宋体"/>
                <w:color w:val="auto"/>
                <w:sz w:val="22"/>
              </w:rPr>
              <w:t>（2）“备份投标文件”的密封包装、递交：</w:t>
            </w:r>
          </w:p>
          <w:p>
            <w:pPr>
              <w:pStyle w:val="465"/>
              <w:autoSpaceDE w:val="0"/>
              <w:autoSpaceDN w:val="0"/>
              <w:adjustRightInd w:val="0"/>
              <w:spacing w:line="300" w:lineRule="atLeast"/>
              <w:jc w:val="both"/>
              <w:rPr>
                <w:rFonts w:hint="eastAsia" w:ascii="新宋体" w:hAnsi="新宋体" w:eastAsia="新宋体" w:cs="新宋体"/>
                <w:color w:val="auto"/>
                <w:sz w:val="22"/>
              </w:rPr>
            </w:pPr>
            <w:r>
              <w:rPr>
                <w:rFonts w:hint="eastAsia" w:ascii="新宋体" w:hAnsi="新宋体" w:eastAsia="新宋体" w:cs="新宋体"/>
                <w:color w:val="auto"/>
                <w:sz w:val="22"/>
              </w:rPr>
              <w:t>a.投标人在“政采云平台”完成“电子加密投标文件”的上传递交后，还可以（建议顺丰快递形式）在2020年</w:t>
            </w:r>
            <w:r>
              <w:rPr>
                <w:rFonts w:hint="eastAsia" w:ascii="新宋体" w:hAnsi="新宋体" w:eastAsia="新宋体" w:cs="新宋体"/>
                <w:color w:val="auto"/>
                <w:sz w:val="22"/>
                <w:lang w:val="en-US" w:eastAsia="zh-CN"/>
              </w:rPr>
              <w:t>08</w:t>
            </w:r>
            <w:r>
              <w:rPr>
                <w:rFonts w:hint="eastAsia" w:ascii="新宋体" w:hAnsi="新宋体" w:eastAsia="新宋体" w:cs="新宋体"/>
                <w:color w:val="auto"/>
                <w:sz w:val="22"/>
              </w:rPr>
              <w:t>月</w:t>
            </w:r>
            <w:r>
              <w:rPr>
                <w:rFonts w:hint="eastAsia" w:ascii="新宋体" w:hAnsi="新宋体" w:eastAsia="新宋体" w:cs="新宋体"/>
                <w:color w:val="auto"/>
                <w:sz w:val="22"/>
                <w:lang w:val="en-US" w:eastAsia="zh-CN"/>
              </w:rPr>
              <w:t>13</w:t>
            </w:r>
            <w:r>
              <w:rPr>
                <w:rFonts w:hint="eastAsia" w:ascii="新宋体" w:hAnsi="新宋体" w:eastAsia="新宋体" w:cs="新宋体"/>
                <w:color w:val="auto"/>
                <w:sz w:val="22"/>
              </w:rPr>
              <w:t>日</w:t>
            </w:r>
            <w:r>
              <w:rPr>
                <w:rFonts w:hint="eastAsia" w:ascii="新宋体" w:hAnsi="新宋体" w:eastAsia="新宋体" w:cs="新宋体"/>
                <w:color w:val="auto"/>
                <w:sz w:val="22"/>
                <w:lang w:val="en-US" w:eastAsia="zh-CN"/>
              </w:rPr>
              <w:t>12</w:t>
            </w:r>
            <w:r>
              <w:rPr>
                <w:rFonts w:hint="eastAsia" w:ascii="新宋体" w:hAnsi="新宋体" w:eastAsia="新宋体" w:cs="新宋体"/>
                <w:color w:val="auto"/>
                <w:sz w:val="22"/>
              </w:rPr>
              <w:t>时00分前递交以介质（U盘）存储的 “备份投标文件”（一份）；顺丰快递形式快递至采购代理机构地址（地址详见招标采购文件，防疫期间不建议供应商本代表抵达开评标地点）；解密CA必须是上传并制作电子投标文件CA锁。</w:t>
            </w:r>
          </w:p>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21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（1）开标后，采购组织机构将向各投标人发出“电子加密投标文件”的解密通知，各投标人代表应当在接到解密通知后</w:t>
            </w:r>
            <w:r>
              <w:rPr>
                <w:rFonts w:hint="eastAsia" w:ascii="新宋体" w:hAnsi="新宋体" w:eastAsia="新宋体" w:cs="新宋体"/>
                <w:color w:val="auto"/>
                <w:kern w:val="0"/>
                <w:sz w:val="22"/>
                <w:szCs w:val="22"/>
                <w:lang w:val="en-US" w:eastAsia="zh-CN"/>
              </w:rPr>
              <w:t>6</w:t>
            </w:r>
            <w:r>
              <w:rPr>
                <w:rFonts w:hint="eastAsia" w:ascii="新宋体" w:hAnsi="新宋体" w:eastAsia="新宋体" w:cs="新宋体"/>
                <w:color w:val="auto"/>
                <w:kern w:val="0"/>
                <w:sz w:val="22"/>
                <w:szCs w:val="22"/>
                <w:lang w:val="zh-CN"/>
              </w:rPr>
              <w:t>0分钟内自行完成“电子加密投标文件”的在线解密。</w:t>
            </w:r>
          </w:p>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（3）投标文件递交截止时间前，投标人仅递交了“备份投标文件”而未将电子加密投标文件上传至“政采云平台”的，投标无效。</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22</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递交投标</w:t>
            </w:r>
          </w:p>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文件地点</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lang w:val="zh-CN"/>
              </w:rPr>
            </w:pPr>
            <w:r>
              <w:rPr>
                <w:rFonts w:hint="eastAsia" w:ascii="新宋体" w:hAnsi="新宋体" w:eastAsia="新宋体" w:cs="新宋体"/>
                <w:bCs/>
                <w:color w:val="auto"/>
                <w:kern w:val="0"/>
                <w:sz w:val="22"/>
                <w:szCs w:val="22"/>
              </w:rPr>
              <w:t>温州市公共资源交易中心鹿城分中心三楼收标区室（温州市宽带路18号科技大楼）</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23</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开标时间</w:t>
            </w:r>
          </w:p>
          <w:p>
            <w:pPr>
              <w:autoSpaceDE w:val="0"/>
              <w:autoSpaceDN w:val="0"/>
              <w:adjustRightInd w:val="0"/>
              <w:spacing w:line="30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和地点</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开标时间：2020年</w:t>
            </w:r>
            <w:r>
              <w:rPr>
                <w:rFonts w:hint="eastAsia" w:ascii="新宋体" w:hAnsi="新宋体" w:eastAsia="新宋体" w:cs="新宋体"/>
                <w:color w:val="auto"/>
                <w:kern w:val="0"/>
                <w:sz w:val="22"/>
                <w:szCs w:val="22"/>
                <w:lang w:val="en-US" w:eastAsia="zh-CN"/>
              </w:rPr>
              <w:t>08</w:t>
            </w:r>
            <w:r>
              <w:rPr>
                <w:rFonts w:hint="eastAsia" w:ascii="新宋体" w:hAnsi="新宋体" w:eastAsia="新宋体" w:cs="新宋体"/>
                <w:color w:val="auto"/>
                <w:kern w:val="0"/>
                <w:sz w:val="22"/>
                <w:szCs w:val="22"/>
                <w:lang w:val="zh-CN"/>
              </w:rPr>
              <w:t>月</w:t>
            </w:r>
            <w:r>
              <w:rPr>
                <w:rFonts w:hint="eastAsia" w:ascii="新宋体" w:hAnsi="新宋体" w:eastAsia="新宋体" w:cs="新宋体"/>
                <w:color w:val="auto"/>
                <w:kern w:val="0"/>
                <w:sz w:val="22"/>
                <w:szCs w:val="22"/>
                <w:lang w:val="en-US" w:eastAsia="zh-CN"/>
              </w:rPr>
              <w:t>14</w:t>
            </w:r>
            <w:r>
              <w:rPr>
                <w:rFonts w:hint="eastAsia" w:ascii="新宋体" w:hAnsi="新宋体" w:eastAsia="新宋体" w:cs="新宋体"/>
                <w:color w:val="auto"/>
                <w:kern w:val="0"/>
                <w:sz w:val="22"/>
                <w:szCs w:val="22"/>
                <w:lang w:val="zh-CN"/>
              </w:rPr>
              <w:t>日</w:t>
            </w:r>
            <w:r>
              <w:rPr>
                <w:rFonts w:hint="eastAsia" w:ascii="新宋体" w:hAnsi="新宋体" w:eastAsia="新宋体" w:cs="新宋体"/>
                <w:color w:val="auto"/>
                <w:kern w:val="0"/>
                <w:sz w:val="22"/>
                <w:szCs w:val="22"/>
                <w:lang w:val="en-US" w:eastAsia="zh-CN"/>
              </w:rPr>
              <w:t>0</w:t>
            </w:r>
            <w:r>
              <w:rPr>
                <w:rFonts w:hint="eastAsia" w:ascii="新宋体" w:hAnsi="新宋体" w:eastAsia="新宋体" w:cs="新宋体"/>
                <w:color w:val="auto"/>
                <w:kern w:val="0"/>
                <w:sz w:val="22"/>
                <w:szCs w:val="22"/>
                <w:lang w:val="zh-CN"/>
              </w:rPr>
              <w:t>9时30分</w:t>
            </w:r>
          </w:p>
          <w:p>
            <w:pPr>
              <w:spacing w:line="300" w:lineRule="exac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开标地点：</w:t>
            </w:r>
            <w:r>
              <w:rPr>
                <w:rFonts w:hint="eastAsia" w:ascii="新宋体" w:hAnsi="新宋体" w:eastAsia="新宋体" w:cs="新宋体"/>
                <w:bCs/>
                <w:color w:val="auto"/>
                <w:kern w:val="0"/>
                <w:sz w:val="22"/>
                <w:szCs w:val="22"/>
              </w:rPr>
              <w:t>温州市公共资源交易中心鹿城分中心三楼（温州市宽带路18号科技大楼）</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24</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评标委员会</w:t>
            </w:r>
          </w:p>
          <w:p>
            <w:pP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的组建</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color w:val="auto"/>
                <w:kern w:val="0"/>
                <w:sz w:val="22"/>
                <w:szCs w:val="22"/>
                <w:lang w:val="zh-CN"/>
              </w:rPr>
            </w:pPr>
            <w:r>
              <w:rPr>
                <w:rFonts w:hint="eastAsia" w:ascii="新宋体" w:hAnsi="新宋体" w:eastAsia="新宋体" w:cs="新宋体"/>
                <w:bCs/>
                <w:color w:val="auto"/>
                <w:sz w:val="22"/>
                <w:szCs w:val="22"/>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25</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履约担保</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sym w:font="Wingdings" w:char="00FE"/>
            </w:r>
            <w:r>
              <w:rPr>
                <w:rFonts w:hint="eastAsia" w:ascii="新宋体" w:hAnsi="新宋体" w:eastAsia="新宋体" w:cs="新宋体"/>
                <w:bCs/>
                <w:color w:val="auto"/>
                <w:sz w:val="22"/>
                <w:szCs w:val="22"/>
              </w:rPr>
              <w:t>不需要</w:t>
            </w:r>
          </w:p>
          <w:p>
            <w:pPr>
              <w:rPr>
                <w:rFonts w:hint="eastAsia" w:ascii="新宋体" w:hAnsi="新宋体" w:eastAsia="新宋体" w:cs="新宋体"/>
                <w:color w:val="auto"/>
                <w:kern w:val="0"/>
                <w:sz w:val="22"/>
                <w:szCs w:val="22"/>
              </w:rPr>
            </w:pPr>
            <w:r>
              <w:rPr>
                <w:rFonts w:hint="eastAsia" w:ascii="新宋体" w:hAnsi="新宋体" w:eastAsia="新宋体" w:cs="新宋体"/>
                <w:bCs/>
                <w:color w:val="auto"/>
                <w:sz w:val="22"/>
                <w:szCs w:val="22"/>
              </w:rPr>
              <w:sym w:font="Wingdings" w:char="00A8"/>
            </w:r>
            <w:r>
              <w:rPr>
                <w:rFonts w:hint="eastAsia" w:ascii="新宋体" w:hAnsi="新宋体" w:eastAsia="新宋体" w:cs="新宋体"/>
                <w:bCs/>
                <w:color w:val="auto"/>
                <w:sz w:val="22"/>
                <w:szCs w:val="22"/>
              </w:rPr>
              <w:t>需要</w:t>
            </w:r>
            <w:r>
              <w:rPr>
                <w:rFonts w:hint="eastAsia" w:ascii="新宋体" w:hAnsi="新宋体" w:eastAsia="新宋体" w:cs="新宋体"/>
                <w:bCs/>
                <w:color w:val="auto"/>
                <w:sz w:val="22"/>
                <w:szCs w:val="22"/>
                <w:lang w:val="en-US" w:eastAsia="zh-CN"/>
              </w:rPr>
              <w:t xml:space="preserve"> </w:t>
            </w:r>
            <w:r>
              <w:rPr>
                <w:rFonts w:hint="eastAsia" w:ascii="新宋体" w:hAnsi="新宋体" w:eastAsia="新宋体" w:cs="新宋体"/>
                <w:bCs/>
                <w:color w:val="auto"/>
                <w:sz w:val="22"/>
                <w:szCs w:val="22"/>
              </w:rPr>
              <w:t>签订合同前中标供应商应向采购人提交合同总价</w:t>
            </w:r>
            <w:r>
              <w:rPr>
                <w:rFonts w:hint="eastAsia" w:ascii="新宋体" w:hAnsi="新宋体" w:eastAsia="新宋体" w:cs="新宋体"/>
                <w:bCs/>
                <w:color w:val="auto"/>
                <w:sz w:val="22"/>
                <w:szCs w:val="22"/>
                <w:lang w:val="en-US" w:eastAsia="zh-CN"/>
              </w:rPr>
              <w:t>5</w:t>
            </w:r>
            <w:r>
              <w:rPr>
                <w:rFonts w:hint="eastAsia" w:ascii="新宋体" w:hAnsi="新宋体" w:eastAsia="新宋体" w:cs="新宋体"/>
                <w:bCs/>
                <w:color w:val="auto"/>
                <w:sz w:val="22"/>
                <w:szCs w:val="22"/>
              </w:rPr>
              <w:t>%的履约保证金，履约保证金可以采用银行或者保险公司出具的保函</w:t>
            </w:r>
            <w:r>
              <w:rPr>
                <w:rFonts w:hint="eastAsia" w:ascii="Arial" w:hAnsi="宋体" w:cs="Arial"/>
                <w:color w:val="auto"/>
                <w:szCs w:val="21"/>
              </w:rPr>
              <w:t>。</w:t>
            </w:r>
          </w:p>
        </w:tc>
      </w:tr>
      <w:tr>
        <w:tblPrEx>
          <w:tblCellMar>
            <w:top w:w="0" w:type="dxa"/>
            <w:left w:w="108" w:type="dxa"/>
            <w:bottom w:w="0" w:type="dxa"/>
            <w:right w:w="108" w:type="dxa"/>
          </w:tblCellMar>
        </w:tblPrEx>
        <w:trPr>
          <w:wBefore w:w="0" w:type="dxa"/>
          <w:wAfter w:w="0" w:type="dxa"/>
          <w:trHeight w:val="274"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26</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政府采购</w:t>
            </w:r>
          </w:p>
          <w:p>
            <w:pPr>
              <w:adjustRightInd w:val="0"/>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sz w:val="22"/>
                <w:szCs w:val="22"/>
              </w:rPr>
              <w:t>扶持政策</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1.本项目对符合财政扶持政策的中小企业（小型、微型）、监狱企业、残疾人福利性单位给予价格优惠扶持，价格优惠扶持见《第三章 评分办法》。</w:t>
            </w:r>
          </w:p>
          <w:p>
            <w:pP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2.满足转发财政部 工业和信息化部关于印发《政府采购促进中小企业发展暂行办法》的通知（浙财采监[2012]11号）的规定的中小企业可享受优惠扶持。</w:t>
            </w:r>
          </w:p>
          <w:p>
            <w:pP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满足关于政府采购支持监狱企业发展有关问题的通知（财库[2014]68号）的规定的供应商可享受优惠扶持。</w:t>
            </w:r>
          </w:p>
          <w:p>
            <w:pP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满足关于促进残疾人就业政府采购政策的通知（财库[2017]141号）的规定的供应商可享受优惠扶持。</w:t>
            </w:r>
          </w:p>
          <w:p>
            <w:pP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3.节能产品、环境标志产品的强制采购政策</w:t>
            </w:r>
          </w:p>
          <w:p>
            <w:pP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4.节能产品、环境标志产品的优先采购政策</w:t>
            </w:r>
          </w:p>
          <w:p>
            <w:pPr>
              <w:rPr>
                <w:rFonts w:hint="eastAsia" w:ascii="新宋体" w:hAnsi="新宋体" w:eastAsia="新宋体" w:cs="新宋体"/>
                <w:color w:val="auto"/>
                <w:kern w:val="0"/>
                <w:sz w:val="22"/>
                <w:szCs w:val="22"/>
                <w:lang w:val="zh-CN"/>
              </w:rPr>
            </w:pPr>
            <w:r>
              <w:rPr>
                <w:rFonts w:hint="eastAsia" w:ascii="新宋体" w:hAnsi="新宋体" w:eastAsia="新宋体" w:cs="新宋体"/>
                <w:bCs/>
                <w:color w:val="auto"/>
                <w:sz w:val="22"/>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27</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投标人信用</w:t>
            </w:r>
          </w:p>
          <w:p>
            <w:pPr>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sz w:val="22"/>
                <w:szCs w:val="22"/>
              </w:rPr>
              <w:t>查询</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sz w:val="22"/>
                <w:szCs w:val="22"/>
              </w:rPr>
            </w:pPr>
            <w:r>
              <w:rPr>
                <w:rFonts w:hint="eastAsia" w:ascii="新宋体" w:hAnsi="新宋体" w:eastAsia="新宋体" w:cs="新宋体"/>
                <w:color w:val="auto"/>
                <w:sz w:val="22"/>
                <w:szCs w:val="22"/>
              </w:rPr>
              <w:t>（1）投标供应商信用信息查询的查询渠道：</w:t>
            </w:r>
          </w:p>
          <w:p>
            <w:pPr>
              <w:rPr>
                <w:rFonts w:ascii="新宋体" w:hAnsi="新宋体" w:eastAsia="新宋体" w:cs="新宋体"/>
                <w:color w:val="auto"/>
                <w:sz w:val="22"/>
                <w:szCs w:val="22"/>
              </w:rPr>
            </w:pPr>
            <w:r>
              <w:rPr>
                <w:rFonts w:hint="eastAsia" w:ascii="新宋体" w:hAnsi="新宋体" w:eastAsia="新宋体" w:cs="新宋体"/>
                <w:color w:val="auto"/>
                <w:sz w:val="22"/>
                <w:szCs w:val="22"/>
              </w:rPr>
              <w:t>“信用中国”(</w:t>
            </w:r>
            <w:r>
              <w:rPr>
                <w:rFonts w:ascii="新宋体" w:hAnsi="新宋体" w:eastAsia="新宋体" w:cs="新宋体"/>
                <w:color w:val="auto"/>
                <w:sz w:val="22"/>
                <w:szCs w:val="22"/>
              </w:rPr>
              <w:fldChar w:fldCharType="begin"/>
            </w:r>
            <w:r>
              <w:rPr>
                <w:rFonts w:ascii="新宋体" w:hAnsi="新宋体" w:eastAsia="新宋体" w:cs="新宋体"/>
                <w:color w:val="auto"/>
                <w:sz w:val="22"/>
                <w:szCs w:val="22"/>
              </w:rPr>
              <w:instrText xml:space="preserve"> HYPERLINK "http://www.creditchina.gov.cn"</w:instrText>
            </w:r>
            <w:r>
              <w:rPr>
                <w:rFonts w:ascii="新宋体" w:hAnsi="新宋体" w:eastAsia="新宋体" w:cs="新宋体"/>
                <w:color w:val="auto"/>
                <w:sz w:val="22"/>
                <w:szCs w:val="22"/>
              </w:rPr>
              <w:fldChar w:fldCharType="separate"/>
            </w:r>
            <w:r>
              <w:rPr>
                <w:rFonts w:hint="eastAsia" w:ascii="新宋体" w:hAnsi="新宋体" w:eastAsia="新宋体" w:cs="新宋体"/>
                <w:color w:val="auto"/>
              </w:rPr>
              <w:t>www.creditchina.gov.cn</w:t>
            </w:r>
            <w:r>
              <w:rPr>
                <w:rFonts w:ascii="新宋体" w:hAnsi="新宋体" w:eastAsia="新宋体" w:cs="新宋体"/>
                <w:color w:val="auto"/>
                <w:sz w:val="22"/>
                <w:szCs w:val="22"/>
              </w:rPr>
              <w:fldChar w:fldCharType="end"/>
            </w:r>
            <w:r>
              <w:rPr>
                <w:rFonts w:hint="eastAsia" w:ascii="新宋体" w:hAnsi="新宋体" w:eastAsia="新宋体" w:cs="新宋体"/>
                <w:color w:val="auto"/>
                <w:sz w:val="22"/>
                <w:szCs w:val="22"/>
              </w:rPr>
              <w:t>)；</w:t>
            </w:r>
          </w:p>
          <w:p>
            <w:pPr>
              <w:rPr>
                <w:rFonts w:ascii="新宋体" w:hAnsi="新宋体" w:eastAsia="新宋体" w:cs="新宋体"/>
                <w:color w:val="auto"/>
                <w:sz w:val="22"/>
                <w:szCs w:val="22"/>
              </w:rPr>
            </w:pPr>
            <w:r>
              <w:rPr>
                <w:rFonts w:hint="eastAsia" w:ascii="新宋体" w:hAnsi="新宋体" w:eastAsia="新宋体" w:cs="新宋体"/>
                <w:color w:val="auto"/>
                <w:sz w:val="22"/>
                <w:szCs w:val="22"/>
              </w:rPr>
              <w:t>“中国政府采购网”（http://www.ccgp.gov.cn/）；</w:t>
            </w:r>
          </w:p>
          <w:p>
            <w:pPr>
              <w:rPr>
                <w:rFonts w:ascii="新宋体" w:hAnsi="新宋体" w:eastAsia="新宋体" w:cs="新宋体"/>
                <w:color w:val="auto"/>
                <w:sz w:val="22"/>
                <w:szCs w:val="22"/>
              </w:rPr>
            </w:pPr>
            <w:r>
              <w:rPr>
                <w:rFonts w:hint="eastAsia" w:ascii="新宋体" w:hAnsi="新宋体" w:eastAsia="新宋体" w:cs="新宋体"/>
                <w:color w:val="auto"/>
                <w:sz w:val="22"/>
                <w:szCs w:val="22"/>
              </w:rPr>
              <w:t>（2）投标供应商信用信息查询截止时点：本项目投标截止时间。</w:t>
            </w:r>
          </w:p>
          <w:p>
            <w:pPr>
              <w:rPr>
                <w:rFonts w:ascii="新宋体" w:hAnsi="新宋体" w:eastAsia="新宋体" w:cs="新宋体"/>
                <w:color w:val="auto"/>
                <w:sz w:val="22"/>
                <w:szCs w:val="22"/>
              </w:rPr>
            </w:pPr>
            <w:r>
              <w:rPr>
                <w:rFonts w:hint="eastAsia" w:ascii="新宋体" w:hAnsi="新宋体" w:eastAsia="新宋体" w:cs="新宋体"/>
                <w:color w:val="auto"/>
                <w:sz w:val="22"/>
                <w:szCs w:val="22"/>
              </w:rPr>
              <w:t>（3）投标供应商信用信息查询记录和证据留存的具体方式：网页截图打印；</w:t>
            </w:r>
          </w:p>
          <w:p>
            <w:pP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不良信用记录指：“信用中国”被列入失信被执行人、重大税收违法案件当事人名单或存在 《中华人民共和国政府采购法实施条例》第十九条规定的行政处罚记录（三万元以上（含三万）罚款金额视为较大数额罚款）；中国政府采购网被列入政府采购严重违法失信行为记录名单；</w:t>
            </w:r>
          </w:p>
          <w:p>
            <w:pPr>
              <w:rPr>
                <w:rFonts w:hint="eastAsia"/>
                <w:color w:val="auto"/>
              </w:rPr>
            </w:pPr>
            <w:r>
              <w:rPr>
                <w:rFonts w:hint="eastAsia" w:ascii="新宋体" w:hAnsi="新宋体" w:eastAsia="新宋体" w:cs="新宋体"/>
                <w:bCs/>
                <w:color w:val="auto"/>
                <w:sz w:val="22"/>
                <w:szCs w:val="22"/>
              </w:rPr>
              <w:t>（5）具体结果以开标当日采购人或采购代理机构对</w:t>
            </w:r>
            <w:r>
              <w:rPr>
                <w:rFonts w:hint="eastAsia" w:ascii="新宋体" w:hAnsi="新宋体" w:eastAsia="新宋体" w:cs="楷体"/>
                <w:color w:val="auto"/>
                <w:kern w:val="0"/>
                <w:sz w:val="22"/>
                <w:szCs w:val="22"/>
              </w:rPr>
              <w:t>投标人信用查询网页的</w:t>
            </w:r>
            <w:r>
              <w:rPr>
                <w:rFonts w:hint="eastAsia" w:ascii="新宋体" w:hAnsi="新宋体" w:eastAsia="新宋体" w:cs="新宋体"/>
                <w:bCs/>
                <w:color w:val="auto"/>
                <w:sz w:val="22"/>
                <w:szCs w:val="22"/>
              </w:rPr>
              <w:t>查询结果为准。</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28</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sz w:val="22"/>
                <w:szCs w:val="22"/>
              </w:rPr>
              <w:t>合同备案</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（1）中标投标人须在中标通知书发出之日起30日历天内与采购人签订合同。</w:t>
            </w:r>
          </w:p>
          <w:p>
            <w:pPr>
              <w:jc w:val="left"/>
              <w:rPr>
                <w:rFonts w:hint="eastAsia" w:ascii="新宋体" w:hAnsi="新宋体" w:eastAsia="新宋体" w:cs="新宋体"/>
                <w:color w:val="auto"/>
                <w:sz w:val="22"/>
                <w:szCs w:val="22"/>
                <w:u w:val="single"/>
              </w:rPr>
            </w:pPr>
            <w:r>
              <w:rPr>
                <w:rFonts w:hint="eastAsia" w:ascii="新宋体" w:hAnsi="新宋体" w:eastAsia="新宋体" w:cs="新宋体"/>
                <w:color w:val="auto"/>
                <w:sz w:val="22"/>
                <w:szCs w:val="22"/>
              </w:rPr>
              <w:t>（2）中标投标人与采购人签订合同后，3日历天内将合同扫描件电子版发给招标代理机构邮箱：</w:t>
            </w:r>
            <w:r>
              <w:rPr>
                <w:rFonts w:ascii="新宋体" w:hAnsi="新宋体" w:eastAsia="新宋体" w:cs="新宋体"/>
                <w:color w:val="auto"/>
                <w:sz w:val="22"/>
                <w:szCs w:val="22"/>
                <w:u w:val="single"/>
              </w:rPr>
              <w:fldChar w:fldCharType="begin"/>
            </w:r>
            <w:r>
              <w:rPr>
                <w:rFonts w:ascii="新宋体" w:hAnsi="新宋体" w:eastAsia="新宋体" w:cs="新宋体"/>
                <w:color w:val="auto"/>
                <w:sz w:val="22"/>
                <w:szCs w:val="22"/>
                <w:u w:val="single"/>
              </w:rPr>
              <w:instrText xml:space="preserve"> HYPERLINK "mailto:</w:instrText>
            </w:r>
            <w:r>
              <w:rPr>
                <w:rFonts w:hint="eastAsia" w:ascii="新宋体" w:hAnsi="新宋体" w:eastAsia="新宋体" w:cs="新宋体"/>
                <w:color w:val="auto"/>
                <w:sz w:val="22"/>
                <w:szCs w:val="22"/>
                <w:u w:val="single"/>
              </w:rPr>
              <w:instrText xml:space="preserve">158748323@qq.com</w:instrText>
            </w:r>
            <w:r>
              <w:rPr>
                <w:rFonts w:ascii="新宋体" w:hAnsi="新宋体" w:eastAsia="新宋体" w:cs="新宋体"/>
                <w:color w:val="auto"/>
                <w:sz w:val="22"/>
                <w:szCs w:val="22"/>
                <w:u w:val="single"/>
              </w:rPr>
              <w:instrText xml:space="preserve">" </w:instrText>
            </w:r>
            <w:r>
              <w:rPr>
                <w:rFonts w:ascii="新宋体" w:hAnsi="新宋体" w:eastAsia="新宋体" w:cs="新宋体"/>
                <w:color w:val="auto"/>
                <w:sz w:val="22"/>
                <w:szCs w:val="22"/>
                <w:u w:val="single"/>
              </w:rPr>
              <w:fldChar w:fldCharType="separate"/>
            </w:r>
            <w:r>
              <w:rPr>
                <w:rFonts w:hint="eastAsia" w:ascii="新宋体" w:hAnsi="新宋体" w:eastAsia="新宋体" w:cs="新宋体"/>
                <w:color w:val="auto"/>
                <w:u w:val="single"/>
              </w:rPr>
              <w:t>109181756@qq.com</w:t>
            </w:r>
            <w:r>
              <w:rPr>
                <w:rFonts w:ascii="新宋体" w:hAnsi="新宋体" w:eastAsia="新宋体" w:cs="新宋体"/>
                <w:color w:val="auto"/>
                <w:sz w:val="22"/>
                <w:szCs w:val="22"/>
                <w:u w:val="single"/>
              </w:rPr>
              <w:fldChar w:fldCharType="end"/>
            </w:r>
            <w:r>
              <w:rPr>
                <w:rFonts w:hint="eastAsia" w:ascii="新宋体" w:hAnsi="新宋体" w:eastAsia="新宋体" w:cs="新宋体"/>
                <w:color w:val="auto"/>
                <w:sz w:val="22"/>
                <w:szCs w:val="22"/>
                <w:u w:val="single"/>
              </w:rPr>
              <w:t>。</w:t>
            </w:r>
          </w:p>
          <w:p>
            <w:pPr>
              <w:pStyle w:val="23"/>
              <w:rPr>
                <w:rFonts w:hint="eastAsia"/>
                <w:color w:val="auto"/>
              </w:rPr>
            </w:pPr>
            <w:r>
              <w:rPr>
                <w:rFonts w:hint="eastAsia" w:ascii="新宋体" w:hAnsi="新宋体" w:eastAsia="新宋体" w:cs="新宋体"/>
                <w:color w:val="auto"/>
                <w:sz w:val="22"/>
                <w:szCs w:val="22"/>
              </w:rPr>
              <w:t>（3）</w:t>
            </w:r>
            <w:r>
              <w:rPr>
                <w:rFonts w:hint="eastAsia"/>
                <w:color w:val="auto"/>
              </w:rPr>
              <w:t>本项目政府采购合同按规定在浙江政府采购网予以公示。</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29</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sz w:val="22"/>
                <w:szCs w:val="22"/>
              </w:rPr>
              <w:t>合同履约管理</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sz w:val="22"/>
                <w:szCs w:val="22"/>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30</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sz w:val="22"/>
                <w:szCs w:val="22"/>
              </w:rPr>
              <w:t>解释权</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sz w:val="22"/>
                <w:szCs w:val="22"/>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免责声明</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sz w:val="22"/>
                <w:szCs w:val="22"/>
              </w:rPr>
            </w:pPr>
            <w:r>
              <w:rPr>
                <w:rFonts w:hint="eastAsia" w:ascii="新宋体" w:hAnsi="新宋体" w:eastAsia="新宋体" w:cs="新宋体"/>
                <w:color w:val="auto"/>
                <w:sz w:val="22"/>
                <w:szCs w:val="22"/>
              </w:rPr>
              <w:t>1、投标人自行承担投标过程中产生的费用。无论何种因素导致采购项目延期开标、废标（流标）、投标供应商未中标、项目终止采购的，采购人与代理机构均不承担供应商投标费用。</w:t>
            </w:r>
          </w:p>
          <w:p>
            <w:pP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2、投标人在投标、合同履行过程中必须做好安全保障工作，不因项目实施而危及自身及第三方人员、财产安全。若发生任何安全事故，由中标供应商自行承担一切责任并赔偿损失。</w:t>
            </w:r>
          </w:p>
        </w:tc>
      </w:tr>
    </w:tbl>
    <w:p>
      <w:pPr>
        <w:spacing w:line="500" w:lineRule="exact"/>
        <w:rPr>
          <w:rFonts w:hint="eastAsia" w:ascii="新宋体" w:hAnsi="新宋体" w:eastAsia="新宋体" w:cs="新宋体"/>
          <w:b/>
          <w:bCs/>
          <w:color w:val="auto"/>
          <w:sz w:val="36"/>
          <w:szCs w:val="36"/>
        </w:rPr>
      </w:pPr>
    </w:p>
    <w:p>
      <w:pPr>
        <w:spacing w:line="500" w:lineRule="exact"/>
        <w:jc w:val="center"/>
        <w:rPr>
          <w:rFonts w:hint="eastAsia" w:ascii="新宋体" w:hAnsi="新宋体" w:eastAsia="新宋体" w:cs="新宋体"/>
          <w:b/>
          <w:bCs/>
          <w:color w:val="auto"/>
          <w:sz w:val="36"/>
          <w:szCs w:val="36"/>
        </w:rPr>
      </w:pPr>
    </w:p>
    <w:p>
      <w:pPr>
        <w:pStyle w:val="5"/>
        <w:spacing w:line="500" w:lineRule="exact"/>
        <w:jc w:val="center"/>
        <w:rPr>
          <w:rFonts w:hint="eastAsia" w:ascii="新宋体" w:hAnsi="新宋体" w:eastAsia="新宋体"/>
          <w:color w:val="auto"/>
          <w:sz w:val="24"/>
          <w:szCs w:val="24"/>
        </w:rPr>
      </w:pPr>
      <w:r>
        <w:rPr>
          <w:rFonts w:hint="eastAsia" w:ascii="新宋体" w:hAnsi="新宋体" w:eastAsia="新宋体" w:cs="新宋体"/>
          <w:color w:val="auto"/>
          <w:sz w:val="36"/>
          <w:szCs w:val="36"/>
        </w:rPr>
        <w:br w:type="page"/>
      </w:r>
      <w:bookmarkStart w:id="39" w:name="_Toc239145351"/>
      <w:bookmarkStart w:id="40" w:name="_Toc221356948"/>
      <w:bookmarkStart w:id="41" w:name="_Toc241404199"/>
      <w:bookmarkStart w:id="42" w:name="_Toc265529380"/>
      <w:bookmarkStart w:id="43" w:name="_Toc34508130"/>
      <w:bookmarkStart w:id="44" w:name="_Toc223715995"/>
      <w:bookmarkStart w:id="45" w:name="_Toc221374623"/>
      <w:bookmarkStart w:id="46" w:name="_Toc222114876"/>
      <w:bookmarkStart w:id="47" w:name="_Toc34572029"/>
      <w:bookmarkStart w:id="48" w:name="_Toc221356883"/>
      <w:bookmarkStart w:id="49" w:name="_Toc221423616"/>
      <w:bookmarkStart w:id="50" w:name="_Toc393699549"/>
      <w:r>
        <w:rPr>
          <w:rFonts w:hint="eastAsia" w:ascii="新宋体" w:hAnsi="新宋体" w:eastAsia="新宋体"/>
          <w:color w:val="auto"/>
          <w:sz w:val="24"/>
          <w:szCs w:val="24"/>
        </w:rPr>
        <w:t>一、  说明</w:t>
      </w:r>
      <w:bookmarkEnd w:id="39"/>
      <w:bookmarkEnd w:id="40"/>
      <w:bookmarkEnd w:id="41"/>
      <w:bookmarkEnd w:id="42"/>
      <w:bookmarkEnd w:id="43"/>
      <w:bookmarkEnd w:id="44"/>
      <w:bookmarkEnd w:id="45"/>
      <w:bookmarkEnd w:id="46"/>
      <w:bookmarkEnd w:id="47"/>
      <w:bookmarkEnd w:id="48"/>
      <w:bookmarkEnd w:id="49"/>
    </w:p>
    <w:p>
      <w:pPr>
        <w:tabs>
          <w:tab w:val="left" w:pos="540"/>
          <w:tab w:val="left" w:pos="90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本次招标是根据《中华人民共和国政府采购法》、《中华人民共和国政府采购法实施条例》、《政府采购货物和服务招标投标管理办法》和《关于进一步规范政府采购活动的若干意见》等法律及有关法规组织和实施的。</w:t>
      </w:r>
    </w:p>
    <w:p>
      <w:pPr>
        <w:tabs>
          <w:tab w:val="left" w:pos="540"/>
          <w:tab w:val="left" w:pos="900"/>
        </w:tabs>
        <w:spacing w:line="46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2.</w:t>
      </w:r>
      <w:r>
        <w:rPr>
          <w:rFonts w:hint="eastAsia" w:ascii="新宋体" w:hAnsi="新宋体" w:eastAsia="新宋体" w:cs="新宋体"/>
          <w:b/>
          <w:color w:val="auto"/>
          <w:sz w:val="22"/>
          <w:szCs w:val="22"/>
          <w:lang w:val="en-US" w:eastAsia="zh-CN"/>
        </w:rPr>
        <w:t xml:space="preserve">  </w:t>
      </w:r>
      <w:r>
        <w:rPr>
          <w:rFonts w:hint="eastAsia" w:ascii="新宋体" w:hAnsi="新宋体" w:eastAsia="新宋体" w:cs="新宋体"/>
          <w:b/>
          <w:color w:val="auto"/>
          <w:sz w:val="22"/>
          <w:szCs w:val="22"/>
        </w:rPr>
        <w:t>合格投标人要求以招标公告对投标人资格条件要求的表述为准。</w:t>
      </w:r>
    </w:p>
    <w:p>
      <w:pPr>
        <w:tabs>
          <w:tab w:val="left" w:pos="540"/>
          <w:tab w:val="left" w:pos="90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投标人代表</w:t>
      </w:r>
    </w:p>
    <w:p>
      <w:pPr>
        <w:spacing w:line="460" w:lineRule="exact"/>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指全权代表投标人参加投标活动并签署投标文件的人。如果投标人代表不是法定代表人，须持有《法定代表人授权书》。</w:t>
      </w:r>
    </w:p>
    <w:p>
      <w:pPr>
        <w:tabs>
          <w:tab w:val="left" w:pos="540"/>
          <w:tab w:val="left" w:pos="90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投标费用</w:t>
      </w:r>
    </w:p>
    <w:p>
      <w:pPr>
        <w:spacing w:line="440" w:lineRule="exact"/>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投标人应承担所有与准备和参加投标有关费用，不论投标的结果如何，采购人和招标代理机构均无义务和责任承担这些费用。</w:t>
      </w:r>
    </w:p>
    <w:p>
      <w:pPr>
        <w:spacing w:line="400" w:lineRule="exact"/>
        <w:rPr>
          <w:rFonts w:ascii="宋体" w:hAnsi="宋体" w:cs="宋体"/>
          <w:bCs/>
          <w:color w:val="auto"/>
          <w:spacing w:val="6"/>
          <w:sz w:val="22"/>
        </w:rPr>
      </w:pPr>
      <w:r>
        <w:rPr>
          <w:rFonts w:hint="eastAsia" w:ascii="宋体" w:hAnsi="宋体" w:cs="宋体"/>
          <w:bCs/>
          <w:color w:val="auto"/>
          <w:spacing w:val="6"/>
          <w:sz w:val="22"/>
          <w:szCs w:val="22"/>
        </w:rPr>
        <w:t>5.</w:t>
      </w:r>
      <w:r>
        <w:rPr>
          <w:rFonts w:hint="eastAsia" w:ascii="宋体" w:hAnsi="宋体" w:cs="宋体"/>
          <w:bCs/>
          <w:color w:val="auto"/>
          <w:spacing w:val="6"/>
          <w:sz w:val="22"/>
          <w:szCs w:val="22"/>
          <w:lang w:val="en-US" w:eastAsia="zh-CN"/>
        </w:rPr>
        <w:t xml:space="preserve">  </w:t>
      </w:r>
      <w:r>
        <w:rPr>
          <w:rFonts w:hint="eastAsia" w:ascii="宋体" w:hAnsi="宋体" w:cs="宋体"/>
          <w:bCs/>
          <w:color w:val="auto"/>
          <w:spacing w:val="6"/>
          <w:sz w:val="22"/>
          <w:szCs w:val="22"/>
        </w:rPr>
        <w:t>优化政府采购金融服务</w:t>
      </w:r>
    </w:p>
    <w:p>
      <w:pPr>
        <w:spacing w:line="400" w:lineRule="exact"/>
        <w:rPr>
          <w:rFonts w:ascii="宋体" w:hAnsi="宋体" w:cs="宋体"/>
          <w:bCs/>
          <w:color w:val="auto"/>
          <w:spacing w:val="6"/>
          <w:sz w:val="22"/>
        </w:rPr>
      </w:pPr>
      <w:r>
        <w:rPr>
          <w:rFonts w:hint="eastAsia" w:ascii="宋体" w:hAnsi="宋体" w:cs="宋体"/>
          <w:bCs/>
          <w:color w:val="auto"/>
          <w:spacing w:val="6"/>
          <w:sz w:val="22"/>
          <w:szCs w:val="22"/>
        </w:rPr>
        <w:t>5.1</w:t>
      </w:r>
      <w:r>
        <w:rPr>
          <w:rFonts w:hint="eastAsia" w:ascii="宋体" w:hAnsi="宋体" w:cs="宋体"/>
          <w:bCs/>
          <w:color w:val="auto"/>
          <w:spacing w:val="6"/>
          <w:sz w:val="22"/>
          <w:szCs w:val="22"/>
          <w:lang w:val="en-US" w:eastAsia="zh-CN"/>
        </w:rPr>
        <w:t xml:space="preserve"> </w:t>
      </w:r>
      <w:r>
        <w:rPr>
          <w:rFonts w:hint="eastAsia" w:ascii="宋体" w:hAnsi="宋体" w:cs="宋体"/>
          <w:bCs/>
          <w:color w:val="auto"/>
          <w:spacing w:val="6"/>
          <w:sz w:val="22"/>
          <w:szCs w:val="22"/>
        </w:rPr>
        <w:t>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400" w:lineRule="exact"/>
        <w:rPr>
          <w:rFonts w:ascii="宋体" w:hAnsi="宋体" w:cs="宋体"/>
          <w:bCs/>
          <w:color w:val="auto"/>
          <w:spacing w:val="6"/>
          <w:sz w:val="22"/>
        </w:rPr>
      </w:pPr>
      <w:r>
        <w:rPr>
          <w:rFonts w:hint="eastAsia" w:ascii="宋体" w:hAnsi="宋体" w:cs="宋体"/>
          <w:bCs/>
          <w:color w:val="auto"/>
          <w:spacing w:val="6"/>
          <w:sz w:val="22"/>
          <w:szCs w:val="22"/>
        </w:rPr>
        <w:t>5.2</w:t>
      </w:r>
      <w:r>
        <w:rPr>
          <w:rFonts w:hint="eastAsia" w:ascii="宋体" w:hAnsi="宋体" w:cs="宋体"/>
          <w:bCs/>
          <w:color w:val="auto"/>
          <w:spacing w:val="6"/>
          <w:sz w:val="22"/>
          <w:szCs w:val="22"/>
          <w:lang w:val="en-US" w:eastAsia="zh-CN"/>
        </w:rPr>
        <w:t xml:space="preserve"> </w:t>
      </w:r>
      <w:r>
        <w:rPr>
          <w:rFonts w:hint="eastAsia" w:ascii="宋体" w:hAnsi="宋体" w:cs="宋体"/>
          <w:bCs/>
          <w:color w:val="auto"/>
          <w:spacing w:val="6"/>
          <w:sz w:val="22"/>
          <w:szCs w:val="22"/>
        </w:rPr>
        <w:t>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spacing w:line="400" w:lineRule="exact"/>
        <w:rPr>
          <w:rFonts w:ascii="宋体" w:hAnsi="宋体" w:cs="宋体"/>
          <w:bCs/>
          <w:color w:val="auto"/>
          <w:spacing w:val="6"/>
          <w:sz w:val="22"/>
        </w:rPr>
      </w:pPr>
      <w:r>
        <w:rPr>
          <w:rFonts w:hint="eastAsia" w:ascii="宋体" w:hAnsi="宋体" w:cs="宋体"/>
          <w:bCs/>
          <w:color w:val="auto"/>
          <w:spacing w:val="6"/>
          <w:sz w:val="22"/>
          <w:szCs w:val="22"/>
        </w:rPr>
        <w:t>6.</w:t>
      </w:r>
      <w:r>
        <w:rPr>
          <w:rFonts w:hint="eastAsia" w:ascii="宋体" w:hAnsi="宋体" w:cs="宋体"/>
          <w:bCs/>
          <w:color w:val="auto"/>
          <w:spacing w:val="6"/>
          <w:sz w:val="22"/>
          <w:szCs w:val="22"/>
          <w:lang w:val="en-US" w:eastAsia="zh-CN"/>
        </w:rPr>
        <w:t xml:space="preserve">  </w:t>
      </w:r>
      <w:r>
        <w:rPr>
          <w:rFonts w:hint="eastAsia" w:ascii="宋体" w:hAnsi="宋体" w:cs="宋体"/>
          <w:bCs/>
          <w:color w:val="auto"/>
          <w:spacing w:val="6"/>
          <w:sz w:val="22"/>
          <w:szCs w:val="22"/>
        </w:rPr>
        <w:t>特别说明：</w:t>
      </w:r>
    </w:p>
    <w:p>
      <w:pPr>
        <w:spacing w:line="400" w:lineRule="exact"/>
        <w:rPr>
          <w:rFonts w:ascii="宋体" w:hAnsi="宋体" w:cs="宋体"/>
          <w:bCs/>
          <w:color w:val="auto"/>
          <w:spacing w:val="6"/>
          <w:sz w:val="22"/>
        </w:rPr>
      </w:pPr>
      <w:r>
        <w:rPr>
          <w:rFonts w:hint="eastAsia" w:ascii="宋体" w:hAnsi="宋体" w:cs="宋体"/>
          <w:bCs/>
          <w:color w:val="auto"/>
          <w:spacing w:val="6"/>
          <w:sz w:val="22"/>
          <w:szCs w:val="22"/>
        </w:rPr>
        <w:t>6.1</w:t>
      </w:r>
      <w:r>
        <w:rPr>
          <w:rFonts w:hint="eastAsia" w:ascii="宋体" w:hAnsi="宋体" w:cs="宋体"/>
          <w:bCs/>
          <w:color w:val="auto"/>
          <w:spacing w:val="6"/>
          <w:sz w:val="22"/>
          <w:szCs w:val="22"/>
          <w:lang w:val="en-US" w:eastAsia="zh-CN"/>
        </w:rPr>
        <w:t xml:space="preserve"> </w:t>
      </w:r>
      <w:r>
        <w:rPr>
          <w:rFonts w:hint="eastAsia" w:ascii="宋体" w:hAnsi="宋体" w:cs="宋体"/>
          <w:bCs/>
          <w:color w:val="auto"/>
          <w:spacing w:val="6"/>
          <w:sz w:val="22"/>
          <w:szCs w:val="22"/>
        </w:rPr>
        <w:t>投标人应仔细阅读采购文件的所有内容，按照采购文件的要求提交投标文件，并对所提供的全部资料的真实性承担法律责任。</w:t>
      </w:r>
    </w:p>
    <w:p>
      <w:pPr>
        <w:spacing w:line="400" w:lineRule="exact"/>
        <w:rPr>
          <w:rFonts w:ascii="宋体" w:hAnsi="宋体" w:cs="宋体"/>
          <w:bCs/>
          <w:color w:val="auto"/>
          <w:spacing w:val="6"/>
          <w:sz w:val="22"/>
        </w:rPr>
      </w:pPr>
      <w:r>
        <w:rPr>
          <w:rFonts w:hint="eastAsia" w:ascii="宋体" w:hAnsi="宋体" w:cs="宋体"/>
          <w:bCs/>
          <w:color w:val="auto"/>
          <w:spacing w:val="6"/>
          <w:sz w:val="22"/>
          <w:szCs w:val="22"/>
        </w:rPr>
        <w:t>6.</w:t>
      </w:r>
      <w:r>
        <w:rPr>
          <w:rFonts w:hint="eastAsia" w:ascii="宋体" w:hAnsi="宋体" w:cs="宋体"/>
          <w:bCs/>
          <w:color w:val="auto"/>
          <w:spacing w:val="6"/>
          <w:sz w:val="22"/>
          <w:szCs w:val="22"/>
          <w:lang w:val="en-US" w:eastAsia="zh-CN"/>
        </w:rPr>
        <w:t>2</w:t>
      </w:r>
      <w:r>
        <w:rPr>
          <w:rFonts w:hint="eastAsia" w:ascii="宋体" w:hAnsi="宋体" w:cs="宋体"/>
          <w:bCs/>
          <w:color w:val="auto"/>
          <w:spacing w:val="6"/>
          <w:sz w:val="22"/>
          <w:szCs w:val="22"/>
          <w:lang w:val="en-US" w:eastAsia="zh-CN"/>
        </w:rPr>
        <w:t xml:space="preserve"> </w:t>
      </w:r>
      <w:r>
        <w:rPr>
          <w:rFonts w:hint="eastAsia" w:ascii="宋体" w:hAnsi="宋体" w:cs="宋体"/>
          <w:bCs/>
          <w:color w:val="auto"/>
          <w:spacing w:val="6"/>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400" w:lineRule="exact"/>
        <w:rPr>
          <w:rFonts w:ascii="宋体" w:hAnsi="宋体" w:cs="宋体"/>
          <w:bCs/>
          <w:color w:val="auto"/>
          <w:spacing w:val="6"/>
          <w:sz w:val="22"/>
        </w:rPr>
      </w:pPr>
      <w:r>
        <w:rPr>
          <w:rFonts w:hint="eastAsia" w:ascii="宋体" w:hAnsi="宋体" w:cs="宋体"/>
          <w:bCs/>
          <w:color w:val="auto"/>
          <w:spacing w:val="6"/>
          <w:sz w:val="22"/>
          <w:szCs w:val="22"/>
        </w:rPr>
        <w:t>6.</w:t>
      </w:r>
      <w:r>
        <w:rPr>
          <w:rFonts w:hint="eastAsia" w:ascii="宋体" w:hAnsi="宋体" w:cs="宋体"/>
          <w:bCs/>
          <w:color w:val="auto"/>
          <w:spacing w:val="6"/>
          <w:sz w:val="22"/>
          <w:szCs w:val="22"/>
          <w:lang w:val="en-US" w:eastAsia="zh-CN"/>
        </w:rPr>
        <w:t>3</w:t>
      </w:r>
      <w:r>
        <w:rPr>
          <w:rFonts w:hint="eastAsia" w:ascii="宋体" w:hAnsi="宋体" w:cs="宋体"/>
          <w:bCs/>
          <w:color w:val="auto"/>
          <w:spacing w:val="6"/>
          <w:sz w:val="22"/>
          <w:szCs w:val="22"/>
          <w:lang w:val="en-US" w:eastAsia="zh-CN"/>
        </w:rPr>
        <w:t xml:space="preserve"> </w:t>
      </w:r>
      <w:r>
        <w:rPr>
          <w:rFonts w:hint="eastAsia" w:ascii="宋体" w:hAnsi="宋体" w:cs="宋体"/>
          <w:bCs/>
          <w:color w:val="auto"/>
          <w:spacing w:val="6"/>
          <w:sz w:val="22"/>
          <w:szCs w:val="22"/>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60" w:lineRule="exact"/>
        <w:rPr>
          <w:rFonts w:hint="eastAsia" w:ascii="宋体" w:hAnsi="宋体" w:cs="宋体"/>
          <w:bCs/>
          <w:color w:val="auto"/>
          <w:kern w:val="0"/>
          <w:sz w:val="22"/>
          <w:szCs w:val="22"/>
          <w:lang w:val="zh-CN"/>
        </w:rPr>
      </w:pPr>
      <w:r>
        <w:rPr>
          <w:rFonts w:hint="eastAsia" w:ascii="宋体" w:hAnsi="宋体" w:cs="宋体"/>
          <w:bCs/>
          <w:color w:val="auto"/>
          <w:spacing w:val="6"/>
          <w:sz w:val="22"/>
          <w:szCs w:val="22"/>
        </w:rPr>
        <w:t>6.</w:t>
      </w:r>
      <w:r>
        <w:rPr>
          <w:rFonts w:hint="eastAsia" w:ascii="宋体" w:hAnsi="宋体" w:cs="宋体"/>
          <w:bCs/>
          <w:color w:val="auto"/>
          <w:spacing w:val="6"/>
          <w:sz w:val="22"/>
          <w:szCs w:val="22"/>
          <w:lang w:val="en-US" w:eastAsia="zh-CN"/>
        </w:rPr>
        <w:t>4</w:t>
      </w:r>
      <w:r>
        <w:rPr>
          <w:rFonts w:hint="eastAsia" w:ascii="宋体" w:hAnsi="宋体" w:cs="宋体"/>
          <w:bCs/>
          <w:color w:val="auto"/>
          <w:spacing w:val="6"/>
          <w:sz w:val="22"/>
          <w:szCs w:val="22"/>
          <w:lang w:val="en-US" w:eastAsia="zh-CN"/>
        </w:rPr>
        <w:t xml:space="preserve">  </w:t>
      </w:r>
      <w:r>
        <w:rPr>
          <w:rFonts w:hint="eastAsia" w:ascii="宋体" w:hAnsi="宋体" w:cs="宋体"/>
          <w:bCs/>
          <w:color w:val="auto"/>
          <w:kern w:val="0"/>
          <w:sz w:val="22"/>
          <w:szCs w:val="22"/>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pStyle w:val="23"/>
        <w:spacing w:line="400" w:lineRule="exact"/>
        <w:rPr>
          <w:rFonts w:hint="eastAsia" w:ascii="宋体" w:hAnsi="宋体" w:cs="宋体"/>
          <w:bCs/>
          <w:color w:val="auto"/>
          <w:kern w:val="0"/>
          <w:sz w:val="22"/>
          <w:szCs w:val="22"/>
          <w:lang w:val="zh-CN"/>
        </w:rPr>
      </w:pPr>
      <w:r>
        <w:rPr>
          <w:rFonts w:hint="eastAsia" w:ascii="宋体" w:hAnsi="宋体" w:cs="宋体"/>
          <w:bCs/>
          <w:color w:val="auto"/>
          <w:spacing w:val="6"/>
          <w:sz w:val="22"/>
          <w:szCs w:val="22"/>
        </w:rPr>
        <w:t>6.</w:t>
      </w:r>
      <w:r>
        <w:rPr>
          <w:rFonts w:hint="eastAsia" w:ascii="宋体" w:hAnsi="宋体" w:cs="宋体"/>
          <w:bCs/>
          <w:color w:val="auto"/>
          <w:spacing w:val="6"/>
          <w:sz w:val="22"/>
          <w:szCs w:val="22"/>
          <w:lang w:val="en-US" w:eastAsia="zh-CN"/>
        </w:rPr>
        <w:t>5</w:t>
      </w:r>
      <w:r>
        <w:rPr>
          <w:rFonts w:hint="eastAsia" w:ascii="宋体" w:hAnsi="宋体" w:cs="宋体"/>
          <w:bCs/>
          <w:color w:val="auto"/>
          <w:spacing w:val="6"/>
          <w:sz w:val="22"/>
          <w:szCs w:val="22"/>
          <w:lang w:val="en-US" w:eastAsia="zh-CN"/>
        </w:rPr>
        <w:t xml:space="preserve">  </w:t>
      </w:r>
      <w:r>
        <w:rPr>
          <w:rFonts w:hint="eastAsia" w:ascii="宋体" w:hAnsi="宋体" w:cs="宋体"/>
          <w:bCs/>
          <w:color w:val="auto"/>
          <w:spacing w:val="6"/>
          <w:sz w:val="22"/>
          <w:szCs w:val="22"/>
        </w:rPr>
        <w:t>投标人提供得货物中如使用其他公司的相关专利，应在标书中出示相关授权，如未出示但使用了其他公司的专利，导致供应商中标而引起相关诉讼，由投标人承担</w:t>
      </w:r>
      <w:r>
        <w:rPr>
          <w:rFonts w:hint="eastAsia" w:ascii="宋体" w:hAnsi="宋体" w:cs="宋体"/>
          <w:bCs/>
          <w:color w:val="auto"/>
          <w:kern w:val="0"/>
          <w:sz w:val="22"/>
          <w:szCs w:val="22"/>
          <w:lang w:val="zh-CN"/>
        </w:rPr>
        <w:t>。</w:t>
      </w:r>
    </w:p>
    <w:p>
      <w:pPr>
        <w:pStyle w:val="5"/>
        <w:spacing w:line="500" w:lineRule="exact"/>
        <w:jc w:val="center"/>
        <w:rPr>
          <w:rFonts w:hint="eastAsia" w:ascii="新宋体" w:hAnsi="新宋体" w:eastAsia="新宋体"/>
          <w:color w:val="auto"/>
          <w:sz w:val="24"/>
          <w:szCs w:val="24"/>
        </w:rPr>
      </w:pPr>
      <w:bookmarkStart w:id="51" w:name="_Toc34508131"/>
      <w:bookmarkStart w:id="52" w:name="_Toc34572030"/>
      <w:bookmarkStart w:id="53" w:name="_Toc221356884"/>
      <w:bookmarkStart w:id="54" w:name="_Toc221374624"/>
      <w:bookmarkStart w:id="55" w:name="_Toc221423617"/>
      <w:bookmarkStart w:id="56" w:name="_Toc221356949"/>
      <w:bookmarkStart w:id="57" w:name="_Toc239145352"/>
      <w:bookmarkStart w:id="58" w:name="_Toc222114877"/>
      <w:bookmarkStart w:id="59" w:name="_Toc241404200"/>
      <w:bookmarkStart w:id="60" w:name="_Toc223715996"/>
      <w:bookmarkStart w:id="61" w:name="_Toc265529381"/>
      <w:r>
        <w:rPr>
          <w:rFonts w:hint="eastAsia" w:ascii="新宋体" w:hAnsi="新宋体" w:eastAsia="新宋体"/>
          <w:color w:val="auto"/>
          <w:sz w:val="24"/>
          <w:szCs w:val="24"/>
        </w:rPr>
        <w:t>二、 采购文件</w:t>
      </w:r>
      <w:bookmarkEnd w:id="51"/>
      <w:bookmarkEnd w:id="52"/>
      <w:bookmarkEnd w:id="53"/>
      <w:bookmarkEnd w:id="54"/>
      <w:bookmarkEnd w:id="55"/>
      <w:bookmarkEnd w:id="56"/>
      <w:bookmarkEnd w:id="57"/>
      <w:bookmarkEnd w:id="58"/>
      <w:bookmarkEnd w:id="59"/>
      <w:bookmarkEnd w:id="60"/>
      <w:bookmarkEnd w:id="61"/>
    </w:p>
    <w:p>
      <w:pPr>
        <w:tabs>
          <w:tab w:val="left" w:pos="54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7.</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采购文件由采购文件目录所列内容及相关资料组成。</w:t>
      </w:r>
    </w:p>
    <w:p>
      <w:pPr>
        <w:tabs>
          <w:tab w:val="left" w:pos="54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8.</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质疑</w:t>
      </w:r>
    </w:p>
    <w:p>
      <w:pPr>
        <w:tabs>
          <w:tab w:val="left" w:pos="540"/>
        </w:tabs>
        <w:spacing w:line="460" w:lineRule="exact"/>
        <w:rPr>
          <w:rFonts w:hint="eastAsia" w:ascii="宋体" w:hAnsi="宋体" w:cs="宋体"/>
          <w:color w:val="auto"/>
          <w:spacing w:val="6"/>
          <w:sz w:val="22"/>
          <w:szCs w:val="22"/>
        </w:rPr>
      </w:pPr>
      <w:r>
        <w:rPr>
          <w:rFonts w:hint="eastAsia" w:ascii="新宋体" w:hAnsi="新宋体" w:eastAsia="新宋体" w:cs="新宋体"/>
          <w:color w:val="auto"/>
          <w:sz w:val="22"/>
          <w:szCs w:val="22"/>
        </w:rPr>
        <w:t>8.1</w:t>
      </w:r>
      <w:r>
        <w:rPr>
          <w:rFonts w:hint="eastAsia" w:ascii="新宋体" w:hAnsi="新宋体" w:eastAsia="新宋体" w:cs="新宋体"/>
          <w:color w:val="auto"/>
          <w:sz w:val="22"/>
          <w:szCs w:val="22"/>
          <w:lang w:val="en-US" w:eastAsia="zh-CN"/>
        </w:rPr>
        <w:t xml:space="preserve"> </w:t>
      </w:r>
      <w:r>
        <w:rPr>
          <w:rFonts w:hint="eastAsia" w:ascii="宋体" w:hAnsi="宋体" w:cs="宋体"/>
          <w:color w:val="auto"/>
          <w:spacing w:val="6"/>
          <w:sz w:val="22"/>
          <w:szCs w:val="22"/>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tabs>
          <w:tab w:val="left" w:pos="540"/>
        </w:tabs>
        <w:spacing w:line="460" w:lineRule="exact"/>
        <w:rPr>
          <w:rFonts w:hint="eastAsia" w:ascii="宋体" w:hAnsi="宋体" w:cs="宋体"/>
          <w:color w:val="auto"/>
          <w:spacing w:val="6"/>
          <w:sz w:val="22"/>
          <w:szCs w:val="22"/>
        </w:rPr>
      </w:pPr>
      <w:r>
        <w:rPr>
          <w:rFonts w:hint="eastAsia" w:ascii="宋体" w:hAnsi="宋体" w:cs="宋体"/>
          <w:color w:val="auto"/>
          <w:spacing w:val="6"/>
          <w:sz w:val="22"/>
          <w:szCs w:val="22"/>
        </w:rPr>
        <w:t>8.2</w:t>
      </w:r>
      <w:r>
        <w:rPr>
          <w:rFonts w:hint="eastAsia" w:ascii="宋体" w:hAnsi="宋体" w:cs="宋体"/>
          <w:color w:val="auto"/>
          <w:spacing w:val="6"/>
          <w:sz w:val="22"/>
          <w:szCs w:val="22"/>
          <w:lang w:val="en-US" w:eastAsia="zh-CN"/>
        </w:rPr>
        <w:t xml:space="preserve"> </w:t>
      </w:r>
      <w:r>
        <w:rPr>
          <w:rFonts w:hint="eastAsia" w:ascii="宋体" w:hAnsi="宋体" w:cs="宋体"/>
          <w:color w:val="auto"/>
          <w:spacing w:val="6"/>
          <w:sz w:val="22"/>
          <w:szCs w:val="22"/>
        </w:rPr>
        <w:t>投标人提出质疑应当提交质疑函和必要的证明材料，质疑函范本请到“浙江政府采购网下载专区”下载，质疑函内容及签署等相关要求请参看《政府采购质疑和投诉办法》相关规定。</w:t>
      </w:r>
    </w:p>
    <w:p>
      <w:pPr>
        <w:tabs>
          <w:tab w:val="left" w:pos="540"/>
        </w:tabs>
        <w:spacing w:line="460" w:lineRule="exact"/>
        <w:rPr>
          <w:rFonts w:hint="eastAsia" w:ascii="宋体" w:hAnsi="宋体" w:cs="宋体"/>
          <w:bCs/>
          <w:color w:val="auto"/>
          <w:spacing w:val="6"/>
          <w:sz w:val="22"/>
          <w:szCs w:val="22"/>
        </w:rPr>
      </w:pPr>
      <w:r>
        <w:rPr>
          <w:rFonts w:hint="eastAsia" w:ascii="宋体" w:hAnsi="宋体" w:cs="宋体"/>
          <w:color w:val="auto"/>
          <w:spacing w:val="6"/>
          <w:sz w:val="22"/>
          <w:szCs w:val="22"/>
        </w:rPr>
        <w:t>8.3</w:t>
      </w:r>
      <w:r>
        <w:rPr>
          <w:rFonts w:hint="eastAsia" w:ascii="宋体" w:hAnsi="宋体" w:cs="宋体"/>
          <w:color w:val="auto"/>
          <w:spacing w:val="6"/>
          <w:sz w:val="22"/>
          <w:szCs w:val="22"/>
          <w:lang w:val="en-US" w:eastAsia="zh-CN"/>
        </w:rPr>
        <w:t xml:space="preserve"> </w:t>
      </w:r>
      <w:r>
        <w:rPr>
          <w:rFonts w:hint="eastAsia" w:ascii="宋体" w:hAnsi="宋体" w:cs="宋体"/>
          <w:color w:val="auto"/>
          <w:spacing w:val="6"/>
          <w:sz w:val="22"/>
          <w:szCs w:val="22"/>
        </w:rPr>
        <w:t>提出质疑的投标人应当是参与本项目招标活动的投标人。</w:t>
      </w:r>
      <w:r>
        <w:rPr>
          <w:rFonts w:hint="eastAsia" w:ascii="宋体" w:hAnsi="宋体" w:cs="宋体"/>
          <w:bCs/>
          <w:color w:val="auto"/>
          <w:spacing w:val="6"/>
          <w:sz w:val="22"/>
          <w:szCs w:val="22"/>
        </w:rPr>
        <w:t>投标人在法定质疑期内一次性提出针对同一采购程序环节的质疑。</w:t>
      </w:r>
    </w:p>
    <w:p>
      <w:pPr>
        <w:tabs>
          <w:tab w:val="left" w:pos="540"/>
        </w:tabs>
        <w:spacing w:line="460" w:lineRule="exact"/>
        <w:rPr>
          <w:rFonts w:hint="eastAsia" w:ascii="宋体" w:hAnsi="宋体" w:cs="宋体"/>
          <w:color w:val="auto"/>
          <w:spacing w:val="6"/>
          <w:sz w:val="22"/>
          <w:szCs w:val="22"/>
        </w:rPr>
      </w:pPr>
      <w:r>
        <w:rPr>
          <w:rFonts w:hint="eastAsia" w:ascii="宋体" w:hAnsi="宋体" w:cs="宋体"/>
          <w:bCs/>
          <w:color w:val="auto"/>
          <w:spacing w:val="6"/>
          <w:sz w:val="22"/>
          <w:szCs w:val="22"/>
        </w:rPr>
        <w:t>8.4</w:t>
      </w:r>
      <w:r>
        <w:rPr>
          <w:rFonts w:hint="eastAsia" w:ascii="宋体" w:hAnsi="宋体" w:cs="宋体"/>
          <w:bCs/>
          <w:color w:val="auto"/>
          <w:spacing w:val="6"/>
          <w:sz w:val="22"/>
          <w:szCs w:val="22"/>
          <w:lang w:val="en-US" w:eastAsia="zh-CN"/>
        </w:rPr>
        <w:t xml:space="preserve"> </w:t>
      </w:r>
      <w:r>
        <w:rPr>
          <w:rFonts w:hint="eastAsia" w:ascii="宋体" w:hAnsi="宋体" w:cs="宋体"/>
          <w:color w:val="auto"/>
          <w:spacing w:val="6"/>
          <w:sz w:val="22"/>
          <w:szCs w:val="22"/>
        </w:rPr>
        <w:t>根据《政府采购质疑和投诉办法》第三十七条的规定，投诉人在全国范围12个月内三次以上投诉查无实据的，由财政部门列入不良行为记录名单。</w:t>
      </w:r>
    </w:p>
    <w:p>
      <w:pPr>
        <w:tabs>
          <w:tab w:val="left" w:pos="540"/>
        </w:tabs>
        <w:spacing w:line="460" w:lineRule="exact"/>
        <w:rPr>
          <w:rFonts w:hint="eastAsia" w:ascii="宋体" w:hAnsi="宋体" w:cs="宋体"/>
          <w:color w:val="auto"/>
          <w:spacing w:val="6"/>
          <w:sz w:val="22"/>
          <w:szCs w:val="22"/>
        </w:rPr>
      </w:pPr>
      <w:r>
        <w:rPr>
          <w:rFonts w:hint="eastAsia" w:ascii="宋体" w:hAnsi="宋体" w:cs="宋体"/>
          <w:color w:val="auto"/>
          <w:spacing w:val="6"/>
          <w:sz w:val="22"/>
          <w:szCs w:val="22"/>
        </w:rPr>
        <w:t>9.</w:t>
      </w:r>
      <w:r>
        <w:rPr>
          <w:rFonts w:hint="eastAsia" w:ascii="宋体" w:hAnsi="宋体" w:cs="宋体"/>
          <w:color w:val="auto"/>
          <w:spacing w:val="6"/>
          <w:sz w:val="22"/>
          <w:szCs w:val="22"/>
          <w:lang w:val="en-US" w:eastAsia="zh-CN"/>
        </w:rPr>
        <w:t xml:space="preserve">  </w:t>
      </w:r>
      <w:r>
        <w:rPr>
          <w:rFonts w:hint="eastAsia" w:ascii="宋体" w:hAnsi="宋体" w:cs="宋体"/>
          <w:color w:val="auto"/>
          <w:spacing w:val="6"/>
          <w:sz w:val="22"/>
          <w:szCs w:val="22"/>
        </w:rPr>
        <w:t>投诉</w:t>
      </w:r>
    </w:p>
    <w:p>
      <w:pPr>
        <w:tabs>
          <w:tab w:val="left" w:pos="540"/>
        </w:tabs>
        <w:spacing w:line="460" w:lineRule="exact"/>
        <w:rPr>
          <w:rFonts w:hint="eastAsia" w:ascii="新宋体" w:hAnsi="新宋体" w:eastAsia="新宋体" w:cs="新宋体"/>
          <w:color w:val="auto"/>
          <w:sz w:val="22"/>
          <w:szCs w:val="22"/>
        </w:rPr>
      </w:pPr>
      <w:r>
        <w:rPr>
          <w:rFonts w:hint="eastAsia" w:ascii="宋体" w:hAnsi="宋体" w:cs="宋体"/>
          <w:color w:val="auto"/>
          <w:spacing w:val="6"/>
          <w:sz w:val="22"/>
          <w:szCs w:val="22"/>
        </w:rPr>
        <w:t>9.1</w:t>
      </w:r>
      <w:r>
        <w:rPr>
          <w:rFonts w:hint="eastAsia" w:ascii="宋体" w:hAnsi="宋体" w:cs="宋体"/>
          <w:color w:val="auto"/>
          <w:spacing w:val="6"/>
          <w:sz w:val="22"/>
          <w:szCs w:val="22"/>
          <w:lang w:val="en-US" w:eastAsia="zh-CN"/>
        </w:rPr>
        <w:t xml:space="preserve"> </w:t>
      </w:r>
      <w:r>
        <w:rPr>
          <w:rFonts w:hint="eastAsia" w:ascii="宋体" w:hAnsi="宋体" w:cs="宋体"/>
          <w:color w:val="auto"/>
          <w:spacing w:val="6"/>
          <w:sz w:val="22"/>
          <w:szCs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tabs>
          <w:tab w:val="left" w:pos="54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10.</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采购文件的澄清或修改</w:t>
      </w:r>
    </w:p>
    <w:p>
      <w:pPr>
        <w:spacing w:line="400" w:lineRule="exact"/>
        <w:rPr>
          <w:rFonts w:ascii="宋体" w:hAnsi="宋体" w:cs="宋体"/>
          <w:color w:val="auto"/>
          <w:spacing w:val="6"/>
          <w:sz w:val="22"/>
          <w:szCs w:val="22"/>
        </w:rPr>
      </w:pPr>
      <w:r>
        <w:rPr>
          <w:rFonts w:hint="eastAsia" w:ascii="宋体" w:hAnsi="宋体" w:cs="宋体"/>
          <w:color w:val="auto"/>
          <w:spacing w:val="6"/>
          <w:sz w:val="22"/>
          <w:szCs w:val="22"/>
        </w:rPr>
        <w:t>10.1</w:t>
      </w:r>
      <w:r>
        <w:rPr>
          <w:rFonts w:hint="eastAsia" w:ascii="宋体" w:hAnsi="宋体" w:cs="宋体"/>
          <w:color w:val="auto"/>
          <w:spacing w:val="6"/>
          <w:sz w:val="22"/>
          <w:szCs w:val="22"/>
          <w:lang w:val="en-US" w:eastAsia="zh-CN"/>
        </w:rPr>
        <w:t xml:space="preserve"> </w:t>
      </w:r>
      <w:r>
        <w:rPr>
          <w:rFonts w:hint="eastAsia" w:ascii="宋体" w:hAnsi="宋体" w:cs="宋体"/>
          <w:color w:val="auto"/>
          <w:spacing w:val="6"/>
          <w:sz w:val="22"/>
          <w:szCs w:val="22"/>
        </w:rPr>
        <w:t>采购人或者采购代理机构可以对已发出的采购文件进行必要的澄清或者修改。澄清或者修改</w:t>
      </w:r>
      <w:r>
        <w:rPr>
          <w:rFonts w:hint="eastAsia" w:ascii="宋体" w:hAnsi="宋体" w:cs="宋体"/>
          <w:bCs/>
          <w:color w:val="auto"/>
          <w:spacing w:val="6"/>
          <w:sz w:val="22"/>
          <w:szCs w:val="22"/>
        </w:rPr>
        <w:t>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color w:val="auto"/>
          <w:spacing w:val="6"/>
          <w:sz w:val="22"/>
          <w:szCs w:val="22"/>
        </w:rPr>
        <w:t>澄清或者修改的内容为采购文件的组成部分。</w:t>
      </w:r>
    </w:p>
    <w:p>
      <w:pPr>
        <w:spacing w:line="400" w:lineRule="exact"/>
        <w:rPr>
          <w:rFonts w:hint="eastAsia" w:ascii="宋体" w:hAnsi="宋体" w:cs="宋体"/>
          <w:color w:val="auto"/>
          <w:spacing w:val="6"/>
          <w:sz w:val="22"/>
          <w:szCs w:val="22"/>
        </w:rPr>
      </w:pPr>
      <w:r>
        <w:rPr>
          <w:rFonts w:hint="eastAsia" w:ascii="宋体" w:hAnsi="宋体" w:cs="宋体"/>
          <w:color w:val="auto"/>
          <w:spacing w:val="6"/>
          <w:sz w:val="22"/>
          <w:szCs w:val="22"/>
        </w:rPr>
        <w:t>10.2</w:t>
      </w:r>
      <w:r>
        <w:rPr>
          <w:rFonts w:hint="eastAsia" w:ascii="宋体" w:hAnsi="宋体" w:cs="宋体"/>
          <w:color w:val="auto"/>
          <w:spacing w:val="6"/>
          <w:sz w:val="22"/>
          <w:szCs w:val="22"/>
          <w:lang w:val="en-US" w:eastAsia="zh-CN"/>
        </w:rPr>
        <w:t xml:space="preserve"> </w:t>
      </w:r>
      <w:r>
        <w:rPr>
          <w:rFonts w:hint="eastAsia" w:ascii="宋体" w:hAnsi="宋体" w:cs="宋体"/>
          <w:color w:val="auto"/>
          <w:spacing w:val="6"/>
          <w:sz w:val="22"/>
          <w:szCs w:val="22"/>
        </w:rPr>
        <w:t>澄清或者修改的内容可能影响投标文件编制的，采购人或者采购代理机构应当在投标截止时间至少15日前，以书面形式（</w:t>
      </w:r>
      <w:r>
        <w:rPr>
          <w:rFonts w:hint="eastAsia" w:ascii="宋体" w:hAnsi="宋体" w:cs="宋体"/>
          <w:bCs/>
          <w:color w:val="auto"/>
          <w:spacing w:val="6"/>
          <w:sz w:val="22"/>
          <w:szCs w:val="22"/>
        </w:rPr>
        <w:t>在浙江政府采购网上发布公告</w:t>
      </w:r>
      <w:r>
        <w:rPr>
          <w:rFonts w:hint="eastAsia" w:ascii="宋体" w:hAnsi="宋体" w:cs="宋体"/>
          <w:color w:val="auto"/>
          <w:spacing w:val="6"/>
          <w:sz w:val="22"/>
          <w:szCs w:val="22"/>
        </w:rPr>
        <w:t>）通知所有获取采购文件的潜在投标人；不足15日的，采购人或者采购代理机构应当顺延提交投标文件的截止时间。</w:t>
      </w:r>
    </w:p>
    <w:p>
      <w:pPr>
        <w:tabs>
          <w:tab w:val="left" w:pos="540"/>
        </w:tabs>
        <w:spacing w:line="460" w:lineRule="exact"/>
        <w:rPr>
          <w:rFonts w:hint="eastAsia" w:ascii="新宋体" w:hAnsi="新宋体" w:eastAsia="新宋体" w:cs="新宋体"/>
          <w:color w:val="auto"/>
          <w:sz w:val="22"/>
          <w:szCs w:val="22"/>
        </w:rPr>
      </w:pPr>
      <w:r>
        <w:rPr>
          <w:rFonts w:hint="eastAsia" w:ascii="宋体" w:hAnsi="宋体" w:cs="宋体"/>
          <w:color w:val="auto"/>
          <w:spacing w:val="6"/>
          <w:sz w:val="22"/>
          <w:szCs w:val="22"/>
        </w:rPr>
        <w:t>10.3</w:t>
      </w:r>
      <w:r>
        <w:rPr>
          <w:rFonts w:hint="eastAsia" w:ascii="宋体" w:hAnsi="宋体" w:cs="宋体"/>
          <w:color w:val="auto"/>
          <w:spacing w:val="6"/>
          <w:sz w:val="22"/>
          <w:szCs w:val="22"/>
          <w:lang w:val="en-US" w:eastAsia="zh-CN"/>
        </w:rPr>
        <w:t xml:space="preserve"> </w:t>
      </w:r>
      <w:r>
        <w:rPr>
          <w:rFonts w:hint="eastAsia" w:ascii="宋体" w:hAnsi="宋体" w:cs="宋体"/>
          <w:color w:val="auto"/>
          <w:spacing w:val="6"/>
          <w:sz w:val="22"/>
          <w:szCs w:val="22"/>
        </w:rPr>
        <w:t>采购文件如有补充更正均见“政采云”（http://www.zjzfcg.gov.cn）。投标人须在开标前一日自行查看是否有补充更正文件，并按补充更正文件要求投标，否则责任自负。</w:t>
      </w:r>
    </w:p>
    <w:p>
      <w:pPr>
        <w:pStyle w:val="5"/>
        <w:spacing w:line="500" w:lineRule="exact"/>
        <w:jc w:val="center"/>
        <w:rPr>
          <w:rFonts w:hint="eastAsia" w:ascii="新宋体" w:hAnsi="新宋体" w:eastAsia="新宋体"/>
          <w:color w:val="auto"/>
          <w:sz w:val="22"/>
          <w:szCs w:val="22"/>
        </w:rPr>
      </w:pPr>
      <w:bookmarkStart w:id="62" w:name="_Toc34508132"/>
      <w:bookmarkStart w:id="63" w:name="_Toc223715997"/>
      <w:bookmarkStart w:id="64" w:name="_Toc221356885"/>
      <w:bookmarkStart w:id="65" w:name="_Toc34572031"/>
      <w:bookmarkStart w:id="66" w:name="_Toc239145353"/>
      <w:bookmarkStart w:id="67" w:name="_Toc241404201"/>
      <w:bookmarkStart w:id="68" w:name="_Toc265529382"/>
      <w:bookmarkStart w:id="69" w:name="_Toc221374625"/>
      <w:bookmarkStart w:id="70" w:name="_Toc221423618"/>
      <w:bookmarkStart w:id="71" w:name="_Toc221356950"/>
      <w:bookmarkStart w:id="72" w:name="_Toc222114878"/>
      <w:r>
        <w:rPr>
          <w:rFonts w:hint="eastAsia" w:ascii="新宋体" w:hAnsi="新宋体" w:eastAsia="新宋体"/>
          <w:color w:val="auto"/>
          <w:sz w:val="22"/>
          <w:szCs w:val="22"/>
        </w:rPr>
        <w:t>三、 投标文件的编制</w:t>
      </w:r>
      <w:bookmarkEnd w:id="62"/>
      <w:bookmarkEnd w:id="63"/>
      <w:bookmarkEnd w:id="64"/>
      <w:bookmarkEnd w:id="65"/>
      <w:bookmarkEnd w:id="66"/>
      <w:bookmarkEnd w:id="67"/>
      <w:bookmarkEnd w:id="68"/>
      <w:bookmarkEnd w:id="69"/>
      <w:bookmarkEnd w:id="70"/>
      <w:bookmarkEnd w:id="71"/>
      <w:bookmarkEnd w:id="72"/>
    </w:p>
    <w:p>
      <w:pPr>
        <w:spacing w:line="440" w:lineRule="exact"/>
        <w:rPr>
          <w:rFonts w:hint="eastAsia" w:ascii="新宋体" w:hAnsi="新宋体" w:eastAsia="新宋体" w:cs="新宋体"/>
          <w:snapToGrid w:val="0"/>
          <w:color w:val="auto"/>
          <w:sz w:val="22"/>
          <w:szCs w:val="22"/>
        </w:rPr>
      </w:pPr>
      <w:bookmarkStart w:id="73" w:name="_Toc221356886"/>
      <w:r>
        <w:rPr>
          <w:rFonts w:hint="eastAsia" w:ascii="新宋体" w:hAnsi="新宋体" w:eastAsia="新宋体" w:cs="新宋体"/>
          <w:snapToGrid w:val="0"/>
          <w:color w:val="auto"/>
          <w:sz w:val="22"/>
          <w:szCs w:val="22"/>
        </w:rPr>
        <w:t xml:space="preserve">11. </w:t>
      </w:r>
      <w:r>
        <w:rPr>
          <w:rFonts w:hint="eastAsia" w:ascii="新宋体" w:hAnsi="新宋体" w:eastAsia="新宋体" w:cs="新宋体"/>
          <w:snapToGrid w:val="0"/>
          <w:color w:val="auto"/>
          <w:sz w:val="22"/>
          <w:szCs w:val="22"/>
          <w:lang w:val="en-US" w:eastAsia="zh-CN"/>
        </w:rPr>
        <w:t xml:space="preserve"> </w:t>
      </w:r>
      <w:r>
        <w:rPr>
          <w:rFonts w:hint="eastAsia" w:ascii="新宋体" w:hAnsi="新宋体" w:eastAsia="新宋体" w:cs="新宋体"/>
          <w:snapToGrid w:val="0"/>
          <w:color w:val="auto"/>
          <w:sz w:val="22"/>
          <w:szCs w:val="22"/>
        </w:rPr>
        <w:t>投标文件的形式和效力</w:t>
      </w:r>
    </w:p>
    <w:p>
      <w:pPr>
        <w:spacing w:line="440" w:lineRule="exact"/>
        <w:rPr>
          <w:rFonts w:hint="eastAsia" w:ascii="新宋体" w:hAnsi="新宋体" w:eastAsia="新宋体" w:cs="新宋体"/>
          <w:snapToGrid w:val="0"/>
          <w:color w:val="auto"/>
          <w:sz w:val="22"/>
          <w:szCs w:val="22"/>
        </w:rPr>
      </w:pPr>
      <w:r>
        <w:rPr>
          <w:rFonts w:hint="eastAsia" w:ascii="新宋体" w:hAnsi="新宋体" w:eastAsia="新宋体" w:cs="新宋体"/>
          <w:snapToGrid w:val="0"/>
          <w:color w:val="auto"/>
          <w:sz w:val="22"/>
          <w:szCs w:val="22"/>
        </w:rPr>
        <w:t>11.1</w:t>
      </w:r>
      <w:r>
        <w:rPr>
          <w:rFonts w:hint="eastAsia" w:ascii="新宋体" w:hAnsi="新宋体" w:eastAsia="新宋体" w:cs="新宋体"/>
          <w:snapToGrid w:val="0"/>
          <w:color w:val="auto"/>
          <w:sz w:val="22"/>
          <w:szCs w:val="22"/>
          <w:lang w:val="en-US" w:eastAsia="zh-CN"/>
        </w:rPr>
        <w:t xml:space="preserve"> </w:t>
      </w:r>
      <w:r>
        <w:rPr>
          <w:rFonts w:hint="eastAsia" w:ascii="新宋体" w:hAnsi="新宋体" w:eastAsia="新宋体" w:cs="新宋体"/>
          <w:snapToGrid w:val="0"/>
          <w:color w:val="auto"/>
          <w:sz w:val="22"/>
          <w:szCs w:val="22"/>
        </w:rPr>
        <w:t>投标文件分为 “电子加密投标文件”和“备份投标文件”两类，在投标文件编制完成后同时生成。</w:t>
      </w:r>
    </w:p>
    <w:p>
      <w:pPr>
        <w:spacing w:line="440" w:lineRule="exact"/>
        <w:rPr>
          <w:rFonts w:hint="eastAsia" w:ascii="新宋体" w:hAnsi="新宋体" w:eastAsia="新宋体" w:cs="新宋体"/>
          <w:snapToGrid w:val="0"/>
          <w:color w:val="auto"/>
          <w:sz w:val="22"/>
          <w:szCs w:val="22"/>
        </w:rPr>
      </w:pPr>
      <w:r>
        <w:rPr>
          <w:rFonts w:hint="eastAsia" w:ascii="新宋体" w:hAnsi="新宋体" w:eastAsia="新宋体" w:cs="新宋体"/>
          <w:snapToGrid w:val="0"/>
          <w:color w:val="auto"/>
          <w:sz w:val="22"/>
          <w:szCs w:val="22"/>
        </w:rPr>
        <w:t>11.2</w:t>
      </w:r>
      <w:r>
        <w:rPr>
          <w:rFonts w:hint="eastAsia" w:ascii="新宋体" w:hAnsi="新宋体" w:eastAsia="新宋体" w:cs="新宋体"/>
          <w:snapToGrid w:val="0"/>
          <w:color w:val="auto"/>
          <w:sz w:val="22"/>
          <w:szCs w:val="22"/>
          <w:lang w:val="en-US" w:eastAsia="zh-CN"/>
        </w:rPr>
        <w:t xml:space="preserve"> </w:t>
      </w:r>
      <w:r>
        <w:rPr>
          <w:rFonts w:hint="eastAsia" w:ascii="新宋体" w:hAnsi="新宋体" w:eastAsia="新宋体" w:cs="新宋体"/>
          <w:snapToGrid w:val="0"/>
          <w:color w:val="auto"/>
          <w:sz w:val="22"/>
          <w:szCs w:val="22"/>
        </w:rPr>
        <w:t>“电子加密投标文件”是指通过“政采云电子交易客户端”完成投标文件编制后生成并加密的数据电文形式的投标文件。</w:t>
      </w:r>
    </w:p>
    <w:p>
      <w:pPr>
        <w:spacing w:line="440" w:lineRule="exact"/>
        <w:rPr>
          <w:rFonts w:hint="eastAsia" w:ascii="新宋体" w:hAnsi="新宋体" w:eastAsia="新宋体" w:cs="新宋体"/>
          <w:snapToGrid w:val="0"/>
          <w:color w:val="auto"/>
          <w:sz w:val="22"/>
          <w:szCs w:val="22"/>
        </w:rPr>
      </w:pPr>
      <w:r>
        <w:rPr>
          <w:rFonts w:hint="eastAsia" w:ascii="新宋体" w:hAnsi="新宋体" w:eastAsia="新宋体" w:cs="新宋体"/>
          <w:snapToGrid w:val="0"/>
          <w:color w:val="auto"/>
          <w:sz w:val="22"/>
          <w:szCs w:val="22"/>
        </w:rPr>
        <w:t>11.3</w:t>
      </w:r>
      <w:r>
        <w:rPr>
          <w:rFonts w:hint="eastAsia" w:ascii="新宋体" w:hAnsi="新宋体" w:eastAsia="新宋体" w:cs="新宋体"/>
          <w:snapToGrid w:val="0"/>
          <w:color w:val="auto"/>
          <w:sz w:val="22"/>
          <w:szCs w:val="22"/>
          <w:lang w:val="en-US" w:eastAsia="zh-CN"/>
        </w:rPr>
        <w:t xml:space="preserve"> </w:t>
      </w:r>
      <w:r>
        <w:rPr>
          <w:rFonts w:hint="eastAsia" w:ascii="新宋体" w:hAnsi="新宋体" w:eastAsia="新宋体" w:cs="新宋体"/>
          <w:snapToGrid w:val="0"/>
          <w:color w:val="auto"/>
          <w:sz w:val="22"/>
          <w:szCs w:val="22"/>
        </w:rPr>
        <w:t>“备份投标文件”是指与“电子加密投标文件”同时生成的数据电文形式的电子文件（备份标书），其他方式编制的备份投标文件视为无效备份投标文件。</w:t>
      </w:r>
    </w:p>
    <w:p>
      <w:pPr>
        <w:spacing w:line="440" w:lineRule="exact"/>
        <w:rPr>
          <w:rFonts w:hint="eastAsia" w:ascii="新宋体" w:hAnsi="新宋体" w:eastAsia="新宋体" w:cs="新宋体"/>
          <w:snapToGrid w:val="0"/>
          <w:color w:val="auto"/>
          <w:sz w:val="22"/>
          <w:szCs w:val="22"/>
        </w:rPr>
      </w:pPr>
      <w:r>
        <w:rPr>
          <w:rFonts w:hint="eastAsia" w:ascii="新宋体" w:hAnsi="新宋体" w:eastAsia="新宋体" w:cs="新宋体"/>
          <w:snapToGrid w:val="0"/>
          <w:color w:val="auto"/>
          <w:sz w:val="22"/>
          <w:szCs w:val="22"/>
        </w:rPr>
        <w:t>11.4</w:t>
      </w:r>
      <w:r>
        <w:rPr>
          <w:rFonts w:hint="eastAsia" w:ascii="新宋体" w:hAnsi="新宋体" w:eastAsia="新宋体" w:cs="新宋体"/>
          <w:snapToGrid w:val="0"/>
          <w:color w:val="auto"/>
          <w:sz w:val="22"/>
          <w:szCs w:val="22"/>
          <w:lang w:val="en-US" w:eastAsia="zh-CN"/>
        </w:rPr>
        <w:t xml:space="preserve"> </w:t>
      </w:r>
      <w:r>
        <w:rPr>
          <w:rFonts w:hint="eastAsia" w:ascii="新宋体" w:hAnsi="新宋体" w:eastAsia="新宋体" w:cs="新宋体"/>
          <w:snapToGrid w:val="0"/>
          <w:color w:val="auto"/>
          <w:sz w:val="22"/>
          <w:szCs w:val="22"/>
        </w:rPr>
        <w:t>投标文件的启用，按先后顺位分别为“电子加密投标文件”、 “备份投标文件”。在下一顺位的投标文件启用时，前一顺位的投标文件自动失效。</w:t>
      </w:r>
    </w:p>
    <w:p>
      <w:pPr>
        <w:spacing w:line="440" w:lineRule="exact"/>
        <w:rPr>
          <w:rFonts w:hint="eastAsia" w:ascii="新宋体" w:hAnsi="新宋体" w:eastAsia="新宋体" w:cs="新宋体"/>
          <w:snapToGrid w:val="0"/>
          <w:color w:val="auto"/>
          <w:sz w:val="22"/>
          <w:szCs w:val="22"/>
        </w:rPr>
      </w:pPr>
      <w:r>
        <w:rPr>
          <w:rFonts w:hint="eastAsia" w:ascii="新宋体" w:hAnsi="新宋体" w:eastAsia="新宋体" w:cs="新宋体"/>
          <w:snapToGrid w:val="0"/>
          <w:color w:val="auto"/>
          <w:sz w:val="22"/>
          <w:szCs w:val="22"/>
        </w:rPr>
        <w:t xml:space="preserve">12. </w:t>
      </w:r>
      <w:r>
        <w:rPr>
          <w:rFonts w:hint="eastAsia" w:ascii="新宋体" w:hAnsi="新宋体" w:eastAsia="新宋体" w:cs="新宋体"/>
          <w:snapToGrid w:val="0"/>
          <w:color w:val="auto"/>
          <w:sz w:val="22"/>
          <w:szCs w:val="22"/>
          <w:lang w:val="en-US" w:eastAsia="zh-CN"/>
        </w:rPr>
        <w:t xml:space="preserve"> </w:t>
      </w:r>
      <w:r>
        <w:rPr>
          <w:rFonts w:hint="eastAsia" w:ascii="新宋体" w:hAnsi="新宋体" w:eastAsia="新宋体" w:cs="新宋体"/>
          <w:snapToGrid w:val="0"/>
          <w:color w:val="auto"/>
          <w:sz w:val="22"/>
          <w:szCs w:val="22"/>
        </w:rPr>
        <w:t>投标文件的构成</w:t>
      </w:r>
    </w:p>
    <w:p>
      <w:pPr>
        <w:tabs>
          <w:tab w:val="left" w:pos="360"/>
        </w:tabs>
        <w:spacing w:line="460" w:lineRule="exact"/>
        <w:rPr>
          <w:rFonts w:hint="eastAsia" w:ascii="新宋体" w:hAnsi="新宋体" w:eastAsia="新宋体" w:cs="新宋体"/>
          <w:color w:val="auto"/>
          <w:sz w:val="22"/>
          <w:szCs w:val="22"/>
        </w:rPr>
      </w:pPr>
      <w:r>
        <w:rPr>
          <w:rFonts w:hint="eastAsia" w:ascii="新宋体" w:hAnsi="新宋体" w:eastAsia="新宋体" w:cs="新宋体"/>
          <w:b/>
          <w:bCs/>
          <w:color w:val="auto"/>
          <w:sz w:val="22"/>
          <w:szCs w:val="22"/>
        </w:rPr>
        <w:t>12.1 投标文件包括资格审查资料、商务技术文件、报价文件三部分。</w:t>
      </w:r>
    </w:p>
    <w:p>
      <w:pPr>
        <w:spacing w:line="430" w:lineRule="exact"/>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12.2 投标文件资格审查资料须包括下列部分：</w:t>
      </w:r>
    </w:p>
    <w:p>
      <w:pPr>
        <w:pStyle w:val="23"/>
        <w:rPr>
          <w:rFonts w:hint="eastAsia"/>
          <w:color w:val="auto"/>
        </w:rPr>
      </w:pPr>
    </w:p>
    <w:tbl>
      <w:tblPr>
        <w:tblStyle w:val="5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noWrap w:val="0"/>
            <w:vAlign w:val="center"/>
          </w:tcPr>
          <w:p>
            <w:pPr>
              <w:overflowPunct w:val="0"/>
              <w:spacing w:line="430" w:lineRule="exact"/>
              <w:jc w:val="center"/>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序号</w:t>
            </w:r>
          </w:p>
        </w:tc>
        <w:tc>
          <w:tcPr>
            <w:tcW w:w="9115" w:type="dxa"/>
            <w:noWrap w:val="0"/>
            <w:vAlign w:val="center"/>
          </w:tcPr>
          <w:p>
            <w:pPr>
              <w:overflowPunct w:val="0"/>
              <w:spacing w:line="430" w:lineRule="exact"/>
              <w:jc w:val="center"/>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color w:val="auto"/>
                <w:sz w:val="22"/>
                <w:szCs w:val="22"/>
              </w:rPr>
            </w:pPr>
            <w:bookmarkStart w:id="74" w:name="_Hlk16667472"/>
            <w:r>
              <w:rPr>
                <w:rFonts w:hint="eastAsia" w:ascii="新宋体" w:hAnsi="新宋体" w:eastAsia="新宋体" w:cs="新宋体"/>
                <w:bCs/>
                <w:color w:val="auto"/>
                <w:sz w:val="22"/>
                <w:szCs w:val="22"/>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color w:val="auto"/>
                <w:kern w:val="0"/>
                <w:sz w:val="22"/>
                <w:szCs w:val="22"/>
                <w:highlight w:val="none"/>
                <w:lang w:eastAsia="zh-CN"/>
              </w:rPr>
            </w:pPr>
            <w:r>
              <w:rPr>
                <w:rFonts w:hint="eastAsia" w:ascii="新宋体" w:hAnsi="新宋体" w:eastAsia="新宋体" w:cs="楷体"/>
                <w:color w:val="auto"/>
                <w:kern w:val="0"/>
                <w:sz w:val="22"/>
                <w:szCs w:val="22"/>
                <w:highlight w:val="none"/>
                <w:lang w:eastAsia="zh-CN"/>
              </w:rPr>
              <w:t>法定代表人声明书或法定代表人授权书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color w:val="auto"/>
                <w:kern w:val="0"/>
                <w:sz w:val="22"/>
                <w:szCs w:val="22"/>
              </w:rPr>
            </w:pPr>
            <w:r>
              <w:rPr>
                <w:rFonts w:hint="eastAsia" w:ascii="新宋体" w:hAnsi="新宋体" w:eastAsia="新宋体" w:cs="楷体"/>
                <w:color w:val="auto"/>
                <w:kern w:val="0"/>
                <w:sz w:val="22"/>
                <w:szCs w:val="22"/>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color w:val="auto"/>
                <w:kern w:val="0"/>
                <w:sz w:val="22"/>
                <w:szCs w:val="22"/>
              </w:rPr>
            </w:pPr>
            <w:r>
              <w:rPr>
                <w:rFonts w:hint="eastAsia" w:ascii="宋体" w:hAnsi="宋体"/>
                <w:color w:val="auto"/>
                <w:sz w:val="22"/>
                <w:szCs w:val="22"/>
              </w:rPr>
              <w:t>财务状况报告、依法缴纳税收证明材料、依法缴纳社会保障资金证明材料</w:t>
            </w:r>
            <w:r>
              <w:rPr>
                <w:rFonts w:hint="eastAsia" w:ascii="宋体" w:hAnsi="宋体" w:cs="新宋体"/>
                <w:bCs/>
                <w:color w:val="auto"/>
                <w:sz w:val="22"/>
                <w:szCs w:val="22"/>
              </w:rPr>
              <w:t>(新成立的公司，必须提供情况说明)；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color w:val="auto"/>
                <w:kern w:val="0"/>
                <w:sz w:val="22"/>
                <w:szCs w:val="22"/>
              </w:rPr>
            </w:pPr>
            <w:r>
              <w:rPr>
                <w:rFonts w:hint="eastAsia" w:ascii="新宋体" w:hAnsi="新宋体" w:eastAsia="新宋体" w:cs="楷体"/>
                <w:color w:val="auto"/>
                <w:kern w:val="0"/>
                <w:sz w:val="22"/>
                <w:szCs w:val="22"/>
              </w:rPr>
              <w:t>供应商参与政府采购活动投标资格声明函（见附件）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5</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b/>
                <w:color w:val="auto"/>
                <w:kern w:val="0"/>
                <w:sz w:val="22"/>
                <w:szCs w:val="22"/>
              </w:rPr>
            </w:pPr>
            <w:r>
              <w:rPr>
                <w:rFonts w:hint="eastAsia" w:ascii="新宋体" w:hAnsi="新宋体" w:eastAsia="新宋体" w:cs="楷体"/>
                <w:color w:val="auto"/>
                <w:kern w:val="0"/>
                <w:sz w:val="22"/>
                <w:szCs w:val="22"/>
              </w:rPr>
              <w:t>法定代表人诚信投标承诺书（见附件）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6</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color w:val="auto"/>
                <w:kern w:val="0"/>
                <w:sz w:val="22"/>
                <w:szCs w:val="22"/>
              </w:rPr>
            </w:pPr>
            <w:r>
              <w:rPr>
                <w:rFonts w:hint="eastAsia" w:ascii="新宋体" w:hAnsi="新宋体" w:eastAsia="新宋体" w:cs="楷体"/>
                <w:color w:val="auto"/>
                <w:kern w:val="0"/>
                <w:sz w:val="22"/>
                <w:szCs w:val="22"/>
              </w:rPr>
              <w:t>参加政府采购活动前3年内（新成立不满三年的组织机构自成立之日起算）在经营活动中没有重大违法记录的声明函（见附件）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7</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color w:val="auto"/>
                <w:kern w:val="0"/>
                <w:sz w:val="22"/>
                <w:szCs w:val="22"/>
              </w:rPr>
            </w:pPr>
            <w:r>
              <w:rPr>
                <w:rFonts w:hint="eastAsia" w:ascii="新宋体" w:hAnsi="新宋体" w:eastAsia="新宋体" w:cs="楷体"/>
                <w:color w:val="auto"/>
                <w:kern w:val="0"/>
                <w:sz w:val="22"/>
                <w:szCs w:val="22"/>
              </w:rPr>
              <w:t>具有履行合同所必需的设备和专业技术能力的承诺函（见附件）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8</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color w:val="auto"/>
                <w:kern w:val="0"/>
                <w:sz w:val="22"/>
                <w:szCs w:val="22"/>
              </w:rPr>
            </w:pPr>
            <w:r>
              <w:rPr>
                <w:rFonts w:hint="eastAsia" w:ascii="新宋体" w:hAnsi="新宋体" w:eastAsia="新宋体" w:cs="楷体"/>
                <w:color w:val="auto"/>
                <w:kern w:val="0"/>
                <w:sz w:val="22"/>
                <w:szCs w:val="22"/>
              </w:rPr>
              <w:t>至本项目投标截止时间内任意时间的“信用中国（https://www.creditchina.gov.cn/）”、“中国政府采购网（http://www.ccgp.gov.cn/）”投标人信用查询网页截图（以开标当日采购人或采购代理机构网页查询结果为准）。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color w:val="auto"/>
                <w:sz w:val="22"/>
                <w:szCs w:val="22"/>
                <w:lang w:val="en-US" w:eastAsia="zh-CN"/>
              </w:rPr>
            </w:pPr>
            <w:r>
              <w:rPr>
                <w:rFonts w:hint="eastAsia" w:ascii="新宋体" w:hAnsi="新宋体" w:eastAsia="新宋体" w:cs="新宋体"/>
                <w:bCs/>
                <w:color w:val="auto"/>
                <w:sz w:val="22"/>
                <w:szCs w:val="22"/>
                <w:lang w:val="en-US" w:eastAsia="zh-CN"/>
              </w:rPr>
              <w:t>9</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color w:val="auto"/>
                <w:kern w:val="0"/>
                <w:sz w:val="22"/>
                <w:szCs w:val="22"/>
                <w:lang w:eastAsia="zh-CN"/>
              </w:rPr>
            </w:pPr>
            <w:r>
              <w:rPr>
                <w:rFonts w:ascii="新宋体" w:hAnsi="新宋体" w:eastAsia="新宋体" w:cs="新宋体"/>
                <w:color w:val="auto"/>
                <w:sz w:val="22"/>
                <w:szCs w:val="22"/>
              </w:rPr>
              <w:t>特定资格条件</w:t>
            </w:r>
            <w:r>
              <w:rPr>
                <w:rFonts w:hint="eastAsia" w:ascii="新宋体" w:hAnsi="新宋体" w:eastAsia="新宋体" w:cs="新宋体"/>
                <w:color w:val="auto"/>
                <w:sz w:val="22"/>
                <w:szCs w:val="22"/>
                <w:lang w:eastAsia="zh-CN"/>
              </w:rPr>
              <w:t>：无</w:t>
            </w:r>
          </w:p>
        </w:tc>
      </w:tr>
      <w:bookmarkEnd w:id="74"/>
    </w:tbl>
    <w:p>
      <w:pPr>
        <w:spacing w:line="430" w:lineRule="exact"/>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备注：</w:t>
      </w:r>
    </w:p>
    <w:p>
      <w:pPr>
        <w:numPr>
          <w:ilvl w:val="0"/>
          <w:numId w:val="18"/>
        </w:numPr>
        <w:spacing w:line="43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本表所列内容，供应商均须提供，欠缺任意一项内容，资格审查不予通过，不再进入技术资信标评审。（投标供应商法定代表人参加投标的，不需要提供第1</w:t>
      </w:r>
      <w:r>
        <w:rPr>
          <w:rFonts w:ascii="新宋体" w:hAnsi="新宋体" w:eastAsia="新宋体" w:cs="新宋体"/>
          <w:color w:val="auto"/>
          <w:sz w:val="22"/>
          <w:szCs w:val="22"/>
        </w:rPr>
        <w:t>项</w:t>
      </w:r>
      <w:r>
        <w:rPr>
          <w:rFonts w:hint="eastAsia" w:ascii="新宋体" w:hAnsi="新宋体" w:eastAsia="新宋体" w:cs="新宋体"/>
          <w:color w:val="auto"/>
          <w:sz w:val="22"/>
          <w:szCs w:val="22"/>
        </w:rPr>
        <w:t>法定代表人（单位负责人）授权书</w:t>
      </w:r>
      <w:r>
        <w:rPr>
          <w:rFonts w:ascii="新宋体" w:hAnsi="新宋体" w:eastAsia="新宋体" w:cs="新宋体"/>
          <w:color w:val="auto"/>
          <w:sz w:val="22"/>
          <w:szCs w:val="22"/>
        </w:rPr>
        <w:t>；第</w:t>
      </w:r>
      <w:r>
        <w:rPr>
          <w:rFonts w:hint="eastAsia" w:ascii="新宋体" w:hAnsi="新宋体" w:eastAsia="新宋体" w:cs="新宋体"/>
          <w:color w:val="auto"/>
          <w:sz w:val="22"/>
          <w:szCs w:val="22"/>
          <w:lang w:val="en-US" w:eastAsia="zh-CN"/>
        </w:rPr>
        <w:t>9</w:t>
      </w:r>
      <w:r>
        <w:rPr>
          <w:rFonts w:ascii="新宋体" w:hAnsi="新宋体" w:eastAsia="新宋体" w:cs="新宋体"/>
          <w:color w:val="auto"/>
          <w:sz w:val="22"/>
          <w:szCs w:val="22"/>
        </w:rPr>
        <w:t>项内容如供应商资格条件未要求特定资格条件的，则不需要提供。）</w:t>
      </w:r>
    </w:p>
    <w:p>
      <w:pPr>
        <w:numPr>
          <w:ilvl w:val="0"/>
          <w:numId w:val="18"/>
        </w:numPr>
        <w:spacing w:line="430" w:lineRule="exact"/>
        <w:rPr>
          <w:rFonts w:hint="eastAsia" w:ascii="新宋体" w:hAnsi="新宋体" w:eastAsia="新宋体" w:cs="新宋体"/>
          <w:color w:val="auto"/>
          <w:sz w:val="22"/>
          <w:szCs w:val="22"/>
        </w:rPr>
      </w:pPr>
      <w:r>
        <w:rPr>
          <w:rFonts w:hint="eastAsia" w:ascii="新宋体" w:hAnsi="新宋体" w:eastAsia="新宋体" w:cs="新宋体"/>
          <w:b/>
          <w:bCs/>
          <w:color w:val="auto"/>
          <w:szCs w:val="21"/>
          <w:u w:val="single"/>
        </w:rPr>
        <w:t>▲</w:t>
      </w:r>
      <w:r>
        <w:rPr>
          <w:rFonts w:hint="eastAsia" w:ascii="新宋体" w:hAnsi="新宋体" w:eastAsia="新宋体" w:cs="新宋体"/>
          <w:b/>
          <w:color w:val="auto"/>
          <w:sz w:val="22"/>
          <w:szCs w:val="22"/>
          <w:u w:val="single"/>
        </w:rPr>
        <w:t>以上所需的各种证书、证件、证明等若系复印件、扫描件，须加盖投标人有效的公章（电子签章）。</w:t>
      </w:r>
    </w:p>
    <w:p>
      <w:pPr>
        <w:numPr>
          <w:ilvl w:val="0"/>
          <w:numId w:val="18"/>
        </w:numPr>
        <w:spacing w:line="43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相关证书、报告等如遇年检或换证等特殊情况须按要求提供相应的证明材料。</w:t>
      </w:r>
    </w:p>
    <w:p>
      <w:pPr>
        <w:tabs>
          <w:tab w:val="left" w:pos="360"/>
        </w:tabs>
        <w:spacing w:line="460" w:lineRule="exact"/>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12.3 投标文件商务技术文件应包括下列部分：</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5" w:type="dxa"/>
            <w:noWrap w:val="0"/>
            <w:vAlign w:val="center"/>
          </w:tcPr>
          <w:p>
            <w:pPr>
              <w:jc w:val="center"/>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序号</w:t>
            </w:r>
          </w:p>
        </w:tc>
        <w:tc>
          <w:tcPr>
            <w:tcW w:w="9109" w:type="dxa"/>
            <w:noWrap w:val="0"/>
            <w:vAlign w:val="center"/>
          </w:tcPr>
          <w:p>
            <w:pPr>
              <w:jc w:val="center"/>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b/>
                <w:color w:val="auto"/>
                <w:sz w:val="22"/>
                <w:szCs w:val="22"/>
              </w:rPr>
            </w:pPr>
            <w:r>
              <w:rPr>
                <w:rFonts w:hint="eastAsia" w:ascii="新宋体" w:hAnsi="新宋体" w:eastAsia="新宋体" w:cs="新宋体"/>
                <w:color w:val="auto"/>
                <w:sz w:val="22"/>
                <w:szCs w:val="22"/>
              </w:rPr>
              <w:t>1</w:t>
            </w:r>
          </w:p>
        </w:tc>
        <w:tc>
          <w:tcPr>
            <w:tcW w:w="9109" w:type="dxa"/>
            <w:noWrap w:val="0"/>
            <w:vAlign w:val="center"/>
          </w:tcPr>
          <w:p>
            <w:pPr>
              <w:jc w:val="left"/>
              <w:rPr>
                <w:rFonts w:hint="eastAsia" w:ascii="新宋体" w:hAnsi="新宋体" w:eastAsia="新宋体" w:cs="新宋体"/>
                <w:b/>
                <w:color w:val="auto"/>
                <w:sz w:val="22"/>
                <w:szCs w:val="22"/>
              </w:rPr>
            </w:pPr>
            <w:r>
              <w:rPr>
                <w:rFonts w:hint="eastAsia" w:ascii="新宋体" w:hAnsi="新宋体" w:eastAsia="新宋体" w:cs="新宋体"/>
                <w:bCs/>
                <w:color w:val="auto"/>
                <w:sz w:val="22"/>
                <w:szCs w:val="22"/>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w:t>
            </w:r>
          </w:p>
        </w:tc>
        <w:tc>
          <w:tcPr>
            <w:tcW w:w="9109" w:type="dxa"/>
            <w:noWrap w:val="0"/>
            <w:vAlign w:val="center"/>
          </w:tcPr>
          <w:p>
            <w:pPr>
              <w:rPr>
                <w:rFonts w:hint="eastAsia" w:ascii="新宋体" w:hAnsi="新宋体" w:eastAsia="新宋体" w:cs="新宋体"/>
                <w:b/>
                <w:color w:val="auto"/>
                <w:sz w:val="22"/>
                <w:szCs w:val="22"/>
              </w:rPr>
            </w:pPr>
            <w:r>
              <w:rPr>
                <w:rFonts w:hint="eastAsia" w:ascii="新宋体" w:hAnsi="新宋体" w:eastAsia="新宋体" w:cs="新宋体"/>
                <w:color w:val="auto"/>
                <w:sz w:val="22"/>
                <w:szCs w:val="22"/>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w:t>
            </w:r>
          </w:p>
        </w:tc>
        <w:tc>
          <w:tcPr>
            <w:tcW w:w="9109" w:type="dxa"/>
            <w:noWrap w:val="0"/>
            <w:vAlign w:val="center"/>
          </w:tcPr>
          <w:p>
            <w:pPr>
              <w:rPr>
                <w:rFonts w:hint="eastAsia" w:ascii="新宋体" w:hAnsi="新宋体" w:eastAsia="新宋体" w:cs="新宋体"/>
                <w:color w:val="auto"/>
                <w:sz w:val="22"/>
                <w:szCs w:val="22"/>
              </w:rPr>
            </w:pPr>
            <w:r>
              <w:rPr>
                <w:rFonts w:hint="eastAsia" w:ascii="新宋体" w:hAnsi="新宋体" w:eastAsia="新宋体" w:cs="新宋体"/>
                <w:bCs/>
                <w:color w:val="auto"/>
                <w:sz w:val="22"/>
                <w:szCs w:val="22"/>
              </w:rPr>
              <w:t>商务偏离表、技术偏离表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w:t>
            </w:r>
          </w:p>
        </w:tc>
        <w:tc>
          <w:tcPr>
            <w:tcW w:w="9109" w:type="dxa"/>
            <w:noWrap w:val="0"/>
            <w:vAlign w:val="center"/>
          </w:tcPr>
          <w:p>
            <w:pPr>
              <w:rPr>
                <w:rFonts w:hint="eastAsia" w:ascii="新宋体" w:hAnsi="新宋体" w:eastAsia="新宋体" w:cs="新宋体"/>
                <w:b/>
                <w:color w:val="auto"/>
                <w:sz w:val="22"/>
                <w:szCs w:val="22"/>
                <w:u w:val="single"/>
              </w:rPr>
            </w:pPr>
            <w:r>
              <w:rPr>
                <w:rFonts w:hint="eastAsia" w:ascii="新宋体" w:hAnsi="新宋体" w:eastAsia="新宋体" w:cs="新宋体"/>
                <w:b/>
                <w:bCs/>
                <w:color w:val="auto"/>
                <w:sz w:val="22"/>
                <w:szCs w:val="22"/>
              </w:rPr>
              <w:t>投标技术方案（以下内容格式自拟）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4.1</w:t>
            </w:r>
          </w:p>
        </w:tc>
        <w:tc>
          <w:tcPr>
            <w:tcW w:w="9109" w:type="dxa"/>
            <w:noWrap w:val="0"/>
            <w:vAlign w:val="center"/>
          </w:tcPr>
          <w:p>
            <w:pP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eastAsia="zh-CN"/>
              </w:rPr>
              <w:t>对本项目道路清扫保洁工作的现状调查与问题剖析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4.2</w:t>
            </w:r>
          </w:p>
        </w:tc>
        <w:tc>
          <w:tcPr>
            <w:tcW w:w="9109" w:type="dxa"/>
            <w:noWrap w:val="0"/>
            <w:vAlign w:val="center"/>
          </w:tcPr>
          <w:p>
            <w:pP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eastAsia="zh-CN"/>
              </w:rPr>
              <w:t>清扫保洁具体实施计划和方案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4.3</w:t>
            </w:r>
          </w:p>
        </w:tc>
        <w:tc>
          <w:tcPr>
            <w:tcW w:w="9109" w:type="dxa"/>
            <w:noWrap w:val="0"/>
            <w:vAlign w:val="center"/>
          </w:tcPr>
          <w:p>
            <w:pPr>
              <w:rPr>
                <w:rFonts w:hint="eastAsia" w:ascii="新宋体" w:hAnsi="新宋体" w:eastAsia="新宋体" w:cs="新宋体"/>
                <w:color w:val="auto"/>
                <w:sz w:val="22"/>
                <w:szCs w:val="22"/>
                <w:lang w:eastAsia="zh-CN"/>
              </w:rPr>
            </w:pPr>
            <w:r>
              <w:rPr>
                <w:rFonts w:hint="eastAsia" w:ascii="宋体" w:hAnsi="宋体" w:cs="楷体_GB2312"/>
                <w:color w:val="auto"/>
                <w:kern w:val="0"/>
                <w:sz w:val="21"/>
                <w:szCs w:val="24"/>
                <w:lang w:val="en-US" w:eastAsia="zh-CN" w:bidi="ar-SA"/>
              </w:rPr>
              <w:t>拟设立的各项管理规章制度及档案资料的建立管理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4.</w:t>
            </w:r>
            <w:r>
              <w:rPr>
                <w:rFonts w:hint="eastAsia" w:ascii="新宋体" w:hAnsi="新宋体" w:eastAsia="新宋体" w:cs="新宋体"/>
                <w:color w:val="auto"/>
                <w:sz w:val="22"/>
                <w:szCs w:val="22"/>
                <w:lang w:val="en-US" w:eastAsia="zh-CN"/>
              </w:rPr>
              <w:t>4</w:t>
            </w:r>
          </w:p>
        </w:tc>
        <w:tc>
          <w:tcPr>
            <w:tcW w:w="9109" w:type="dxa"/>
            <w:noWrap w:val="0"/>
            <w:vAlign w:val="center"/>
          </w:tcPr>
          <w:p>
            <w:pPr>
              <w:rPr>
                <w:rFonts w:hint="eastAsia" w:ascii="新宋体" w:hAnsi="新宋体" w:eastAsia="新宋体" w:cs="新宋体"/>
                <w:color w:val="auto"/>
                <w:sz w:val="22"/>
                <w:szCs w:val="22"/>
                <w:lang w:eastAsia="zh-CN"/>
              </w:rPr>
            </w:pPr>
            <w:r>
              <w:rPr>
                <w:rFonts w:hint="eastAsia" w:ascii="宋体" w:hAnsi="宋体" w:cs="楷体_GB2312"/>
                <w:color w:val="auto"/>
              </w:rPr>
              <w:t>应对突发事情的响应及处理方案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val="en-US" w:eastAsia="zh-CN"/>
              </w:rPr>
              <w:t>5</w:t>
            </w:r>
          </w:p>
        </w:tc>
        <w:tc>
          <w:tcPr>
            <w:tcW w:w="9109" w:type="dxa"/>
            <w:noWrap w:val="0"/>
            <w:vAlign w:val="center"/>
          </w:tcPr>
          <w:p>
            <w:pPr>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资信证明文件（本部分为</w:t>
            </w:r>
            <w:r>
              <w:rPr>
                <w:rFonts w:hint="eastAsia" w:ascii="新宋体" w:hAnsi="新宋体" w:eastAsia="新宋体" w:cs="新宋体"/>
                <w:b/>
                <w:bCs/>
                <w:color w:val="auto"/>
                <w:sz w:val="22"/>
                <w:szCs w:val="22"/>
              </w:rPr>
              <w:t>商务技术文件</w:t>
            </w:r>
            <w:r>
              <w:rPr>
                <w:rFonts w:hint="eastAsia" w:ascii="新宋体" w:hAnsi="新宋体" w:eastAsia="新宋体" w:cs="新宋体"/>
                <w:b/>
                <w:color w:val="auto"/>
                <w:sz w:val="22"/>
                <w:szCs w:val="22"/>
              </w:rPr>
              <w:t>评分内容，各供应商参照评分标准根据自身情况提供）</w:t>
            </w:r>
          </w:p>
        </w:tc>
      </w:tr>
    </w:tbl>
    <w:p>
      <w:pPr>
        <w:spacing w:line="43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备注：</w:t>
      </w:r>
    </w:p>
    <w:p>
      <w:pPr>
        <w:numPr>
          <w:ilvl w:val="0"/>
          <w:numId w:val="19"/>
        </w:numPr>
        <w:spacing w:line="43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投标人可根据采购文件中的采购内容及需求和商务技术文件评分细则，提供投标人认为需要提供的文件和资料。</w:t>
      </w:r>
    </w:p>
    <w:p>
      <w:pPr>
        <w:numPr>
          <w:ilvl w:val="0"/>
          <w:numId w:val="19"/>
        </w:numPr>
        <w:spacing w:line="43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在投标文件中投标人所提供的技术资料如若发生第三方侵权事件，其侵权责任与采购人及采购代理机构无关，由投标人承担全部责任。</w:t>
      </w:r>
    </w:p>
    <w:p>
      <w:pPr>
        <w:numPr>
          <w:ilvl w:val="0"/>
          <w:numId w:val="19"/>
        </w:numPr>
        <w:spacing w:line="43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以上所需的各种证书、证件、证明等若系复印件、扫描件，须加盖投标人有效的公章。</w:t>
      </w:r>
    </w:p>
    <w:p>
      <w:pPr>
        <w:numPr>
          <w:ilvl w:val="0"/>
          <w:numId w:val="19"/>
        </w:numPr>
        <w:spacing w:line="43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相关证书、报告等如遇年检或换证等特殊情况须按要求提供相应的证明材料。</w:t>
      </w:r>
    </w:p>
    <w:p>
      <w:pPr>
        <w:tabs>
          <w:tab w:val="left" w:pos="5355"/>
        </w:tabs>
        <w:spacing w:line="430" w:lineRule="exact"/>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 xml:space="preserve">12.4 </w:t>
      </w:r>
      <w:r>
        <w:rPr>
          <w:rFonts w:hint="eastAsia" w:ascii="新宋体" w:hAnsi="新宋体" w:eastAsia="新宋体" w:cs="新宋体"/>
          <w:b/>
          <w:bCs/>
          <w:color w:val="auto"/>
          <w:sz w:val="22"/>
          <w:szCs w:val="22"/>
          <w:lang w:val="en-US" w:eastAsia="zh-CN"/>
        </w:rPr>
        <w:t xml:space="preserve"> </w:t>
      </w:r>
      <w:r>
        <w:rPr>
          <w:rFonts w:hint="eastAsia" w:ascii="新宋体" w:hAnsi="新宋体" w:eastAsia="新宋体" w:cs="新宋体"/>
          <w:b/>
          <w:bCs/>
          <w:color w:val="auto"/>
          <w:sz w:val="22"/>
          <w:szCs w:val="22"/>
        </w:rPr>
        <w:t>投标文件商务报价标应包括下列部分：</w:t>
      </w:r>
    </w:p>
    <w:tbl>
      <w:tblPr>
        <w:tblStyle w:val="56"/>
        <w:tblW w:w="0" w:type="auto"/>
        <w:tblInd w:w="0" w:type="dxa"/>
        <w:tblLayout w:type="fixed"/>
        <w:tblCellMar>
          <w:top w:w="0" w:type="dxa"/>
          <w:left w:w="108" w:type="dxa"/>
          <w:bottom w:w="0" w:type="dxa"/>
          <w:right w:w="108" w:type="dxa"/>
        </w:tblCellMar>
      </w:tblPr>
      <w:tblGrid>
        <w:gridCol w:w="966"/>
        <w:gridCol w:w="8888"/>
      </w:tblGrid>
      <w:tr>
        <w:tblPrEx>
          <w:tblCellMar>
            <w:top w:w="0" w:type="dxa"/>
            <w:left w:w="108" w:type="dxa"/>
            <w:bottom w:w="0" w:type="dxa"/>
            <w:right w:w="108" w:type="dxa"/>
          </w:tblCellMar>
        </w:tblPrEx>
        <w:trPr>
          <w:wBefore w:w="0" w:type="dxa"/>
          <w:wAfter w:w="0" w:type="dxa"/>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内容</w:t>
            </w:r>
          </w:p>
        </w:tc>
      </w:tr>
      <w:tr>
        <w:tblPrEx>
          <w:tblCellMar>
            <w:top w:w="0" w:type="dxa"/>
            <w:left w:w="108" w:type="dxa"/>
            <w:bottom w:w="0" w:type="dxa"/>
            <w:right w:w="108" w:type="dxa"/>
          </w:tblCellMar>
        </w:tblPrEx>
        <w:trPr>
          <w:wBefore w:w="0" w:type="dxa"/>
          <w:wAfter w:w="0" w:type="dxa"/>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开标一览表</w:t>
            </w:r>
          </w:p>
        </w:tc>
      </w:tr>
      <w:tr>
        <w:tblPrEx>
          <w:tblCellMar>
            <w:top w:w="0" w:type="dxa"/>
            <w:left w:w="108" w:type="dxa"/>
            <w:bottom w:w="0" w:type="dxa"/>
            <w:right w:w="108" w:type="dxa"/>
          </w:tblCellMar>
        </w:tblPrEx>
        <w:trPr>
          <w:wBefore w:w="0" w:type="dxa"/>
          <w:wAfter w:w="0" w:type="dxa"/>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投标分项报价表</w:t>
            </w:r>
          </w:p>
        </w:tc>
      </w:tr>
      <w:tr>
        <w:tblPrEx>
          <w:tblCellMar>
            <w:top w:w="0" w:type="dxa"/>
            <w:left w:w="108" w:type="dxa"/>
            <w:bottom w:w="0" w:type="dxa"/>
            <w:right w:w="108" w:type="dxa"/>
          </w:tblCellMar>
        </w:tblPrEx>
        <w:trPr>
          <w:wBefore w:w="0" w:type="dxa"/>
          <w:wAfter w:w="0" w:type="dxa"/>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rPr>
                <w:rFonts w:hint="eastAsia" w:ascii="新宋体" w:hAnsi="新宋体" w:eastAsia="新宋体" w:cs="新宋体"/>
                <w:color w:val="auto"/>
                <w:kern w:val="0"/>
                <w:sz w:val="22"/>
                <w:szCs w:val="22"/>
                <w:lang w:val="zh-CN" w:eastAsia="zh-CN"/>
              </w:rPr>
            </w:pPr>
            <w:r>
              <w:rPr>
                <w:rFonts w:hint="eastAsia" w:ascii="新宋体" w:hAnsi="新宋体" w:eastAsia="新宋体"/>
                <w:color w:val="auto"/>
                <w:sz w:val="22"/>
                <w:szCs w:val="22"/>
              </w:rPr>
              <w:t>中小企业声明函、监狱企业、残疾人福利性单位及其他相关的充分的证明材料</w:t>
            </w:r>
            <w:r>
              <w:rPr>
                <w:rFonts w:hint="eastAsia" w:ascii="新宋体" w:hAnsi="新宋体" w:eastAsia="新宋体"/>
                <w:color w:val="auto"/>
                <w:sz w:val="22"/>
                <w:szCs w:val="22"/>
                <w:lang w:eastAsia="zh-CN"/>
              </w:rPr>
              <w:t>（如有）</w:t>
            </w:r>
          </w:p>
        </w:tc>
      </w:tr>
      <w:bookmarkEnd w:id="73"/>
    </w:tbl>
    <w:p>
      <w:pPr>
        <w:numPr>
          <w:ilvl w:val="0"/>
          <w:numId w:val="20"/>
        </w:numPr>
        <w:spacing w:line="440" w:lineRule="exact"/>
        <w:ind w:left="331" w:hanging="331" w:hangingChars="150"/>
        <w:rPr>
          <w:rFonts w:hint="eastAsia" w:ascii="新宋体" w:hAnsi="新宋体" w:eastAsia="新宋体"/>
          <w:b/>
          <w:bCs/>
          <w:color w:val="auto"/>
          <w:sz w:val="22"/>
          <w:szCs w:val="22"/>
        </w:rPr>
      </w:pPr>
      <w:r>
        <w:rPr>
          <w:rFonts w:hint="eastAsia" w:ascii="新宋体" w:hAnsi="新宋体" w:eastAsia="新宋体"/>
          <w:b/>
          <w:bCs/>
          <w:color w:val="auto"/>
          <w:sz w:val="22"/>
          <w:szCs w:val="22"/>
          <w:lang w:val="en-US" w:eastAsia="zh-CN"/>
        </w:rPr>
        <w:t xml:space="preserve"> </w:t>
      </w:r>
      <w:r>
        <w:rPr>
          <w:rFonts w:hint="eastAsia" w:ascii="新宋体" w:hAnsi="新宋体" w:eastAsia="新宋体"/>
          <w:b/>
          <w:bCs/>
          <w:color w:val="auto"/>
          <w:sz w:val="22"/>
          <w:szCs w:val="22"/>
        </w:rPr>
        <w:t>投标文件编制</w:t>
      </w:r>
    </w:p>
    <w:p>
      <w:pPr>
        <w:tabs>
          <w:tab w:val="left" w:pos="36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13.1</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本项目通过“政采云平台（www.zcygov.cn）”实行在线投标响应（电子投标）。供应商应通过“政采云电子交易客户端”，并按照本采购文件和“政采云平台”的要求编制并加密投标文件。</w:t>
      </w:r>
    </w:p>
    <w:p>
      <w:pPr>
        <w:tabs>
          <w:tab w:val="left" w:pos="36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13.2</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pPr>
        <w:tabs>
          <w:tab w:val="left" w:pos="36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13.3</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pPr>
        <w:tabs>
          <w:tab w:val="left" w:pos="36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13.4</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投标文件内容不完整、编排混乱导致投标文件被误读、漏读或者查找不到相关内容的，是投标人的责任。</w:t>
      </w:r>
    </w:p>
    <w:p>
      <w:pPr>
        <w:tabs>
          <w:tab w:val="left" w:pos="36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13.5</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投标文件因字迹潦草或表达不清所引起的后果由投标人负责。</w:t>
      </w:r>
    </w:p>
    <w:p>
      <w:pPr>
        <w:tabs>
          <w:tab w:val="left" w:pos="36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13.6 投标人没有按照本章节 “投标文件组成”要求提供全部资料，或者没有仔细阅读采购文件，或者没有对采购文件在各方面的要求作出实质性响应是投标人的风险，由此造成的一切后果由投标人自行承担。</w:t>
      </w:r>
    </w:p>
    <w:p>
      <w:pPr>
        <w:spacing w:line="440" w:lineRule="exact"/>
        <w:ind w:left="331" w:hanging="331" w:hangingChars="150"/>
        <w:rPr>
          <w:rFonts w:hint="eastAsia" w:ascii="新宋体" w:hAnsi="新宋体" w:eastAsia="新宋体"/>
          <w:b/>
          <w:bCs/>
          <w:color w:val="auto"/>
          <w:sz w:val="22"/>
          <w:szCs w:val="22"/>
        </w:rPr>
      </w:pPr>
      <w:r>
        <w:rPr>
          <w:rFonts w:hint="eastAsia" w:ascii="新宋体" w:hAnsi="新宋体" w:eastAsia="新宋体"/>
          <w:b/>
          <w:bCs/>
          <w:color w:val="auto"/>
          <w:sz w:val="22"/>
          <w:szCs w:val="22"/>
        </w:rPr>
        <w:t>14.</w:t>
      </w:r>
      <w:r>
        <w:rPr>
          <w:rFonts w:hint="eastAsia" w:ascii="新宋体" w:hAnsi="新宋体" w:eastAsia="新宋体"/>
          <w:b/>
          <w:bCs/>
          <w:color w:val="auto"/>
          <w:sz w:val="22"/>
          <w:szCs w:val="22"/>
          <w:lang w:val="en-US" w:eastAsia="zh-CN"/>
        </w:rPr>
        <w:t xml:space="preserve">  </w:t>
      </w:r>
      <w:r>
        <w:rPr>
          <w:rFonts w:hint="eastAsia" w:ascii="新宋体" w:hAnsi="新宋体" w:eastAsia="新宋体"/>
          <w:b/>
          <w:bCs/>
          <w:color w:val="auto"/>
          <w:sz w:val="22"/>
          <w:szCs w:val="22"/>
        </w:rPr>
        <w:t>投标文件的签章</w:t>
      </w:r>
    </w:p>
    <w:p>
      <w:pPr>
        <w:tabs>
          <w:tab w:val="left" w:pos="36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14.1</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投标文件的签章要求：投标人须知前附表第17款；</w:t>
      </w:r>
    </w:p>
    <w:p>
      <w:pPr>
        <w:tabs>
          <w:tab w:val="left" w:pos="36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14.2</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b/>
          <w:color w:val="auto"/>
          <w:sz w:val="22"/>
          <w:szCs w:val="22"/>
        </w:rPr>
        <w:t>投标文件公章采用电子签章，法定代表人或委托人可以采用签字或盖章后扫描也可以电子签章。</w:t>
      </w:r>
    </w:p>
    <w:p>
      <w:pPr>
        <w:spacing w:line="440" w:lineRule="exact"/>
        <w:ind w:left="331" w:hanging="331" w:hangingChars="150"/>
        <w:rPr>
          <w:rFonts w:hint="eastAsia" w:ascii="新宋体" w:hAnsi="新宋体" w:eastAsia="新宋体"/>
          <w:b/>
          <w:bCs/>
          <w:color w:val="auto"/>
          <w:sz w:val="22"/>
          <w:szCs w:val="22"/>
        </w:rPr>
      </w:pPr>
      <w:r>
        <w:rPr>
          <w:rFonts w:hint="eastAsia" w:ascii="新宋体" w:hAnsi="新宋体" w:eastAsia="新宋体"/>
          <w:b/>
          <w:bCs/>
          <w:color w:val="auto"/>
          <w:sz w:val="22"/>
          <w:szCs w:val="22"/>
        </w:rPr>
        <w:t>15.</w:t>
      </w:r>
      <w:r>
        <w:rPr>
          <w:rFonts w:hint="eastAsia" w:ascii="新宋体" w:hAnsi="新宋体" w:eastAsia="新宋体"/>
          <w:b/>
          <w:bCs/>
          <w:color w:val="auto"/>
          <w:sz w:val="22"/>
          <w:szCs w:val="22"/>
          <w:lang w:val="en-US" w:eastAsia="zh-CN"/>
        </w:rPr>
        <w:t xml:space="preserve">  </w:t>
      </w:r>
      <w:r>
        <w:rPr>
          <w:rFonts w:hint="eastAsia" w:ascii="新宋体" w:hAnsi="新宋体" w:eastAsia="新宋体"/>
          <w:b/>
          <w:bCs/>
          <w:color w:val="auto"/>
          <w:sz w:val="22"/>
          <w:szCs w:val="22"/>
        </w:rPr>
        <w:t>投标文件的形式</w:t>
      </w:r>
    </w:p>
    <w:p>
      <w:pPr>
        <w:tabs>
          <w:tab w:val="left" w:pos="36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15.1</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投标文件的形式：见投标人须知前附表第18款；</w:t>
      </w:r>
    </w:p>
    <w:p>
      <w:pPr>
        <w:tabs>
          <w:tab w:val="left" w:pos="36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15.2</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“电子加密投标文件”：“电子加密投标文件”是指通过“政采云电子交易客户端”完成投标文件编制后生成并加密的数据电文形式的投标文件。</w:t>
      </w:r>
    </w:p>
    <w:p>
      <w:pPr>
        <w:tabs>
          <w:tab w:val="left" w:pos="360"/>
        </w:tabs>
        <w:spacing w:line="460" w:lineRule="exact"/>
        <w:rPr>
          <w:rFonts w:hint="eastAsia" w:ascii="宋体" w:hAnsi="宋体" w:cs="Arial"/>
          <w:b/>
          <w:color w:val="auto"/>
          <w:sz w:val="24"/>
        </w:rPr>
      </w:pPr>
      <w:r>
        <w:rPr>
          <w:rFonts w:hint="eastAsia" w:ascii="新宋体" w:hAnsi="新宋体" w:eastAsia="新宋体" w:cs="新宋体"/>
          <w:color w:val="auto"/>
          <w:sz w:val="22"/>
          <w:szCs w:val="22"/>
        </w:rPr>
        <w:t>15.3</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“备份投标文件”：“备份投标文件”是指与“电子加密投标文件”同时生成的数据电文形式的电子文件（备份标书），其他方式编制的“备份投标文件”视为无效的“备份投标文件”。</w:t>
      </w:r>
    </w:p>
    <w:p>
      <w:pPr>
        <w:spacing w:line="440" w:lineRule="exact"/>
        <w:ind w:left="331" w:hanging="331" w:hangingChars="150"/>
        <w:rPr>
          <w:rFonts w:hint="eastAsia" w:ascii="新宋体" w:hAnsi="新宋体" w:eastAsia="新宋体"/>
          <w:b/>
          <w:bCs/>
          <w:color w:val="auto"/>
          <w:sz w:val="22"/>
          <w:szCs w:val="22"/>
        </w:rPr>
      </w:pPr>
      <w:r>
        <w:rPr>
          <w:rFonts w:hint="eastAsia" w:ascii="新宋体" w:hAnsi="新宋体" w:eastAsia="新宋体"/>
          <w:b/>
          <w:bCs/>
          <w:color w:val="auto"/>
          <w:sz w:val="22"/>
          <w:szCs w:val="22"/>
        </w:rPr>
        <w:t>16.</w:t>
      </w:r>
      <w:r>
        <w:rPr>
          <w:rFonts w:hint="eastAsia" w:ascii="新宋体" w:hAnsi="新宋体" w:eastAsia="新宋体"/>
          <w:b/>
          <w:bCs/>
          <w:color w:val="auto"/>
          <w:sz w:val="22"/>
          <w:szCs w:val="22"/>
          <w:lang w:val="en-US" w:eastAsia="zh-CN"/>
        </w:rPr>
        <w:t xml:space="preserve">  </w:t>
      </w:r>
      <w:r>
        <w:rPr>
          <w:rFonts w:hint="eastAsia" w:ascii="新宋体" w:hAnsi="新宋体" w:eastAsia="新宋体"/>
          <w:b/>
          <w:bCs/>
          <w:color w:val="auto"/>
          <w:sz w:val="22"/>
          <w:szCs w:val="22"/>
        </w:rPr>
        <w:t>投标文件的份数</w:t>
      </w:r>
    </w:p>
    <w:p>
      <w:pPr>
        <w:tabs>
          <w:tab w:val="left" w:pos="5355"/>
        </w:tabs>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16.1</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投标文件的份数：见投标人须知前附表第19款。</w:t>
      </w:r>
    </w:p>
    <w:p>
      <w:pPr>
        <w:tabs>
          <w:tab w:val="left" w:pos="540"/>
        </w:tabs>
        <w:spacing w:line="360" w:lineRule="auto"/>
        <w:rPr>
          <w:rFonts w:hint="eastAsia" w:ascii="新宋体" w:hAnsi="新宋体" w:eastAsia="新宋体" w:cs="新宋体"/>
          <w:color w:val="auto"/>
          <w:sz w:val="22"/>
          <w:szCs w:val="22"/>
        </w:rPr>
      </w:pPr>
      <w:r>
        <w:rPr>
          <w:rFonts w:hint="eastAsia" w:ascii="新宋体" w:hAnsi="新宋体" w:eastAsia="新宋体" w:cs="新宋体"/>
          <w:bCs/>
          <w:color w:val="auto"/>
          <w:sz w:val="22"/>
          <w:szCs w:val="22"/>
        </w:rPr>
        <w:t>17.</w:t>
      </w:r>
      <w:r>
        <w:rPr>
          <w:rFonts w:hint="eastAsia" w:ascii="新宋体" w:hAnsi="新宋体" w:eastAsia="新宋体" w:cs="新宋体"/>
          <w:bCs/>
          <w:color w:val="auto"/>
          <w:sz w:val="22"/>
          <w:szCs w:val="22"/>
          <w:lang w:val="en-US" w:eastAsia="zh-CN"/>
        </w:rPr>
        <w:t xml:space="preserve">  </w:t>
      </w:r>
      <w:r>
        <w:rPr>
          <w:rFonts w:hint="eastAsia" w:ascii="新宋体" w:hAnsi="新宋体" w:eastAsia="新宋体" w:cs="新宋体"/>
          <w:bCs/>
          <w:color w:val="auto"/>
          <w:sz w:val="22"/>
          <w:szCs w:val="22"/>
        </w:rPr>
        <w:t>投标报价</w:t>
      </w:r>
    </w:p>
    <w:p>
      <w:pPr>
        <w:tabs>
          <w:tab w:val="left" w:pos="540"/>
        </w:tabs>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17.1 投标人应报出本项目咨询服务所包含的所有单价和总价，并且报出价格组成表，对于投标人价格组成表中未列出的项目或没有填写单价和总价的项目,在合同执行时采购人将不予支付,并认为这些项目费用已包括在投标报价内。</w:t>
      </w:r>
    </w:p>
    <w:p>
      <w:pPr>
        <w:numPr>
          <w:ilvl w:val="0"/>
          <w:numId w:val="0"/>
        </w:numPr>
        <w:spacing w:line="360" w:lineRule="auto"/>
        <w:rPr>
          <w:rFonts w:hint="eastAsia" w:ascii="新宋体" w:hAnsi="新宋体" w:eastAsia="新宋体" w:cs="新宋体"/>
          <w:bCs/>
          <w:color w:val="auto"/>
          <w:kern w:val="0"/>
          <w:sz w:val="22"/>
          <w:szCs w:val="22"/>
          <w:lang w:val="zh-CN"/>
        </w:rPr>
      </w:pPr>
      <w:r>
        <w:rPr>
          <w:rFonts w:hint="eastAsia" w:ascii="新宋体" w:hAnsi="新宋体" w:eastAsia="新宋体" w:cs="新宋体"/>
          <w:color w:val="auto"/>
          <w:sz w:val="22"/>
          <w:szCs w:val="22"/>
        </w:rPr>
        <w:t>17.2</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bCs/>
          <w:color w:val="auto"/>
          <w:sz w:val="22"/>
          <w:szCs w:val="22"/>
        </w:rPr>
        <w:t>本项目</w:t>
      </w:r>
      <w:r>
        <w:rPr>
          <w:rFonts w:hint="eastAsia" w:ascii="新宋体" w:hAnsi="新宋体" w:eastAsia="新宋体" w:cs="新宋体"/>
          <w:bCs/>
          <w:color w:val="auto"/>
          <w:kern w:val="0"/>
          <w:sz w:val="22"/>
          <w:szCs w:val="22"/>
          <w:lang w:val="zh-CN"/>
        </w:rPr>
        <w:t>投标报价应是中标供应商在正确地完全履行合同义务后采购人应支付给中标供应商所有的价款，即</w:t>
      </w:r>
      <w:r>
        <w:rPr>
          <w:rFonts w:hint="eastAsia" w:ascii="新宋体" w:hAnsi="新宋体" w:eastAsia="新宋体" w:cs="新宋体"/>
          <w:color w:val="auto"/>
          <w:kern w:val="0"/>
          <w:sz w:val="22"/>
          <w:szCs w:val="22"/>
          <w:lang w:eastAsia="zh-CN"/>
        </w:rPr>
        <w:t>山福镇村级道路、河道、公厕清扫保洁及垃圾分类</w:t>
      </w:r>
      <w:r>
        <w:rPr>
          <w:rFonts w:hint="eastAsia" w:ascii="新宋体" w:hAnsi="新宋体" w:eastAsia="新宋体" w:cs="新宋体"/>
          <w:color w:val="auto"/>
          <w:kern w:val="0"/>
          <w:sz w:val="22"/>
          <w:szCs w:val="22"/>
        </w:rPr>
        <w:t>所有费用</w:t>
      </w:r>
      <w:r>
        <w:rPr>
          <w:rFonts w:hint="eastAsia" w:ascii="新宋体" w:hAnsi="新宋体" w:eastAsia="新宋体" w:cs="新宋体"/>
          <w:bCs/>
          <w:color w:val="auto"/>
          <w:kern w:val="0"/>
          <w:sz w:val="22"/>
          <w:szCs w:val="22"/>
          <w:lang w:val="zh-CN"/>
        </w:rPr>
        <w:t>，</w:t>
      </w:r>
      <w:r>
        <w:rPr>
          <w:rFonts w:hint="eastAsia" w:ascii="新宋体" w:hAnsi="新宋体" w:eastAsia="新宋体" w:cs="新宋体"/>
          <w:color w:val="auto"/>
          <w:sz w:val="22"/>
          <w:szCs w:val="22"/>
        </w:rPr>
        <w:t>包括在承包指定区域内提供清扫、保洁服务所需的人工费（包括环卫工人工资、奖金、劳保福利、社保、工伤费、教育培训费、暂住费及处理一切伤亡事故等费用）及机械、环卫作业GPS管理平台软件硬件建设及维护费用(如有)、水电费、垃圾清运费、项目管理费、企业应缴税金和应得利润、突发应急（成立应急小队）及上级布置的专项任务、物价因素等完成合同所需的一切本身和不可或缺的所有工作开支、政策性文件规定及合同包含的所有风险、责任等各项全部费用并承担一切风险责任。</w:t>
      </w:r>
    </w:p>
    <w:p>
      <w:pPr>
        <w:tabs>
          <w:tab w:val="left" w:pos="54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17.3 投标人须认真阅读、充分理解采购文件，如有疑问可在询疑截止时间前送达（或传真）招标代理机构，招标代理机构将会统一解答。任何因对本项目采购文件理解不清、产生歧义等由此产生的费用，视作</w:t>
      </w:r>
      <w:r>
        <w:rPr>
          <w:rFonts w:hint="eastAsia" w:ascii="新宋体" w:hAnsi="新宋体" w:eastAsia="新宋体" w:cs="新宋体"/>
          <w:color w:val="auto"/>
          <w:sz w:val="22"/>
          <w:szCs w:val="22"/>
          <w:lang w:eastAsia="zh-CN"/>
        </w:rPr>
        <w:t>已</w:t>
      </w:r>
      <w:r>
        <w:rPr>
          <w:rFonts w:hint="eastAsia" w:ascii="新宋体" w:hAnsi="新宋体" w:eastAsia="新宋体" w:cs="新宋体"/>
          <w:color w:val="auto"/>
          <w:sz w:val="22"/>
          <w:szCs w:val="22"/>
        </w:rPr>
        <w:t>含在投标总价中。</w:t>
      </w:r>
    </w:p>
    <w:p>
      <w:pPr>
        <w:tabs>
          <w:tab w:val="left" w:pos="54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17.4 投标人必须按第三部分附件的开标一览表（统一格式）、投标分项报价表（统一格式）的内容填写单价、合价及其他事项，并由法定代表人或授权代表签署。</w:t>
      </w:r>
    </w:p>
    <w:p>
      <w:pPr>
        <w:tabs>
          <w:tab w:val="left" w:pos="540"/>
        </w:tabs>
        <w:spacing w:line="460" w:lineRule="exact"/>
        <w:rPr>
          <w:rFonts w:hint="eastAsia" w:ascii="新宋体" w:hAnsi="新宋体" w:eastAsia="新宋体" w:cs="新宋体"/>
          <w:b/>
          <w:color w:val="auto"/>
          <w:sz w:val="22"/>
          <w:szCs w:val="22"/>
        </w:rPr>
      </w:pPr>
      <w:r>
        <w:rPr>
          <w:rFonts w:hint="eastAsia" w:ascii="新宋体" w:hAnsi="新宋体" w:eastAsia="新宋体" w:cs="新宋体"/>
          <w:color w:val="auto"/>
          <w:sz w:val="22"/>
          <w:szCs w:val="22"/>
        </w:rPr>
        <w:t>17.5 所有投标报价均以人民币报价。</w:t>
      </w:r>
    </w:p>
    <w:p>
      <w:pPr>
        <w:tabs>
          <w:tab w:val="left" w:pos="54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17.6 采购人不接受任何选择报价，对每一项货物/服务只允许一个报价。</w:t>
      </w:r>
    </w:p>
    <w:p>
      <w:pPr>
        <w:tabs>
          <w:tab w:val="left" w:pos="540"/>
        </w:tabs>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17.7 采购人要求分类报价是为了方便评标，但在任何情况下不限制采购人以其认为最合适的条款、条件签订合同的权利。</w:t>
      </w:r>
    </w:p>
    <w:p>
      <w:pPr>
        <w:tabs>
          <w:tab w:val="left" w:pos="540"/>
        </w:tabs>
        <w:spacing w:line="4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17.8 报价是成交的一个重要因素，但最低报价不是成交的唯一依据。</w:t>
      </w:r>
    </w:p>
    <w:p>
      <w:pPr>
        <w:tabs>
          <w:tab w:val="left" w:pos="-180"/>
          <w:tab w:val="left" w:pos="180"/>
          <w:tab w:val="left" w:pos="360"/>
        </w:tabs>
        <w:spacing w:line="440" w:lineRule="exact"/>
        <w:ind w:left="660" w:hanging="660" w:hangingChars="300"/>
        <w:rPr>
          <w:rFonts w:hint="eastAsia" w:ascii="新宋体" w:hAnsi="新宋体" w:eastAsia="新宋体"/>
          <w:b/>
          <w:bCs/>
          <w:color w:val="auto"/>
          <w:sz w:val="22"/>
          <w:szCs w:val="22"/>
        </w:rPr>
      </w:pPr>
      <w:r>
        <w:rPr>
          <w:rFonts w:hint="eastAsia" w:ascii="新宋体" w:hAnsi="新宋体" w:eastAsia="新宋体" w:cs="新宋体"/>
          <w:bCs/>
          <w:color w:val="auto"/>
          <w:sz w:val="22"/>
          <w:szCs w:val="22"/>
        </w:rPr>
        <w:t>1</w:t>
      </w:r>
      <w:r>
        <w:rPr>
          <w:rFonts w:hint="eastAsia" w:ascii="新宋体" w:hAnsi="新宋体" w:eastAsia="新宋体" w:cs="新宋体"/>
          <w:bCs/>
          <w:color w:val="auto"/>
          <w:sz w:val="22"/>
          <w:szCs w:val="22"/>
          <w:lang w:val="en-US" w:eastAsia="zh-CN"/>
        </w:rPr>
        <w:t>8</w:t>
      </w:r>
      <w:r>
        <w:rPr>
          <w:rFonts w:hint="eastAsia" w:ascii="新宋体" w:hAnsi="新宋体" w:eastAsia="新宋体" w:cs="新宋体"/>
          <w:bCs/>
          <w:color w:val="auto"/>
          <w:sz w:val="22"/>
          <w:szCs w:val="22"/>
        </w:rPr>
        <w:t xml:space="preserve">. </w:t>
      </w:r>
      <w:r>
        <w:rPr>
          <w:rFonts w:hint="eastAsia" w:ascii="新宋体" w:hAnsi="新宋体" w:eastAsia="新宋体" w:cs="新宋体"/>
          <w:bCs/>
          <w:color w:val="auto"/>
          <w:sz w:val="22"/>
          <w:szCs w:val="22"/>
          <w:lang w:val="en-US" w:eastAsia="zh-CN"/>
        </w:rPr>
        <w:t xml:space="preserve"> </w:t>
      </w:r>
      <w:r>
        <w:rPr>
          <w:rFonts w:hint="eastAsia" w:ascii="新宋体" w:hAnsi="新宋体" w:eastAsia="新宋体"/>
          <w:b/>
          <w:bCs/>
          <w:color w:val="auto"/>
          <w:sz w:val="22"/>
          <w:szCs w:val="22"/>
        </w:rPr>
        <w:t>投标人如发生下列情况之一，将上报同级政府采购监督管理部门，追究其责任：</w:t>
      </w:r>
    </w:p>
    <w:p>
      <w:pPr>
        <w:numPr>
          <w:ilvl w:val="0"/>
          <w:numId w:val="0"/>
        </w:numPr>
        <w:tabs>
          <w:tab w:val="left" w:pos="360"/>
        </w:tabs>
        <w:spacing w:line="440" w:lineRule="exact"/>
        <w:ind w:leftChars="0"/>
        <w:rPr>
          <w:rFonts w:hint="eastAsia" w:ascii="新宋体" w:hAnsi="新宋体" w:eastAsia="新宋体" w:cs="新宋体"/>
          <w:color w:val="auto"/>
          <w:sz w:val="22"/>
          <w:szCs w:val="22"/>
          <w:highlight w:val="none"/>
        </w:rPr>
      </w:pPr>
      <w:bookmarkStart w:id="75" w:name="_Toc223715998"/>
      <w:bookmarkStart w:id="76" w:name="_Toc239145354"/>
      <w:bookmarkStart w:id="77" w:name="_Toc241404202"/>
      <w:bookmarkStart w:id="78" w:name="_Toc221356951"/>
      <w:bookmarkStart w:id="79" w:name="_Toc221356887"/>
      <w:bookmarkStart w:id="80" w:name="_Toc265529383"/>
      <w:bookmarkStart w:id="81" w:name="_Toc222114879"/>
      <w:bookmarkStart w:id="82" w:name="_Toc221423619"/>
      <w:bookmarkStart w:id="83" w:name="_Toc221374626"/>
      <w:r>
        <w:rPr>
          <w:rFonts w:hint="eastAsia" w:ascii="新宋体" w:hAnsi="新宋体" w:eastAsia="新宋体" w:cs="新宋体"/>
          <w:color w:val="auto"/>
          <w:sz w:val="22"/>
          <w:szCs w:val="22"/>
          <w:highlight w:val="none"/>
          <w:lang w:val="en-US" w:eastAsia="zh-CN"/>
        </w:rPr>
        <w:t>18.1</w:t>
      </w:r>
      <w:r>
        <w:rPr>
          <w:rFonts w:hint="eastAsia" w:ascii="新宋体" w:hAnsi="新宋体" w:eastAsia="新宋体" w:cs="新宋体"/>
          <w:color w:val="auto"/>
          <w:sz w:val="22"/>
          <w:szCs w:val="22"/>
          <w:highlight w:val="none"/>
        </w:rPr>
        <w:t>投标人在采购文件规定的投标有效期内撤回投标；</w:t>
      </w:r>
    </w:p>
    <w:p>
      <w:pPr>
        <w:numPr>
          <w:ilvl w:val="0"/>
          <w:numId w:val="0"/>
        </w:numPr>
        <w:tabs>
          <w:tab w:val="left" w:pos="360"/>
        </w:tabs>
        <w:spacing w:line="440" w:lineRule="exact"/>
        <w:ind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18.2</w:t>
      </w:r>
      <w:r>
        <w:rPr>
          <w:rFonts w:hint="eastAsia" w:ascii="新宋体" w:hAnsi="新宋体" w:eastAsia="新宋体" w:cs="新宋体"/>
          <w:color w:val="auto"/>
          <w:sz w:val="22"/>
          <w:szCs w:val="22"/>
          <w:highlight w:val="none"/>
        </w:rPr>
        <w:t>中标人未按中标通知书中规定的时间与采购人签订合同；</w:t>
      </w:r>
    </w:p>
    <w:p>
      <w:pPr>
        <w:numPr>
          <w:ilvl w:val="0"/>
          <w:numId w:val="0"/>
        </w:numPr>
        <w:tabs>
          <w:tab w:val="left" w:pos="360"/>
        </w:tabs>
        <w:spacing w:line="440" w:lineRule="exact"/>
        <w:ind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18.3</w:t>
      </w:r>
      <w:r>
        <w:rPr>
          <w:rFonts w:hint="eastAsia" w:ascii="新宋体" w:hAnsi="新宋体" w:eastAsia="新宋体" w:cs="新宋体"/>
          <w:color w:val="auto"/>
          <w:sz w:val="22"/>
          <w:szCs w:val="22"/>
          <w:highlight w:val="none"/>
        </w:rPr>
        <w:t>投标人在采购文件中提供虚假技术指标及参数，经评标委员会确认属实的。</w:t>
      </w:r>
    </w:p>
    <w:p>
      <w:pPr>
        <w:numPr>
          <w:ilvl w:val="0"/>
          <w:numId w:val="0"/>
        </w:numPr>
        <w:tabs>
          <w:tab w:val="left" w:pos="360"/>
        </w:tabs>
        <w:spacing w:line="440" w:lineRule="exact"/>
        <w:ind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18.4</w:t>
      </w:r>
      <w:r>
        <w:rPr>
          <w:rFonts w:hint="eastAsia" w:ascii="新宋体" w:hAnsi="新宋体" w:eastAsia="新宋体" w:cs="新宋体"/>
          <w:color w:val="auto"/>
          <w:sz w:val="22"/>
          <w:szCs w:val="22"/>
          <w:highlight w:val="none"/>
        </w:rPr>
        <w:t>经同级政府采购监督管理部门审查认定投标人有违反《中华人民共和国政府采购法》等有关法律法规的行为。</w:t>
      </w:r>
    </w:p>
    <w:p>
      <w:pPr>
        <w:tabs>
          <w:tab w:val="left" w:pos="-180"/>
          <w:tab w:val="left" w:pos="180"/>
          <w:tab w:val="left" w:pos="360"/>
        </w:tabs>
        <w:spacing w:line="440" w:lineRule="exact"/>
        <w:rPr>
          <w:rFonts w:hint="eastAsia" w:ascii="新宋体" w:hAnsi="新宋体" w:eastAsia="新宋体"/>
          <w:b/>
          <w:bCs/>
          <w:color w:val="auto"/>
          <w:sz w:val="22"/>
          <w:szCs w:val="22"/>
        </w:rPr>
      </w:pPr>
      <w:r>
        <w:rPr>
          <w:rFonts w:hint="eastAsia" w:ascii="新宋体" w:hAnsi="新宋体" w:eastAsia="新宋体"/>
          <w:b/>
          <w:bCs/>
          <w:color w:val="auto"/>
          <w:sz w:val="22"/>
          <w:szCs w:val="22"/>
        </w:rPr>
        <w:t xml:space="preserve">19. </w:t>
      </w:r>
      <w:r>
        <w:rPr>
          <w:rFonts w:hint="eastAsia" w:ascii="新宋体" w:hAnsi="新宋体" w:eastAsia="新宋体"/>
          <w:b/>
          <w:bCs/>
          <w:color w:val="auto"/>
          <w:sz w:val="22"/>
          <w:szCs w:val="22"/>
          <w:lang w:val="en-US" w:eastAsia="zh-CN"/>
        </w:rPr>
        <w:t xml:space="preserve"> </w:t>
      </w:r>
      <w:r>
        <w:rPr>
          <w:rFonts w:hint="eastAsia" w:ascii="新宋体" w:hAnsi="新宋体" w:eastAsia="新宋体"/>
          <w:b/>
          <w:bCs/>
          <w:color w:val="auto"/>
          <w:sz w:val="22"/>
          <w:szCs w:val="22"/>
        </w:rPr>
        <w:t>投标有效期</w:t>
      </w:r>
    </w:p>
    <w:p>
      <w:pPr>
        <w:tabs>
          <w:tab w:val="left" w:pos="540"/>
          <w:tab w:val="left" w:pos="992"/>
        </w:tabs>
        <w:autoSpaceDE w:val="0"/>
        <w:autoSpaceDN w:val="0"/>
        <w:adjustRightInd w:val="0"/>
        <w:spacing w:line="460" w:lineRule="atLeas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19.1 自开标之日起 90天内投标应保持有效。投标有效期短于这个规定期限的投标将视为非响应性投标而予以拒绝。</w:t>
      </w:r>
    </w:p>
    <w:p>
      <w:pPr>
        <w:spacing w:line="440" w:lineRule="exact"/>
        <w:rPr>
          <w:rFonts w:hint="eastAsia" w:ascii="新宋体" w:hAnsi="新宋体" w:eastAsia="新宋体" w:cs="新宋体"/>
          <w:color w:val="auto"/>
          <w:sz w:val="22"/>
          <w:szCs w:val="22"/>
        </w:rPr>
      </w:pPr>
      <w:r>
        <w:rPr>
          <w:rFonts w:hint="eastAsia" w:ascii="新宋体" w:hAnsi="新宋体" w:eastAsia="新宋体" w:cs="新宋体"/>
          <w:color w:val="auto"/>
          <w:kern w:val="0"/>
          <w:sz w:val="22"/>
          <w:szCs w:val="22"/>
        </w:rPr>
        <w:t>19.2 特殊情况下，在原投标有效期截止前，采购人可与投标人协商延长投标有效期，这种要求和答复均以书面形式进行。投标人可拒绝接受延期要求。同意延长投标有效期的投标人不得修改投标文件。</w:t>
      </w:r>
    </w:p>
    <w:p>
      <w:pPr>
        <w:pStyle w:val="5"/>
        <w:spacing w:line="500" w:lineRule="exact"/>
        <w:jc w:val="center"/>
        <w:rPr>
          <w:rFonts w:hint="eastAsia" w:ascii="新宋体" w:hAnsi="新宋体" w:eastAsia="新宋体"/>
          <w:color w:val="auto"/>
          <w:sz w:val="24"/>
          <w:szCs w:val="24"/>
        </w:rPr>
      </w:pPr>
      <w:bookmarkStart w:id="84" w:name="_Toc34572032"/>
      <w:bookmarkStart w:id="85" w:name="_Toc34508133"/>
      <w:r>
        <w:rPr>
          <w:rFonts w:hint="eastAsia" w:ascii="新宋体" w:hAnsi="新宋体" w:eastAsia="新宋体"/>
          <w:color w:val="auto"/>
          <w:sz w:val="24"/>
          <w:szCs w:val="24"/>
        </w:rPr>
        <w:t>四、 投标文件的递交</w:t>
      </w:r>
      <w:bookmarkEnd w:id="75"/>
      <w:bookmarkEnd w:id="76"/>
      <w:bookmarkEnd w:id="77"/>
      <w:bookmarkEnd w:id="78"/>
      <w:bookmarkEnd w:id="79"/>
      <w:bookmarkEnd w:id="80"/>
      <w:bookmarkEnd w:id="81"/>
      <w:bookmarkEnd w:id="82"/>
      <w:bookmarkEnd w:id="83"/>
      <w:bookmarkEnd w:id="84"/>
      <w:bookmarkEnd w:id="85"/>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 xml:space="preserve">20. </w:t>
      </w:r>
      <w:r>
        <w:rPr>
          <w:rFonts w:hint="eastAsia" w:ascii="新宋体" w:hAnsi="新宋体" w:eastAsia="新宋体" w:cs="新宋体"/>
          <w:b/>
          <w:bCs/>
          <w:color w:val="auto"/>
          <w:kern w:val="0"/>
          <w:sz w:val="22"/>
          <w:szCs w:val="22"/>
          <w:lang w:val="en-US" w:eastAsia="zh-CN"/>
        </w:rPr>
        <w:t xml:space="preserve"> </w:t>
      </w:r>
      <w:r>
        <w:rPr>
          <w:rFonts w:hint="eastAsia" w:ascii="新宋体" w:hAnsi="新宋体" w:eastAsia="新宋体" w:cs="新宋体"/>
          <w:b/>
          <w:bCs/>
          <w:color w:val="auto"/>
          <w:kern w:val="0"/>
          <w:sz w:val="22"/>
          <w:szCs w:val="22"/>
        </w:rPr>
        <w:t>投标文件的递交</w:t>
      </w:r>
    </w:p>
    <w:p>
      <w:pPr>
        <w:tabs>
          <w:tab w:val="left" w:pos="540"/>
        </w:tabs>
        <w:spacing w:line="46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20.1</w:t>
      </w:r>
      <w:r>
        <w:rPr>
          <w:rFonts w:hint="eastAsia" w:ascii="新宋体" w:hAnsi="新宋体" w:eastAsia="新宋体" w:cs="新宋体"/>
          <w:bCs/>
          <w:color w:val="auto"/>
          <w:kern w:val="0"/>
          <w:sz w:val="22"/>
          <w:szCs w:val="22"/>
          <w:lang w:val="en-US" w:eastAsia="zh-CN"/>
        </w:rPr>
        <w:t xml:space="preserve"> </w:t>
      </w:r>
      <w:r>
        <w:rPr>
          <w:rFonts w:hint="eastAsia" w:ascii="新宋体" w:hAnsi="新宋体" w:eastAsia="新宋体" w:cs="新宋体"/>
          <w:bCs/>
          <w:color w:val="auto"/>
          <w:kern w:val="0"/>
          <w:sz w:val="22"/>
          <w:szCs w:val="22"/>
        </w:rPr>
        <w:t>投标文件的上传、递交：见投标人须知前附表第20款。</w:t>
      </w:r>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 xml:space="preserve">21. </w:t>
      </w:r>
      <w:r>
        <w:rPr>
          <w:rFonts w:hint="eastAsia" w:ascii="新宋体" w:hAnsi="新宋体" w:eastAsia="新宋体" w:cs="新宋体"/>
          <w:b/>
          <w:bCs/>
          <w:color w:val="auto"/>
          <w:kern w:val="0"/>
          <w:sz w:val="22"/>
          <w:szCs w:val="22"/>
          <w:lang w:val="en-US" w:eastAsia="zh-CN"/>
        </w:rPr>
        <w:t xml:space="preserve"> </w:t>
      </w:r>
      <w:r>
        <w:rPr>
          <w:rFonts w:hint="eastAsia" w:ascii="新宋体" w:hAnsi="新宋体" w:eastAsia="新宋体" w:cs="新宋体"/>
          <w:b/>
          <w:bCs/>
          <w:color w:val="auto"/>
          <w:kern w:val="0"/>
          <w:sz w:val="22"/>
          <w:szCs w:val="22"/>
        </w:rPr>
        <w:t>“电子加密投标文件”解密和异常情况处理。</w:t>
      </w:r>
    </w:p>
    <w:p>
      <w:pPr>
        <w:tabs>
          <w:tab w:val="left" w:pos="540"/>
        </w:tabs>
        <w:spacing w:line="46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21.1“电子加密投标文件”解密：见投标人须知前附表第21款。</w:t>
      </w:r>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 xml:space="preserve">22. </w:t>
      </w:r>
      <w:r>
        <w:rPr>
          <w:rFonts w:hint="eastAsia" w:ascii="新宋体" w:hAnsi="新宋体" w:eastAsia="新宋体" w:cs="新宋体"/>
          <w:b/>
          <w:bCs/>
          <w:color w:val="auto"/>
          <w:kern w:val="0"/>
          <w:sz w:val="22"/>
          <w:szCs w:val="22"/>
          <w:lang w:val="en-US" w:eastAsia="zh-CN"/>
        </w:rPr>
        <w:t xml:space="preserve"> </w:t>
      </w:r>
      <w:r>
        <w:rPr>
          <w:rFonts w:hint="eastAsia" w:ascii="新宋体" w:hAnsi="新宋体" w:eastAsia="新宋体" w:cs="新宋体"/>
          <w:b/>
          <w:bCs/>
          <w:color w:val="auto"/>
          <w:kern w:val="0"/>
          <w:sz w:val="22"/>
          <w:szCs w:val="22"/>
        </w:rPr>
        <w:t>投标文件的补充、修改或撤回</w:t>
      </w:r>
    </w:p>
    <w:p>
      <w:pPr>
        <w:tabs>
          <w:tab w:val="left" w:pos="540"/>
        </w:tabs>
        <w:spacing w:line="46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tabs>
          <w:tab w:val="left" w:pos="540"/>
        </w:tabs>
        <w:spacing w:line="46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22.2</w:t>
      </w:r>
      <w:r>
        <w:rPr>
          <w:rFonts w:hint="eastAsia" w:ascii="新宋体" w:hAnsi="新宋体" w:eastAsia="新宋体" w:cs="新宋体"/>
          <w:bCs/>
          <w:color w:val="auto"/>
          <w:kern w:val="0"/>
          <w:sz w:val="22"/>
          <w:szCs w:val="22"/>
          <w:lang w:val="en-US" w:eastAsia="zh-CN"/>
        </w:rPr>
        <w:t xml:space="preserve"> </w:t>
      </w:r>
      <w:r>
        <w:rPr>
          <w:rFonts w:ascii="新宋体" w:hAnsi="新宋体" w:eastAsia="新宋体" w:cs="新宋体"/>
          <w:bCs/>
          <w:color w:val="auto"/>
          <w:kern w:val="0"/>
          <w:sz w:val="22"/>
          <w:szCs w:val="22"/>
        </w:rPr>
        <w:t>投标文件递交截止时间后，投标人不得撤回、修改</w:t>
      </w:r>
      <w:r>
        <w:rPr>
          <w:rFonts w:hint="eastAsia" w:ascii="新宋体" w:hAnsi="新宋体" w:eastAsia="新宋体" w:cs="新宋体"/>
          <w:bCs/>
          <w:color w:val="auto"/>
          <w:kern w:val="0"/>
          <w:sz w:val="22"/>
          <w:szCs w:val="22"/>
        </w:rPr>
        <w:t>投标文件。</w:t>
      </w:r>
    </w:p>
    <w:p>
      <w:pPr>
        <w:tabs>
          <w:tab w:val="left" w:pos="540"/>
        </w:tabs>
        <w:spacing w:line="460" w:lineRule="exact"/>
        <w:rPr>
          <w:rFonts w:hint="eastAsia" w:ascii="新宋体" w:hAnsi="新宋体" w:eastAsia="新宋体" w:cs="新宋体"/>
          <w:bCs/>
          <w:color w:val="auto"/>
          <w:kern w:val="0"/>
          <w:sz w:val="22"/>
          <w:szCs w:val="22"/>
        </w:rPr>
      </w:pPr>
      <w:r>
        <w:rPr>
          <w:rFonts w:hint="eastAsia" w:ascii="新宋体" w:hAnsi="新宋体" w:eastAsia="新宋体" w:cs="新宋体"/>
          <w:b/>
          <w:bCs/>
          <w:color w:val="auto"/>
          <w:kern w:val="0"/>
          <w:sz w:val="22"/>
          <w:szCs w:val="22"/>
        </w:rPr>
        <w:t xml:space="preserve">23. </w:t>
      </w:r>
      <w:r>
        <w:rPr>
          <w:rFonts w:hint="eastAsia" w:ascii="新宋体" w:hAnsi="新宋体" w:eastAsia="新宋体" w:cs="新宋体"/>
          <w:b/>
          <w:bCs/>
          <w:color w:val="auto"/>
          <w:kern w:val="0"/>
          <w:sz w:val="22"/>
          <w:szCs w:val="22"/>
          <w:lang w:val="en-US" w:eastAsia="zh-CN"/>
        </w:rPr>
        <w:t xml:space="preserve"> </w:t>
      </w:r>
      <w:r>
        <w:rPr>
          <w:rFonts w:hint="eastAsia" w:ascii="新宋体" w:hAnsi="新宋体" w:eastAsia="新宋体" w:cs="新宋体"/>
          <w:b/>
          <w:bCs/>
          <w:color w:val="auto"/>
          <w:kern w:val="0"/>
          <w:sz w:val="22"/>
          <w:szCs w:val="22"/>
        </w:rPr>
        <w:t>投标文件的备选方案</w:t>
      </w:r>
    </w:p>
    <w:p>
      <w:pPr>
        <w:tabs>
          <w:tab w:val="left" w:pos="540"/>
        </w:tabs>
        <w:spacing w:line="46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23.1</w:t>
      </w:r>
      <w:r>
        <w:rPr>
          <w:rFonts w:hint="eastAsia" w:ascii="新宋体" w:hAnsi="新宋体" w:eastAsia="新宋体" w:cs="新宋体"/>
          <w:bCs/>
          <w:color w:val="auto"/>
          <w:kern w:val="0"/>
          <w:sz w:val="22"/>
          <w:szCs w:val="22"/>
          <w:lang w:val="en-US" w:eastAsia="zh-CN"/>
        </w:rPr>
        <w:t xml:space="preserve"> </w:t>
      </w:r>
      <w:r>
        <w:rPr>
          <w:rFonts w:hint="eastAsia" w:ascii="新宋体" w:hAnsi="新宋体" w:eastAsia="新宋体" w:cs="新宋体"/>
          <w:bCs/>
          <w:color w:val="auto"/>
          <w:kern w:val="0"/>
          <w:sz w:val="22"/>
          <w:szCs w:val="22"/>
        </w:rPr>
        <w:t>投标人不得递交任何的</w:t>
      </w:r>
      <w:r>
        <w:rPr>
          <w:rFonts w:ascii="新宋体" w:hAnsi="新宋体" w:eastAsia="新宋体" w:cs="新宋体"/>
          <w:bCs/>
          <w:color w:val="auto"/>
          <w:kern w:val="0"/>
          <w:sz w:val="22"/>
          <w:szCs w:val="22"/>
        </w:rPr>
        <w:t>投标备选（替代）方案</w:t>
      </w:r>
      <w:r>
        <w:rPr>
          <w:rFonts w:hint="eastAsia" w:ascii="新宋体" w:hAnsi="新宋体" w:eastAsia="新宋体" w:cs="新宋体"/>
          <w:bCs/>
          <w:color w:val="auto"/>
          <w:kern w:val="0"/>
          <w:sz w:val="22"/>
          <w:szCs w:val="22"/>
        </w:rPr>
        <w:t>，否则其投标文件将作无效标处理。与“电子加密投标文件”同时生成的“备份投标文件”不是投标备选（替代）方案。</w:t>
      </w:r>
    </w:p>
    <w:p>
      <w:pPr>
        <w:tabs>
          <w:tab w:val="left" w:pos="540"/>
        </w:tabs>
        <w:spacing w:line="460" w:lineRule="exact"/>
        <w:rPr>
          <w:rFonts w:hint="eastAsia" w:ascii="新宋体" w:hAnsi="新宋体" w:eastAsia="新宋体" w:cs="新宋体"/>
          <w:b/>
          <w:color w:val="auto"/>
          <w:sz w:val="22"/>
          <w:szCs w:val="22"/>
        </w:rPr>
      </w:pPr>
    </w:p>
    <w:p>
      <w:pPr>
        <w:pStyle w:val="5"/>
        <w:spacing w:line="500" w:lineRule="exact"/>
        <w:jc w:val="center"/>
        <w:rPr>
          <w:rFonts w:hint="eastAsia" w:ascii="新宋体" w:hAnsi="新宋体" w:eastAsia="新宋体"/>
          <w:color w:val="auto"/>
          <w:sz w:val="24"/>
          <w:szCs w:val="24"/>
        </w:rPr>
      </w:pPr>
      <w:bookmarkStart w:id="86" w:name="_Toc34508134"/>
      <w:bookmarkStart w:id="87" w:name="_Toc34572033"/>
      <w:bookmarkStart w:id="88" w:name="_Toc221356888"/>
      <w:bookmarkStart w:id="89" w:name="_Toc239145355"/>
      <w:bookmarkStart w:id="90" w:name="_Toc221356952"/>
      <w:bookmarkStart w:id="91" w:name="_Toc265529384"/>
      <w:bookmarkStart w:id="92" w:name="_Toc221423620"/>
      <w:bookmarkStart w:id="93" w:name="_Toc223715999"/>
      <w:bookmarkStart w:id="94" w:name="_Toc221374627"/>
      <w:bookmarkStart w:id="95" w:name="_Toc222114880"/>
      <w:bookmarkStart w:id="96" w:name="_Toc241404203"/>
      <w:r>
        <w:rPr>
          <w:rFonts w:hint="eastAsia" w:ascii="新宋体" w:hAnsi="新宋体" w:eastAsia="新宋体"/>
          <w:color w:val="auto"/>
          <w:sz w:val="24"/>
          <w:szCs w:val="24"/>
        </w:rPr>
        <w:t>五、 开标</w:t>
      </w:r>
      <w:bookmarkEnd w:id="86"/>
      <w:bookmarkEnd w:id="87"/>
      <w:bookmarkEnd w:id="88"/>
      <w:bookmarkEnd w:id="89"/>
      <w:bookmarkEnd w:id="90"/>
      <w:bookmarkEnd w:id="91"/>
      <w:bookmarkEnd w:id="92"/>
      <w:bookmarkEnd w:id="93"/>
      <w:bookmarkEnd w:id="94"/>
      <w:bookmarkEnd w:id="95"/>
      <w:bookmarkEnd w:id="96"/>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 xml:space="preserve">24. </w:t>
      </w:r>
      <w:r>
        <w:rPr>
          <w:rFonts w:hint="eastAsia" w:ascii="新宋体" w:hAnsi="新宋体" w:eastAsia="新宋体" w:cs="新宋体"/>
          <w:b/>
          <w:bCs/>
          <w:color w:val="auto"/>
          <w:kern w:val="0"/>
          <w:sz w:val="22"/>
          <w:szCs w:val="22"/>
          <w:lang w:val="en-US" w:eastAsia="zh-CN"/>
        </w:rPr>
        <w:t xml:space="preserve"> </w:t>
      </w:r>
      <w:r>
        <w:rPr>
          <w:rFonts w:hint="eastAsia" w:ascii="新宋体" w:hAnsi="新宋体" w:eastAsia="新宋体" w:cs="新宋体"/>
          <w:b/>
          <w:bCs/>
          <w:color w:val="auto"/>
          <w:kern w:val="0"/>
          <w:sz w:val="22"/>
          <w:szCs w:val="22"/>
        </w:rPr>
        <w:t>开标形式</w:t>
      </w:r>
    </w:p>
    <w:p>
      <w:pPr>
        <w:tabs>
          <w:tab w:val="left" w:pos="540"/>
        </w:tabs>
        <w:spacing w:line="46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24.1 采购组织机构将按照采购文件规定的时间通过“政采云平台”组织开标、开启投标文件，所有供应商均应当准时在线参加。</w:t>
      </w:r>
    </w:p>
    <w:p>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 xml:space="preserve">25. </w:t>
      </w:r>
      <w:r>
        <w:rPr>
          <w:rFonts w:hint="eastAsia" w:ascii="新宋体" w:hAnsi="新宋体" w:eastAsia="新宋体" w:cs="新宋体"/>
          <w:b/>
          <w:bCs/>
          <w:color w:val="auto"/>
          <w:kern w:val="0"/>
          <w:sz w:val="22"/>
          <w:szCs w:val="22"/>
          <w:lang w:val="en-US" w:eastAsia="zh-CN"/>
        </w:rPr>
        <w:t xml:space="preserve"> </w:t>
      </w:r>
      <w:r>
        <w:rPr>
          <w:rFonts w:ascii="新宋体" w:hAnsi="新宋体" w:eastAsia="新宋体" w:cs="新宋体"/>
          <w:b/>
          <w:bCs/>
          <w:color w:val="auto"/>
          <w:kern w:val="0"/>
          <w:sz w:val="22"/>
          <w:szCs w:val="22"/>
        </w:rPr>
        <w:t>开标准备</w:t>
      </w:r>
    </w:p>
    <w:p>
      <w:pPr>
        <w:tabs>
          <w:tab w:val="left" w:pos="540"/>
        </w:tabs>
        <w:spacing w:line="46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25.1</w:t>
      </w:r>
      <w:r>
        <w:rPr>
          <w:rFonts w:hint="eastAsia" w:ascii="新宋体" w:hAnsi="新宋体" w:eastAsia="新宋体" w:cs="新宋体"/>
          <w:bCs/>
          <w:color w:val="auto"/>
          <w:kern w:val="0"/>
          <w:sz w:val="22"/>
          <w:szCs w:val="22"/>
          <w:lang w:val="en-US" w:eastAsia="zh-CN"/>
        </w:rPr>
        <w:t xml:space="preserve"> </w:t>
      </w:r>
      <w:r>
        <w:rPr>
          <w:rFonts w:hint="eastAsia" w:ascii="新宋体" w:hAnsi="新宋体" w:eastAsia="新宋体" w:cs="新宋体"/>
          <w:bCs/>
          <w:color w:val="auto"/>
          <w:kern w:val="0"/>
          <w:sz w:val="22"/>
          <w:szCs w:val="22"/>
        </w:rPr>
        <w:t>开标的准备工作由采购组织机构负责落实。</w:t>
      </w:r>
    </w:p>
    <w:p>
      <w:pPr>
        <w:tabs>
          <w:tab w:val="left" w:pos="540"/>
        </w:tabs>
        <w:spacing w:line="46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25.2</w:t>
      </w:r>
      <w:r>
        <w:rPr>
          <w:rFonts w:hint="eastAsia" w:ascii="新宋体" w:hAnsi="新宋体" w:eastAsia="新宋体" w:cs="新宋体"/>
          <w:bCs/>
          <w:color w:val="auto"/>
          <w:kern w:val="0"/>
          <w:sz w:val="22"/>
          <w:szCs w:val="22"/>
          <w:lang w:val="en-US" w:eastAsia="zh-CN"/>
        </w:rPr>
        <w:t xml:space="preserve"> </w:t>
      </w:r>
      <w:r>
        <w:rPr>
          <w:rFonts w:hint="eastAsia" w:ascii="新宋体" w:hAnsi="新宋体" w:eastAsia="新宋体" w:cs="新宋体"/>
          <w:bCs/>
          <w:color w:val="auto"/>
          <w:kern w:val="0"/>
          <w:sz w:val="22"/>
          <w:szCs w:val="22"/>
        </w:rPr>
        <w:t>采购组织机构将按照采购文件规定的时间通过“政采云平台”组织开标、开启投标文件，所有供应商均应当准时在线参加。投标人</w:t>
      </w:r>
      <w:r>
        <w:rPr>
          <w:rFonts w:ascii="新宋体" w:hAnsi="新宋体" w:eastAsia="新宋体" w:cs="新宋体"/>
          <w:bCs/>
          <w:color w:val="auto"/>
          <w:kern w:val="0"/>
          <w:sz w:val="22"/>
          <w:szCs w:val="22"/>
        </w:rPr>
        <w:t>如不</w:t>
      </w:r>
      <w:r>
        <w:rPr>
          <w:rFonts w:hint="eastAsia" w:ascii="新宋体" w:hAnsi="新宋体" w:eastAsia="新宋体" w:cs="新宋体"/>
          <w:bCs/>
          <w:color w:val="auto"/>
          <w:kern w:val="0"/>
          <w:sz w:val="22"/>
          <w:szCs w:val="22"/>
        </w:rPr>
        <w:t>参加</w:t>
      </w:r>
      <w:r>
        <w:rPr>
          <w:rFonts w:ascii="新宋体" w:hAnsi="新宋体" w:eastAsia="新宋体" w:cs="新宋体"/>
          <w:bCs/>
          <w:color w:val="auto"/>
          <w:kern w:val="0"/>
          <w:sz w:val="22"/>
          <w:szCs w:val="22"/>
        </w:rPr>
        <w:t>开标大会的，</w:t>
      </w:r>
      <w:r>
        <w:rPr>
          <w:rFonts w:hint="eastAsia" w:ascii="新宋体" w:hAnsi="新宋体" w:eastAsia="新宋体" w:cs="新宋体"/>
          <w:bCs/>
          <w:color w:val="auto"/>
          <w:kern w:val="0"/>
          <w:sz w:val="22"/>
          <w:szCs w:val="22"/>
        </w:rPr>
        <w:t>视同认可开标结果，</w:t>
      </w:r>
      <w:r>
        <w:rPr>
          <w:rFonts w:ascii="新宋体" w:hAnsi="新宋体" w:eastAsia="新宋体" w:cs="新宋体"/>
          <w:bCs/>
          <w:color w:val="auto"/>
          <w:kern w:val="0"/>
          <w:sz w:val="22"/>
          <w:szCs w:val="22"/>
        </w:rPr>
        <w:t>事后不得对采购相关人员、开标过程和开标结果提出异议</w:t>
      </w:r>
      <w:r>
        <w:rPr>
          <w:rFonts w:hint="eastAsia" w:ascii="新宋体" w:hAnsi="新宋体" w:eastAsia="新宋体" w:cs="新宋体"/>
          <w:bCs/>
          <w:color w:val="auto"/>
          <w:kern w:val="0"/>
          <w:sz w:val="22"/>
          <w:szCs w:val="22"/>
        </w:rPr>
        <w:t>，同时投标人因未在线参加开标而导致投标文件无法按时解密等一切后果由供应商自己承担。</w:t>
      </w:r>
    </w:p>
    <w:p>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26.</w:t>
      </w:r>
      <w:r>
        <w:rPr>
          <w:rFonts w:hint="eastAsia" w:ascii="新宋体" w:hAnsi="新宋体" w:eastAsia="新宋体" w:cs="新宋体"/>
          <w:b/>
          <w:bCs/>
          <w:color w:val="auto"/>
          <w:kern w:val="0"/>
          <w:sz w:val="22"/>
          <w:szCs w:val="22"/>
          <w:lang w:val="en-US" w:eastAsia="zh-CN"/>
        </w:rPr>
        <w:t xml:space="preserve">  </w:t>
      </w:r>
      <w:r>
        <w:rPr>
          <w:rFonts w:ascii="新宋体" w:hAnsi="新宋体" w:eastAsia="新宋体" w:cs="新宋体"/>
          <w:b/>
          <w:bCs/>
          <w:color w:val="auto"/>
          <w:kern w:val="0"/>
          <w:sz w:val="22"/>
          <w:szCs w:val="22"/>
        </w:rPr>
        <w:t>开标</w:t>
      </w:r>
      <w:r>
        <w:rPr>
          <w:rFonts w:hint="eastAsia" w:ascii="新宋体" w:hAnsi="新宋体" w:eastAsia="新宋体" w:cs="新宋体"/>
          <w:b/>
          <w:bCs/>
          <w:color w:val="auto"/>
          <w:kern w:val="0"/>
          <w:sz w:val="22"/>
          <w:szCs w:val="22"/>
        </w:rPr>
        <w:t>流程（两阶段）</w:t>
      </w:r>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26.1</w:t>
      </w:r>
      <w:r>
        <w:rPr>
          <w:rFonts w:hint="eastAsia" w:ascii="新宋体" w:hAnsi="新宋体" w:eastAsia="新宋体" w:cs="新宋体"/>
          <w:b/>
          <w:bCs/>
          <w:color w:val="auto"/>
          <w:kern w:val="0"/>
          <w:sz w:val="22"/>
          <w:szCs w:val="22"/>
          <w:lang w:val="en-US" w:eastAsia="zh-CN"/>
        </w:rPr>
        <w:t xml:space="preserve"> </w:t>
      </w:r>
      <w:r>
        <w:rPr>
          <w:rFonts w:hint="eastAsia" w:ascii="新宋体" w:hAnsi="新宋体" w:eastAsia="新宋体" w:cs="新宋体"/>
          <w:b/>
          <w:bCs/>
          <w:color w:val="auto"/>
          <w:kern w:val="0"/>
          <w:sz w:val="22"/>
          <w:szCs w:val="22"/>
        </w:rPr>
        <w:t>开标第一阶段</w:t>
      </w:r>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w:t>
      </w:r>
      <w:r>
        <w:rPr>
          <w:rFonts w:ascii="新宋体" w:hAnsi="新宋体" w:eastAsia="新宋体" w:cs="新宋体"/>
          <w:b/>
          <w:bCs/>
          <w:color w:val="auto"/>
          <w:kern w:val="0"/>
          <w:sz w:val="22"/>
          <w:szCs w:val="22"/>
        </w:rPr>
        <w:t>1</w:t>
      </w:r>
      <w:r>
        <w:rPr>
          <w:rFonts w:hint="eastAsia" w:ascii="新宋体" w:hAnsi="新宋体" w:eastAsia="新宋体" w:cs="新宋体"/>
          <w:b/>
          <w:bCs/>
          <w:color w:val="auto"/>
          <w:kern w:val="0"/>
          <w:sz w:val="22"/>
          <w:szCs w:val="22"/>
        </w:rPr>
        <w:t>）向各投标人发出电子加密投标文件【开始解密】通知，由供应商按采购文件规定的时间内自行进行投标文件解密。投标人在规定的时间内（开标时间起</w:t>
      </w:r>
      <w:r>
        <w:rPr>
          <w:rFonts w:hint="eastAsia" w:ascii="新宋体" w:hAnsi="新宋体" w:eastAsia="新宋体" w:cs="新宋体"/>
          <w:b/>
          <w:bCs/>
          <w:color w:val="auto"/>
          <w:kern w:val="0"/>
          <w:sz w:val="22"/>
          <w:szCs w:val="22"/>
          <w:lang w:val="en-US" w:eastAsia="zh-CN"/>
        </w:rPr>
        <w:t>1</w:t>
      </w:r>
      <w:r>
        <w:rPr>
          <w:rFonts w:hint="eastAsia" w:ascii="新宋体" w:hAnsi="新宋体" w:eastAsia="新宋体" w:cs="新宋体"/>
          <w:b/>
          <w:bCs/>
          <w:color w:val="auto"/>
          <w:kern w:val="0"/>
          <w:sz w:val="22"/>
          <w:szCs w:val="22"/>
        </w:rPr>
        <w:t>个小时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w:t>
      </w:r>
      <w:r>
        <w:rPr>
          <w:rFonts w:ascii="新宋体" w:hAnsi="新宋体" w:eastAsia="新宋体" w:cs="新宋体"/>
          <w:b/>
          <w:bCs/>
          <w:color w:val="auto"/>
          <w:kern w:val="0"/>
          <w:sz w:val="22"/>
          <w:szCs w:val="22"/>
        </w:rPr>
        <w:t>2</w:t>
      </w:r>
      <w:r>
        <w:rPr>
          <w:rFonts w:hint="eastAsia" w:ascii="新宋体" w:hAnsi="新宋体" w:eastAsia="新宋体" w:cs="新宋体"/>
          <w:b/>
          <w:bCs/>
          <w:color w:val="auto"/>
          <w:kern w:val="0"/>
          <w:sz w:val="22"/>
          <w:szCs w:val="22"/>
        </w:rPr>
        <w:t>）投标文件解密结束，各投标人签署《政府采购活动现场确认声明书》（见附件）后将扫描件发送至采购代理机构邮箱：</w:t>
      </w:r>
      <w:r>
        <w:rPr>
          <w:rFonts w:hint="eastAsia" w:ascii="新宋体" w:hAnsi="新宋体" w:eastAsia="新宋体" w:cs="新宋体"/>
          <w:b/>
          <w:color w:val="auto"/>
          <w:sz w:val="22"/>
          <w:szCs w:val="22"/>
          <w:u w:val="single"/>
          <w:lang w:eastAsia="zh-CN"/>
        </w:rPr>
        <w:t>109181756</w:t>
      </w:r>
      <w:r>
        <w:rPr>
          <w:rFonts w:ascii="新宋体" w:hAnsi="新宋体" w:eastAsia="新宋体" w:cs="新宋体"/>
          <w:b/>
          <w:color w:val="auto"/>
          <w:sz w:val="22"/>
          <w:szCs w:val="22"/>
          <w:u w:val="single"/>
        </w:rPr>
        <w:t>@qq.com</w:t>
      </w:r>
      <w:r>
        <w:rPr>
          <w:rFonts w:hint="eastAsia" w:ascii="新宋体" w:hAnsi="新宋体" w:eastAsia="新宋体" w:cs="新宋体"/>
          <w:b/>
          <w:bCs/>
          <w:color w:val="auto"/>
          <w:kern w:val="0"/>
          <w:sz w:val="22"/>
          <w:szCs w:val="22"/>
        </w:rPr>
        <w:t>；</w:t>
      </w:r>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w:t>
      </w:r>
      <w:r>
        <w:rPr>
          <w:rFonts w:ascii="新宋体" w:hAnsi="新宋体" w:eastAsia="新宋体" w:cs="新宋体"/>
          <w:b/>
          <w:bCs/>
          <w:color w:val="auto"/>
          <w:kern w:val="0"/>
          <w:sz w:val="22"/>
          <w:szCs w:val="22"/>
        </w:rPr>
        <w:t>3</w:t>
      </w:r>
      <w:r>
        <w:rPr>
          <w:rFonts w:hint="eastAsia" w:ascii="新宋体" w:hAnsi="新宋体" w:eastAsia="新宋体" w:cs="新宋体"/>
          <w:b/>
          <w:bCs/>
          <w:color w:val="auto"/>
          <w:kern w:val="0"/>
          <w:sz w:val="22"/>
          <w:szCs w:val="22"/>
        </w:rPr>
        <w:t>）开启投标文件，进入资格审查；</w:t>
      </w:r>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w:t>
      </w:r>
      <w:r>
        <w:rPr>
          <w:rFonts w:ascii="新宋体" w:hAnsi="新宋体" w:eastAsia="新宋体" w:cs="新宋体"/>
          <w:b/>
          <w:bCs/>
          <w:color w:val="auto"/>
          <w:kern w:val="0"/>
          <w:sz w:val="22"/>
          <w:szCs w:val="22"/>
        </w:rPr>
        <w:t>4</w:t>
      </w:r>
      <w:r>
        <w:rPr>
          <w:rFonts w:hint="eastAsia" w:ascii="新宋体" w:hAnsi="新宋体" w:eastAsia="新宋体" w:cs="新宋体"/>
          <w:b/>
          <w:bCs/>
          <w:color w:val="auto"/>
          <w:kern w:val="0"/>
          <w:sz w:val="22"/>
          <w:szCs w:val="22"/>
        </w:rPr>
        <w:t>）开启资格审查通过的投标人的商务技术文件进入符合性审查、商务技术评审；</w:t>
      </w:r>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w:t>
      </w:r>
      <w:r>
        <w:rPr>
          <w:rFonts w:ascii="新宋体" w:hAnsi="新宋体" w:eastAsia="新宋体" w:cs="新宋体"/>
          <w:b/>
          <w:bCs/>
          <w:color w:val="auto"/>
          <w:kern w:val="0"/>
          <w:sz w:val="22"/>
          <w:szCs w:val="22"/>
        </w:rPr>
        <w:t>5</w:t>
      </w:r>
      <w:r>
        <w:rPr>
          <w:rFonts w:hint="eastAsia" w:ascii="新宋体" w:hAnsi="新宋体" w:eastAsia="新宋体" w:cs="新宋体"/>
          <w:b/>
          <w:bCs/>
          <w:color w:val="auto"/>
          <w:kern w:val="0"/>
          <w:sz w:val="22"/>
          <w:szCs w:val="22"/>
        </w:rPr>
        <w:t>）第一阶段开标结束。</w:t>
      </w:r>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备注：开标大会的第一阶段结束后，采购人或采购代理机构将对依法对投标人的资格进行审查，资格审查结束后进入符合性审查和商务技术文件的评审工作，具体见本章节“投标人资格审查”相关规定。</w:t>
      </w:r>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26.2开标大会第二阶段</w:t>
      </w:r>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（1）符合性审查、商务技术文件的评审结束后，举行开标大会第二阶段会议。首先在“政采云平台”系统平台上公布符合性审查、商务技术评审无效供应商名称及理由</w:t>
      </w:r>
      <w:r>
        <w:rPr>
          <w:rFonts w:ascii="新宋体" w:hAnsi="新宋体" w:eastAsia="新宋体" w:cs="新宋体"/>
          <w:b/>
          <w:bCs/>
          <w:color w:val="auto"/>
          <w:kern w:val="0"/>
          <w:sz w:val="22"/>
          <w:szCs w:val="22"/>
        </w:rPr>
        <w:t>；公布经商务技术评审</w:t>
      </w:r>
      <w:r>
        <w:rPr>
          <w:rFonts w:hint="eastAsia" w:ascii="新宋体" w:hAnsi="新宋体" w:eastAsia="新宋体" w:cs="新宋体"/>
          <w:b/>
          <w:bCs/>
          <w:color w:val="auto"/>
          <w:kern w:val="0"/>
          <w:sz w:val="22"/>
          <w:szCs w:val="22"/>
        </w:rPr>
        <w:t>后有效投标人的</w:t>
      </w:r>
      <w:r>
        <w:rPr>
          <w:rFonts w:ascii="新宋体" w:hAnsi="新宋体" w:eastAsia="新宋体" w:cs="新宋体"/>
          <w:b/>
          <w:bCs/>
          <w:color w:val="auto"/>
          <w:kern w:val="0"/>
          <w:sz w:val="22"/>
          <w:szCs w:val="22"/>
        </w:rPr>
        <w:t>名单，同时公布</w:t>
      </w:r>
      <w:r>
        <w:rPr>
          <w:rFonts w:hint="eastAsia" w:ascii="新宋体" w:hAnsi="新宋体" w:eastAsia="新宋体" w:cs="新宋体"/>
          <w:b/>
          <w:bCs/>
          <w:color w:val="auto"/>
          <w:kern w:val="0"/>
          <w:sz w:val="22"/>
          <w:szCs w:val="22"/>
        </w:rPr>
        <w:t>其</w:t>
      </w:r>
      <w:r>
        <w:rPr>
          <w:rFonts w:ascii="新宋体" w:hAnsi="新宋体" w:eastAsia="新宋体" w:cs="新宋体"/>
          <w:b/>
          <w:bCs/>
          <w:color w:val="auto"/>
          <w:kern w:val="0"/>
          <w:sz w:val="22"/>
          <w:szCs w:val="22"/>
        </w:rPr>
        <w:t>商务技术</w:t>
      </w:r>
      <w:r>
        <w:rPr>
          <w:rFonts w:hint="eastAsia" w:ascii="新宋体" w:hAnsi="新宋体" w:eastAsia="新宋体" w:cs="新宋体"/>
          <w:b/>
          <w:bCs/>
          <w:color w:val="auto"/>
          <w:kern w:val="0"/>
          <w:sz w:val="22"/>
          <w:szCs w:val="22"/>
        </w:rPr>
        <w:t>部分</w:t>
      </w:r>
      <w:r>
        <w:rPr>
          <w:rFonts w:ascii="新宋体" w:hAnsi="新宋体" w:eastAsia="新宋体" w:cs="新宋体"/>
          <w:b/>
          <w:bCs/>
          <w:color w:val="auto"/>
          <w:kern w:val="0"/>
          <w:sz w:val="22"/>
          <w:szCs w:val="22"/>
        </w:rPr>
        <w:t>得分情况</w:t>
      </w:r>
      <w:r>
        <w:rPr>
          <w:rFonts w:hint="eastAsia" w:ascii="新宋体" w:hAnsi="新宋体" w:eastAsia="新宋体" w:cs="新宋体"/>
          <w:b/>
          <w:bCs/>
          <w:color w:val="auto"/>
          <w:kern w:val="0"/>
          <w:sz w:val="22"/>
          <w:szCs w:val="22"/>
        </w:rPr>
        <w:t>。</w:t>
      </w:r>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（2）开启通过符合性审查、商务技术文件评审有效投标人的报价文件，在“政采云平台”系统平台上公布开标一览表有关内容，同时当场制作开标记录</w:t>
      </w:r>
      <w:r>
        <w:rPr>
          <w:rFonts w:ascii="新宋体" w:hAnsi="新宋体" w:eastAsia="新宋体" w:cs="新宋体"/>
          <w:b/>
          <w:bCs/>
          <w:color w:val="auto"/>
          <w:kern w:val="0"/>
          <w:sz w:val="22"/>
          <w:szCs w:val="22"/>
        </w:rPr>
        <w:t>。</w:t>
      </w:r>
      <w:r>
        <w:rPr>
          <w:rFonts w:hint="eastAsia" w:ascii="新宋体" w:hAnsi="新宋体" w:eastAsia="新宋体" w:cs="新宋体"/>
          <w:b/>
          <w:bCs/>
          <w:color w:val="auto"/>
          <w:kern w:val="0"/>
          <w:sz w:val="22"/>
          <w:szCs w:val="22"/>
        </w:rPr>
        <w:t>开标</w:t>
      </w:r>
      <w:r>
        <w:rPr>
          <w:rFonts w:ascii="新宋体" w:hAnsi="新宋体" w:eastAsia="新宋体" w:cs="新宋体"/>
          <w:b/>
          <w:bCs/>
          <w:color w:val="auto"/>
          <w:kern w:val="0"/>
          <w:sz w:val="22"/>
          <w:szCs w:val="22"/>
        </w:rPr>
        <w:t>结束后，由评标委员会对报价的合理性、准确性等进行审查核实</w:t>
      </w:r>
      <w:r>
        <w:rPr>
          <w:rFonts w:hint="eastAsia" w:ascii="新宋体" w:hAnsi="新宋体" w:eastAsia="新宋体" w:cs="新宋体"/>
          <w:b/>
          <w:bCs/>
          <w:color w:val="auto"/>
          <w:kern w:val="0"/>
          <w:sz w:val="22"/>
          <w:szCs w:val="22"/>
        </w:rPr>
        <w:t>。</w:t>
      </w:r>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（3）评审结束后，在“政采云平台”系统平台上公布中标（成交）候选供应商名单，及采购人最终确定中标或成交供应商名单的时间和公告方式等。</w:t>
      </w:r>
    </w:p>
    <w:p>
      <w:pPr>
        <w:tabs>
          <w:tab w:val="left" w:pos="540"/>
        </w:tabs>
        <w:spacing w:line="460" w:lineRule="exac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特别说明：如遇“政采云平台”电子化开标或评审程序调整的，按调整后程序执行。</w:t>
      </w:r>
    </w:p>
    <w:p>
      <w:pPr>
        <w:tabs>
          <w:tab w:val="left" w:pos="540"/>
        </w:tabs>
        <w:spacing w:line="460" w:lineRule="exact"/>
        <w:rPr>
          <w:rFonts w:hint="eastAsia" w:ascii="新宋体" w:hAnsi="新宋体" w:eastAsia="新宋体" w:cs="新宋体"/>
          <w:b/>
          <w:bCs/>
          <w:color w:val="auto"/>
          <w:kern w:val="0"/>
          <w:sz w:val="22"/>
          <w:szCs w:val="22"/>
        </w:rPr>
      </w:pPr>
      <w:bookmarkStart w:id="97" w:name="_Toc24550037"/>
      <w:bookmarkStart w:id="98" w:name="_Toc33194393"/>
      <w:r>
        <w:rPr>
          <w:rFonts w:hint="eastAsia" w:ascii="新宋体" w:hAnsi="新宋体" w:eastAsia="新宋体" w:cs="新宋体"/>
          <w:b/>
          <w:bCs/>
          <w:color w:val="auto"/>
          <w:kern w:val="0"/>
          <w:sz w:val="22"/>
          <w:szCs w:val="22"/>
        </w:rPr>
        <w:t xml:space="preserve">27. </w:t>
      </w:r>
      <w:r>
        <w:rPr>
          <w:rFonts w:hint="eastAsia" w:ascii="新宋体" w:hAnsi="新宋体" w:eastAsia="新宋体" w:cs="新宋体"/>
          <w:b/>
          <w:bCs/>
          <w:color w:val="auto"/>
          <w:kern w:val="0"/>
          <w:sz w:val="22"/>
          <w:szCs w:val="22"/>
          <w:lang w:val="en-US" w:eastAsia="zh-CN"/>
        </w:rPr>
        <w:t xml:space="preserve"> </w:t>
      </w:r>
      <w:r>
        <w:rPr>
          <w:rFonts w:hint="eastAsia" w:ascii="新宋体" w:hAnsi="新宋体" w:eastAsia="新宋体" w:cs="新宋体"/>
          <w:b/>
          <w:bCs/>
          <w:color w:val="auto"/>
          <w:kern w:val="0"/>
          <w:sz w:val="22"/>
          <w:szCs w:val="22"/>
        </w:rPr>
        <w:t>投标人资格审查</w:t>
      </w:r>
      <w:bookmarkEnd w:id="97"/>
      <w:bookmarkEnd w:id="98"/>
    </w:p>
    <w:p>
      <w:pPr>
        <w:tabs>
          <w:tab w:val="left" w:pos="540"/>
        </w:tabs>
        <w:spacing w:line="46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27.1</w:t>
      </w:r>
      <w:r>
        <w:rPr>
          <w:rFonts w:hint="eastAsia" w:ascii="新宋体" w:hAnsi="新宋体" w:eastAsia="新宋体" w:cs="新宋体"/>
          <w:bCs/>
          <w:color w:val="auto"/>
          <w:kern w:val="0"/>
          <w:sz w:val="22"/>
          <w:szCs w:val="22"/>
          <w:lang w:val="en-US" w:eastAsia="zh-CN"/>
        </w:rPr>
        <w:t xml:space="preserve"> </w:t>
      </w:r>
      <w:r>
        <w:rPr>
          <w:rFonts w:hint="eastAsia" w:ascii="新宋体" w:hAnsi="新宋体" w:eastAsia="新宋体" w:cs="新宋体"/>
          <w:bCs/>
          <w:color w:val="auto"/>
          <w:kern w:val="0"/>
          <w:sz w:val="22"/>
          <w:szCs w:val="22"/>
        </w:rPr>
        <w:t>开标大会第一阶段结束后，采购人或采购代理机构首先依法对各投标人的资格进行审查，审查各投标人的资格是否满足采购文件的要求。</w:t>
      </w:r>
      <w:r>
        <w:rPr>
          <w:rFonts w:ascii="新宋体" w:hAnsi="新宋体" w:eastAsia="新宋体" w:cs="新宋体"/>
          <w:bCs/>
          <w:color w:val="auto"/>
          <w:kern w:val="0"/>
          <w:sz w:val="22"/>
          <w:szCs w:val="22"/>
        </w:rPr>
        <w:t>采购人或采购代理机构对投标人所</w:t>
      </w:r>
      <w:r>
        <w:rPr>
          <w:rFonts w:hint="eastAsia" w:ascii="新宋体" w:hAnsi="新宋体" w:eastAsia="新宋体" w:cs="新宋体"/>
          <w:bCs/>
          <w:color w:val="auto"/>
          <w:kern w:val="0"/>
          <w:sz w:val="22"/>
          <w:szCs w:val="22"/>
        </w:rPr>
        <w:t>提交</w:t>
      </w:r>
      <w:r>
        <w:rPr>
          <w:rFonts w:ascii="新宋体" w:hAnsi="新宋体" w:eastAsia="新宋体" w:cs="新宋体"/>
          <w:bCs/>
          <w:color w:val="auto"/>
          <w:kern w:val="0"/>
          <w:sz w:val="22"/>
          <w:szCs w:val="22"/>
        </w:rPr>
        <w:t>的资格审查材料仅负审核的责任。如发现投标人所提</w:t>
      </w:r>
      <w:r>
        <w:rPr>
          <w:rFonts w:hint="eastAsia" w:ascii="新宋体" w:hAnsi="新宋体" w:eastAsia="新宋体" w:cs="新宋体"/>
          <w:bCs/>
          <w:color w:val="auto"/>
          <w:kern w:val="0"/>
          <w:sz w:val="22"/>
          <w:szCs w:val="22"/>
        </w:rPr>
        <w:t>交</w:t>
      </w:r>
      <w:r>
        <w:rPr>
          <w:rFonts w:ascii="新宋体" w:hAnsi="新宋体" w:eastAsia="新宋体" w:cs="新宋体"/>
          <w:bCs/>
          <w:color w:val="auto"/>
          <w:kern w:val="0"/>
          <w:sz w:val="22"/>
          <w:szCs w:val="22"/>
        </w:rPr>
        <w:t>的资格审查材料不合法或</w:t>
      </w:r>
      <w:r>
        <w:rPr>
          <w:rFonts w:hint="eastAsia" w:ascii="新宋体" w:hAnsi="新宋体" w:eastAsia="新宋体" w:cs="新宋体"/>
          <w:bCs/>
          <w:color w:val="auto"/>
          <w:kern w:val="0"/>
          <w:sz w:val="22"/>
          <w:szCs w:val="22"/>
        </w:rPr>
        <w:t>与事实不符</w:t>
      </w:r>
      <w:r>
        <w:rPr>
          <w:rFonts w:ascii="新宋体" w:hAnsi="新宋体" w:eastAsia="新宋体" w:cs="新宋体"/>
          <w:bCs/>
          <w:color w:val="auto"/>
          <w:kern w:val="0"/>
          <w:sz w:val="22"/>
          <w:szCs w:val="22"/>
        </w:rPr>
        <w:t>，采购人可取消</w:t>
      </w:r>
      <w:r>
        <w:rPr>
          <w:rFonts w:hint="eastAsia" w:ascii="新宋体" w:hAnsi="新宋体" w:eastAsia="新宋体" w:cs="新宋体"/>
          <w:bCs/>
          <w:color w:val="auto"/>
          <w:kern w:val="0"/>
          <w:sz w:val="22"/>
          <w:szCs w:val="22"/>
        </w:rPr>
        <w:t>其</w:t>
      </w:r>
      <w:r>
        <w:rPr>
          <w:rFonts w:ascii="新宋体" w:hAnsi="新宋体" w:eastAsia="新宋体" w:cs="新宋体"/>
          <w:bCs/>
          <w:color w:val="auto"/>
          <w:kern w:val="0"/>
          <w:sz w:val="22"/>
          <w:szCs w:val="22"/>
        </w:rPr>
        <w:t>中标资格并追究投标人的法律责任。</w:t>
      </w:r>
    </w:p>
    <w:p>
      <w:pPr>
        <w:tabs>
          <w:tab w:val="left" w:pos="540"/>
        </w:tabs>
        <w:spacing w:line="46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27.2</w:t>
      </w:r>
      <w:r>
        <w:rPr>
          <w:rFonts w:hint="eastAsia" w:ascii="新宋体" w:hAnsi="新宋体" w:eastAsia="新宋体" w:cs="新宋体"/>
          <w:bCs/>
          <w:color w:val="auto"/>
          <w:kern w:val="0"/>
          <w:sz w:val="22"/>
          <w:szCs w:val="22"/>
          <w:lang w:val="en-US" w:eastAsia="zh-CN"/>
        </w:rPr>
        <w:t xml:space="preserve"> </w:t>
      </w:r>
      <w:r>
        <w:rPr>
          <w:rFonts w:hint="eastAsia" w:ascii="新宋体" w:hAnsi="新宋体" w:eastAsia="新宋体" w:cs="新宋体"/>
          <w:bCs/>
          <w:color w:val="auto"/>
          <w:kern w:val="0"/>
          <w:sz w:val="22"/>
          <w:szCs w:val="22"/>
        </w:rPr>
        <w:t>投标人提交的资格审查材料无法证明其符合采购文件规定的“投标人资格要求”的，采购人或采购代理机构将对其作资格审查不通过处理（无效投标），并不再将其投标提交评标委员会进行后续评审。</w:t>
      </w:r>
    </w:p>
    <w:p>
      <w:pPr>
        <w:tabs>
          <w:tab w:val="left" w:pos="540"/>
        </w:tabs>
        <w:spacing w:line="460" w:lineRule="exact"/>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27.3</w:t>
      </w:r>
      <w:r>
        <w:rPr>
          <w:rFonts w:hint="eastAsia" w:ascii="新宋体" w:hAnsi="新宋体" w:eastAsia="新宋体" w:cs="新宋体"/>
          <w:bCs/>
          <w:color w:val="auto"/>
          <w:kern w:val="0"/>
          <w:sz w:val="22"/>
          <w:szCs w:val="22"/>
          <w:lang w:val="en-US" w:eastAsia="zh-CN"/>
        </w:rPr>
        <w:t xml:space="preserve"> </w:t>
      </w:r>
      <w:r>
        <w:rPr>
          <w:rFonts w:hint="eastAsia" w:ascii="新宋体" w:hAnsi="新宋体" w:eastAsia="新宋体" w:cs="新宋体"/>
          <w:bCs/>
          <w:color w:val="auto"/>
          <w:kern w:val="0"/>
          <w:sz w:val="22"/>
          <w:szCs w:val="22"/>
        </w:rPr>
        <w:t>单位负责人为同一人或者存在直接控股、管理关系的不同供应商参加同一合同项下的政府采购活动的，相关投标人均作资格无效处理。</w:t>
      </w:r>
    </w:p>
    <w:p>
      <w:pPr>
        <w:pStyle w:val="5"/>
        <w:spacing w:line="500" w:lineRule="exact"/>
        <w:jc w:val="center"/>
        <w:rPr>
          <w:rFonts w:hint="eastAsia" w:ascii="新宋体" w:hAnsi="新宋体" w:eastAsia="新宋体"/>
          <w:color w:val="auto"/>
          <w:sz w:val="24"/>
          <w:szCs w:val="24"/>
        </w:rPr>
      </w:pPr>
      <w:bookmarkStart w:id="99" w:name="_Toc34572034"/>
      <w:bookmarkStart w:id="100" w:name="_Toc34221900"/>
      <w:bookmarkStart w:id="101" w:name="_Toc34508135"/>
      <w:r>
        <w:rPr>
          <w:rFonts w:hint="eastAsia" w:ascii="新宋体" w:hAnsi="新宋体" w:eastAsia="新宋体"/>
          <w:color w:val="auto"/>
          <w:sz w:val="24"/>
          <w:szCs w:val="24"/>
        </w:rPr>
        <w:t>六、 评  标</w:t>
      </w:r>
      <w:bookmarkEnd w:id="99"/>
      <w:bookmarkEnd w:id="100"/>
      <w:bookmarkEnd w:id="101"/>
    </w:p>
    <w:p>
      <w:pPr>
        <w:spacing w:line="460" w:lineRule="exact"/>
        <w:rPr>
          <w:rFonts w:hint="eastAsia"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 xml:space="preserve">28. </w:t>
      </w:r>
      <w:r>
        <w:rPr>
          <w:rFonts w:hint="eastAsia" w:ascii="新宋体" w:hAnsi="新宋体" w:eastAsia="新宋体" w:cs="新宋体"/>
          <w:b/>
          <w:color w:val="auto"/>
          <w:kern w:val="0"/>
          <w:sz w:val="22"/>
          <w:szCs w:val="22"/>
          <w:lang w:val="en-US" w:eastAsia="zh-CN"/>
        </w:rPr>
        <w:t xml:space="preserve"> </w:t>
      </w:r>
      <w:r>
        <w:rPr>
          <w:rFonts w:hint="eastAsia" w:ascii="新宋体" w:hAnsi="新宋体" w:eastAsia="新宋体" w:cs="新宋体"/>
          <w:b/>
          <w:color w:val="auto"/>
          <w:kern w:val="0"/>
          <w:sz w:val="22"/>
          <w:szCs w:val="22"/>
        </w:rPr>
        <w:t>评标委员会</w:t>
      </w:r>
    </w:p>
    <w:p>
      <w:pPr>
        <w:spacing w:line="460" w:lineRule="exact"/>
        <w:ind w:firstLine="440" w:firstLineChars="200"/>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pPr>
        <w:spacing w:line="460" w:lineRule="exact"/>
        <w:rPr>
          <w:rFonts w:hint="eastAsia"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 xml:space="preserve">29. </w:t>
      </w:r>
      <w:r>
        <w:rPr>
          <w:rFonts w:hint="eastAsia" w:ascii="新宋体" w:hAnsi="新宋体" w:eastAsia="新宋体" w:cs="新宋体"/>
          <w:b/>
          <w:color w:val="auto"/>
          <w:kern w:val="0"/>
          <w:sz w:val="22"/>
          <w:szCs w:val="22"/>
          <w:lang w:val="en-US" w:eastAsia="zh-CN"/>
        </w:rPr>
        <w:t xml:space="preserve"> </w:t>
      </w:r>
      <w:r>
        <w:rPr>
          <w:rFonts w:hint="eastAsia" w:ascii="新宋体" w:hAnsi="新宋体" w:eastAsia="新宋体" w:cs="新宋体"/>
          <w:b/>
          <w:color w:val="auto"/>
          <w:kern w:val="0"/>
          <w:sz w:val="22"/>
          <w:szCs w:val="22"/>
        </w:rPr>
        <w:t>评标过程的保密性</w:t>
      </w:r>
    </w:p>
    <w:p>
      <w:pPr>
        <w:spacing w:line="460" w:lineRule="exact"/>
        <w:ind w:firstLine="440" w:firstLineChars="200"/>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开标后直至向中标人授予合同时止，凡与评审有关的资料均不得向投标人及与评标无关人员透露。如果投标人在评标过程中试图向采购人和招标代理机构施加影响，其投标将被拒绝。</w:t>
      </w:r>
    </w:p>
    <w:p>
      <w:pPr>
        <w:spacing w:line="460" w:lineRule="exact"/>
        <w:rPr>
          <w:rFonts w:hint="eastAsia"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 xml:space="preserve">30. </w:t>
      </w:r>
      <w:r>
        <w:rPr>
          <w:rFonts w:hint="eastAsia" w:ascii="新宋体" w:hAnsi="新宋体" w:eastAsia="新宋体" w:cs="新宋体"/>
          <w:b/>
          <w:color w:val="auto"/>
          <w:kern w:val="0"/>
          <w:sz w:val="22"/>
          <w:szCs w:val="22"/>
          <w:lang w:val="en-US" w:eastAsia="zh-CN"/>
        </w:rPr>
        <w:t xml:space="preserve"> </w:t>
      </w:r>
      <w:r>
        <w:rPr>
          <w:rFonts w:hint="eastAsia" w:ascii="新宋体" w:hAnsi="新宋体" w:eastAsia="新宋体" w:cs="新宋体"/>
          <w:b/>
          <w:color w:val="auto"/>
          <w:kern w:val="0"/>
          <w:sz w:val="22"/>
          <w:szCs w:val="22"/>
        </w:rPr>
        <w:t>投标文件的初审（符合性检查）。</w:t>
      </w:r>
    </w:p>
    <w:p>
      <w:pPr>
        <w:spacing w:line="460" w:lineRule="exact"/>
        <w:ind w:firstLine="440" w:firstLineChars="200"/>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评标委员会依据采购文件的规定，从投标文件中的有效性、完整性和对采购文件的响应程度进行审查，以确定是否对采购文件的实质性要求作出响应。</w:t>
      </w:r>
    </w:p>
    <w:p>
      <w:pPr>
        <w:spacing w:line="46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30.1</w:t>
      </w:r>
      <w:r>
        <w:rPr>
          <w:rFonts w:hint="eastAsia" w:ascii="新宋体" w:hAnsi="新宋体" w:eastAsia="新宋体" w:cs="新宋体"/>
          <w:color w:val="auto"/>
          <w:kern w:val="0"/>
          <w:sz w:val="22"/>
          <w:szCs w:val="22"/>
          <w:lang w:val="en-US" w:eastAsia="zh-CN"/>
        </w:rPr>
        <w:t xml:space="preserve"> </w:t>
      </w:r>
      <w:r>
        <w:rPr>
          <w:rFonts w:hint="eastAsia" w:ascii="新宋体" w:hAnsi="新宋体" w:eastAsia="新宋体" w:cs="新宋体"/>
          <w:color w:val="auto"/>
          <w:kern w:val="0"/>
          <w:sz w:val="22"/>
          <w:szCs w:val="22"/>
        </w:rPr>
        <w:t>▲</w:t>
      </w:r>
      <w:r>
        <w:rPr>
          <w:rFonts w:hint="eastAsia" w:ascii="新宋体" w:hAnsi="新宋体" w:eastAsia="新宋体" w:cs="新宋体"/>
          <w:b/>
          <w:bCs/>
          <w:color w:val="auto"/>
          <w:kern w:val="0"/>
          <w:sz w:val="22"/>
          <w:szCs w:val="22"/>
          <w:u w:val="single"/>
        </w:rPr>
        <w:t>投标人存在下列情况之一的，投标无效</w:t>
      </w:r>
      <w:r>
        <w:rPr>
          <w:rFonts w:hint="eastAsia" w:ascii="新宋体" w:hAnsi="新宋体" w:eastAsia="新宋体" w:cs="新宋体"/>
          <w:color w:val="auto"/>
          <w:kern w:val="0"/>
          <w:sz w:val="22"/>
          <w:szCs w:val="22"/>
        </w:rPr>
        <w:t>:</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(1）投标文件正本未按采购文件要求签署、盖章的；</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(2）不具备采购文件中规定的资格要求的；</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(3）报价超过采购文件中规定的预算金额或者最高限价的；</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(4）投标文件含有采购人不能接受的附加条件的（包括采购文件中明确要求不得偏离的招标要求，存在负偏离的）；</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(5）仅提交“备份投标文件”的；</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(6）对关键条文的偏离、保留或反对，例如关于付款方式、完工期（服务期）、免费质保期、适用法律法规、标准、税费等其他内容；</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(7）存在串标、抬标或弄虚作假情况的；</w:t>
      </w:r>
    </w:p>
    <w:p>
      <w:pPr>
        <w:spacing w:line="460" w:lineRule="exact"/>
        <w:ind w:firstLine="418" w:firstLineChars="190"/>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highlight w:val="none"/>
        </w:rPr>
        <w:t>(8）法律、法规和采购文件规定的其他无效情形（或出现重大偏差）。</w:t>
      </w:r>
    </w:p>
    <w:p>
      <w:pPr>
        <w:spacing w:line="46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30.2</w:t>
      </w:r>
      <w:r>
        <w:rPr>
          <w:rFonts w:hint="eastAsia" w:ascii="新宋体" w:hAnsi="新宋体" w:eastAsia="新宋体" w:cs="新宋体"/>
          <w:color w:val="auto"/>
          <w:kern w:val="0"/>
          <w:sz w:val="22"/>
          <w:szCs w:val="22"/>
          <w:lang w:val="en-US" w:eastAsia="zh-CN"/>
        </w:rPr>
        <w:t xml:space="preserve"> </w:t>
      </w:r>
      <w:r>
        <w:rPr>
          <w:rFonts w:hint="eastAsia" w:ascii="新宋体" w:hAnsi="新宋体" w:eastAsia="新宋体" w:cs="新宋体"/>
          <w:color w:val="auto"/>
          <w:kern w:val="0"/>
          <w:sz w:val="22"/>
          <w:szCs w:val="22"/>
        </w:rPr>
        <w:t>▲</w:t>
      </w:r>
      <w:r>
        <w:rPr>
          <w:rFonts w:hint="eastAsia" w:ascii="新宋体" w:hAnsi="新宋体" w:eastAsia="新宋体" w:cs="新宋体"/>
          <w:b/>
          <w:bCs/>
          <w:color w:val="auto"/>
          <w:kern w:val="0"/>
          <w:sz w:val="22"/>
          <w:szCs w:val="22"/>
          <w:u w:val="single"/>
        </w:rPr>
        <w:t>评标委员会发现投标文件有下列情形之一的属于重大偏差(评标委员会按少数服从多数原则认定),按照无效投标处理</w:t>
      </w:r>
      <w:r>
        <w:rPr>
          <w:rFonts w:hint="eastAsia" w:ascii="新宋体" w:hAnsi="新宋体" w:eastAsia="新宋体" w:cs="新宋体"/>
          <w:color w:val="auto"/>
          <w:kern w:val="0"/>
          <w:sz w:val="22"/>
          <w:szCs w:val="22"/>
        </w:rPr>
        <w:t>：</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(1）未按采购文件要求编制或字迹模糊、辨认不清的投标文件；</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(2）除21.3条款以外，出现其它明显不符合技术规格、技术标准的要求或不满足采购文件技术规格书中的主要参数的投标文件；</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(3）除21.3条款以外，出现投标项目数量与采购文件对比出现较大偏差；商务报价明细表计算错误，出现较大差错；</w:t>
      </w: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(4）除21.3条款以外，出现其它不符合采购文件中规定的实质性要求的投标文件，是否为偏离实质性要求由评标委员会认定。</w:t>
      </w:r>
    </w:p>
    <w:p>
      <w:pPr>
        <w:spacing w:line="460" w:lineRule="exact"/>
        <w:ind w:firstLine="440" w:firstLineChars="200"/>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30.3</w:t>
      </w:r>
      <w:r>
        <w:rPr>
          <w:rFonts w:hint="eastAsia" w:ascii="新宋体" w:hAnsi="新宋体" w:eastAsia="新宋体" w:cs="新宋体"/>
          <w:color w:val="auto"/>
          <w:kern w:val="0"/>
          <w:sz w:val="22"/>
          <w:szCs w:val="22"/>
          <w:lang w:val="en-US" w:eastAsia="zh-CN"/>
        </w:rPr>
        <w:t xml:space="preserve"> </w:t>
      </w:r>
      <w:r>
        <w:rPr>
          <w:rFonts w:hint="eastAsia" w:ascii="新宋体" w:hAnsi="新宋体" w:eastAsia="新宋体" w:cs="新宋体"/>
          <w:b/>
          <w:bCs/>
          <w:color w:val="auto"/>
          <w:kern w:val="0"/>
          <w:sz w:val="22"/>
          <w:szCs w:val="22"/>
          <w:u w:val="single"/>
        </w:rPr>
        <w:t>有下列情形之一的，视为投标人串通投标，其投标无效</w:t>
      </w:r>
      <w:r>
        <w:rPr>
          <w:rFonts w:hint="eastAsia" w:ascii="新宋体" w:hAnsi="新宋体" w:eastAsia="新宋体" w:cs="新宋体"/>
          <w:color w:val="auto"/>
          <w:kern w:val="0"/>
          <w:sz w:val="22"/>
          <w:szCs w:val="22"/>
        </w:rPr>
        <w:t>：</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(1)不同投标人的投标文件由同一单位或者个人编制；</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(2)不同投标人委托同一单位或者个人办理投标事宜；</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(3)不同投标人的投标文件载明的项目管理成员或者联系人员为同一人；</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(4）不同投标人的投标文件异常一致或者投标报价呈规律性差异；</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(5）不同投标人的投标文件相互混装；</w:t>
      </w:r>
    </w:p>
    <w:p>
      <w:pPr>
        <w:spacing w:line="46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30.4</w:t>
      </w:r>
      <w:r>
        <w:rPr>
          <w:rFonts w:hint="eastAsia" w:ascii="新宋体" w:hAnsi="新宋体" w:eastAsia="新宋体" w:cs="新宋体"/>
          <w:color w:val="auto"/>
          <w:kern w:val="0"/>
          <w:sz w:val="22"/>
          <w:szCs w:val="22"/>
          <w:lang w:val="en-US" w:eastAsia="zh-CN"/>
        </w:rPr>
        <w:t xml:space="preserve"> </w:t>
      </w:r>
      <w:r>
        <w:rPr>
          <w:rFonts w:hint="eastAsia" w:ascii="新宋体" w:hAnsi="新宋体" w:eastAsia="新宋体" w:cs="新宋体"/>
          <w:color w:val="auto"/>
          <w:kern w:val="0"/>
          <w:sz w:val="22"/>
          <w:szCs w:val="22"/>
        </w:rPr>
        <w:t>在详细评标之前，评标委员会要审查每份投标文件是否实质上响应了采购文件的要求。实质上响应的投标应该是与采购文件要求的全部条款、条件和规格基本相符。没有重大偏离。</w:t>
      </w:r>
    </w:p>
    <w:p>
      <w:pPr>
        <w:spacing w:line="46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30.5</w:t>
      </w:r>
      <w:r>
        <w:rPr>
          <w:rFonts w:hint="eastAsia" w:ascii="新宋体" w:hAnsi="新宋体" w:eastAsia="新宋体" w:cs="新宋体"/>
          <w:color w:val="auto"/>
          <w:kern w:val="0"/>
          <w:sz w:val="22"/>
          <w:szCs w:val="22"/>
          <w:lang w:val="en-US" w:eastAsia="zh-CN"/>
        </w:rPr>
        <w:t xml:space="preserve"> </w:t>
      </w:r>
      <w:r>
        <w:rPr>
          <w:rFonts w:hint="eastAsia" w:ascii="新宋体" w:hAnsi="新宋体" w:eastAsia="新宋体" w:cs="新宋体"/>
          <w:color w:val="auto"/>
          <w:kern w:val="0"/>
          <w:sz w:val="22"/>
          <w:szCs w:val="22"/>
        </w:rPr>
        <w:t>实质上没有响应采购文件要求的投标将被否决，投标人不得通过修正或撤消不合要求的偏离或保留从而使其投标成为实质上响应的投标。</w:t>
      </w:r>
    </w:p>
    <w:p>
      <w:pPr>
        <w:spacing w:line="46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31.</w:t>
      </w:r>
      <w:r>
        <w:rPr>
          <w:rFonts w:hint="eastAsia" w:ascii="新宋体" w:hAnsi="新宋体" w:eastAsia="新宋体" w:cs="新宋体"/>
          <w:color w:val="auto"/>
          <w:kern w:val="0"/>
          <w:sz w:val="22"/>
          <w:szCs w:val="22"/>
          <w:lang w:val="en-US" w:eastAsia="zh-CN"/>
        </w:rPr>
        <w:t xml:space="preserve">  </w:t>
      </w:r>
      <w:r>
        <w:rPr>
          <w:rFonts w:hint="eastAsia" w:ascii="新宋体" w:hAnsi="新宋体" w:eastAsia="新宋体" w:cs="新宋体"/>
          <w:color w:val="auto"/>
          <w:kern w:val="0"/>
          <w:sz w:val="22"/>
          <w:szCs w:val="22"/>
        </w:rPr>
        <w:t>投标文件的澄清</w:t>
      </w:r>
    </w:p>
    <w:p>
      <w:pPr>
        <w:spacing w:line="460" w:lineRule="exact"/>
        <w:rPr>
          <w:rFonts w:hint="eastAsia" w:ascii="宋体" w:hAnsi="宋体" w:cs="宋体"/>
          <w:b/>
          <w:bCs/>
          <w:color w:val="auto"/>
          <w:sz w:val="22"/>
          <w:szCs w:val="22"/>
        </w:rPr>
      </w:pPr>
      <w:r>
        <w:rPr>
          <w:rFonts w:hint="eastAsia" w:ascii="新宋体" w:hAnsi="新宋体" w:eastAsia="新宋体" w:cs="新宋体"/>
          <w:color w:val="auto"/>
          <w:kern w:val="0"/>
          <w:sz w:val="22"/>
          <w:szCs w:val="22"/>
        </w:rPr>
        <w:t>31.1</w:t>
      </w:r>
      <w:r>
        <w:rPr>
          <w:rFonts w:hint="eastAsia" w:ascii="宋体" w:hAnsi="宋体" w:cs="宋体"/>
          <w:b/>
          <w:bCs/>
          <w:color w:val="auto"/>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spacing w:line="460" w:lineRule="exact"/>
        <w:rPr>
          <w:rFonts w:hint="eastAsia" w:ascii="宋体" w:hAnsi="宋体" w:cs="宋体"/>
          <w:b/>
          <w:bCs/>
          <w:color w:val="auto"/>
          <w:sz w:val="22"/>
          <w:szCs w:val="22"/>
        </w:rPr>
      </w:pPr>
      <w:r>
        <w:rPr>
          <w:rFonts w:hint="eastAsia" w:ascii="新宋体" w:hAnsi="新宋体" w:eastAsia="新宋体" w:cs="新宋体"/>
          <w:color w:val="auto"/>
          <w:kern w:val="0"/>
          <w:sz w:val="22"/>
          <w:szCs w:val="22"/>
        </w:rPr>
        <w:t>31.2</w:t>
      </w:r>
      <w:r>
        <w:rPr>
          <w:rFonts w:hint="eastAsia" w:ascii="新宋体" w:hAnsi="新宋体" w:eastAsia="新宋体" w:cs="新宋体"/>
          <w:color w:val="auto"/>
          <w:kern w:val="0"/>
          <w:sz w:val="22"/>
          <w:szCs w:val="22"/>
          <w:lang w:val="en-US" w:eastAsia="zh-CN"/>
        </w:rPr>
        <w:t xml:space="preserve">  </w:t>
      </w:r>
      <w:r>
        <w:rPr>
          <w:rFonts w:hint="eastAsia" w:ascii="新宋体" w:hAnsi="新宋体" w:eastAsia="新宋体" w:cs="新宋体"/>
          <w:color w:val="auto"/>
          <w:kern w:val="0"/>
          <w:sz w:val="22"/>
          <w:szCs w:val="22"/>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spacing w:line="46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31.3</w:t>
      </w:r>
      <w:r>
        <w:rPr>
          <w:rFonts w:hint="eastAsia" w:ascii="新宋体" w:hAnsi="新宋体" w:eastAsia="新宋体" w:cs="新宋体"/>
          <w:color w:val="auto"/>
          <w:kern w:val="0"/>
          <w:sz w:val="22"/>
          <w:szCs w:val="22"/>
          <w:lang w:val="en-US" w:eastAsia="zh-CN"/>
        </w:rPr>
        <w:t xml:space="preserve">  </w:t>
      </w:r>
      <w:r>
        <w:rPr>
          <w:rFonts w:hint="eastAsia" w:hAnsi="宋体" w:cs="宋体"/>
          <w:color w:val="auto"/>
          <w:sz w:val="22"/>
        </w:rPr>
        <w:t>投标文件报价出现前后不一致的，除采购文件另有规定外，按照下列规定修正</w:t>
      </w:r>
      <w:r>
        <w:rPr>
          <w:rFonts w:hint="eastAsia" w:ascii="新宋体" w:hAnsi="新宋体" w:eastAsia="新宋体" w:cs="新宋体"/>
          <w:color w:val="auto"/>
          <w:kern w:val="0"/>
          <w:sz w:val="22"/>
          <w:szCs w:val="22"/>
        </w:rPr>
        <w:t>：</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hAnsi="宋体" w:cs="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(2）大写金额和小写金额不一致的，以大写金额为准。</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(3）单价金额小数点或者百分比有明显错位的，以开标一览表的总价为准，并修改单价。</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(4）总价金额与按单价汇总金额不一致的，以单价金额计算结果为准。</w:t>
      </w:r>
    </w:p>
    <w:p>
      <w:pPr>
        <w:spacing w:line="460" w:lineRule="exact"/>
        <w:ind w:firstLine="418" w:firstLineChars="190"/>
        <w:rPr>
          <w:rFonts w:hint="eastAsia" w:hAnsi="宋体" w:cs="宋体"/>
          <w:color w:val="auto"/>
          <w:sz w:val="22"/>
          <w:highlight w:val="none"/>
        </w:rPr>
      </w:pPr>
      <w:r>
        <w:rPr>
          <w:rFonts w:hint="eastAsia" w:ascii="新宋体" w:hAnsi="新宋体" w:eastAsia="新宋体" w:cs="新宋体"/>
          <w:color w:val="auto"/>
          <w:kern w:val="0"/>
          <w:sz w:val="22"/>
          <w:szCs w:val="22"/>
          <w:highlight w:val="none"/>
        </w:rPr>
        <w:t>(5）</w:t>
      </w:r>
      <w:r>
        <w:rPr>
          <w:rFonts w:hint="eastAsia" w:hAnsi="宋体" w:cs="宋体"/>
          <w:b/>
          <w:bCs/>
          <w:color w:val="auto"/>
          <w:sz w:val="22"/>
          <w:highlight w:val="none"/>
        </w:rPr>
        <w:t>同时出现两种以上不一致的，按照前款规定的顺序修正。修正后的报价按照本采购文件规定经投标人确认后产生约束力，投标人不确认的，其投标无效。</w:t>
      </w:r>
    </w:p>
    <w:p>
      <w:pPr>
        <w:spacing w:line="460" w:lineRule="exact"/>
        <w:rPr>
          <w:rFonts w:hint="eastAsia" w:ascii="宋体" w:hAnsi="宋体" w:cs="宋体"/>
          <w:b/>
          <w:bCs/>
          <w:color w:val="auto"/>
          <w:sz w:val="22"/>
          <w:szCs w:val="22"/>
        </w:rPr>
      </w:pPr>
      <w:r>
        <w:rPr>
          <w:rFonts w:hint="eastAsia" w:ascii="宋体" w:hAnsi="宋体" w:cs="宋体"/>
          <w:b/>
          <w:bCs/>
          <w:color w:val="auto"/>
          <w:sz w:val="22"/>
          <w:szCs w:val="22"/>
        </w:rPr>
        <w:t>31.4</w:t>
      </w:r>
      <w:r>
        <w:rPr>
          <w:rFonts w:hint="eastAsia" w:ascii="宋体" w:hAnsi="宋体" w:cs="宋体"/>
          <w:b/>
          <w:bCs/>
          <w:color w:val="auto"/>
          <w:sz w:val="22"/>
          <w:szCs w:val="22"/>
          <w:lang w:val="en-US" w:eastAsia="zh-CN"/>
        </w:rPr>
        <w:t xml:space="preserve"> </w:t>
      </w:r>
      <w:r>
        <w:rPr>
          <w:rFonts w:hint="eastAsia" w:ascii="新宋体" w:hAnsi="新宋体" w:eastAsia="新宋体" w:cs="新宋体"/>
          <w:color w:val="auto"/>
          <w:kern w:val="0"/>
          <w:sz w:val="22"/>
          <w:szCs w:val="22"/>
        </w:rPr>
        <w:t>▲</w:t>
      </w:r>
      <w:r>
        <w:rPr>
          <w:rFonts w:hint="eastAsia" w:ascii="新宋体" w:hAnsi="新宋体" w:eastAsia="新宋体" w:cs="新宋体"/>
          <w:b/>
          <w:bCs/>
          <w:color w:val="auto"/>
          <w:kern w:val="0"/>
          <w:sz w:val="22"/>
          <w:szCs w:val="22"/>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新宋体" w:hAnsi="新宋体" w:eastAsia="新宋体" w:cs="新宋体"/>
          <w:color w:val="auto"/>
          <w:kern w:val="0"/>
          <w:sz w:val="22"/>
          <w:szCs w:val="22"/>
        </w:rPr>
        <w:t>。</w:t>
      </w:r>
    </w:p>
    <w:p>
      <w:pPr>
        <w:spacing w:line="460" w:lineRule="exact"/>
        <w:rPr>
          <w:rFonts w:hint="eastAsia" w:ascii="宋体" w:hAnsi="宋体" w:cs="宋体"/>
          <w:b/>
          <w:bCs/>
          <w:color w:val="auto"/>
          <w:sz w:val="22"/>
          <w:szCs w:val="22"/>
        </w:rPr>
      </w:pPr>
      <w:r>
        <w:rPr>
          <w:rFonts w:hint="eastAsia" w:ascii="宋体" w:hAnsi="宋体" w:cs="宋体"/>
          <w:b/>
          <w:bCs/>
          <w:color w:val="auto"/>
          <w:sz w:val="22"/>
          <w:szCs w:val="22"/>
        </w:rPr>
        <w:t>31.5</w:t>
      </w:r>
      <w:r>
        <w:rPr>
          <w:rFonts w:hint="eastAsia" w:ascii="宋体" w:hAnsi="宋体" w:cs="宋体"/>
          <w:b/>
          <w:bCs/>
          <w:color w:val="auto"/>
          <w:sz w:val="22"/>
          <w:szCs w:val="22"/>
          <w:lang w:val="en-US" w:eastAsia="zh-CN"/>
        </w:rPr>
        <w:t xml:space="preserve"> </w:t>
      </w:r>
      <w:r>
        <w:rPr>
          <w:rFonts w:hint="eastAsia" w:ascii="宋体" w:hAnsi="宋体" w:cs="宋体"/>
          <w:b/>
          <w:bCs/>
          <w:color w:val="auto"/>
          <w:sz w:val="22"/>
          <w:szCs w:val="22"/>
        </w:rPr>
        <w:t>如果投标</w:t>
      </w:r>
      <w:r>
        <w:rPr>
          <w:rFonts w:hint="eastAsia" w:hAnsi="宋体" w:cs="宋体"/>
          <w:b/>
          <w:bCs/>
          <w:color w:val="auto"/>
          <w:sz w:val="22"/>
          <w:szCs w:val="22"/>
        </w:rPr>
        <w:t>人</w:t>
      </w:r>
      <w:r>
        <w:rPr>
          <w:rFonts w:hint="eastAsia" w:ascii="宋体" w:hAnsi="宋体" w:cs="宋体"/>
          <w:b/>
          <w:bCs/>
          <w:color w:val="auto"/>
          <w:sz w:val="22"/>
          <w:szCs w:val="22"/>
        </w:rPr>
        <w:t>代表拒绝按评标委员会要求在“政采云平台”作出在线回复且无其他有效回复方式的，评标委员会可以对其作出否决投标处理。</w:t>
      </w:r>
    </w:p>
    <w:p>
      <w:pPr>
        <w:spacing w:line="460" w:lineRule="exact"/>
        <w:rPr>
          <w:rFonts w:hint="eastAsia" w:ascii="新宋体" w:hAnsi="新宋体" w:eastAsia="新宋体" w:cs="新宋体"/>
          <w:color w:val="auto"/>
          <w:kern w:val="0"/>
          <w:sz w:val="22"/>
          <w:szCs w:val="22"/>
        </w:rPr>
      </w:pPr>
      <w:r>
        <w:rPr>
          <w:rFonts w:hint="eastAsia" w:ascii="宋体" w:hAnsi="宋体" w:cs="宋体"/>
          <w:b/>
          <w:bCs/>
          <w:color w:val="auto"/>
          <w:sz w:val="22"/>
          <w:szCs w:val="22"/>
        </w:rPr>
        <w:t>31.6</w:t>
      </w:r>
      <w:r>
        <w:rPr>
          <w:rFonts w:hint="eastAsia" w:ascii="宋体" w:hAnsi="宋体" w:cs="宋体"/>
          <w:b/>
          <w:bCs/>
          <w:color w:val="auto"/>
          <w:sz w:val="22"/>
          <w:szCs w:val="22"/>
          <w:lang w:val="en-US" w:eastAsia="zh-CN"/>
        </w:rPr>
        <w:t xml:space="preserve">  </w:t>
      </w:r>
      <w:r>
        <w:rPr>
          <w:rFonts w:hint="eastAsia" w:ascii="宋体" w:hAnsi="宋体" w:cs="宋体"/>
          <w:color w:val="auto"/>
          <w:sz w:val="22"/>
          <w:u w:val="single"/>
        </w:rPr>
        <w:t>经澄清后，若偏差仍存在，且不可接受，则投标文件将被认定为“没有实质性响应采购文件要求”，按无效投标处理，不再进入下一步评审。</w:t>
      </w:r>
    </w:p>
    <w:p>
      <w:pPr>
        <w:spacing w:line="46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32.</w:t>
      </w:r>
      <w:r>
        <w:rPr>
          <w:rFonts w:hint="eastAsia" w:hAnsi="宋体" w:cs="宋体"/>
          <w:b/>
          <w:bCs/>
          <w:color w:val="auto"/>
          <w:sz w:val="22"/>
        </w:rPr>
        <w:t xml:space="preserve"> </w:t>
      </w:r>
      <w:r>
        <w:rPr>
          <w:rFonts w:hint="eastAsia" w:hAnsi="宋体" w:cs="宋体"/>
          <w:b/>
          <w:bCs/>
          <w:color w:val="auto"/>
          <w:sz w:val="22"/>
          <w:lang w:val="en-US" w:eastAsia="zh-CN"/>
        </w:rPr>
        <w:t xml:space="preserve"> </w:t>
      </w:r>
      <w:r>
        <w:rPr>
          <w:rFonts w:hint="eastAsia" w:hAnsi="宋体" w:cs="宋体"/>
          <w:b/>
          <w:bCs/>
          <w:color w:val="auto"/>
          <w:sz w:val="22"/>
        </w:rPr>
        <w:t>评标原则和评标办法</w:t>
      </w:r>
    </w:p>
    <w:p>
      <w:pPr>
        <w:pStyle w:val="31"/>
        <w:snapToGrid w:val="0"/>
        <w:spacing w:line="460" w:lineRule="exact"/>
        <w:rPr>
          <w:rFonts w:hAnsi="宋体" w:cs="宋体"/>
          <w:color w:val="auto"/>
          <w:sz w:val="22"/>
        </w:rPr>
      </w:pPr>
      <w:r>
        <w:rPr>
          <w:rFonts w:hint="eastAsia" w:hAnsi="宋体" w:cs="宋体"/>
          <w:color w:val="auto"/>
          <w:sz w:val="22"/>
        </w:rPr>
        <w:t>32.1</w:t>
      </w:r>
      <w:r>
        <w:rPr>
          <w:rFonts w:hint="eastAsia" w:hAnsi="宋体" w:cs="宋体"/>
          <w:color w:val="auto"/>
          <w:sz w:val="22"/>
          <w:lang w:val="en-US" w:eastAsia="zh-CN"/>
        </w:rPr>
        <w:t xml:space="preserve"> </w:t>
      </w:r>
      <w:r>
        <w:rPr>
          <w:rFonts w:hint="eastAsia" w:hAnsi="宋体" w:cs="宋体"/>
          <w:color w:val="auto"/>
          <w:sz w:val="22"/>
        </w:rPr>
        <w:t>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pPr>
        <w:pStyle w:val="52"/>
        <w:spacing w:before="0" w:beforeAutospacing="0" w:after="0" w:afterAutospacing="0" w:line="460" w:lineRule="exact"/>
        <w:jc w:val="both"/>
        <w:rPr>
          <w:color w:val="auto"/>
          <w:sz w:val="22"/>
        </w:rPr>
      </w:pPr>
      <w:r>
        <w:rPr>
          <w:rFonts w:hint="eastAsia"/>
          <w:color w:val="auto"/>
          <w:sz w:val="22"/>
        </w:rPr>
        <w:t>32.2</w:t>
      </w:r>
      <w:r>
        <w:rPr>
          <w:rFonts w:hint="eastAsia"/>
          <w:color w:val="auto"/>
          <w:sz w:val="22"/>
          <w:lang w:val="en-US" w:eastAsia="zh-CN"/>
        </w:rPr>
        <w:t xml:space="preserve"> </w:t>
      </w:r>
      <w:r>
        <w:rPr>
          <w:rFonts w:hint="eastAsia"/>
          <w:color w:val="auto"/>
          <w:sz w:val="22"/>
        </w:rPr>
        <w:t>评标中因评标委员会成员缺席、回避或者健康等特殊原因导致评标委员会组成不符合规定的，依法补足后继续评标。被更换的评标委员会成员所作出的评标意见无效。</w:t>
      </w:r>
    </w:p>
    <w:p>
      <w:pPr>
        <w:pStyle w:val="31"/>
        <w:snapToGrid w:val="0"/>
        <w:spacing w:line="460" w:lineRule="exact"/>
        <w:rPr>
          <w:rFonts w:hAnsi="宋体" w:cs="宋体"/>
          <w:color w:val="auto"/>
          <w:sz w:val="22"/>
        </w:rPr>
      </w:pPr>
      <w:r>
        <w:rPr>
          <w:rFonts w:hint="eastAsia" w:hAnsi="宋体" w:cs="宋体"/>
          <w:color w:val="auto"/>
          <w:sz w:val="22"/>
        </w:rPr>
        <w:t>32.3</w:t>
      </w:r>
      <w:r>
        <w:rPr>
          <w:rFonts w:hint="eastAsia" w:hAnsi="宋体" w:cs="宋体"/>
          <w:color w:val="auto"/>
          <w:sz w:val="22"/>
          <w:lang w:val="en-US" w:eastAsia="zh-CN"/>
        </w:rPr>
        <w:t xml:space="preserve"> </w:t>
      </w:r>
      <w:r>
        <w:rPr>
          <w:rFonts w:hint="eastAsia" w:hAnsi="宋体" w:cs="宋体"/>
          <w:color w:val="auto"/>
          <w:sz w:val="22"/>
        </w:rPr>
        <w:t>评标委员会成员对需要共同认定的事项存在争议的，应当按照少数服从多数的原则作出结论。持不同意见的评标委员会成员应当在评标报告上签署不同意见及理由，否则视为同意评标报告。</w:t>
      </w:r>
    </w:p>
    <w:p>
      <w:pPr>
        <w:pStyle w:val="31"/>
        <w:snapToGrid w:val="0"/>
        <w:spacing w:line="460" w:lineRule="exact"/>
        <w:rPr>
          <w:rFonts w:hAnsi="宋体" w:cs="宋体"/>
          <w:color w:val="auto"/>
          <w:sz w:val="22"/>
        </w:rPr>
      </w:pPr>
      <w:r>
        <w:rPr>
          <w:rFonts w:hint="eastAsia" w:hAnsi="宋体" w:cs="宋体"/>
          <w:color w:val="auto"/>
          <w:sz w:val="22"/>
        </w:rPr>
        <w:t>32.4</w:t>
      </w:r>
      <w:r>
        <w:rPr>
          <w:rFonts w:hint="eastAsia" w:hAnsi="宋体" w:cs="宋体"/>
          <w:color w:val="auto"/>
          <w:sz w:val="22"/>
          <w:lang w:val="en-US" w:eastAsia="zh-CN"/>
        </w:rPr>
        <w:t xml:space="preserve"> </w:t>
      </w:r>
      <w:r>
        <w:rPr>
          <w:rFonts w:hint="eastAsia" w:hAnsi="宋体" w:cs="宋体"/>
          <w:color w:val="auto"/>
          <w:sz w:val="22"/>
        </w:rPr>
        <w:t>本项目评标办法是综合评分法，具体评标内容及评分标准等详见第六部分“评标原则及方法”。</w:t>
      </w:r>
    </w:p>
    <w:p>
      <w:pPr>
        <w:pStyle w:val="31"/>
        <w:snapToGrid w:val="0"/>
        <w:spacing w:line="460" w:lineRule="exact"/>
        <w:rPr>
          <w:rFonts w:hAnsi="宋体" w:cs="宋体"/>
          <w:color w:val="auto"/>
          <w:sz w:val="22"/>
        </w:rPr>
      </w:pPr>
      <w:r>
        <w:rPr>
          <w:rFonts w:hint="eastAsia" w:hAnsi="宋体" w:cs="宋体"/>
          <w:color w:val="auto"/>
          <w:sz w:val="22"/>
          <w:u w:val="single"/>
        </w:rPr>
        <w:t>32.5</w:t>
      </w:r>
      <w:r>
        <w:rPr>
          <w:rFonts w:hint="eastAsia" w:hAnsi="宋体" w:cs="宋体"/>
          <w:color w:val="auto"/>
          <w:sz w:val="22"/>
          <w:u w:val="single"/>
          <w:lang w:val="en-US" w:eastAsia="zh-CN"/>
        </w:rPr>
        <w:t xml:space="preserve"> </w:t>
      </w:r>
      <w:r>
        <w:rPr>
          <w:rFonts w:hint="eastAsia" w:hAnsi="宋体" w:cs="宋体"/>
          <w:color w:val="auto"/>
          <w:sz w:val="22"/>
          <w:u w:val="single"/>
        </w:rPr>
        <w:t>▲根据《中华人民共和国政府采购法》第三十六条规定：在招标采购中，符合专业条件的投标人或者对采购文件作实质响应的投标人不足三家的，此项目废标，应重新组织采购。</w:t>
      </w:r>
    </w:p>
    <w:p>
      <w:pPr>
        <w:spacing w:line="460" w:lineRule="exact"/>
        <w:rPr>
          <w:rFonts w:hint="eastAsia" w:ascii="新宋体" w:hAnsi="新宋体" w:eastAsia="新宋体" w:cs="新宋体"/>
          <w:color w:val="auto"/>
          <w:kern w:val="0"/>
          <w:sz w:val="22"/>
          <w:szCs w:val="22"/>
        </w:rPr>
      </w:pPr>
      <w:r>
        <w:rPr>
          <w:rFonts w:hint="eastAsia" w:ascii="宋体" w:hAnsi="宋体" w:cs="宋体"/>
          <w:color w:val="auto"/>
          <w:sz w:val="22"/>
        </w:rPr>
        <w:t>32.6</w:t>
      </w:r>
      <w:r>
        <w:rPr>
          <w:rFonts w:hint="eastAsia" w:ascii="宋体" w:hAnsi="宋体" w:cs="宋体"/>
          <w:color w:val="auto"/>
          <w:sz w:val="22"/>
          <w:lang w:val="en-US" w:eastAsia="zh-CN"/>
        </w:rPr>
        <w:t xml:space="preserve"> </w:t>
      </w:r>
      <w:r>
        <w:rPr>
          <w:rFonts w:hint="eastAsia" w:ascii="宋体" w:hAnsi="宋体" w:cs="宋体"/>
          <w:color w:val="auto"/>
          <w:sz w:val="22"/>
        </w:rPr>
        <w:t>评标过程中遇到特殊情况，由评标委员会遵循公开、公正原则，采取投票方式按照少数服从多数原则决定。</w:t>
      </w:r>
    </w:p>
    <w:p>
      <w:pPr>
        <w:spacing w:line="460" w:lineRule="exact"/>
        <w:rPr>
          <w:rFonts w:hint="eastAsia"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33.</w:t>
      </w:r>
      <w:r>
        <w:rPr>
          <w:rFonts w:hint="eastAsia" w:ascii="新宋体" w:hAnsi="新宋体" w:eastAsia="新宋体" w:cs="新宋体"/>
          <w:b/>
          <w:color w:val="auto"/>
          <w:kern w:val="0"/>
          <w:sz w:val="22"/>
          <w:szCs w:val="22"/>
          <w:lang w:val="en-US" w:eastAsia="zh-CN"/>
        </w:rPr>
        <w:t xml:space="preserve">  </w:t>
      </w:r>
      <w:r>
        <w:rPr>
          <w:rFonts w:hint="eastAsia" w:ascii="新宋体" w:hAnsi="新宋体" w:eastAsia="新宋体" w:cs="新宋体"/>
          <w:b/>
          <w:color w:val="auto"/>
          <w:kern w:val="0"/>
          <w:sz w:val="22"/>
          <w:szCs w:val="22"/>
        </w:rPr>
        <w:t>确定中标候选人</w:t>
      </w:r>
    </w:p>
    <w:p>
      <w:pPr>
        <w:spacing w:line="46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33.1</w:t>
      </w:r>
      <w:r>
        <w:rPr>
          <w:rFonts w:hint="eastAsia" w:ascii="新宋体" w:hAnsi="新宋体" w:eastAsia="新宋体" w:cs="新宋体"/>
          <w:color w:val="auto"/>
          <w:kern w:val="0"/>
          <w:sz w:val="22"/>
          <w:szCs w:val="22"/>
          <w:lang w:val="en-US" w:eastAsia="zh-CN"/>
        </w:rPr>
        <w:t xml:space="preserve"> </w:t>
      </w:r>
      <w:r>
        <w:rPr>
          <w:rFonts w:hint="eastAsia" w:ascii="新宋体" w:hAnsi="新宋体" w:eastAsia="新宋体" w:cs="新宋体"/>
          <w:color w:val="auto"/>
          <w:kern w:val="0"/>
          <w:sz w:val="22"/>
          <w:szCs w:val="22"/>
        </w:rPr>
        <w:t>本次招标由评标委员会推荐中标候选人，采购人根据评标委员会的推荐结果进行最终确认。</w:t>
      </w:r>
    </w:p>
    <w:p>
      <w:pPr>
        <w:spacing w:line="46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33.2</w:t>
      </w:r>
      <w:r>
        <w:rPr>
          <w:rFonts w:hint="eastAsia" w:ascii="新宋体" w:hAnsi="新宋体" w:eastAsia="新宋体" w:cs="新宋体"/>
          <w:color w:val="auto"/>
          <w:kern w:val="0"/>
          <w:sz w:val="22"/>
          <w:szCs w:val="22"/>
          <w:lang w:val="en-US" w:eastAsia="zh-CN"/>
        </w:rPr>
        <w:t xml:space="preserve"> </w:t>
      </w:r>
      <w:r>
        <w:rPr>
          <w:rFonts w:hint="eastAsia" w:ascii="新宋体" w:hAnsi="新宋体" w:eastAsia="新宋体" w:cs="新宋体"/>
          <w:color w:val="auto"/>
          <w:sz w:val="22"/>
          <w:szCs w:val="22"/>
        </w:rPr>
        <w:t>评标委员会依据法律、法规及采购文件有关规定在有效标中按投标人的最终得分（即技术分与商务分之和）高低进行排序，得分前二名的投标人推荐为中标候选人与备选中标人（得分相同投标报价低的排序第一；得分且投标报价相同的，由评标委员会成员抽签决定排序）</w:t>
      </w:r>
      <w:r>
        <w:rPr>
          <w:rFonts w:hint="eastAsia" w:ascii="新宋体" w:hAnsi="新宋体" w:eastAsia="新宋体" w:cs="新宋体"/>
          <w:color w:val="auto"/>
          <w:kern w:val="0"/>
          <w:sz w:val="22"/>
          <w:szCs w:val="22"/>
        </w:rPr>
        <w:t>。</w:t>
      </w:r>
    </w:p>
    <w:p>
      <w:pPr>
        <w:spacing w:line="46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33.3</w:t>
      </w:r>
      <w:r>
        <w:rPr>
          <w:rFonts w:hint="eastAsia" w:ascii="新宋体" w:hAnsi="新宋体" w:eastAsia="新宋体" w:cs="新宋体"/>
          <w:color w:val="auto"/>
          <w:kern w:val="0"/>
          <w:sz w:val="22"/>
          <w:szCs w:val="22"/>
          <w:lang w:val="en-US" w:eastAsia="zh-CN"/>
        </w:rPr>
        <w:t xml:space="preserve"> </w:t>
      </w:r>
      <w:r>
        <w:rPr>
          <w:rFonts w:hint="eastAsia" w:ascii="新宋体" w:hAnsi="新宋体" w:eastAsia="新宋体" w:cs="新宋体"/>
          <w:color w:val="auto"/>
          <w:kern w:val="0"/>
          <w:sz w:val="22"/>
          <w:szCs w:val="22"/>
        </w:rPr>
        <w:t>若出现以下情形之一，采购人可视具体情况确定是否由备选中标人为中标人或重新组织招标：</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(1）中标候选人放弃中标资格；</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(2）中标候选人因不可抗力提出不能履行合同；</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(3）中标候选人未能在规定时间内与采购单位签订合同；</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(4）经质疑，采购人审查后，中标候选人确实在本次采购活动中存在违法违规行为或其他原因使质疑成立的。</w:t>
      </w:r>
    </w:p>
    <w:p>
      <w:pPr>
        <w:spacing w:line="46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33.4</w:t>
      </w:r>
      <w:r>
        <w:rPr>
          <w:rFonts w:hint="eastAsia" w:ascii="新宋体" w:hAnsi="新宋体" w:eastAsia="新宋体" w:cs="新宋体"/>
          <w:color w:val="auto"/>
          <w:kern w:val="0"/>
          <w:sz w:val="22"/>
          <w:szCs w:val="22"/>
          <w:lang w:val="en-US" w:eastAsia="zh-CN"/>
        </w:rPr>
        <w:t xml:space="preserve"> </w:t>
      </w:r>
      <w:r>
        <w:rPr>
          <w:rFonts w:hint="eastAsia" w:ascii="新宋体" w:hAnsi="新宋体" w:eastAsia="新宋体" w:cs="新宋体"/>
          <w:color w:val="auto"/>
          <w:kern w:val="0"/>
          <w:sz w:val="22"/>
          <w:szCs w:val="22"/>
        </w:rPr>
        <w:t>采购人、采购代理机构及评标委员会对未中标的供应商不作解释。同时根据政府采购法实施条例第四十条规定，本项目不对供应商公布详细的评审情况，不公布具体评标细则中小项得分。</w:t>
      </w:r>
    </w:p>
    <w:p>
      <w:pPr>
        <w:tabs>
          <w:tab w:val="left" w:pos="1365"/>
        </w:tabs>
        <w:spacing w:line="460" w:lineRule="exact"/>
        <w:ind w:left="550" w:hanging="550" w:hangingChars="250"/>
        <w:rPr>
          <w:rFonts w:hint="eastAsia" w:ascii="新宋体" w:hAnsi="新宋体" w:eastAsia="新宋体" w:cs="新宋体"/>
          <w:bCs/>
          <w:color w:val="auto"/>
          <w:sz w:val="22"/>
          <w:szCs w:val="22"/>
        </w:rPr>
      </w:pPr>
      <w:r>
        <w:rPr>
          <w:rFonts w:hint="eastAsia" w:ascii="新宋体" w:hAnsi="新宋体" w:eastAsia="新宋体" w:cs="新宋体"/>
          <w:color w:val="auto"/>
          <w:kern w:val="0"/>
          <w:sz w:val="22"/>
          <w:szCs w:val="22"/>
        </w:rPr>
        <w:t xml:space="preserve">34. </w:t>
      </w:r>
      <w:r>
        <w:rPr>
          <w:rFonts w:hint="eastAsia" w:ascii="新宋体" w:hAnsi="新宋体" w:eastAsia="新宋体" w:cs="新宋体"/>
          <w:color w:val="auto"/>
          <w:kern w:val="0"/>
          <w:sz w:val="22"/>
          <w:szCs w:val="22"/>
          <w:lang w:val="en-US" w:eastAsia="zh-CN"/>
        </w:rPr>
        <w:t xml:space="preserve"> </w:t>
      </w:r>
      <w:r>
        <w:rPr>
          <w:rFonts w:hint="eastAsia" w:ascii="新宋体" w:hAnsi="新宋体" w:eastAsia="新宋体" w:cs="新宋体"/>
          <w:color w:val="auto"/>
          <w:kern w:val="0"/>
          <w:sz w:val="22"/>
          <w:szCs w:val="22"/>
        </w:rPr>
        <w:t>评标细则详见“评标原则及方法”</w:t>
      </w:r>
      <w:r>
        <w:rPr>
          <w:rFonts w:hint="eastAsia" w:ascii="新宋体" w:hAnsi="新宋体" w:eastAsia="新宋体" w:cs="新宋体"/>
          <w:bCs/>
          <w:color w:val="auto"/>
          <w:sz w:val="22"/>
          <w:szCs w:val="22"/>
        </w:rPr>
        <w:t>。</w:t>
      </w:r>
    </w:p>
    <w:p>
      <w:pPr>
        <w:spacing w:line="460" w:lineRule="exact"/>
        <w:rPr>
          <w:rFonts w:hint="eastAsia"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 xml:space="preserve">35. </w:t>
      </w:r>
      <w:r>
        <w:rPr>
          <w:rFonts w:hint="eastAsia" w:ascii="新宋体" w:hAnsi="新宋体" w:eastAsia="新宋体" w:cs="新宋体"/>
          <w:b/>
          <w:color w:val="auto"/>
          <w:kern w:val="0"/>
          <w:sz w:val="22"/>
          <w:szCs w:val="22"/>
          <w:lang w:val="en-US" w:eastAsia="zh-CN"/>
        </w:rPr>
        <w:t xml:space="preserve"> </w:t>
      </w:r>
      <w:r>
        <w:rPr>
          <w:rFonts w:hint="eastAsia" w:ascii="新宋体" w:hAnsi="新宋体" w:eastAsia="新宋体" w:cs="新宋体"/>
          <w:b/>
          <w:color w:val="auto"/>
          <w:kern w:val="0"/>
          <w:sz w:val="22"/>
          <w:szCs w:val="22"/>
        </w:rPr>
        <w:t>可中止电子交易活动的情形</w:t>
      </w:r>
    </w:p>
    <w:p>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35.1</w:t>
      </w:r>
      <w:r>
        <w:rPr>
          <w:rFonts w:hint="eastAsia" w:ascii="新宋体" w:hAnsi="新宋体" w:eastAsia="新宋体" w:cs="新宋体"/>
          <w:color w:val="auto"/>
          <w:kern w:val="0"/>
          <w:sz w:val="22"/>
          <w:szCs w:val="22"/>
          <w:lang w:val="en-US" w:eastAsia="zh-CN"/>
        </w:rPr>
        <w:t xml:space="preserve"> </w:t>
      </w:r>
      <w:r>
        <w:rPr>
          <w:rFonts w:hint="eastAsia" w:ascii="新宋体" w:hAnsi="新宋体" w:eastAsia="新宋体" w:cs="新宋体"/>
          <w:color w:val="auto"/>
          <w:kern w:val="0"/>
          <w:sz w:val="22"/>
          <w:szCs w:val="22"/>
        </w:rPr>
        <w:t>采购过程中出现以下情形，导致电子交易平台无法正常运行，或者无法保证电子交易的公平、公正和安全时，采购组织机构可中止电子交易活动：</w:t>
      </w:r>
    </w:p>
    <w:p>
      <w:pPr>
        <w:tabs>
          <w:tab w:val="left" w:pos="993"/>
        </w:tabs>
        <w:spacing w:line="460" w:lineRule="exact"/>
        <w:ind w:left="567"/>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(1)电子交易平台发生故障而无法登录访问的；</w:t>
      </w:r>
    </w:p>
    <w:p>
      <w:pPr>
        <w:tabs>
          <w:tab w:val="left" w:pos="993"/>
        </w:tabs>
        <w:spacing w:line="460" w:lineRule="exact"/>
        <w:ind w:left="567"/>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(2)电子交易平台应用或数据库出现错误，不能进行正常操作的；</w:t>
      </w:r>
    </w:p>
    <w:p>
      <w:pPr>
        <w:tabs>
          <w:tab w:val="left" w:pos="993"/>
        </w:tabs>
        <w:spacing w:line="460" w:lineRule="exact"/>
        <w:ind w:left="567"/>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(3)电子交易平台发现严重安全漏洞，有潜在泄密危险的；</w:t>
      </w:r>
    </w:p>
    <w:p>
      <w:pPr>
        <w:tabs>
          <w:tab w:val="left" w:pos="993"/>
        </w:tabs>
        <w:spacing w:line="460" w:lineRule="exact"/>
        <w:ind w:left="567"/>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(4)病毒发作导致不能进行正常操作的；</w:t>
      </w:r>
    </w:p>
    <w:p>
      <w:pPr>
        <w:tabs>
          <w:tab w:val="left" w:pos="993"/>
        </w:tabs>
        <w:spacing w:line="460" w:lineRule="exact"/>
        <w:ind w:left="567"/>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(5)其他无法保证电子交易的公平、公正和安全的情况。</w:t>
      </w:r>
    </w:p>
    <w:p>
      <w:pPr>
        <w:spacing w:line="46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35.2</w:t>
      </w:r>
      <w:r>
        <w:rPr>
          <w:rFonts w:hint="eastAsia" w:ascii="新宋体" w:hAnsi="新宋体" w:eastAsia="新宋体" w:cs="新宋体"/>
          <w:color w:val="auto"/>
          <w:kern w:val="0"/>
          <w:sz w:val="22"/>
          <w:szCs w:val="22"/>
          <w:lang w:val="en-US" w:eastAsia="zh-CN"/>
        </w:rPr>
        <w:t xml:space="preserve"> </w:t>
      </w:r>
      <w:r>
        <w:rPr>
          <w:rFonts w:hint="eastAsia" w:ascii="新宋体" w:hAnsi="新宋体" w:eastAsia="新宋体" w:cs="新宋体"/>
          <w:color w:val="auto"/>
          <w:kern w:val="0"/>
          <w:sz w:val="22"/>
          <w:szCs w:val="22"/>
        </w:rPr>
        <w:t>出现前款规定情形，不影响采购公平、公正性的，采购组织机构可以待上述情形消除后继续组织电子交易活动；影响或可能影响采购公平、公正性的，应当重新采购。</w:t>
      </w:r>
    </w:p>
    <w:p>
      <w:pPr>
        <w:pStyle w:val="5"/>
        <w:spacing w:line="500" w:lineRule="exact"/>
        <w:jc w:val="center"/>
        <w:rPr>
          <w:rFonts w:hint="eastAsia" w:ascii="新宋体" w:hAnsi="新宋体" w:eastAsia="新宋体"/>
          <w:color w:val="auto"/>
          <w:sz w:val="24"/>
          <w:szCs w:val="24"/>
        </w:rPr>
      </w:pPr>
      <w:bookmarkStart w:id="102" w:name="_Toc34508136"/>
      <w:bookmarkStart w:id="103" w:name="_Toc34221901"/>
      <w:bookmarkStart w:id="104" w:name="_Toc34572035"/>
      <w:bookmarkStart w:id="105" w:name="_Toc306613654"/>
      <w:r>
        <w:rPr>
          <w:rFonts w:hint="eastAsia" w:ascii="新宋体" w:hAnsi="新宋体" w:eastAsia="新宋体"/>
          <w:color w:val="auto"/>
          <w:sz w:val="24"/>
          <w:szCs w:val="24"/>
        </w:rPr>
        <w:t>七、 授予合同</w:t>
      </w:r>
      <w:bookmarkEnd w:id="102"/>
      <w:bookmarkEnd w:id="103"/>
      <w:bookmarkEnd w:id="104"/>
      <w:bookmarkEnd w:id="105"/>
    </w:p>
    <w:p>
      <w:pPr>
        <w:tabs>
          <w:tab w:val="left" w:pos="540"/>
        </w:tabs>
        <w:spacing w:line="44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 xml:space="preserve">36. </w:t>
      </w:r>
      <w:r>
        <w:rPr>
          <w:rFonts w:hint="eastAsia" w:ascii="新宋体" w:hAnsi="新宋体" w:eastAsia="新宋体" w:cs="新宋体"/>
          <w:b/>
          <w:color w:val="auto"/>
          <w:sz w:val="22"/>
          <w:szCs w:val="22"/>
          <w:lang w:val="en-US" w:eastAsia="zh-CN"/>
        </w:rPr>
        <w:t xml:space="preserve"> </w:t>
      </w:r>
      <w:r>
        <w:rPr>
          <w:rFonts w:hint="eastAsia" w:ascii="新宋体" w:hAnsi="新宋体" w:eastAsia="新宋体" w:cs="新宋体"/>
          <w:b/>
          <w:color w:val="auto"/>
          <w:sz w:val="22"/>
          <w:szCs w:val="22"/>
        </w:rPr>
        <w:t>确定中标人</w:t>
      </w:r>
    </w:p>
    <w:p>
      <w:pPr>
        <w:tabs>
          <w:tab w:val="left" w:pos="540"/>
        </w:tabs>
        <w:spacing w:line="4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36.1</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采购人自收到评标报告之日起5个工作日内，在评标报告确定的中标候选人名单中按顺序确定中标人。</w:t>
      </w:r>
    </w:p>
    <w:p>
      <w:pPr>
        <w:tabs>
          <w:tab w:val="left" w:pos="540"/>
        </w:tabs>
        <w:spacing w:line="4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36.2</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中标人确定之日起2个工作日内，在“政采云”平台上公示中标结果，中标公告期限为1个工作日；</w:t>
      </w:r>
    </w:p>
    <w:p>
      <w:pPr>
        <w:tabs>
          <w:tab w:val="left" w:pos="540"/>
        </w:tabs>
        <w:spacing w:line="4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36.3</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在公告中标结果的同时，采购人向中标人发出中标通知书。</w:t>
      </w:r>
    </w:p>
    <w:p>
      <w:pPr>
        <w:tabs>
          <w:tab w:val="left" w:pos="540"/>
        </w:tabs>
        <w:spacing w:line="4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36.4</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各投标人对评标结果如有异议，可在中标结果公示之日起7个工作日内以书面形式向采购人进行署名投诉或提出质疑，但需对投诉或质疑内容的真实性承担法律责任。</w:t>
      </w:r>
    </w:p>
    <w:p>
      <w:pPr>
        <w:tabs>
          <w:tab w:val="left" w:pos="540"/>
        </w:tabs>
        <w:spacing w:line="44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 xml:space="preserve">37. </w:t>
      </w:r>
      <w:r>
        <w:rPr>
          <w:rFonts w:hint="eastAsia" w:ascii="新宋体" w:hAnsi="新宋体" w:eastAsia="新宋体" w:cs="新宋体"/>
          <w:b/>
          <w:color w:val="auto"/>
          <w:sz w:val="22"/>
          <w:szCs w:val="22"/>
          <w:lang w:val="en-US" w:eastAsia="zh-CN"/>
        </w:rPr>
        <w:t xml:space="preserve"> </w:t>
      </w:r>
      <w:r>
        <w:rPr>
          <w:rFonts w:hint="eastAsia" w:ascii="新宋体" w:hAnsi="新宋体" w:eastAsia="新宋体" w:cs="新宋体"/>
          <w:b/>
          <w:color w:val="auto"/>
          <w:sz w:val="22"/>
          <w:szCs w:val="22"/>
        </w:rPr>
        <w:t>签订合同</w:t>
      </w:r>
    </w:p>
    <w:p>
      <w:pPr>
        <w:tabs>
          <w:tab w:val="left" w:pos="540"/>
        </w:tabs>
        <w:spacing w:line="4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37.1</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公示期结束后，中标投标人须在5个工作日内主动联系采购人或采购机构领取中标通知书。中标投标人应当在中标通知书发出之日起30日内与采购人签订合同。中标投标人未经采购人许可，在规定时间内未到采购人处与采购人签订合同，则视为拒签合同。</w:t>
      </w:r>
    </w:p>
    <w:p>
      <w:pPr>
        <w:tabs>
          <w:tab w:val="left" w:pos="540"/>
        </w:tabs>
        <w:spacing w:line="4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37.2</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采购文件、中标投标人的投标文件及投标修改文件、评标过程中有关澄清文件及经双方签字的询标纪要（承诺）和中标通知书均作为合同附件。</w:t>
      </w:r>
    </w:p>
    <w:p>
      <w:pPr>
        <w:tabs>
          <w:tab w:val="left" w:pos="540"/>
        </w:tabs>
        <w:spacing w:line="4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37.3</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拒签合同的责任</w:t>
      </w:r>
    </w:p>
    <w:p>
      <w:pPr>
        <w:tabs>
          <w:tab w:val="left" w:pos="640"/>
        </w:tabs>
        <w:spacing w:line="4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37.4</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中标投标人在规定时间内（30日历天）借故否认已经承诺的条件、拒签合同，以投标违约处理，其投标保证金不予退回，并赔偿采购人由此造成的直接经济损失；采购人重新组织招标的，所需费用由原中标投标人承担。</w:t>
      </w:r>
    </w:p>
    <w:p>
      <w:pPr>
        <w:pStyle w:val="23"/>
        <w:spacing w:line="44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 xml:space="preserve">38. </w:t>
      </w:r>
      <w:r>
        <w:rPr>
          <w:rFonts w:hint="eastAsia" w:ascii="新宋体" w:hAnsi="新宋体" w:eastAsia="新宋体" w:cs="新宋体"/>
          <w:b/>
          <w:color w:val="auto"/>
          <w:sz w:val="22"/>
          <w:szCs w:val="22"/>
          <w:lang w:val="en-US" w:eastAsia="zh-CN"/>
        </w:rPr>
        <w:t xml:space="preserve"> </w:t>
      </w:r>
      <w:r>
        <w:rPr>
          <w:rFonts w:hint="eastAsia" w:ascii="新宋体" w:hAnsi="新宋体" w:eastAsia="新宋体" w:cs="新宋体"/>
          <w:b/>
          <w:color w:val="auto"/>
          <w:sz w:val="22"/>
          <w:szCs w:val="22"/>
        </w:rPr>
        <w:t>招标代理服务费</w:t>
      </w:r>
    </w:p>
    <w:p>
      <w:pPr>
        <w:tabs>
          <w:tab w:val="left" w:pos="540"/>
        </w:tabs>
        <w:spacing w:line="4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38.1</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中标供应商在领取中标通知书的同时向招标代理机构支付招标代理服务费（根据国家计委印发的《招标代理服务收费管理暂行办法》</w:t>
      </w:r>
      <w:r>
        <w:rPr>
          <w:rFonts w:ascii="新宋体" w:hAnsi="新宋体" w:eastAsia="新宋体" w:cs="新宋体"/>
          <w:color w:val="auto"/>
          <w:sz w:val="22"/>
          <w:szCs w:val="22"/>
        </w:rPr>
        <w:t>(计价格【2002】1980号文)收</w:t>
      </w:r>
      <w:r>
        <w:rPr>
          <w:rFonts w:hint="eastAsia" w:ascii="新宋体" w:hAnsi="新宋体" w:eastAsia="新宋体" w:cs="新宋体"/>
          <w:color w:val="auto"/>
          <w:sz w:val="22"/>
          <w:szCs w:val="22"/>
        </w:rPr>
        <w:t>取</w:t>
      </w:r>
      <w:r>
        <w:rPr>
          <w:rFonts w:ascii="新宋体" w:hAnsi="新宋体" w:eastAsia="新宋体" w:cs="新宋体"/>
          <w:color w:val="auto"/>
          <w:sz w:val="22"/>
          <w:szCs w:val="22"/>
        </w:rPr>
        <w:t>）</w:t>
      </w:r>
      <w:r>
        <w:rPr>
          <w:rFonts w:hint="eastAsia" w:ascii="新宋体" w:hAnsi="新宋体" w:eastAsia="新宋体" w:cs="新宋体"/>
          <w:color w:val="auto"/>
          <w:sz w:val="22"/>
          <w:szCs w:val="22"/>
        </w:rPr>
        <w:t>，招标代理服务费包含在总价中。</w:t>
      </w:r>
    </w:p>
    <w:p>
      <w:pPr>
        <w:pStyle w:val="24"/>
        <w:ind w:firstLine="321"/>
        <w:rPr>
          <w:rFonts w:hint="eastAsia"/>
          <w:color w:val="auto"/>
        </w:rPr>
      </w:pPr>
    </w:p>
    <w:p>
      <w:pPr>
        <w:spacing w:line="440" w:lineRule="exact"/>
        <w:jc w:val="both"/>
        <w:rPr>
          <w:rFonts w:hint="eastAsia" w:ascii="新宋体" w:hAnsi="新宋体" w:eastAsia="新宋体" w:cs="新宋体"/>
          <w:b/>
          <w:bCs/>
          <w:color w:val="auto"/>
          <w:sz w:val="22"/>
          <w:szCs w:val="22"/>
        </w:rPr>
      </w:pPr>
    </w:p>
    <w:p>
      <w:pPr>
        <w:spacing w:line="440" w:lineRule="exact"/>
        <w:rPr>
          <w:rFonts w:hint="eastAsia" w:ascii="新宋体" w:hAnsi="新宋体" w:eastAsia="新宋体" w:cs="新宋体"/>
          <w:b/>
          <w:bCs/>
          <w:color w:val="auto"/>
          <w:sz w:val="22"/>
          <w:szCs w:val="22"/>
        </w:rPr>
      </w:pPr>
    </w:p>
    <w:p>
      <w:pPr>
        <w:pStyle w:val="2"/>
        <w:rPr>
          <w:rFonts w:hint="eastAsia" w:ascii="新宋体" w:hAnsi="新宋体" w:eastAsia="新宋体" w:cs="新宋体"/>
          <w:b w:val="0"/>
          <w:bCs w:val="0"/>
          <w:color w:val="auto"/>
          <w:sz w:val="22"/>
          <w:szCs w:val="22"/>
        </w:rPr>
      </w:pPr>
    </w:p>
    <w:p>
      <w:pPr>
        <w:pStyle w:val="2"/>
        <w:jc w:val="center"/>
        <w:rPr>
          <w:rFonts w:hint="eastAsia" w:ascii="新宋体" w:hAnsi="新宋体" w:eastAsia="新宋体" w:cs="新宋体"/>
          <w:color w:val="auto"/>
          <w:kern w:val="2"/>
          <w:sz w:val="36"/>
          <w:szCs w:val="36"/>
        </w:rPr>
      </w:pPr>
      <w:r>
        <w:rPr>
          <w:rFonts w:hint="eastAsia" w:ascii="新宋体" w:hAnsi="新宋体" w:eastAsia="新宋体" w:cs="新宋体"/>
          <w:b w:val="0"/>
          <w:bCs w:val="0"/>
          <w:color w:val="auto"/>
          <w:sz w:val="22"/>
          <w:szCs w:val="22"/>
        </w:rPr>
        <w:br w:type="page"/>
      </w:r>
      <w:bookmarkStart w:id="106" w:name="_Toc34508137"/>
      <w:bookmarkStart w:id="107" w:name="_Toc34572036"/>
      <w:bookmarkStart w:id="108" w:name="_Toc495955195"/>
      <w:r>
        <w:rPr>
          <w:rFonts w:hint="eastAsia" w:ascii="新宋体" w:hAnsi="新宋体" w:eastAsia="新宋体" w:cs="新宋体"/>
          <w:color w:val="auto"/>
          <w:kern w:val="2"/>
          <w:sz w:val="36"/>
          <w:szCs w:val="36"/>
        </w:rPr>
        <w:t>第二部分   政府采购政策功能相关说明</w:t>
      </w:r>
      <w:bookmarkEnd w:id="106"/>
      <w:bookmarkEnd w:id="107"/>
      <w:bookmarkEnd w:id="108"/>
    </w:p>
    <w:p>
      <w:pPr>
        <w:jc w:val="left"/>
        <w:rPr>
          <w:rFonts w:hint="eastAsia" w:ascii="新宋体" w:hAnsi="新宋体" w:eastAsia="新宋体" w:cs="新宋体"/>
          <w:b/>
          <w:color w:val="auto"/>
          <w:sz w:val="22"/>
        </w:rPr>
      </w:pPr>
    </w:p>
    <w:p>
      <w:pPr>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一、小、微企业（含监狱企业、残疾人福利性单位）扶持政策说明</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1、文件依据</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（1）关于印发《政府采购促进中小企业发展暂行办法》的通知（财库[2011]181号）</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（2）浙江省财政厅转发财政部 工业和信息化部关于印发《政府采购促进中小企业发展暂行办法》的通知（浙财采监[2012]11号）</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（3）浙江省省财政厅《关于开展政府采购投标人网上注册登记和诚信管理工作的通知》（浙财采监〔2010〕8号)</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（4）《工业和信息化部、国家统计局、国家发展和改革委员会、财政部关于印发中小企业划型标准规定的通知》（工信部联企业[2011]300号）</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（5）财政部、司法部《关于政府采购支持监狱企业发展有关问题的通知》（财库〔2014〕68号）</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（6）《财政部 民政部 中国残疾人联合会关于促进残疾人就业政府采购政策的通知》（财库〔2017〕 141号）</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（7）《浙江省财政厅  浙江省经济和信息化委员会关于简化中小企业类别确认流程有关事项的通知》（浙财采监〔2018〕2号)</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2、享受小微企业价格折扣应具备的条件与价格折扣比例</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（1）符合中小企业划分标准；</w:t>
      </w:r>
      <w:r>
        <w:rPr>
          <w:rFonts w:hint="eastAsia" w:ascii="新宋体" w:hAnsi="新宋体" w:eastAsia="新宋体" w:cs="新宋体"/>
          <w:bCs/>
          <w:color w:val="auto"/>
          <w:sz w:val="22"/>
        </w:rPr>
        <w:br w:type="textWrapping"/>
      </w:r>
      <w:r>
        <w:rPr>
          <w:rFonts w:hint="eastAsia" w:ascii="新宋体" w:hAnsi="新宋体" w:eastAsia="新宋体" w:cs="新宋体"/>
          <w:bCs/>
          <w:color w:val="auto"/>
          <w:sz w:val="22"/>
        </w:rPr>
        <w:t>（2）提供本企业制造的货物、承担的工程或者服务，或者提供其他中小企业制造的货物。本项所称货物不包括使用大型企业注册商标的货物。</w:t>
      </w:r>
      <w:r>
        <w:rPr>
          <w:rFonts w:hint="eastAsia" w:ascii="新宋体" w:hAnsi="新宋体" w:eastAsia="新宋体" w:cs="新宋体"/>
          <w:bCs/>
          <w:color w:val="auto"/>
          <w:sz w:val="22"/>
        </w:rPr>
        <w:br w:type="textWrapping"/>
      </w:r>
      <w:r>
        <w:rPr>
          <w:rFonts w:hint="eastAsia" w:ascii="新宋体" w:hAnsi="新宋体" w:eastAsia="新宋体" w:cs="新宋体"/>
          <w:bCs/>
          <w:color w:val="auto"/>
          <w:sz w:val="22"/>
        </w:rPr>
        <w:t>  中小企业划分标准，是指国务院有关部门根据企业从业人员、营业收入、资产总额等指标制定的中小企业划型标准。</w:t>
      </w:r>
      <w:r>
        <w:rPr>
          <w:rFonts w:hint="eastAsia" w:ascii="新宋体" w:hAnsi="新宋体" w:eastAsia="新宋体" w:cs="新宋体"/>
          <w:bCs/>
          <w:color w:val="auto"/>
          <w:sz w:val="22"/>
        </w:rPr>
        <w:br w:type="textWrapping"/>
      </w:r>
      <w:r>
        <w:rPr>
          <w:rFonts w:hint="eastAsia" w:ascii="新宋体" w:hAnsi="新宋体" w:eastAsia="新宋体" w:cs="新宋体"/>
          <w:bCs/>
          <w:color w:val="auto"/>
          <w:sz w:val="22"/>
        </w:rPr>
        <w:t>  小型、微型企业提供中型企业制造的货物的，视同为中型企业。</w:t>
      </w:r>
    </w:p>
    <w:p>
      <w:pPr>
        <w:spacing w:line="440" w:lineRule="atLeast"/>
        <w:jc w:val="left"/>
        <w:rPr>
          <w:rFonts w:hint="eastAsia" w:ascii="新宋体" w:hAnsi="新宋体" w:eastAsia="新宋体" w:cs="新宋体"/>
          <w:bCs/>
          <w:color w:val="auto"/>
          <w:sz w:val="22"/>
          <w:u w:val="single"/>
        </w:rPr>
      </w:pPr>
      <w:r>
        <w:rPr>
          <w:rFonts w:hint="eastAsia" w:ascii="新宋体" w:hAnsi="新宋体" w:eastAsia="新宋体" w:cs="新宋体"/>
          <w:bCs/>
          <w:color w:val="auto"/>
          <w:sz w:val="22"/>
          <w:u w:val="single"/>
        </w:rPr>
        <w:t>（3）本项目对小型和微型企业产品的价格给予6%的扣除，用扣除后的价格参与评审。</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u w:val="single"/>
        </w:rPr>
        <w:t>3、享受小微企业价格折扣应提供以下证明材料（投标文件商务技术文件中，缺一不可）</w:t>
      </w:r>
      <w:r>
        <w:rPr>
          <w:rFonts w:hint="eastAsia" w:ascii="新宋体" w:hAnsi="新宋体" w:eastAsia="新宋体" w:cs="新宋体"/>
          <w:bCs/>
          <w:color w:val="auto"/>
          <w:sz w:val="22"/>
        </w:rPr>
        <w:t>：</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（1）通过浙江政府采购网申请注册加入政府采购投标人库（不包括公示期内，提供浙江省政府采购网页面截图或其它入库证明材料，加盖投标人公章）</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（2）《中小企业声明函》（原件，加盖投标人公章，格式见附件1）</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4、</w:t>
      </w:r>
      <w:r>
        <w:rPr>
          <w:rFonts w:hint="eastAsia" w:ascii="新宋体" w:hAnsi="新宋体" w:eastAsia="新宋体" w:cs="新宋体"/>
          <w:bCs/>
          <w:color w:val="auto"/>
          <w:sz w:val="22"/>
          <w:u w:val="single"/>
        </w:rPr>
        <w:t>享受监狱企业价格折扣应提供以下证明材料（投标文件商务技术文件中，不提供的不享受价格折扣）</w:t>
      </w:r>
      <w:r>
        <w:rPr>
          <w:rFonts w:hint="eastAsia" w:ascii="新宋体" w:hAnsi="新宋体" w:eastAsia="新宋体" w:cs="新宋体"/>
          <w:bCs/>
          <w:color w:val="auto"/>
          <w:sz w:val="22"/>
        </w:rPr>
        <w:t>：</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5、</w:t>
      </w:r>
      <w:r>
        <w:rPr>
          <w:rFonts w:hint="eastAsia" w:ascii="新宋体" w:hAnsi="新宋体" w:eastAsia="新宋体" w:cs="新宋体"/>
          <w:bCs/>
          <w:color w:val="auto"/>
          <w:sz w:val="22"/>
          <w:u w:val="single"/>
        </w:rPr>
        <w:t>享受残疾人福利性单位格折扣应提供以下证明材料（投标文件商务技术文件中，不提供的不享受价格折扣）</w:t>
      </w:r>
      <w:r>
        <w:rPr>
          <w:rFonts w:hint="eastAsia" w:ascii="新宋体" w:hAnsi="新宋体" w:eastAsia="新宋体" w:cs="新宋体"/>
          <w:bCs/>
          <w:color w:val="auto"/>
          <w:sz w:val="22"/>
        </w:rPr>
        <w:t>：</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（1）残疾人福利性单位声明函（附件2）；</w:t>
      </w:r>
    </w:p>
    <w:p>
      <w:pPr>
        <w:spacing w:line="440" w:lineRule="atLeast"/>
        <w:jc w:val="left"/>
        <w:rPr>
          <w:rFonts w:hint="eastAsia" w:ascii="新宋体" w:hAnsi="新宋体" w:eastAsia="新宋体" w:cs="新宋体"/>
          <w:bCs/>
          <w:color w:val="auto"/>
          <w:sz w:val="22"/>
        </w:rPr>
      </w:pPr>
      <w:r>
        <w:rPr>
          <w:rFonts w:hint="eastAsia" w:ascii="新宋体" w:hAnsi="新宋体" w:eastAsia="新宋体" w:cs="新宋体"/>
          <w:bCs/>
          <w:color w:val="auto"/>
          <w:sz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spacing w:line="440" w:lineRule="atLeast"/>
        <w:jc w:val="left"/>
        <w:rPr>
          <w:rFonts w:hint="eastAsia" w:ascii="新宋体" w:hAnsi="新宋体" w:eastAsia="新宋体" w:cs="新宋体"/>
          <w:b/>
          <w:color w:val="auto"/>
          <w:sz w:val="22"/>
        </w:rPr>
      </w:pPr>
    </w:p>
    <w:p>
      <w:pPr>
        <w:widowControl/>
        <w:spacing w:before="100" w:beforeAutospacing="1" w:after="100" w:afterAutospacing="1" w:line="440" w:lineRule="atLeast"/>
        <w:jc w:val="left"/>
        <w:rPr>
          <w:rFonts w:hint="eastAsia" w:ascii="新宋体" w:hAnsi="新宋体" w:eastAsia="新宋体" w:cs="新宋体"/>
          <w:b/>
          <w:color w:val="auto"/>
          <w:sz w:val="24"/>
        </w:rPr>
      </w:pPr>
    </w:p>
    <w:p>
      <w:pPr>
        <w:widowControl/>
        <w:spacing w:before="100" w:beforeAutospacing="1" w:after="100" w:afterAutospacing="1" w:line="440" w:lineRule="atLeast"/>
        <w:jc w:val="left"/>
        <w:rPr>
          <w:rFonts w:hint="eastAsia" w:ascii="新宋体" w:hAnsi="新宋体" w:eastAsia="新宋体" w:cs="新宋体"/>
          <w:b/>
          <w:color w:val="auto"/>
          <w:sz w:val="24"/>
        </w:rPr>
      </w:pPr>
      <w:r>
        <w:rPr>
          <w:rFonts w:hint="eastAsia" w:ascii="新宋体" w:hAnsi="新宋体" w:eastAsia="新宋体" w:cs="新宋体"/>
          <w:b/>
          <w:color w:val="auto"/>
          <w:sz w:val="24"/>
        </w:rPr>
        <w:br w:type="page"/>
      </w:r>
    </w:p>
    <w:p>
      <w:pPr>
        <w:widowControl/>
        <w:spacing w:before="100" w:beforeAutospacing="1" w:after="100" w:afterAutospacing="1" w:line="440" w:lineRule="atLeast"/>
        <w:jc w:val="left"/>
        <w:rPr>
          <w:rFonts w:hint="eastAsia" w:ascii="新宋体" w:hAnsi="新宋体" w:eastAsia="新宋体" w:cs="新宋体"/>
          <w:b/>
          <w:color w:val="auto"/>
          <w:sz w:val="24"/>
        </w:rPr>
      </w:pPr>
      <w:r>
        <w:rPr>
          <w:rFonts w:hint="eastAsia" w:ascii="新宋体" w:hAnsi="新宋体" w:eastAsia="新宋体" w:cs="新宋体"/>
          <w:b/>
          <w:color w:val="auto"/>
          <w:sz w:val="24"/>
        </w:rPr>
        <w:t>附件1：</w:t>
      </w:r>
    </w:p>
    <w:p>
      <w:pPr>
        <w:widowControl/>
        <w:spacing w:before="100" w:beforeAutospacing="1" w:after="100" w:afterAutospacing="1" w:line="440" w:lineRule="atLeast"/>
        <w:jc w:val="center"/>
        <w:rPr>
          <w:rFonts w:hint="eastAsia" w:ascii="新宋体" w:hAnsi="新宋体" w:eastAsia="新宋体" w:cs="新宋体"/>
          <w:b/>
          <w:color w:val="auto"/>
          <w:sz w:val="24"/>
        </w:rPr>
      </w:pPr>
      <w:r>
        <w:rPr>
          <w:rFonts w:hint="eastAsia" w:ascii="新宋体" w:hAnsi="新宋体" w:eastAsia="新宋体" w:cs="新宋体"/>
          <w:b/>
          <w:bCs/>
          <w:color w:val="auto"/>
          <w:sz w:val="24"/>
        </w:rPr>
        <w:t>中小企业声明函</w:t>
      </w:r>
    </w:p>
    <w:p>
      <w:pPr>
        <w:widowControl/>
        <w:spacing w:before="100" w:beforeAutospacing="1" w:after="100" w:afterAutospacing="1" w:line="440" w:lineRule="atLeast"/>
        <w:ind w:firstLine="440" w:firstLineChars="200"/>
        <w:jc w:val="left"/>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本公司郑重声明，根据《政府采购促进中小企业发展暂行办法》（财库[2011]181号）的规定，本公司为______（请填写：中型、小型、微型）企业。即，本公司同时满足以下条件：</w:t>
      </w:r>
    </w:p>
    <w:p>
      <w:pPr>
        <w:widowControl/>
        <w:numPr>
          <w:ilvl w:val="0"/>
          <w:numId w:val="21"/>
        </w:numPr>
        <w:spacing w:before="100" w:beforeAutospacing="1" w:after="100" w:afterAutospacing="1" w:line="440" w:lineRule="atLeast"/>
        <w:ind w:firstLine="440" w:firstLineChars="200"/>
        <w:jc w:val="left"/>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根据《工业和信息化部、国家统计局、国家发展和改革委员会、财政部关于印发中小企业划型标准规定的通知》（工信部联企业[2011]300号）规定的划分标准，本公司为______（请填写：中型、小型、微型）企业。</w:t>
      </w:r>
    </w:p>
    <w:p>
      <w:pPr>
        <w:widowControl/>
        <w:numPr>
          <w:ilvl w:val="0"/>
          <w:numId w:val="21"/>
        </w:numPr>
        <w:spacing w:before="100" w:beforeAutospacing="1" w:after="100" w:afterAutospacing="1" w:line="440" w:lineRule="atLeast"/>
        <w:ind w:firstLine="440" w:firstLineChars="200"/>
        <w:jc w:val="left"/>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新宋体" w:hAnsi="新宋体" w:eastAsia="新宋体" w:cs="新宋体"/>
          <w:bCs/>
          <w:color w:val="auto"/>
          <w:sz w:val="22"/>
          <w:szCs w:val="22"/>
        </w:rPr>
        <w:br w:type="textWrapping"/>
      </w:r>
      <w:r>
        <w:rPr>
          <w:rFonts w:hint="eastAsia" w:ascii="新宋体" w:hAnsi="新宋体" w:eastAsia="新宋体" w:cs="新宋体"/>
          <w:bCs/>
          <w:color w:val="auto"/>
          <w:sz w:val="22"/>
          <w:szCs w:val="22"/>
        </w:rPr>
        <w:t>    本公司对上述声明的真实性负责。如有虚假，将依法承担相应责任。</w:t>
      </w:r>
    </w:p>
    <w:p>
      <w:pPr>
        <w:widowControl/>
        <w:spacing w:before="100" w:beforeAutospacing="1" w:after="100" w:afterAutospacing="1" w:line="440" w:lineRule="atLeast"/>
        <w:jc w:val="left"/>
        <w:rPr>
          <w:rFonts w:hint="eastAsia" w:ascii="新宋体" w:hAnsi="新宋体" w:eastAsia="新宋体" w:cs="新宋体"/>
          <w:bCs/>
          <w:color w:val="auto"/>
          <w:sz w:val="22"/>
          <w:szCs w:val="22"/>
        </w:rPr>
      </w:pPr>
    </w:p>
    <w:p>
      <w:pPr>
        <w:widowControl/>
        <w:spacing w:before="100" w:beforeAutospacing="1" w:after="100" w:afterAutospacing="1" w:line="440" w:lineRule="atLeast"/>
        <w:jc w:val="left"/>
        <w:rPr>
          <w:rFonts w:hint="eastAsia" w:ascii="新宋体" w:hAnsi="新宋体" w:eastAsia="新宋体" w:cs="新宋体"/>
          <w:b/>
          <w:color w:val="auto"/>
          <w:sz w:val="24"/>
        </w:rPr>
      </w:pPr>
      <w:r>
        <w:rPr>
          <w:rFonts w:hint="eastAsia" w:ascii="新宋体" w:hAnsi="新宋体" w:eastAsia="新宋体" w:cs="新宋体"/>
          <w:bCs/>
          <w:color w:val="auto"/>
          <w:sz w:val="22"/>
          <w:szCs w:val="22"/>
        </w:rPr>
        <w:t>投标人全称（盖章）：                </w:t>
      </w:r>
      <w:r>
        <w:rPr>
          <w:rFonts w:hint="eastAsia" w:ascii="新宋体" w:hAnsi="新宋体" w:eastAsia="新宋体" w:cs="新宋体"/>
          <w:bCs/>
          <w:color w:val="auto"/>
          <w:sz w:val="22"/>
          <w:szCs w:val="22"/>
        </w:rPr>
        <w:br w:type="textWrapping"/>
      </w:r>
      <w:r>
        <w:rPr>
          <w:rFonts w:hint="eastAsia" w:ascii="新宋体" w:hAnsi="新宋体" w:eastAsia="新宋体" w:cs="新宋体"/>
          <w:bCs/>
          <w:color w:val="auto"/>
          <w:sz w:val="22"/>
          <w:szCs w:val="22"/>
        </w:rPr>
        <w:t>日期：                             　　　　</w:t>
      </w:r>
      <w:r>
        <w:rPr>
          <w:rFonts w:hint="eastAsia" w:ascii="新宋体" w:hAnsi="新宋体" w:eastAsia="新宋体" w:cs="新宋体"/>
          <w:b/>
          <w:color w:val="auto"/>
          <w:sz w:val="24"/>
        </w:rPr>
        <w:t>　</w:t>
      </w:r>
    </w:p>
    <w:p>
      <w:pPr>
        <w:spacing w:line="440" w:lineRule="atLeast"/>
        <w:rPr>
          <w:rFonts w:hint="eastAsia" w:ascii="新宋体" w:hAnsi="新宋体" w:eastAsia="新宋体" w:cs="新宋体"/>
          <w:b/>
          <w:color w:val="auto"/>
          <w:sz w:val="24"/>
        </w:rPr>
      </w:pPr>
    </w:p>
    <w:p>
      <w:pPr>
        <w:widowControl/>
        <w:spacing w:before="100" w:beforeAutospacing="1" w:after="100" w:afterAutospacing="1" w:line="440" w:lineRule="atLeast"/>
        <w:jc w:val="left"/>
        <w:rPr>
          <w:rFonts w:hint="eastAsia" w:ascii="新宋体" w:hAnsi="新宋体" w:eastAsia="新宋体" w:cs="新宋体"/>
          <w:b/>
          <w:color w:val="auto"/>
          <w:sz w:val="24"/>
        </w:rPr>
      </w:pPr>
    </w:p>
    <w:p>
      <w:pPr>
        <w:widowControl/>
        <w:spacing w:before="100" w:beforeAutospacing="1" w:after="100" w:afterAutospacing="1" w:line="440" w:lineRule="atLeast"/>
        <w:jc w:val="left"/>
        <w:rPr>
          <w:rFonts w:hint="eastAsia" w:ascii="新宋体" w:hAnsi="新宋体" w:eastAsia="新宋体" w:cs="新宋体"/>
          <w:b/>
          <w:color w:val="auto"/>
          <w:sz w:val="24"/>
        </w:rPr>
      </w:pPr>
      <w:r>
        <w:rPr>
          <w:rFonts w:hint="eastAsia" w:ascii="新宋体" w:hAnsi="新宋体" w:eastAsia="新宋体" w:cs="新宋体"/>
          <w:b/>
          <w:color w:val="auto"/>
          <w:sz w:val="24"/>
        </w:rPr>
        <w:br w:type="page"/>
      </w:r>
      <w:r>
        <w:rPr>
          <w:rFonts w:hint="eastAsia" w:ascii="新宋体" w:hAnsi="新宋体" w:eastAsia="新宋体" w:cs="新宋体"/>
          <w:b/>
          <w:color w:val="auto"/>
          <w:sz w:val="24"/>
        </w:rPr>
        <w:t>附件2</w:t>
      </w:r>
    </w:p>
    <w:p>
      <w:pPr>
        <w:widowControl/>
        <w:spacing w:before="100" w:beforeAutospacing="1" w:after="100" w:afterAutospacing="1" w:line="440" w:lineRule="atLeast"/>
        <w:jc w:val="center"/>
        <w:rPr>
          <w:rFonts w:hint="eastAsia" w:ascii="新宋体" w:hAnsi="新宋体" w:eastAsia="新宋体" w:cs="新宋体"/>
          <w:b/>
          <w:bCs/>
          <w:color w:val="auto"/>
          <w:sz w:val="24"/>
        </w:rPr>
      </w:pPr>
      <w:bookmarkStart w:id="109" w:name="OLE_LINK14"/>
      <w:bookmarkStart w:id="110" w:name="OLE_LINK13"/>
      <w:r>
        <w:rPr>
          <w:rFonts w:hint="eastAsia" w:ascii="新宋体" w:hAnsi="新宋体" w:eastAsia="新宋体" w:cs="新宋体"/>
          <w:b/>
          <w:bCs/>
          <w:color w:val="auto"/>
          <w:sz w:val="24"/>
        </w:rPr>
        <w:t>残疾人福利性单位声明函</w:t>
      </w:r>
    </w:p>
    <w:bookmarkEnd w:id="109"/>
    <w:bookmarkEnd w:id="110"/>
    <w:p>
      <w:pPr>
        <w:spacing w:line="588" w:lineRule="exact"/>
        <w:rPr>
          <w:rFonts w:hint="eastAsia" w:ascii="新宋体" w:hAnsi="新宋体" w:eastAsia="新宋体" w:cs="新宋体"/>
          <w:b/>
          <w:color w:val="auto"/>
          <w:spacing w:val="6"/>
          <w:sz w:val="30"/>
          <w:szCs w:val="30"/>
        </w:rPr>
      </w:pPr>
    </w:p>
    <w:p>
      <w:pPr>
        <w:spacing w:line="588" w:lineRule="exact"/>
        <w:ind w:firstLine="464" w:firstLineChars="200"/>
        <w:rPr>
          <w:rFonts w:hint="eastAsia" w:ascii="新宋体" w:hAnsi="新宋体" w:eastAsia="新宋体" w:cs="新宋体"/>
          <w:color w:val="auto"/>
          <w:spacing w:val="6"/>
          <w:sz w:val="22"/>
          <w:szCs w:val="22"/>
        </w:rPr>
      </w:pPr>
      <w:r>
        <w:rPr>
          <w:rFonts w:hint="eastAsia" w:ascii="新宋体" w:hAnsi="新宋体" w:eastAsia="新宋体" w:cs="新宋体"/>
          <w:color w:val="auto"/>
          <w:spacing w:val="6"/>
          <w:sz w:val="22"/>
          <w:szCs w:val="22"/>
        </w:rPr>
        <w:t>本单位郑重声明，根据《财政部 民政部 中国残疾人联合会关于促进残疾人就业政府采购政策的通知》（财库</w:t>
      </w:r>
      <w:r>
        <w:rPr>
          <w:rFonts w:hint="eastAsia" w:ascii="新宋体" w:hAnsi="新宋体" w:eastAsia="新宋体" w:cs="新宋体"/>
          <w:color w:val="auto"/>
          <w:sz w:val="22"/>
          <w:szCs w:val="22"/>
        </w:rPr>
        <w:t>〔2017〕 141</w:t>
      </w:r>
      <w:r>
        <w:rPr>
          <w:rFonts w:hint="eastAsia" w:ascii="新宋体" w:hAnsi="新宋体" w:eastAsia="新宋体" w:cs="新宋体"/>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新宋体" w:hAnsi="新宋体" w:eastAsia="新宋体" w:cs="新宋体"/>
          <w:color w:val="auto"/>
          <w:spacing w:val="6"/>
          <w:sz w:val="22"/>
          <w:szCs w:val="22"/>
        </w:rPr>
      </w:pPr>
      <w:r>
        <w:rPr>
          <w:rFonts w:hint="eastAsia" w:ascii="新宋体" w:hAnsi="新宋体" w:eastAsia="新宋体" w:cs="新宋体"/>
          <w:color w:val="auto"/>
          <w:spacing w:val="6"/>
          <w:sz w:val="22"/>
          <w:szCs w:val="22"/>
        </w:rPr>
        <w:t>本单位对上述声明的真实性负责。如有虚假，将依法承担相应责任。</w:t>
      </w:r>
    </w:p>
    <w:p>
      <w:pPr>
        <w:spacing w:line="588" w:lineRule="exact"/>
        <w:ind w:firstLine="464" w:firstLineChars="200"/>
        <w:rPr>
          <w:rFonts w:hint="eastAsia" w:ascii="新宋体" w:hAnsi="新宋体" w:eastAsia="新宋体" w:cs="新宋体"/>
          <w:color w:val="auto"/>
          <w:spacing w:val="6"/>
          <w:sz w:val="22"/>
          <w:szCs w:val="22"/>
        </w:rPr>
      </w:pPr>
    </w:p>
    <w:p>
      <w:pPr>
        <w:tabs>
          <w:tab w:val="left" w:pos="4860"/>
        </w:tabs>
        <w:spacing w:line="588" w:lineRule="exact"/>
        <w:ind w:right="1560" w:firstLine="464" w:firstLineChars="200"/>
        <w:rPr>
          <w:rFonts w:hint="eastAsia" w:ascii="新宋体" w:hAnsi="新宋体" w:eastAsia="新宋体" w:cs="新宋体"/>
          <w:color w:val="auto"/>
          <w:spacing w:val="6"/>
          <w:sz w:val="22"/>
          <w:szCs w:val="22"/>
        </w:rPr>
      </w:pPr>
    </w:p>
    <w:p>
      <w:pPr>
        <w:tabs>
          <w:tab w:val="left" w:pos="4860"/>
        </w:tabs>
        <w:spacing w:line="588" w:lineRule="exact"/>
        <w:ind w:right="1560" w:firstLine="464" w:firstLineChars="200"/>
        <w:rPr>
          <w:rFonts w:hint="eastAsia" w:ascii="新宋体" w:hAnsi="新宋体" w:eastAsia="新宋体" w:cs="新宋体"/>
          <w:color w:val="auto"/>
          <w:spacing w:val="6"/>
          <w:sz w:val="22"/>
          <w:szCs w:val="22"/>
        </w:rPr>
      </w:pPr>
      <w:r>
        <w:rPr>
          <w:rFonts w:hint="eastAsia" w:ascii="新宋体" w:hAnsi="新宋体" w:eastAsia="新宋体" w:cs="新宋体"/>
          <w:color w:val="auto"/>
          <w:spacing w:val="6"/>
          <w:sz w:val="22"/>
          <w:szCs w:val="22"/>
        </w:rPr>
        <w:t>投标人全称（盖章）：</w:t>
      </w:r>
    </w:p>
    <w:p>
      <w:pPr>
        <w:tabs>
          <w:tab w:val="left" w:pos="4860"/>
        </w:tabs>
        <w:spacing w:line="588" w:lineRule="exact"/>
        <w:ind w:right="1560" w:firstLine="464" w:firstLineChars="200"/>
        <w:rPr>
          <w:rFonts w:hint="eastAsia" w:ascii="新宋体" w:hAnsi="新宋体" w:eastAsia="新宋体" w:cs="新宋体"/>
          <w:color w:val="auto"/>
          <w:spacing w:val="6"/>
          <w:sz w:val="22"/>
          <w:szCs w:val="22"/>
        </w:rPr>
      </w:pPr>
      <w:r>
        <w:rPr>
          <w:rFonts w:hint="eastAsia" w:ascii="新宋体" w:hAnsi="新宋体" w:eastAsia="新宋体" w:cs="新宋体"/>
          <w:color w:val="auto"/>
          <w:spacing w:val="6"/>
          <w:sz w:val="22"/>
          <w:szCs w:val="22"/>
        </w:rPr>
        <w:t>日  期：</w:t>
      </w:r>
    </w:p>
    <w:p>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rPr>
      </w:pPr>
    </w:p>
    <w:p>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rPr>
      </w:pPr>
    </w:p>
    <w:p>
      <w:pPr>
        <w:tabs>
          <w:tab w:val="left" w:pos="4860"/>
        </w:tabs>
        <w:spacing w:line="588" w:lineRule="exact"/>
        <w:ind w:right="1560"/>
        <w:jc w:val="lef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备注说明：</w:t>
      </w:r>
    </w:p>
    <w:p>
      <w:pPr>
        <w:numPr>
          <w:ilvl w:val="2"/>
          <w:numId w:val="22"/>
        </w:numPr>
        <w:tabs>
          <w:tab w:val="left" w:pos="0"/>
        </w:tabs>
        <w:spacing w:line="588" w:lineRule="exact"/>
        <w:ind w:left="0" w:right="114" w:firstLine="0"/>
        <w:jc w:val="lef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如中标，将在中标公示中将此残疾人福利性单位声明函予以公示，接受社会监督。</w:t>
      </w:r>
    </w:p>
    <w:p>
      <w:pPr>
        <w:numPr>
          <w:ilvl w:val="2"/>
          <w:numId w:val="22"/>
        </w:numPr>
        <w:tabs>
          <w:tab w:val="left" w:pos="0"/>
        </w:tabs>
        <w:spacing w:line="588" w:lineRule="exact"/>
        <w:ind w:left="0" w:right="114" w:firstLine="0"/>
        <w:jc w:val="lef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投标人提供的《残疾人福利性单位声明函》与事实不符的，依照《政府采购法》第七十七条第一款的规定追究法律责任。</w:t>
      </w:r>
    </w:p>
    <w:p>
      <w:pPr>
        <w:tabs>
          <w:tab w:val="left" w:pos="0"/>
        </w:tabs>
        <w:spacing w:line="588" w:lineRule="exact"/>
        <w:ind w:right="114"/>
        <w:jc w:val="left"/>
        <w:rPr>
          <w:rFonts w:hint="eastAsia" w:ascii="新宋体" w:hAnsi="新宋体" w:eastAsia="新宋体" w:cs="新宋体"/>
          <w:color w:val="auto"/>
          <w:sz w:val="22"/>
          <w:szCs w:val="22"/>
        </w:rPr>
      </w:pPr>
    </w:p>
    <w:p>
      <w:pPr>
        <w:pStyle w:val="2"/>
        <w:rPr>
          <w:rFonts w:hint="eastAsia" w:ascii="新宋体" w:hAnsi="新宋体" w:eastAsia="新宋体" w:cs="新宋体"/>
          <w:color w:val="auto"/>
          <w:kern w:val="2"/>
          <w:sz w:val="36"/>
          <w:szCs w:val="36"/>
        </w:rPr>
      </w:pPr>
      <w:r>
        <w:rPr>
          <w:rFonts w:hint="eastAsia" w:ascii="新宋体" w:hAnsi="新宋体" w:eastAsia="新宋体" w:cs="新宋体"/>
          <w:color w:val="auto"/>
          <w:sz w:val="22"/>
          <w:szCs w:val="22"/>
        </w:rPr>
        <w:br w:type="page"/>
      </w:r>
      <w:bookmarkStart w:id="111" w:name="_Toc9491"/>
      <w:bookmarkStart w:id="112" w:name="_Toc34572037"/>
      <w:r>
        <w:rPr>
          <w:rFonts w:hint="eastAsia" w:ascii="新宋体" w:hAnsi="新宋体" w:eastAsia="新宋体" w:cs="新宋体"/>
          <w:color w:val="auto"/>
          <w:kern w:val="2"/>
          <w:sz w:val="36"/>
          <w:szCs w:val="36"/>
        </w:rPr>
        <w:t>第三部分   合同条款及格式</w:t>
      </w:r>
      <w:bookmarkEnd w:id="111"/>
      <w:bookmarkEnd w:id="112"/>
    </w:p>
    <w:p>
      <w:pPr>
        <w:adjustRightInd w:val="0"/>
        <w:spacing w:line="360" w:lineRule="auto"/>
        <w:jc w:val="center"/>
        <w:rPr>
          <w:rFonts w:hint="eastAsia" w:ascii="宋体" w:hAnsi="宋体"/>
          <w:b/>
          <w:color w:val="auto"/>
          <w:sz w:val="30"/>
          <w:szCs w:val="30"/>
        </w:rPr>
      </w:pPr>
      <w:r>
        <w:rPr>
          <w:rFonts w:hint="eastAsia" w:ascii="宋体" w:hAnsi="宋体"/>
          <w:b/>
          <w:color w:val="auto"/>
          <w:sz w:val="30"/>
          <w:szCs w:val="30"/>
        </w:rPr>
        <w:t xml:space="preserve"> （参考格式）</w:t>
      </w:r>
    </w:p>
    <w:p>
      <w:pPr>
        <w:adjustRightInd w:val="0"/>
        <w:spacing w:line="360" w:lineRule="auto"/>
        <w:jc w:val="center"/>
        <w:rPr>
          <w:rFonts w:ascii="新宋体" w:hAnsi="新宋体" w:eastAsia="新宋体" w:cs="新宋体"/>
          <w:bCs/>
          <w:color w:val="auto"/>
          <w:sz w:val="22"/>
        </w:rPr>
      </w:pPr>
      <w:bookmarkStart w:id="113" w:name="_Toc179632628"/>
      <w:bookmarkStart w:id="114" w:name="_Toc265529387"/>
      <w:bookmarkStart w:id="115" w:name="_Toc246996996"/>
      <w:bookmarkStart w:id="116" w:name="_Toc222114883"/>
      <w:bookmarkStart w:id="117" w:name="_Toc296602498"/>
      <w:bookmarkStart w:id="118" w:name="_Toc247085768"/>
      <w:bookmarkStart w:id="119" w:name="_Toc152045610"/>
      <w:bookmarkStart w:id="120" w:name="_Toc241404206"/>
      <w:bookmarkStart w:id="121" w:name="_Toc221423623"/>
      <w:bookmarkStart w:id="122" w:name="_Toc223716002"/>
      <w:bookmarkStart w:id="123" w:name="_Toc221356955"/>
      <w:bookmarkStart w:id="124" w:name="_Toc221356891"/>
      <w:bookmarkStart w:id="125" w:name="_Toc246996253"/>
      <w:bookmarkStart w:id="126" w:name="_Toc144974578"/>
      <w:bookmarkStart w:id="127" w:name="_Toc221374630"/>
      <w:bookmarkStart w:id="128" w:name="_Toc239145358"/>
      <w:bookmarkStart w:id="129" w:name="_Toc152042388"/>
      <w:r>
        <w:rPr>
          <w:rFonts w:hint="eastAsia" w:ascii="新宋体" w:hAnsi="新宋体" w:eastAsia="新宋体" w:cs="新宋体"/>
          <w:b/>
          <w:bCs/>
          <w:color w:val="auto"/>
          <w:sz w:val="36"/>
          <w:szCs w:val="36"/>
        </w:rPr>
        <w:t>合同</w:t>
      </w:r>
    </w:p>
    <w:p>
      <w:pPr>
        <w:pStyle w:val="34"/>
        <w:spacing w:line="460" w:lineRule="exact"/>
        <w:ind w:leftChars="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发包方(采购单位)：                   （以下简称甲方）</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承包方(中标人)：                           （以下简称乙方）</w:t>
      </w:r>
    </w:p>
    <w:p>
      <w:pPr>
        <w:spacing w:line="460" w:lineRule="exact"/>
        <w:ind w:firstLine="57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根据《山福镇村级道路、河道清扫保洁采购项目》的中标通知书，甲方将中标范围内道路清扫保洁业务承包给乙方，为了明确甲、乙双方的权利和义务，履行各自的职责，高效优质地完成道路清扫保洁业务，按照《中华人民共和国合同法》的有关规定，经甲乙双方在平等、自愿的基础上共同协商一致，现签订道路清扫保洁业务承包合同。</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名称： </w:t>
      </w:r>
      <w:r>
        <w:rPr>
          <w:rFonts w:hint="eastAsia" w:ascii="新宋体" w:hAnsi="新宋体" w:eastAsia="新宋体" w:cs="新宋体"/>
          <w:color w:val="auto"/>
          <w:sz w:val="22"/>
          <w:szCs w:val="22"/>
          <w:u w:val="single"/>
          <w:lang w:eastAsia="zh-CN"/>
        </w:rPr>
        <w:t>山福镇村级道路、河道、公厕清扫保洁及垃圾分类</w:t>
      </w:r>
      <w:r>
        <w:rPr>
          <w:rFonts w:hint="eastAsia" w:ascii="新宋体" w:hAnsi="新宋体" w:eastAsia="新宋体" w:cs="新宋体"/>
          <w:color w:val="auto"/>
          <w:sz w:val="22"/>
          <w:szCs w:val="22"/>
          <w:u w:val="single"/>
        </w:rPr>
        <w:t>承包合同</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b/>
          <w:color w:val="auto"/>
          <w:sz w:val="22"/>
          <w:szCs w:val="22"/>
        </w:rPr>
        <w:t>第一条 承包内容</w:t>
      </w:r>
      <w:r>
        <w:rPr>
          <w:rFonts w:hint="eastAsia" w:ascii="新宋体" w:hAnsi="新宋体" w:eastAsia="新宋体" w:cs="新宋体"/>
          <w:b/>
          <w:color w:val="auto"/>
          <w:sz w:val="22"/>
          <w:szCs w:val="22"/>
          <w:lang w:eastAsia="zh-CN"/>
        </w:rPr>
        <w:t>：</w:t>
      </w:r>
      <w:r>
        <w:rPr>
          <w:rFonts w:hint="eastAsia" w:ascii="新宋体" w:hAnsi="新宋体" w:eastAsia="新宋体" w:cs="新宋体"/>
          <w:b/>
          <w:color w:val="auto"/>
          <w:sz w:val="22"/>
          <w:szCs w:val="22"/>
        </w:rPr>
        <w:t>温州市鹿城区山福镇管辖内道路日常全面清扫保洁管理服务：</w:t>
      </w:r>
    </w:p>
    <w:p>
      <w:pPr>
        <w:spacing w:line="460" w:lineRule="exact"/>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sz w:val="22"/>
          <w:szCs w:val="22"/>
        </w:rPr>
        <w:t>1）道路清扫、清洗、保洁（含四边）；</w:t>
      </w:r>
    </w:p>
    <w:p>
      <w:pPr>
        <w:spacing w:line="460" w:lineRule="exact"/>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sz w:val="22"/>
          <w:szCs w:val="22"/>
        </w:rPr>
        <w:t>2）公共厕所清扫、保洁、维护管理（包括维护水电费均由中标人负责）；</w:t>
      </w:r>
    </w:p>
    <w:p>
      <w:pPr>
        <w:spacing w:line="460" w:lineRule="exact"/>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sz w:val="22"/>
          <w:szCs w:val="22"/>
        </w:rPr>
        <w:t>3）</w:t>
      </w:r>
      <w:r>
        <w:rPr>
          <w:rFonts w:hint="eastAsia" w:ascii="新宋体" w:hAnsi="新宋体" w:eastAsia="新宋体" w:cs="新宋体"/>
          <w:b w:val="0"/>
          <w:bCs/>
          <w:color w:val="auto"/>
          <w:sz w:val="22"/>
          <w:szCs w:val="22"/>
          <w:lang w:eastAsia="zh-CN"/>
        </w:rPr>
        <w:t>指定区域内</w:t>
      </w:r>
      <w:r>
        <w:rPr>
          <w:rFonts w:hint="eastAsia" w:ascii="新宋体" w:hAnsi="新宋体" w:eastAsia="新宋体" w:cs="新宋体"/>
          <w:b w:val="0"/>
          <w:bCs/>
          <w:color w:val="auto"/>
          <w:sz w:val="22"/>
          <w:szCs w:val="22"/>
        </w:rPr>
        <w:t>垃圾</w:t>
      </w:r>
      <w:r>
        <w:rPr>
          <w:rFonts w:hint="eastAsia" w:ascii="新宋体" w:hAnsi="新宋体" w:eastAsia="新宋体" w:cs="新宋体"/>
          <w:b w:val="0"/>
          <w:bCs/>
          <w:color w:val="auto"/>
          <w:sz w:val="22"/>
          <w:szCs w:val="22"/>
          <w:lang w:eastAsia="zh-CN"/>
        </w:rPr>
        <w:t>分类、</w:t>
      </w:r>
      <w:r>
        <w:rPr>
          <w:rFonts w:hint="eastAsia" w:ascii="新宋体" w:hAnsi="新宋体" w:eastAsia="新宋体" w:cs="新宋体"/>
          <w:b w:val="0"/>
          <w:bCs/>
          <w:color w:val="auto"/>
          <w:sz w:val="22"/>
          <w:szCs w:val="22"/>
        </w:rPr>
        <w:t>清运、转运；</w:t>
      </w:r>
    </w:p>
    <w:p>
      <w:pPr>
        <w:spacing w:line="460" w:lineRule="exact"/>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sz w:val="22"/>
          <w:szCs w:val="22"/>
        </w:rPr>
        <w:t>4）河道岸边、河面、水渠水闸水沟保洁；</w:t>
      </w:r>
    </w:p>
    <w:p>
      <w:pPr>
        <w:spacing w:line="460" w:lineRule="exact"/>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sz w:val="22"/>
          <w:szCs w:val="22"/>
        </w:rPr>
        <w:t>5）田间疤点保洁；</w:t>
      </w:r>
    </w:p>
    <w:p>
      <w:pPr>
        <w:spacing w:line="460" w:lineRule="exact"/>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sz w:val="22"/>
          <w:szCs w:val="22"/>
        </w:rPr>
        <w:t>6）村房前屋后、背街小巷、墙面等户外小广告及乱涂写清洁；</w:t>
      </w:r>
    </w:p>
    <w:p>
      <w:pPr>
        <w:spacing w:line="460" w:lineRule="exact"/>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sz w:val="22"/>
          <w:szCs w:val="22"/>
        </w:rPr>
        <w:t>7）工业垃圾、建筑垃圾、大件垃圾清运；</w:t>
      </w:r>
    </w:p>
    <w:p>
      <w:pPr>
        <w:spacing w:line="460" w:lineRule="exact"/>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sz w:val="22"/>
          <w:szCs w:val="22"/>
        </w:rPr>
        <w:t>8）环卫的数字城管等服务内容；</w:t>
      </w:r>
    </w:p>
    <w:p>
      <w:pPr>
        <w:spacing w:line="460" w:lineRule="exact"/>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sz w:val="22"/>
          <w:szCs w:val="22"/>
        </w:rPr>
        <w:t>9）企业、住户及学校垃圾清运；</w:t>
      </w:r>
    </w:p>
    <w:p>
      <w:pPr>
        <w:spacing w:line="460" w:lineRule="exact"/>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sz w:val="22"/>
          <w:szCs w:val="22"/>
        </w:rPr>
        <w:t>10) 菜场垃圾清运；</w:t>
      </w:r>
    </w:p>
    <w:p>
      <w:pPr>
        <w:spacing w:line="460" w:lineRule="exact"/>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sz w:val="22"/>
          <w:szCs w:val="22"/>
        </w:rPr>
        <w:t>11）其它卫生保洁相关服务内容(包括环卫设备清洗)。</w:t>
      </w:r>
    </w:p>
    <w:p>
      <w:pPr>
        <w:spacing w:line="46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第二条 在合同期内，因市政建设需要征用、临时占用需要调整乙方清扫保洁面积时，乙方须无条件服从。</w:t>
      </w:r>
    </w:p>
    <w:p>
      <w:pPr>
        <w:spacing w:line="46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第三条 承包期限</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本合同承包期限：</w:t>
      </w:r>
      <w:r>
        <w:rPr>
          <w:rFonts w:hint="eastAsia" w:ascii="新宋体" w:hAnsi="新宋体" w:eastAsia="新宋体" w:cs="新宋体"/>
          <w:color w:val="auto"/>
          <w:sz w:val="22"/>
          <w:szCs w:val="22"/>
          <w:u w:val="single"/>
          <w:lang w:eastAsia="zh-CN"/>
        </w:rPr>
        <w:t>一年</w:t>
      </w:r>
      <w:r>
        <w:rPr>
          <w:rFonts w:hint="eastAsia" w:ascii="新宋体" w:hAnsi="新宋体" w:eastAsia="新宋体" w:cs="新宋体"/>
          <w:color w:val="auto"/>
          <w:sz w:val="22"/>
          <w:szCs w:val="22"/>
          <w:u w:val="single"/>
        </w:rPr>
        <w:t>。</w:t>
      </w:r>
    </w:p>
    <w:p>
      <w:pPr>
        <w:spacing w:line="46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第四条  承包经费</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（一）承包经费：</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元（人民币大写：  佰  拾  万  仟  佰  拾  元  角  分）。</w:t>
      </w:r>
    </w:p>
    <w:p>
      <w:pPr>
        <w:spacing w:line="460" w:lineRule="exact"/>
        <w:ind w:left="660" w:hanging="660" w:hangingChars="3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二）承包经费由人工费【包括在承包指定区域内提供清扫、保洁服务所需的人工费（包括环卫工人工资、奖金、劳保福利、社保、工伤费、教育培训费、暂住费及处理一切伤亡事故等费用）及机械、环卫作业GPS管理平台软件硬件建设及维护费用(如有)、水电费、垃圾清运费、项目管理费、企业应缴税金和应得利润、突发应急（成立应急小队）及上级布置的专项任务、物价因素等完成合同所需的一切本身和不可或缺的所有工作开支、政策性文件规定及合同包含的所有风险、责任等各项全部费用并承担一切风险责任。</w:t>
      </w:r>
    </w:p>
    <w:p>
      <w:pPr>
        <w:spacing w:line="460" w:lineRule="exact"/>
        <w:ind w:left="660" w:hanging="660" w:hangingChars="3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（三）承包经费按项目进度、检查验收结果和资金到账情况分次核拨，由乙方按甲方业务要求支配使用。</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（四）承包经费最终结算价依据中标通知书、投标文件、验收考核等要求计算。</w:t>
      </w:r>
    </w:p>
    <w:p>
      <w:pPr>
        <w:spacing w:line="492"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（五）付款方式</w:t>
      </w:r>
    </w:p>
    <w:p>
      <w:pPr>
        <w:spacing w:line="360" w:lineRule="auto"/>
        <w:ind w:left="559" w:leftChars="266"/>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1、付款方式</w:t>
      </w:r>
      <w:r>
        <w:rPr>
          <w:rFonts w:hint="eastAsia" w:ascii="新宋体" w:hAnsi="新宋体" w:eastAsia="新宋体" w:cs="新宋体"/>
          <w:color w:val="auto"/>
          <w:sz w:val="22"/>
          <w:szCs w:val="22"/>
          <w:lang w:eastAsia="zh-CN"/>
        </w:rPr>
        <w:t>：签订合同</w:t>
      </w:r>
      <w:r>
        <w:rPr>
          <w:rFonts w:hint="eastAsia" w:ascii="新宋体" w:hAnsi="新宋体" w:eastAsia="新宋体" w:cs="新宋体"/>
          <w:color w:val="auto"/>
          <w:sz w:val="22"/>
          <w:szCs w:val="22"/>
          <w:lang w:val="en-US" w:eastAsia="zh-CN"/>
        </w:rPr>
        <w:t>15个工作日内支付合同金额的10%的预付款（同时中标供应商提供合同金额10%的预付款担保函）。</w:t>
      </w:r>
    </w:p>
    <w:p>
      <w:pPr>
        <w:spacing w:line="360" w:lineRule="auto"/>
        <w:ind w:left="559" w:leftChars="257" w:hanging="19" w:hangingChars="9"/>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w:t>
      </w:r>
      <w:r>
        <w:rPr>
          <w:rFonts w:hint="eastAsia" w:ascii="新宋体" w:hAnsi="新宋体" w:eastAsia="新宋体" w:cs="新宋体"/>
          <w:color w:val="auto"/>
          <w:sz w:val="22"/>
          <w:szCs w:val="22"/>
          <w:lang w:eastAsia="zh-CN"/>
        </w:rPr>
        <w:t>每月</w:t>
      </w:r>
      <w:r>
        <w:rPr>
          <w:rFonts w:hint="eastAsia" w:ascii="新宋体" w:hAnsi="新宋体" w:eastAsia="新宋体" w:cs="新宋体"/>
          <w:color w:val="auto"/>
          <w:sz w:val="22"/>
          <w:szCs w:val="22"/>
        </w:rPr>
        <w:t>结算金额基数=投标人投标总价</w:t>
      </w:r>
      <w:r>
        <w:rPr>
          <w:rFonts w:hint="eastAsia" w:ascii="新宋体" w:hAnsi="新宋体" w:eastAsia="新宋体" w:cs="新宋体"/>
          <w:color w:val="auto"/>
          <w:sz w:val="22"/>
          <w:szCs w:val="22"/>
          <w:lang w:val="en-US" w:eastAsia="zh-CN"/>
        </w:rPr>
        <w:t>*90%</w:t>
      </w:r>
      <w:r>
        <w:rPr>
          <w:rFonts w:hint="eastAsia" w:ascii="新宋体" w:hAnsi="新宋体" w:eastAsia="新宋体" w:cs="新宋体"/>
          <w:color w:val="auto"/>
          <w:sz w:val="22"/>
          <w:szCs w:val="22"/>
        </w:rPr>
        <w:t>/12。</w:t>
      </w:r>
    </w:p>
    <w:p>
      <w:pPr>
        <w:spacing w:line="360" w:lineRule="auto"/>
        <w:ind w:left="559" w:leftChars="257" w:hanging="19" w:hangingChars="9"/>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w:t>
      </w:r>
      <w:r>
        <w:rPr>
          <w:rFonts w:hint="eastAsia" w:ascii="新宋体" w:hAnsi="新宋体" w:eastAsia="新宋体" w:cs="新宋体"/>
          <w:color w:val="auto"/>
          <w:sz w:val="22"/>
          <w:szCs w:val="22"/>
          <w:lang w:eastAsia="zh-CN"/>
        </w:rPr>
        <w:t>每月</w:t>
      </w:r>
      <w:r>
        <w:rPr>
          <w:rFonts w:hint="eastAsia" w:ascii="新宋体" w:hAnsi="新宋体" w:eastAsia="新宋体" w:cs="新宋体"/>
          <w:color w:val="auto"/>
          <w:sz w:val="22"/>
          <w:szCs w:val="22"/>
        </w:rPr>
        <w:t>结算金额=投标人投标总价</w:t>
      </w:r>
      <w:r>
        <w:rPr>
          <w:rFonts w:hint="eastAsia" w:ascii="新宋体" w:hAnsi="新宋体" w:eastAsia="新宋体" w:cs="新宋体"/>
          <w:color w:val="auto"/>
          <w:sz w:val="22"/>
          <w:szCs w:val="22"/>
          <w:lang w:val="en-US" w:eastAsia="zh-CN"/>
        </w:rPr>
        <w:t>*90%</w:t>
      </w:r>
      <w:r>
        <w:rPr>
          <w:rFonts w:hint="eastAsia" w:ascii="新宋体" w:hAnsi="新宋体" w:eastAsia="新宋体" w:cs="新宋体"/>
          <w:color w:val="auto"/>
          <w:sz w:val="22"/>
          <w:szCs w:val="22"/>
        </w:rPr>
        <w:t>/12</w:t>
      </w:r>
      <w:r>
        <w:rPr>
          <w:rFonts w:hint="eastAsia" w:ascii="新宋体" w:hAnsi="新宋体" w:eastAsia="新宋体" w:cs="新宋体"/>
          <w:color w:val="auto"/>
          <w:sz w:val="22"/>
          <w:szCs w:val="22"/>
          <w:lang w:val="en-US" w:eastAsia="zh-CN"/>
        </w:rPr>
        <w:t>-当月考核处罚</w:t>
      </w:r>
      <w:r>
        <w:rPr>
          <w:rFonts w:hint="eastAsia" w:ascii="新宋体" w:hAnsi="新宋体" w:eastAsia="新宋体" w:cs="新宋体"/>
          <w:color w:val="auto"/>
          <w:sz w:val="22"/>
          <w:szCs w:val="22"/>
        </w:rPr>
        <w:t>，由采购单位根据前一个月的考核结果支付，每月的25日结前一个月的承包经费（遇节假日顺延）, 处罚金按月扣除，每月25日为支付日（遇节假日顺延），中标单位出具有效发票。</w:t>
      </w:r>
    </w:p>
    <w:p>
      <w:pPr>
        <w:spacing w:line="360" w:lineRule="auto"/>
        <w:ind w:left="559" w:leftChars="257" w:hanging="19" w:hangingChars="9"/>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2、本项目要求中标单位设立项目独立账户，承包经费将打入该账户，合同执行过程中的各项支</w:t>
      </w:r>
    </w:p>
    <w:p>
      <w:pPr>
        <w:spacing w:line="360" w:lineRule="auto"/>
        <w:ind w:left="559" w:leftChars="257" w:hanging="19" w:hangingChars="9"/>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出均通过该账户。合同期满后30天内，提供由第三方（由中标人自行委托具有审计资格的企业，</w:t>
      </w:r>
    </w:p>
    <w:p>
      <w:pPr>
        <w:spacing w:line="360" w:lineRule="auto"/>
        <w:ind w:left="559" w:leftChars="257" w:hanging="19" w:hangingChars="9"/>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该企业需经甲方认可，有关费用均已包含在投标报价中）出具的针对该账户的财务审计报告，</w:t>
      </w:r>
    </w:p>
    <w:p>
      <w:pPr>
        <w:spacing w:line="360" w:lineRule="auto"/>
        <w:ind w:left="559" w:leftChars="257" w:hanging="19" w:hangingChars="9"/>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审计单位将对照中标单位投标报价明细表进行详细审计。</w:t>
      </w:r>
    </w:p>
    <w:p>
      <w:pPr>
        <w:spacing w:line="360" w:lineRule="auto"/>
        <w:ind w:left="559" w:leftChars="266"/>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3、其他条款：见招标文件</w:t>
      </w:r>
    </w:p>
    <w:p>
      <w:pPr>
        <w:spacing w:line="492"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第五条  承包方式</w:t>
      </w:r>
    </w:p>
    <w:p>
      <w:pPr>
        <w:spacing w:line="492" w:lineRule="exact"/>
        <w:ind w:left="441" w:leftChars="21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采用全包干形式，即业务包干、经费包干方式。甲方将清扫保洁业务及相应的经费交给乙方，乙方按甲方的管理要求和标准组织清扫保洁工作，并接受甲方的指导、监督和检查验收。</w:t>
      </w:r>
    </w:p>
    <w:p>
      <w:pPr>
        <w:spacing w:line="492"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第六条  工作要求和质量标准</w:t>
      </w:r>
    </w:p>
    <w:p>
      <w:pPr>
        <w:spacing w:line="492" w:lineRule="exact"/>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清扫保洁各项具体工作的质量标准和作业规范按甲方具体要求及《招标文件》中所规定的执行。</w:t>
      </w:r>
    </w:p>
    <w:p>
      <w:pPr>
        <w:spacing w:line="492"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第七条  检查考评办法</w:t>
      </w:r>
    </w:p>
    <w:p>
      <w:pPr>
        <w:spacing w:line="492" w:lineRule="exact"/>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具体的检查验收方法、内容、程序等按《</w:t>
      </w:r>
      <w:r>
        <w:rPr>
          <w:rFonts w:hint="eastAsia" w:ascii="新宋体" w:hAnsi="新宋体" w:eastAsia="新宋体" w:cs="新宋体"/>
          <w:color w:val="auto"/>
          <w:sz w:val="22"/>
          <w:szCs w:val="22"/>
          <w:u w:val="none"/>
          <w:lang w:eastAsia="zh-CN"/>
        </w:rPr>
        <w:t>山福镇村级道路、河道、公厕清扫保洁及垃圾分类</w:t>
      </w:r>
      <w:r>
        <w:rPr>
          <w:rFonts w:hint="eastAsia" w:ascii="新宋体" w:hAnsi="新宋体" w:eastAsia="新宋体" w:cs="新宋体"/>
          <w:color w:val="auto"/>
          <w:sz w:val="22"/>
          <w:szCs w:val="22"/>
        </w:rPr>
        <w:t>采购质量考核评分细则》执行。</w:t>
      </w:r>
    </w:p>
    <w:p>
      <w:pPr>
        <w:spacing w:line="492" w:lineRule="exact"/>
        <w:rPr>
          <w:rFonts w:hint="eastAsia" w:ascii="新宋体" w:hAnsi="新宋体" w:eastAsia="新宋体" w:cs="新宋体"/>
          <w:b/>
          <w:color w:val="auto"/>
          <w:sz w:val="22"/>
          <w:szCs w:val="22"/>
          <w:lang w:eastAsia="zh-CN"/>
        </w:rPr>
      </w:pPr>
      <w:r>
        <w:rPr>
          <w:rFonts w:hint="eastAsia" w:ascii="新宋体" w:hAnsi="新宋体" w:eastAsia="新宋体" w:cs="新宋体"/>
          <w:b/>
          <w:color w:val="auto"/>
          <w:sz w:val="22"/>
          <w:szCs w:val="22"/>
        </w:rPr>
        <w:t>第八条  履约保证金</w:t>
      </w:r>
    </w:p>
    <w:p>
      <w:pPr>
        <w:spacing w:line="492" w:lineRule="exact"/>
        <w:ind w:left="660" w:hanging="660" w:hangingChars="300"/>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（一）</w:t>
      </w:r>
      <w:r>
        <w:rPr>
          <w:rFonts w:hint="eastAsia" w:ascii="新宋体" w:hAnsi="新宋体" w:eastAsia="新宋体" w:cs="新宋体"/>
          <w:color w:val="auto"/>
          <w:sz w:val="22"/>
          <w:szCs w:val="22"/>
          <w:lang w:eastAsia="zh-CN"/>
        </w:rPr>
        <w:t>本项目不做要求</w:t>
      </w:r>
    </w:p>
    <w:p>
      <w:pPr>
        <w:spacing w:line="492" w:lineRule="exact"/>
        <w:ind w:left="550" w:hanging="550" w:hangingChars="25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w:t>
      </w:r>
      <w:r>
        <w:rPr>
          <w:rFonts w:hint="eastAsia" w:ascii="新宋体" w:hAnsi="新宋体" w:eastAsia="新宋体" w:cs="新宋体"/>
          <w:color w:val="auto"/>
          <w:sz w:val="22"/>
          <w:szCs w:val="22"/>
          <w:lang w:eastAsia="zh-CN"/>
        </w:rPr>
        <w:t>二</w:t>
      </w:r>
      <w:r>
        <w:rPr>
          <w:rFonts w:hint="eastAsia" w:ascii="新宋体" w:hAnsi="新宋体" w:eastAsia="新宋体" w:cs="新宋体"/>
          <w:color w:val="auto"/>
          <w:sz w:val="22"/>
          <w:szCs w:val="22"/>
        </w:rPr>
        <w:t>）乙方承诺购买机械保洁机具</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投入本项目作业，并在中标通知书发出之日起（以通知书落款日期为准）20个日历天内按招标文件规定的安排车辆到位。</w:t>
      </w:r>
    </w:p>
    <w:p>
      <w:pPr>
        <w:spacing w:line="46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第九条  考评办法</w:t>
      </w:r>
    </w:p>
    <w:p>
      <w:pPr>
        <w:spacing w:line="460" w:lineRule="exact"/>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乙方应严格按照甲方具体要求及《招标文件》的规定，对承包道路进行清扫保洁。同时，温州市环境卫生管理处、鹿城区城市管理与行政执法局按《</w:t>
      </w:r>
      <w:r>
        <w:rPr>
          <w:rFonts w:hint="eastAsia" w:ascii="新宋体" w:hAnsi="新宋体" w:eastAsia="新宋体" w:cs="新宋体"/>
          <w:color w:val="auto"/>
          <w:sz w:val="22"/>
          <w:szCs w:val="22"/>
          <w:u w:val="none"/>
          <w:lang w:eastAsia="zh-CN"/>
        </w:rPr>
        <w:t>山福镇村级道路、河道、公厕清扫保洁及垃圾分类</w:t>
      </w:r>
      <w:r>
        <w:rPr>
          <w:rFonts w:hint="eastAsia" w:ascii="新宋体" w:hAnsi="新宋体" w:eastAsia="新宋体" w:cs="新宋体"/>
          <w:color w:val="auto"/>
          <w:sz w:val="22"/>
          <w:szCs w:val="22"/>
        </w:rPr>
        <w:t>采购质量考核评分细则》及市级制定的有关考核办法对乙方的清扫保洁质量进行检查考评。</w:t>
      </w:r>
    </w:p>
    <w:p>
      <w:pPr>
        <w:spacing w:line="46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第十条  权利和义务</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（一）甲方权利与义务</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1、甲方对乙方的清扫保洁业务进行全面的技术指导、检查、管理和监督，对检查中发现的环境卫生质量问题及时向乙方提出书面或口头改进意见。</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2、甲方对乙方违反《</w:t>
      </w:r>
      <w:r>
        <w:rPr>
          <w:rFonts w:hint="eastAsia" w:ascii="新宋体" w:hAnsi="新宋体" w:eastAsia="新宋体" w:cs="新宋体"/>
          <w:color w:val="auto"/>
          <w:sz w:val="22"/>
          <w:szCs w:val="22"/>
          <w:u w:val="none"/>
          <w:lang w:eastAsia="zh-CN"/>
        </w:rPr>
        <w:t>山福镇村级道路、河道、公厕清扫保洁及垃圾分类</w:t>
      </w:r>
      <w:r>
        <w:rPr>
          <w:rFonts w:hint="eastAsia" w:ascii="新宋体" w:hAnsi="新宋体" w:eastAsia="新宋体" w:cs="新宋体"/>
          <w:color w:val="auto"/>
          <w:sz w:val="22"/>
          <w:szCs w:val="22"/>
        </w:rPr>
        <w:t>采购质量考核评分细则》及市级制定的有关考核办法中规定的行为进行惩罚。</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3、甲方监督检查乙方落实安全防火和安全生产措施。</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4、甲方监督检查乙方对员工进行培训的情况，以提高清扫保洁服务的技术水平。</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5、甲方应按清扫保洁质量和检查验收结果计算经费，扣除乙方因检查不合格应扣款后，将经费按期支付给乙方。</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6、甲方可要求乙方调整不合格员工。</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7、甲方可根据政策的变动并结合实际情况对《</w:t>
      </w:r>
      <w:r>
        <w:rPr>
          <w:rFonts w:hint="eastAsia" w:ascii="新宋体" w:hAnsi="新宋体" w:eastAsia="新宋体" w:cs="新宋体"/>
          <w:color w:val="auto"/>
          <w:sz w:val="22"/>
          <w:szCs w:val="22"/>
          <w:u w:val="none"/>
          <w:lang w:eastAsia="zh-CN"/>
        </w:rPr>
        <w:t>山福镇村级道路、河道、公厕清扫保洁及垃圾分类</w:t>
      </w:r>
      <w:r>
        <w:rPr>
          <w:rFonts w:hint="eastAsia" w:ascii="新宋体" w:hAnsi="新宋体" w:eastAsia="新宋体" w:cs="新宋体"/>
          <w:color w:val="auto"/>
          <w:sz w:val="22"/>
          <w:szCs w:val="22"/>
        </w:rPr>
        <w:t>采购质量考核评分细则》进行修改和补充。</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8、甲方应按时支付款项。本合同的清扫保洁经费由政府拨款，如因政策影响，拨款未能及时到位，乙方不得以此为由而不履行本合同规定的义务。否则，甲方按规定扣罚。</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（二）乙方权利和义务</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1、乙方有权根据承包合同按期领取承包经费。</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2、乙方有权对管理工作提出建议。</w:t>
      </w:r>
    </w:p>
    <w:p>
      <w:pPr>
        <w:spacing w:line="460" w:lineRule="exact"/>
        <w:ind w:left="330" w:hanging="330" w:hangingChars="15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3、乙方履行承诺的义务，并参加由甲方组织的检查和综合考评。</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4、乙方应接受甲方的检查监督及指导。</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5、按甲方的要求开展工作，如有改变，乙方应提出书面申请，并征得甲方的书面同意。</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6、特殊情况下（台风、暴雨、重大节日、应急检查），乙方除应做好管辖地段保护工作外，还应服从甲方的统一指挥和调动，参加抢险救灾、垃圾清扫、市政设施（果壳箱等）清洗工作，。 </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7、乙方根据本合同所承担的服务内容，按实际上岗人数自行到有关部门申办用工手续、员工劳动保险手续和办暂住证手续。员工最低工资不得低于（温州市市区本年度最低工资标准+最低工资10%）。自行负责落实、安排好属下人员的住宿和安全教育管理工作，如发生违纪事件，由乙方承担一切经济责任和法律责任。</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8、乙方应按甲方要求，为上岗工人购买统一的工作服及反光背心。</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9、乙方负责提供道路清扫保洁所需的机械设备和材料。</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10、乙方负责安排骨干参加业务技术的培训学习。</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11、乙方负责作业过程中的事故处理和一切费用。</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12、乙方应严格遵守国家法律、法规的规定，做好社会治安综合治理和计划生育等工作，不得违反国家法律、法规和温州市的有关规定。</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13、在合同期内，因道路拓宽及改建等不可预见原因造成乙方清扫保洁服务面积增加，相应增加费用由乙方自行承担。因国家建设需要造成的乙方经济损失，甲方不负赔偿责任。</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14、乙方应遵守法律、法规和政策的规定，因以上原因使合同性质发生改变，甲方不负赔偿责任。</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15、乙方按要求投入本项目范围内的所有人员及保洁机械化作业机具不得在本项目范围外进行清扫保洁业务，否则甲方有权在</w:t>
      </w:r>
      <w:r>
        <w:rPr>
          <w:rFonts w:hint="eastAsia" w:ascii="新宋体" w:hAnsi="新宋体" w:eastAsia="新宋体" w:cs="新宋体"/>
          <w:color w:val="auto"/>
          <w:sz w:val="22"/>
          <w:szCs w:val="22"/>
          <w:lang w:eastAsia="zh-CN"/>
        </w:rPr>
        <w:t>考核</w:t>
      </w:r>
      <w:r>
        <w:rPr>
          <w:rFonts w:hint="eastAsia" w:ascii="新宋体" w:hAnsi="新宋体" w:eastAsia="新宋体" w:cs="新宋体"/>
          <w:color w:val="auto"/>
          <w:sz w:val="22"/>
          <w:szCs w:val="22"/>
        </w:rPr>
        <w:t>中作相应扣除处理。</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16、合同签订后，乙方人员进场前，乙方须向甲方提供各条道路安排的人员信息等资料；合同期内因乙方原因更换人员的，需在更换后5日内将相关信息报送甲方。</w:t>
      </w:r>
    </w:p>
    <w:p>
      <w:pPr>
        <w:spacing w:line="46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第十一条  合同组成</w:t>
      </w:r>
    </w:p>
    <w:p>
      <w:pPr>
        <w:spacing w:line="460" w:lineRule="exact"/>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承包合同由《招标文件》、《投标文件》、《</w:t>
      </w:r>
      <w:r>
        <w:rPr>
          <w:rFonts w:hint="eastAsia" w:ascii="新宋体" w:hAnsi="新宋体" w:eastAsia="新宋体" w:cs="新宋体"/>
          <w:color w:val="auto"/>
          <w:sz w:val="22"/>
          <w:szCs w:val="22"/>
          <w:u w:val="none"/>
          <w:lang w:eastAsia="zh-CN"/>
        </w:rPr>
        <w:t>山福镇村级道路、河道、公厕清扫保洁及垃圾分类</w:t>
      </w:r>
      <w:r>
        <w:rPr>
          <w:rFonts w:hint="eastAsia" w:ascii="新宋体" w:hAnsi="新宋体" w:eastAsia="新宋体" w:cs="新宋体"/>
          <w:color w:val="auto"/>
          <w:sz w:val="22"/>
          <w:szCs w:val="22"/>
        </w:rPr>
        <w:t>采购考核标准》及附件为本合同的有效组成部分。</w:t>
      </w:r>
    </w:p>
    <w:p>
      <w:pPr>
        <w:spacing w:line="46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第十二条  违约责任</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w:t>
      </w:r>
      <w:r>
        <w:rPr>
          <w:rFonts w:hint="eastAsia" w:ascii="新宋体" w:hAnsi="新宋体" w:eastAsia="新宋体" w:cs="新宋体"/>
          <w:color w:val="auto"/>
          <w:sz w:val="22"/>
          <w:szCs w:val="22"/>
          <w:lang w:eastAsia="zh-CN"/>
        </w:rPr>
        <w:t>服务费</w:t>
      </w:r>
      <w:r>
        <w:rPr>
          <w:rFonts w:hint="eastAsia" w:ascii="新宋体" w:hAnsi="新宋体" w:eastAsia="新宋体" w:cs="新宋体"/>
          <w:color w:val="auto"/>
          <w:sz w:val="22"/>
          <w:szCs w:val="22"/>
        </w:rPr>
        <w:t xml:space="preserve">中扣除。                                          </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（二）乙方因机械、工具或技术、劳动等跟不上管理需要影响工作，未达到质量标准，月平均分低于</w:t>
      </w:r>
      <w:r>
        <w:rPr>
          <w:rFonts w:hint="eastAsia" w:ascii="新宋体" w:hAnsi="新宋体" w:eastAsia="新宋体" w:cs="新宋体"/>
          <w:color w:val="auto"/>
          <w:sz w:val="22"/>
          <w:szCs w:val="22"/>
          <w:lang w:val="en-US" w:eastAsia="zh-CN"/>
        </w:rPr>
        <w:t>90</w:t>
      </w:r>
      <w:r>
        <w:rPr>
          <w:rFonts w:hint="eastAsia" w:ascii="新宋体" w:hAnsi="新宋体" w:eastAsia="新宋体" w:cs="新宋体"/>
          <w:color w:val="auto"/>
          <w:sz w:val="22"/>
          <w:szCs w:val="22"/>
        </w:rPr>
        <w:t>分（含</w:t>
      </w:r>
      <w:r>
        <w:rPr>
          <w:rFonts w:hint="eastAsia" w:ascii="新宋体" w:hAnsi="新宋体" w:eastAsia="新宋体" w:cs="新宋体"/>
          <w:color w:val="auto"/>
          <w:sz w:val="22"/>
          <w:szCs w:val="22"/>
          <w:lang w:val="en-US" w:eastAsia="zh-CN"/>
        </w:rPr>
        <w:t>90</w:t>
      </w:r>
      <w:r>
        <w:rPr>
          <w:rFonts w:hint="eastAsia" w:ascii="新宋体" w:hAnsi="新宋体" w:eastAsia="新宋体" w:cs="新宋体"/>
          <w:color w:val="auto"/>
          <w:sz w:val="22"/>
          <w:szCs w:val="22"/>
        </w:rPr>
        <w:t>分）的，甲方应责令其限期予以改正，并发书面通知书以示警告。全年出现连续两次或者累计三次被警告的，将立即终止承包合同，并没收</w:t>
      </w:r>
      <w:r>
        <w:rPr>
          <w:rFonts w:hint="eastAsia" w:ascii="新宋体" w:hAnsi="新宋体" w:eastAsia="新宋体" w:cs="新宋体"/>
          <w:color w:val="auto"/>
          <w:sz w:val="22"/>
          <w:szCs w:val="22"/>
          <w:lang w:eastAsia="zh-CN"/>
        </w:rPr>
        <w:t>考核</w:t>
      </w:r>
      <w:r>
        <w:rPr>
          <w:rFonts w:hint="eastAsia" w:ascii="新宋体" w:hAnsi="新宋体" w:eastAsia="新宋体" w:cs="新宋体"/>
          <w:color w:val="auto"/>
          <w:sz w:val="22"/>
          <w:szCs w:val="22"/>
        </w:rPr>
        <w:t>。</w:t>
      </w:r>
    </w:p>
    <w:p>
      <w:pPr>
        <w:spacing w:line="46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第十三条  验收移交</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（一）在合同终止前十个工作日内，由乙方书面向甲方提出移交验收申请。</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（二）合同期满，乙方必须将全部清扫保洁业务及时移交甲方。未经甲方许可，合同期满，乙方超期移交给甲方的，将全额扣除</w:t>
      </w:r>
      <w:r>
        <w:rPr>
          <w:rFonts w:hint="eastAsia" w:ascii="新宋体" w:hAnsi="新宋体" w:eastAsia="新宋体" w:cs="新宋体"/>
          <w:color w:val="auto"/>
          <w:sz w:val="22"/>
          <w:szCs w:val="22"/>
          <w:lang w:eastAsia="zh-CN"/>
        </w:rPr>
        <w:t>考核</w:t>
      </w:r>
      <w:r>
        <w:rPr>
          <w:rFonts w:hint="eastAsia" w:ascii="新宋体" w:hAnsi="新宋体" w:eastAsia="新宋体" w:cs="新宋体"/>
          <w:color w:val="auto"/>
          <w:sz w:val="22"/>
          <w:szCs w:val="22"/>
        </w:rPr>
        <w:t>。</w:t>
      </w:r>
    </w:p>
    <w:p>
      <w:pPr>
        <w:spacing w:line="46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第十四条  争议的解决</w:t>
      </w:r>
    </w:p>
    <w:p>
      <w:pPr>
        <w:spacing w:line="460" w:lineRule="exact"/>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合同未尽事宜，应双方友好协调解决。协商不一致，任何一方均可提起仲裁或诉讼，仲裁或诉讼按合同履行地原则。</w:t>
      </w:r>
    </w:p>
    <w:p>
      <w:pPr>
        <w:spacing w:line="46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第十五条  合同生效及终止</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（一）合同生效：本合同自甲乙双方法定代表人签字、盖章之日起生效。</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（二）合同终止：本合同出现以下情况时终止。</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1、期限届满时自行终止。</w:t>
      </w:r>
    </w:p>
    <w:p>
      <w:pPr>
        <w:spacing w:line="460" w:lineRule="exact"/>
        <w:ind w:left="330" w:hanging="330" w:hangingChars="15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2、根据《采购文件》进行检查考评，不符合相关规定需终止合同的。</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3、有以下行为之一的：</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（1）违反管理规定，造成重大伤亡或重大损失。</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（2）因管理不善造成恶劣影响。</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（3）擅自将合同转包给第三者。</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（4）违反劳动法或其他相关法律法规，造成恶劣影响。</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（5）弄虚作假及其他不正当行为。</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4、法律规定的终止事由。</w:t>
      </w:r>
    </w:p>
    <w:p>
      <w:pPr>
        <w:spacing w:line="46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第十六条  合同的解释</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本合同的解释权在温州市鹿城区山福镇人民政府。         </w:t>
      </w:r>
    </w:p>
    <w:p>
      <w:pPr>
        <w:spacing w:line="46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第十七条  合同的份数</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1、本合同一式四份，双方各执二份，具有同等法律效力，自双方签字盖章后生效。</w:t>
      </w:r>
    </w:p>
    <w:p>
      <w:pPr>
        <w:spacing w:line="460" w:lineRule="exact"/>
        <w:rPr>
          <w:rFonts w:hint="eastAsia" w:ascii="新宋体" w:hAnsi="新宋体" w:eastAsia="新宋体" w:cs="新宋体"/>
          <w:color w:val="auto"/>
          <w:sz w:val="22"/>
          <w:szCs w:val="22"/>
        </w:rPr>
      </w:pPr>
      <w:r>
        <w:rPr>
          <w:rFonts w:hint="eastAsia" w:ascii="新宋体" w:hAnsi="新宋体" w:eastAsia="新宋体" w:cs="新宋体"/>
          <w:bCs/>
          <w:color w:val="auto"/>
          <w:sz w:val="22"/>
          <w:szCs w:val="22"/>
        </w:rPr>
        <w:t>2、</w:t>
      </w:r>
      <w:r>
        <w:rPr>
          <w:rFonts w:hint="eastAsia" w:ascii="新宋体" w:hAnsi="新宋体" w:eastAsia="新宋体" w:cs="新宋体"/>
          <w:color w:val="auto"/>
          <w:sz w:val="22"/>
          <w:szCs w:val="22"/>
        </w:rPr>
        <w:t>如需修改或补充合同内容，经协商，双方应签署书面修改或补充协议，该协议将作为本合同的一个组成部分。</w:t>
      </w:r>
    </w:p>
    <w:p>
      <w:pPr>
        <w:spacing w:line="460" w:lineRule="exact"/>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3、采购人可以根据资金预算要求分别签署“道路、河道清扫保洁”“公厕保洁及维修”“垃圾分类”三项子合同。</w:t>
      </w:r>
    </w:p>
    <w:p>
      <w:pPr>
        <w:pStyle w:val="31"/>
        <w:snapToGrid w:val="0"/>
        <w:spacing w:line="360" w:lineRule="auto"/>
        <w:rPr>
          <w:rFonts w:ascii="新宋体" w:hAnsi="新宋体" w:eastAsia="新宋体"/>
          <w:color w:val="auto"/>
          <w:sz w:val="22"/>
          <w:szCs w:val="22"/>
        </w:rPr>
      </w:pPr>
      <w:r>
        <w:rPr>
          <w:rFonts w:hint="eastAsia" w:ascii="新宋体" w:hAnsi="新宋体" w:eastAsia="新宋体" w:cs="新宋体"/>
          <w:color w:val="auto"/>
          <w:sz w:val="22"/>
          <w:szCs w:val="22"/>
        </w:rPr>
        <w:br w:type="page"/>
      </w:r>
    </w:p>
    <w:p>
      <w:pPr>
        <w:spacing w:line="420" w:lineRule="exact"/>
        <w:rPr>
          <w:rFonts w:hint="eastAsia" w:ascii="新宋体" w:hAnsi="新宋体" w:eastAsia="新宋体"/>
          <w:color w:val="auto"/>
          <w:sz w:val="22"/>
          <w:szCs w:val="22"/>
        </w:rPr>
      </w:pPr>
      <w:r>
        <w:rPr>
          <w:rFonts w:hint="eastAsia" w:ascii="新宋体" w:hAnsi="新宋体" w:eastAsia="新宋体"/>
          <w:color w:val="auto"/>
          <w:sz w:val="22"/>
          <w:szCs w:val="22"/>
        </w:rPr>
        <w:t>（签署页，本页无正文）</w:t>
      </w:r>
    </w:p>
    <w:p>
      <w:pPr>
        <w:spacing w:line="420" w:lineRule="exact"/>
        <w:ind w:firstLine="1210" w:firstLineChars="550"/>
        <w:rPr>
          <w:rFonts w:hint="eastAsia" w:ascii="新宋体" w:hAnsi="新宋体" w:eastAsia="新宋体"/>
          <w:color w:val="auto"/>
          <w:sz w:val="22"/>
          <w:szCs w:val="22"/>
        </w:rPr>
      </w:pPr>
    </w:p>
    <w:p>
      <w:pPr>
        <w:spacing w:line="420" w:lineRule="exact"/>
        <w:ind w:firstLine="1210" w:firstLineChars="550"/>
        <w:rPr>
          <w:rFonts w:ascii="新宋体" w:hAnsi="新宋体" w:eastAsia="新宋体"/>
          <w:color w:val="auto"/>
          <w:sz w:val="22"/>
          <w:szCs w:val="22"/>
        </w:rPr>
      </w:pPr>
      <w:r>
        <w:rPr>
          <w:rFonts w:hint="eastAsia" w:ascii="新宋体" w:hAnsi="新宋体" w:eastAsia="新宋体"/>
          <w:color w:val="auto"/>
          <w:sz w:val="22"/>
          <w:szCs w:val="22"/>
        </w:rPr>
        <w:t>甲方：（印章）                        乙方：（印章）</w:t>
      </w:r>
    </w:p>
    <w:p>
      <w:pPr>
        <w:spacing w:line="420" w:lineRule="exact"/>
        <w:ind w:firstLine="1210" w:firstLineChars="550"/>
        <w:rPr>
          <w:rFonts w:ascii="新宋体" w:hAnsi="新宋体" w:eastAsia="新宋体"/>
          <w:color w:val="auto"/>
          <w:sz w:val="22"/>
          <w:szCs w:val="22"/>
        </w:rPr>
      </w:pPr>
      <w:r>
        <w:rPr>
          <w:rFonts w:hint="eastAsia" w:ascii="新宋体" w:hAnsi="新宋体" w:eastAsia="新宋体"/>
          <w:color w:val="auto"/>
          <w:sz w:val="22"/>
          <w:szCs w:val="22"/>
        </w:rPr>
        <w:t>全权代表:（签字）                    全权代表:（签字）</w:t>
      </w:r>
    </w:p>
    <w:p>
      <w:pPr>
        <w:spacing w:line="420" w:lineRule="exact"/>
        <w:ind w:firstLine="1210" w:firstLineChars="550"/>
        <w:rPr>
          <w:rFonts w:ascii="新宋体" w:hAnsi="新宋体" w:eastAsia="新宋体"/>
          <w:color w:val="auto"/>
          <w:sz w:val="22"/>
          <w:szCs w:val="22"/>
        </w:rPr>
      </w:pPr>
      <w:r>
        <w:rPr>
          <w:rFonts w:hint="eastAsia" w:ascii="新宋体" w:hAnsi="新宋体" w:eastAsia="新宋体"/>
          <w:color w:val="auto"/>
          <w:sz w:val="22"/>
          <w:szCs w:val="22"/>
        </w:rPr>
        <w:t>地址：                               地址：</w:t>
      </w:r>
    </w:p>
    <w:p>
      <w:pPr>
        <w:spacing w:line="420" w:lineRule="exact"/>
        <w:ind w:firstLine="1210" w:firstLineChars="550"/>
        <w:rPr>
          <w:rFonts w:ascii="新宋体" w:hAnsi="新宋体" w:eastAsia="新宋体"/>
          <w:color w:val="auto"/>
          <w:sz w:val="22"/>
          <w:szCs w:val="22"/>
        </w:rPr>
      </w:pPr>
      <w:r>
        <w:rPr>
          <w:rFonts w:hint="eastAsia" w:ascii="新宋体" w:hAnsi="新宋体" w:eastAsia="新宋体"/>
          <w:color w:val="auto"/>
          <w:sz w:val="22"/>
          <w:szCs w:val="22"/>
        </w:rPr>
        <w:t>邮政编码：                           邮政编码：</w:t>
      </w:r>
    </w:p>
    <w:p>
      <w:pPr>
        <w:spacing w:line="420" w:lineRule="exact"/>
        <w:ind w:firstLine="1210" w:firstLineChars="550"/>
        <w:rPr>
          <w:rFonts w:ascii="新宋体" w:hAnsi="新宋体" w:eastAsia="新宋体"/>
          <w:color w:val="auto"/>
          <w:sz w:val="22"/>
          <w:szCs w:val="22"/>
        </w:rPr>
      </w:pPr>
      <w:r>
        <w:rPr>
          <w:rFonts w:hint="eastAsia" w:ascii="新宋体" w:hAnsi="新宋体" w:eastAsia="新宋体"/>
          <w:color w:val="auto"/>
          <w:sz w:val="22"/>
          <w:szCs w:val="22"/>
        </w:rPr>
        <w:t>电话：                               电话：</w:t>
      </w:r>
    </w:p>
    <w:p>
      <w:pPr>
        <w:spacing w:line="420" w:lineRule="exact"/>
        <w:ind w:firstLine="1210" w:firstLineChars="550"/>
        <w:rPr>
          <w:rFonts w:ascii="新宋体" w:hAnsi="新宋体" w:eastAsia="新宋体"/>
          <w:color w:val="auto"/>
          <w:sz w:val="22"/>
          <w:szCs w:val="22"/>
        </w:rPr>
      </w:pPr>
      <w:r>
        <w:rPr>
          <w:rFonts w:hint="eastAsia" w:ascii="新宋体" w:hAnsi="新宋体" w:eastAsia="新宋体"/>
          <w:color w:val="auto"/>
          <w:sz w:val="22"/>
          <w:szCs w:val="22"/>
        </w:rPr>
        <w:t>开户银行：                           开户银行：</w:t>
      </w:r>
    </w:p>
    <w:p>
      <w:pPr>
        <w:spacing w:line="420" w:lineRule="exact"/>
        <w:ind w:firstLine="1210" w:firstLineChars="550"/>
        <w:rPr>
          <w:rFonts w:ascii="新宋体" w:hAnsi="新宋体" w:eastAsia="新宋体"/>
          <w:color w:val="auto"/>
          <w:sz w:val="22"/>
          <w:szCs w:val="22"/>
        </w:rPr>
      </w:pPr>
      <w:r>
        <w:rPr>
          <w:rFonts w:hint="eastAsia" w:ascii="新宋体" w:hAnsi="新宋体" w:eastAsia="新宋体"/>
          <w:color w:val="auto"/>
          <w:sz w:val="22"/>
          <w:szCs w:val="22"/>
        </w:rPr>
        <w:t>帐号：                               帐号：</w:t>
      </w:r>
    </w:p>
    <w:p>
      <w:pPr>
        <w:pStyle w:val="643"/>
        <w:shd w:val="clear" w:color="auto" w:fill="auto"/>
        <w:spacing w:before="0" w:after="0"/>
        <w:jc w:val="left"/>
        <w:rPr>
          <w:rFonts w:hint="eastAsia" w:ascii="新宋体" w:hAnsi="新宋体" w:eastAsia="新宋体" w:cs="新宋体"/>
          <w:color w:val="auto"/>
          <w:kern w:val="1"/>
          <w:sz w:val="22"/>
          <w:szCs w:val="22"/>
        </w:rPr>
      </w:pPr>
    </w:p>
    <w:p>
      <w:pPr>
        <w:pStyle w:val="643"/>
        <w:shd w:val="clear" w:color="auto" w:fill="auto"/>
        <w:spacing w:before="0" w:after="0"/>
        <w:jc w:val="left"/>
        <w:rPr>
          <w:rFonts w:hint="eastAsia" w:ascii="新宋体" w:hAnsi="新宋体" w:eastAsia="新宋体" w:cs="新宋体"/>
          <w:color w:val="auto"/>
          <w:kern w:val="1"/>
          <w:sz w:val="22"/>
          <w:szCs w:val="22"/>
        </w:rPr>
      </w:pPr>
    </w:p>
    <w:p>
      <w:pPr>
        <w:pStyle w:val="643"/>
        <w:shd w:val="clear" w:color="auto" w:fill="auto"/>
        <w:spacing w:before="0" w:after="0"/>
        <w:jc w:val="left"/>
        <w:rPr>
          <w:rFonts w:hint="eastAsia" w:ascii="新宋体" w:hAnsi="新宋体" w:eastAsia="新宋体" w:cs="新宋体"/>
          <w:color w:val="auto"/>
          <w:spacing w:val="0"/>
          <w:sz w:val="22"/>
          <w:szCs w:val="22"/>
          <w:lang w:val="zh-CN"/>
        </w:rPr>
      </w:pPr>
    </w:p>
    <w:p>
      <w:pPr>
        <w:spacing w:before="120" w:beforeLines="50" w:after="120" w:afterLines="50"/>
        <w:rPr>
          <w:rFonts w:hint="eastAsia"/>
          <w:color w:val="auto"/>
          <w:sz w:val="22"/>
          <w:szCs w:val="22"/>
        </w:rPr>
      </w:pPr>
      <w:r>
        <w:rPr>
          <w:rFonts w:hint="eastAsia" w:ascii="新宋体" w:hAnsi="新宋体" w:eastAsia="新宋体" w:cs="新宋体"/>
          <w:color w:val="auto"/>
          <w:sz w:val="22"/>
          <w:szCs w:val="22"/>
        </w:rPr>
        <w:br w:type="page"/>
      </w:r>
      <w:r>
        <w:rPr>
          <w:rFonts w:hint="eastAsia"/>
          <w:color w:val="auto"/>
          <w:sz w:val="22"/>
          <w:szCs w:val="22"/>
        </w:rPr>
        <w:t>（资格审查资料封面，供参考）</w:t>
      </w:r>
    </w:p>
    <w:p>
      <w:pPr>
        <w:pStyle w:val="669"/>
        <w:keepNext/>
        <w:keepLines/>
        <w:shd w:val="clear" w:color="auto" w:fill="auto"/>
        <w:ind w:left="140"/>
        <w:jc w:val="left"/>
        <w:rPr>
          <w:rFonts w:hint="eastAsia" w:ascii="新宋体" w:hAnsi="新宋体" w:eastAsia="新宋体" w:cs="新宋体"/>
          <w:bCs w:val="0"/>
          <w:color w:val="auto"/>
          <w:sz w:val="22"/>
          <w:szCs w:val="22"/>
        </w:rPr>
      </w:pPr>
    </w:p>
    <w:p>
      <w:pPr>
        <w:pStyle w:val="669"/>
        <w:keepNext/>
        <w:keepLines/>
        <w:shd w:val="clear" w:color="auto" w:fill="auto"/>
        <w:ind w:left="140"/>
        <w:jc w:val="left"/>
        <w:rPr>
          <w:rFonts w:hint="eastAsia" w:ascii="新宋体" w:hAnsi="新宋体" w:eastAsia="新宋体" w:cs="新宋体"/>
          <w:color w:val="auto"/>
          <w:sz w:val="22"/>
          <w:szCs w:val="22"/>
        </w:rPr>
      </w:pPr>
    </w:p>
    <w:p>
      <w:pPr>
        <w:pStyle w:val="4"/>
        <w:rPr>
          <w:rFonts w:hint="eastAsia" w:ascii="新宋体" w:hAnsi="新宋体" w:eastAsia="新宋体" w:cs="新宋体"/>
          <w:bCs w:val="0"/>
          <w:color w:val="auto"/>
          <w:sz w:val="36"/>
          <w:szCs w:val="36"/>
        </w:rPr>
      </w:pPr>
      <w:bookmarkStart w:id="130" w:name="_Toc5314"/>
      <w:bookmarkStart w:id="131" w:name="_Toc21106"/>
      <w:bookmarkStart w:id="132" w:name="_Toc29422"/>
      <w:bookmarkStart w:id="133" w:name="_Toc34572038"/>
      <w:r>
        <w:rPr>
          <w:rFonts w:hint="eastAsia" w:ascii="新宋体" w:hAnsi="新宋体" w:eastAsia="新宋体" w:cs="新宋体"/>
          <w:bCs w:val="0"/>
          <w:color w:val="auto"/>
          <w:sz w:val="36"/>
          <w:szCs w:val="36"/>
        </w:rPr>
        <w:t>第四部分   投标文件格式</w:t>
      </w:r>
      <w:bookmarkEnd w:id="130"/>
      <w:bookmarkEnd w:id="131"/>
      <w:bookmarkEnd w:id="132"/>
      <w:bookmarkEnd w:id="133"/>
    </w:p>
    <w:p>
      <w:pPr>
        <w:rPr>
          <w:rFonts w:hint="eastAsia" w:ascii="新宋体" w:hAnsi="新宋体" w:eastAsia="新宋体" w:cs="新宋体"/>
          <w:color w:val="auto"/>
        </w:rPr>
      </w:pPr>
    </w:p>
    <w:p>
      <w:pPr>
        <w:rPr>
          <w:rFonts w:hint="eastAsia" w:ascii="新宋体" w:hAnsi="新宋体" w:eastAsia="新宋体" w:cs="新宋体"/>
          <w:color w:val="auto"/>
        </w:rPr>
      </w:pPr>
    </w:p>
    <w:p>
      <w:pPr>
        <w:rPr>
          <w:rFonts w:hint="eastAsia" w:ascii="新宋体" w:hAnsi="新宋体" w:eastAsia="新宋体" w:cs="新宋体"/>
          <w:color w:val="auto"/>
        </w:rPr>
      </w:pPr>
    </w:p>
    <w:p>
      <w:pPr>
        <w:jc w:val="center"/>
        <w:rPr>
          <w:rFonts w:hint="eastAsia" w:ascii="新宋体" w:hAnsi="新宋体" w:eastAsia="新宋体" w:cs="新宋体"/>
          <w:color w:val="auto"/>
          <w:sz w:val="28"/>
          <w:szCs w:val="28"/>
        </w:rPr>
      </w:pP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（项目名称）</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投标文件</w:t>
      </w:r>
    </w:p>
    <w:p>
      <w:p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pStyle w:val="24"/>
        <w:ind w:firstLine="281"/>
        <w:rPr>
          <w:rFonts w:hint="eastAsia" w:ascii="新宋体" w:hAnsi="新宋体" w:eastAsia="新宋体" w:cs="新宋体"/>
          <w:color w:val="auto"/>
          <w:sz w:val="28"/>
          <w:szCs w:val="28"/>
        </w:rPr>
      </w:pPr>
    </w:p>
    <w:p>
      <w:pPr>
        <w:pStyle w:val="24"/>
        <w:ind w:firstLine="281"/>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jc w:val="center"/>
        <w:rPr>
          <w:rFonts w:hint="eastAsia" w:ascii="新宋体" w:hAnsi="新宋体" w:eastAsia="新宋体" w:cs="新宋体"/>
          <w:color w:val="auto"/>
          <w:sz w:val="52"/>
          <w:szCs w:val="52"/>
        </w:rPr>
      </w:pPr>
      <w:r>
        <w:rPr>
          <w:rFonts w:hint="eastAsia" w:ascii="新宋体" w:hAnsi="新宋体" w:eastAsia="新宋体" w:cs="新宋体"/>
          <w:color w:val="auto"/>
          <w:sz w:val="52"/>
          <w:szCs w:val="52"/>
        </w:rPr>
        <w:t>资格审查资料</w:t>
      </w:r>
    </w:p>
    <w:p>
      <w:pPr>
        <w:spacing w:line="360" w:lineRule="auto"/>
        <w:rPr>
          <w:rFonts w:hint="eastAsia" w:ascii="新宋体" w:hAnsi="新宋体" w:eastAsia="新宋体" w:cs="新宋体"/>
          <w:color w:val="auto"/>
          <w:szCs w:val="21"/>
        </w:rPr>
      </w:pPr>
    </w:p>
    <w:p>
      <w:pPr>
        <w:spacing w:line="360" w:lineRule="auto"/>
        <w:rPr>
          <w:rFonts w:hint="eastAsia" w:ascii="新宋体" w:hAnsi="新宋体" w:eastAsia="新宋体" w:cs="新宋体"/>
          <w:color w:val="auto"/>
          <w:szCs w:val="21"/>
        </w:rPr>
      </w:pPr>
    </w:p>
    <w:p>
      <w:pPr>
        <w:spacing w:line="360" w:lineRule="auto"/>
        <w:rPr>
          <w:rFonts w:hint="eastAsia" w:ascii="新宋体" w:hAnsi="新宋体" w:eastAsia="新宋体" w:cs="新宋体"/>
          <w:color w:val="auto"/>
          <w:szCs w:val="21"/>
        </w:rPr>
      </w:pPr>
    </w:p>
    <w:p>
      <w:pPr>
        <w:spacing w:line="360" w:lineRule="auto"/>
        <w:rPr>
          <w:rFonts w:hint="eastAsia" w:ascii="新宋体" w:hAnsi="新宋体" w:eastAsia="新宋体" w:cs="新宋体"/>
          <w:color w:val="auto"/>
          <w:szCs w:val="21"/>
        </w:rPr>
      </w:pPr>
    </w:p>
    <w:p>
      <w:pPr>
        <w:spacing w:line="360" w:lineRule="auto"/>
        <w:rPr>
          <w:rFonts w:hint="eastAsia" w:ascii="新宋体" w:hAnsi="新宋体" w:eastAsia="新宋体" w:cs="新宋体"/>
          <w:color w:val="auto"/>
          <w:szCs w:val="21"/>
        </w:rPr>
      </w:pPr>
    </w:p>
    <w:p>
      <w:pPr>
        <w:jc w:val="cente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投标人：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（加盖公章）</w:t>
      </w:r>
    </w:p>
    <w:p>
      <w:pPr>
        <w:rPr>
          <w:rFonts w:hint="eastAsia" w:ascii="新宋体" w:hAnsi="新宋体" w:eastAsia="新宋体" w:cs="新宋体"/>
          <w:color w:val="auto"/>
          <w:sz w:val="28"/>
          <w:szCs w:val="28"/>
          <w:u w:val="single"/>
        </w:rPr>
      </w:pPr>
    </w:p>
    <w:p>
      <w:pPr>
        <w:jc w:val="cente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法定代表人或其委托代理人：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（签字或盖章）</w:t>
      </w:r>
    </w:p>
    <w:p>
      <w:pPr>
        <w:rPr>
          <w:rFonts w:hint="eastAsia" w:ascii="新宋体" w:hAnsi="新宋体" w:eastAsia="新宋体" w:cs="新宋体"/>
          <w:color w:val="auto"/>
          <w:sz w:val="28"/>
          <w:szCs w:val="28"/>
        </w:rPr>
      </w:pPr>
    </w:p>
    <w:p>
      <w:pPr>
        <w:overflowPunct w:val="0"/>
        <w:spacing w:line="380" w:lineRule="exact"/>
        <w:ind w:firstLine="2738" w:firstLineChars="978"/>
        <w:rPr>
          <w:rFonts w:hint="eastAsia" w:ascii="新宋体" w:hAnsi="新宋体" w:eastAsia="新宋体" w:cs="新宋体"/>
          <w:color w:val="auto"/>
          <w:sz w:val="28"/>
          <w:szCs w:val="28"/>
        </w:rPr>
      </w:pP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日</w:t>
      </w:r>
    </w:p>
    <w:p>
      <w:pPr>
        <w:spacing w:line="460" w:lineRule="exact"/>
        <w:jc w:val="center"/>
        <w:rPr>
          <w:rFonts w:hint="eastAsia" w:ascii="宋体" w:hAnsi="宋体"/>
          <w:color w:val="auto"/>
          <w:sz w:val="22"/>
          <w:szCs w:val="22"/>
        </w:rPr>
      </w:pPr>
      <w:r>
        <w:rPr>
          <w:rFonts w:hint="eastAsia" w:ascii="宋体" w:hAnsi="宋体"/>
          <w:color w:val="auto"/>
          <w:sz w:val="22"/>
          <w:szCs w:val="22"/>
        </w:rPr>
        <w:br w:type="page"/>
      </w:r>
    </w:p>
    <w:p>
      <w:pPr>
        <w:jc w:val="center"/>
        <w:rPr>
          <w:rFonts w:hint="eastAsia" w:ascii="新宋体" w:hAnsi="新宋体" w:eastAsia="新宋体" w:cs="新宋体"/>
          <w:b/>
          <w:bCs/>
          <w:color w:val="auto"/>
          <w:sz w:val="52"/>
          <w:szCs w:val="52"/>
        </w:rPr>
      </w:pPr>
      <w:bookmarkStart w:id="134" w:name="_Toc504034734"/>
      <w:bookmarkStart w:id="135" w:name="_Toc465107614"/>
      <w:r>
        <w:rPr>
          <w:rFonts w:hint="eastAsia" w:ascii="新宋体" w:hAnsi="新宋体" w:eastAsia="新宋体" w:cs="新宋体"/>
          <w:b/>
          <w:bCs/>
          <w:color w:val="auto"/>
          <w:sz w:val="52"/>
          <w:szCs w:val="52"/>
        </w:rPr>
        <w:t>目    录</w:t>
      </w:r>
    </w:p>
    <w:p>
      <w:pPr>
        <w:numPr>
          <w:ilvl w:val="0"/>
          <w:numId w:val="23"/>
        </w:numPr>
        <w:spacing w:before="120" w:beforeLines="50" w:after="120" w:afterLines="50" w:line="480" w:lineRule="auto"/>
        <w:rPr>
          <w:rFonts w:hint="eastAsia"/>
          <w:color w:val="auto"/>
          <w:sz w:val="22"/>
          <w:szCs w:val="22"/>
        </w:rPr>
      </w:pPr>
      <w:r>
        <w:rPr>
          <w:rFonts w:hint="eastAsia"/>
          <w:color w:val="auto"/>
          <w:sz w:val="22"/>
          <w:szCs w:val="22"/>
          <w:lang w:eastAsia="zh-CN"/>
        </w:rPr>
        <w:t>法定代表人声明书或法定代表人授权书</w:t>
      </w:r>
    </w:p>
    <w:p>
      <w:pPr>
        <w:numPr>
          <w:ilvl w:val="0"/>
          <w:numId w:val="23"/>
        </w:numPr>
        <w:spacing w:before="120" w:beforeLines="50" w:after="120" w:afterLines="50" w:line="480" w:lineRule="auto"/>
        <w:rPr>
          <w:rFonts w:hint="eastAsia"/>
          <w:color w:val="auto"/>
          <w:sz w:val="22"/>
          <w:szCs w:val="22"/>
        </w:rPr>
      </w:pPr>
      <w:r>
        <w:rPr>
          <w:rFonts w:hint="eastAsia"/>
          <w:color w:val="auto"/>
          <w:sz w:val="22"/>
          <w:szCs w:val="22"/>
        </w:rPr>
        <w:t>营业执照（或事业法人登记证书或其它工商等登记证明材料）。</w:t>
      </w:r>
    </w:p>
    <w:p>
      <w:pPr>
        <w:numPr>
          <w:ilvl w:val="0"/>
          <w:numId w:val="23"/>
        </w:numPr>
        <w:spacing w:before="120" w:beforeLines="50" w:after="120" w:afterLines="50" w:line="480" w:lineRule="auto"/>
        <w:rPr>
          <w:rFonts w:hint="eastAsia"/>
          <w:color w:val="auto"/>
          <w:sz w:val="22"/>
          <w:szCs w:val="22"/>
        </w:rPr>
      </w:pPr>
      <w:r>
        <w:rPr>
          <w:rFonts w:hint="eastAsia" w:ascii="宋体" w:hAnsi="宋体"/>
          <w:color w:val="auto"/>
          <w:sz w:val="22"/>
          <w:szCs w:val="22"/>
        </w:rPr>
        <w:t>财务状况报告、依法缴纳税收证明材料、依法缴纳社会保障资金证明材料</w:t>
      </w:r>
      <w:r>
        <w:rPr>
          <w:rFonts w:hint="eastAsia" w:ascii="宋体" w:hAnsi="宋体" w:cs="新宋体"/>
          <w:bCs/>
          <w:color w:val="auto"/>
          <w:sz w:val="22"/>
          <w:szCs w:val="22"/>
        </w:rPr>
        <w:t>(新成立的公司，必须提供情况说明)；</w:t>
      </w:r>
    </w:p>
    <w:p>
      <w:pPr>
        <w:numPr>
          <w:ilvl w:val="0"/>
          <w:numId w:val="23"/>
        </w:numPr>
        <w:spacing w:before="120" w:beforeLines="50" w:after="120" w:afterLines="50" w:line="480" w:lineRule="auto"/>
        <w:rPr>
          <w:rFonts w:hint="eastAsia"/>
          <w:color w:val="auto"/>
          <w:sz w:val="22"/>
          <w:szCs w:val="22"/>
        </w:rPr>
      </w:pPr>
      <w:r>
        <w:rPr>
          <w:rFonts w:hint="eastAsia" w:ascii="新宋体" w:hAnsi="新宋体" w:eastAsia="新宋体" w:cs="楷体"/>
          <w:color w:val="auto"/>
          <w:kern w:val="0"/>
          <w:sz w:val="22"/>
          <w:szCs w:val="22"/>
        </w:rPr>
        <w:t>供应商参与政府采购活动投标资格声明函</w:t>
      </w:r>
      <w:r>
        <w:rPr>
          <w:rFonts w:hint="eastAsia"/>
          <w:color w:val="auto"/>
          <w:sz w:val="22"/>
          <w:szCs w:val="22"/>
        </w:rPr>
        <w:t>。</w:t>
      </w:r>
    </w:p>
    <w:p>
      <w:pPr>
        <w:numPr>
          <w:ilvl w:val="0"/>
          <w:numId w:val="23"/>
        </w:numPr>
        <w:spacing w:before="120" w:beforeLines="50" w:after="120" w:afterLines="50" w:line="480" w:lineRule="auto"/>
        <w:rPr>
          <w:rFonts w:hint="eastAsia"/>
          <w:color w:val="auto"/>
          <w:sz w:val="22"/>
          <w:szCs w:val="22"/>
        </w:rPr>
      </w:pPr>
      <w:r>
        <w:rPr>
          <w:rFonts w:hint="eastAsia" w:ascii="新宋体" w:hAnsi="新宋体" w:eastAsia="新宋体" w:cs="楷体"/>
          <w:color w:val="auto"/>
          <w:kern w:val="0"/>
          <w:sz w:val="22"/>
          <w:szCs w:val="22"/>
        </w:rPr>
        <w:t>法定代表人诚信投标承诺书</w:t>
      </w:r>
      <w:r>
        <w:rPr>
          <w:rFonts w:hint="eastAsia"/>
          <w:color w:val="auto"/>
          <w:sz w:val="22"/>
          <w:szCs w:val="22"/>
        </w:rPr>
        <w:t>。</w:t>
      </w:r>
    </w:p>
    <w:p>
      <w:pPr>
        <w:pStyle w:val="23"/>
        <w:spacing w:line="480" w:lineRule="auto"/>
        <w:ind w:firstLine="420" w:firstLineChars="200"/>
        <w:rPr>
          <w:rFonts w:hint="eastAsia"/>
          <w:color w:val="auto"/>
          <w:kern w:val="0"/>
        </w:rPr>
      </w:pPr>
      <w:r>
        <w:rPr>
          <w:rFonts w:hint="eastAsia"/>
          <w:color w:val="auto"/>
          <w:kern w:val="0"/>
        </w:rPr>
        <w:t>六、参加政府采购活动前3年内（新成立不满三年的组织机构自成立之日起算）在经营活动中没有重大违法记录的声明函。</w:t>
      </w:r>
    </w:p>
    <w:p>
      <w:pPr>
        <w:pStyle w:val="24"/>
        <w:spacing w:line="480" w:lineRule="auto"/>
        <w:ind w:firstLine="330" w:firstLineChars="150"/>
        <w:rPr>
          <w:rFonts w:hint="eastAsia" w:ascii="新宋体" w:hAnsi="新宋体" w:eastAsia="新宋体" w:cs="楷体"/>
          <w:b w:val="0"/>
          <w:color w:val="auto"/>
          <w:sz w:val="22"/>
          <w:szCs w:val="22"/>
        </w:rPr>
      </w:pPr>
      <w:r>
        <w:rPr>
          <w:rFonts w:hint="eastAsia" w:ascii="新宋体" w:hAnsi="新宋体" w:eastAsia="新宋体" w:cs="楷体"/>
          <w:b w:val="0"/>
          <w:color w:val="auto"/>
          <w:sz w:val="22"/>
          <w:szCs w:val="22"/>
        </w:rPr>
        <w:t>七、</w:t>
      </w:r>
      <w:r>
        <w:rPr>
          <w:rFonts w:hint="eastAsia" w:ascii="Tahoma" w:hAnsi="Tahoma"/>
          <w:b w:val="0"/>
          <w:color w:val="auto"/>
          <w:sz w:val="21"/>
          <w:szCs w:val="24"/>
        </w:rPr>
        <w:t>具有履行合同所必需的设备和专业技术能力的承诺函。</w:t>
      </w:r>
    </w:p>
    <w:p>
      <w:pPr>
        <w:spacing w:line="460" w:lineRule="exact"/>
        <w:ind w:firstLine="220" w:firstLineChars="100"/>
        <w:rPr>
          <w:rFonts w:hint="eastAsia" w:ascii="新宋体" w:hAnsi="新宋体" w:eastAsia="新宋体" w:cs="新宋体"/>
          <w:b/>
          <w:color w:val="auto"/>
        </w:rPr>
      </w:pPr>
      <w:r>
        <w:rPr>
          <w:rFonts w:hint="eastAsia" w:ascii="新宋体" w:hAnsi="新宋体" w:eastAsia="新宋体" w:cs="楷体"/>
          <w:color w:val="auto"/>
          <w:kern w:val="0"/>
          <w:sz w:val="22"/>
          <w:szCs w:val="22"/>
        </w:rPr>
        <w:t xml:space="preserve"> 八、至本项目投标截止时间内任意时间的“信用中国（https://www.creditchina.gov.cn/）”、“中国政府采购网（http://www.ccgp.gov.cn/）”投标人信用查询网页截图（以开标当日采购人或采购代理机构网页查询结果为准）。</w:t>
      </w:r>
      <w:r>
        <w:rPr>
          <w:rFonts w:hint="eastAsia" w:ascii="新宋体" w:hAnsi="新宋体" w:eastAsia="新宋体" w:cs="新宋体"/>
          <w:b/>
          <w:color w:val="auto"/>
        </w:rPr>
        <w:br w:type="page"/>
      </w:r>
    </w:p>
    <w:p>
      <w:pPr>
        <w:widowControl/>
        <w:adjustRightInd w:val="0"/>
        <w:snapToGrid w:val="0"/>
        <w:spacing w:line="360" w:lineRule="auto"/>
        <w:jc w:val="center"/>
        <w:rPr>
          <w:rFonts w:hint="eastAsia" w:ascii="新宋体" w:hAnsi="新宋体" w:eastAsia="新宋体" w:cs="新宋体"/>
          <w:b/>
          <w:color w:val="auto"/>
          <w:kern w:val="0"/>
          <w:sz w:val="28"/>
          <w:szCs w:val="28"/>
        </w:rPr>
      </w:pPr>
      <w:r>
        <w:rPr>
          <w:rFonts w:hint="eastAsia" w:ascii="新宋体" w:hAnsi="新宋体" w:eastAsia="新宋体" w:cs="新宋体"/>
          <w:b/>
          <w:color w:val="auto"/>
          <w:kern w:val="0"/>
          <w:sz w:val="28"/>
          <w:szCs w:val="28"/>
        </w:rPr>
        <w:t>（1-1）法定代表人声明书</w:t>
      </w:r>
    </w:p>
    <w:p>
      <w:pPr>
        <w:spacing w:line="420" w:lineRule="exact"/>
        <w:rPr>
          <w:rFonts w:hint="eastAsia" w:ascii="新宋体" w:hAnsi="新宋体" w:eastAsia="新宋体"/>
          <w:b/>
          <w:color w:val="auto"/>
          <w:sz w:val="22"/>
          <w:szCs w:val="22"/>
        </w:rPr>
      </w:pPr>
    </w:p>
    <w:p>
      <w:pPr>
        <w:spacing w:line="360" w:lineRule="exact"/>
        <w:rPr>
          <w:rFonts w:hint="eastAsia" w:ascii="宋体"/>
          <w:color w:val="auto"/>
          <w:sz w:val="22"/>
        </w:rPr>
      </w:pPr>
      <w:r>
        <w:rPr>
          <w:rFonts w:hint="eastAsia" w:ascii="宋体"/>
          <w:color w:val="auto"/>
          <w:sz w:val="22"/>
          <w:u w:val="single"/>
        </w:rPr>
        <w:t>（采购人名称）</w:t>
      </w:r>
      <w:r>
        <w:rPr>
          <w:rFonts w:hint="eastAsia" w:ascii="宋体"/>
          <w:color w:val="auto"/>
          <w:sz w:val="22"/>
          <w:lang w:val="zh-CN"/>
        </w:rPr>
        <w:t>：</w:t>
      </w:r>
    </w:p>
    <w:p>
      <w:pPr>
        <w:spacing w:line="460" w:lineRule="exact"/>
        <w:ind w:firstLine="211" w:firstLineChars="100"/>
        <w:rPr>
          <w:rFonts w:hint="eastAsia" w:ascii="新宋体" w:hAnsi="新宋体" w:eastAsia="新宋体" w:cs="新宋体"/>
          <w:b/>
          <w:color w:val="auto"/>
        </w:rPr>
      </w:pPr>
    </w:p>
    <w:p>
      <w:pPr>
        <w:spacing w:line="460" w:lineRule="exact"/>
        <w:ind w:firstLine="220" w:firstLineChars="100"/>
        <w:rPr>
          <w:rFonts w:ascii="宋体" w:hAnsi="宋体"/>
          <w:color w:val="auto"/>
          <w:sz w:val="22"/>
          <w:szCs w:val="22"/>
        </w:rPr>
      </w:pPr>
      <w:r>
        <w:rPr>
          <w:rFonts w:hint="eastAsia" w:ascii="宋体" w:hAnsi="宋体"/>
          <w:color w:val="auto"/>
          <w:sz w:val="22"/>
          <w:szCs w:val="22"/>
        </w:rPr>
        <w:t>本人</w:t>
      </w:r>
      <w:r>
        <w:rPr>
          <w:rFonts w:hint="eastAsia" w:ascii="宋体" w:hAnsi="宋体"/>
          <w:color w:val="auto"/>
          <w:sz w:val="22"/>
          <w:szCs w:val="22"/>
          <w:u w:val="single"/>
        </w:rPr>
        <w:t>（法定代表人姓名）</w:t>
      </w:r>
      <w:r>
        <w:rPr>
          <w:rFonts w:hint="eastAsia" w:ascii="宋体" w:hAnsi="宋体"/>
          <w:color w:val="auto"/>
          <w:sz w:val="22"/>
          <w:szCs w:val="22"/>
        </w:rPr>
        <w:t>为</w:t>
      </w:r>
      <w:r>
        <w:rPr>
          <w:rFonts w:hint="eastAsia" w:ascii="宋体" w:hAnsi="宋体"/>
          <w:color w:val="auto"/>
          <w:sz w:val="22"/>
          <w:szCs w:val="22"/>
          <w:u w:val="single"/>
        </w:rPr>
        <w:t>（投标人全称）</w:t>
      </w:r>
      <w:r>
        <w:rPr>
          <w:rFonts w:hint="eastAsia" w:ascii="宋体" w:hAnsi="宋体"/>
          <w:color w:val="auto"/>
          <w:sz w:val="22"/>
          <w:szCs w:val="22"/>
        </w:rPr>
        <w:t>的法定代表人。我公司参加贵处组织的</w:t>
      </w:r>
      <w:r>
        <w:rPr>
          <w:rFonts w:hint="eastAsia" w:ascii="宋体" w:hAnsi="宋体"/>
          <w:color w:val="auto"/>
          <w:sz w:val="22"/>
          <w:szCs w:val="22"/>
          <w:u w:val="single"/>
        </w:rPr>
        <w:t>（招标项目名称、招标编号）</w:t>
      </w:r>
      <w:r>
        <w:rPr>
          <w:rFonts w:hint="eastAsia" w:ascii="宋体" w:hAnsi="宋体"/>
          <w:color w:val="auto"/>
          <w:sz w:val="22"/>
          <w:szCs w:val="22"/>
        </w:rPr>
        <w:t>的招标活动，由我本人全权代表我方处理招标活动中的一切事宜。联系方式如下：</w:t>
      </w:r>
      <w:r>
        <w:rPr>
          <w:rFonts w:hint="eastAsia" w:ascii="宋体" w:hAnsi="宋体"/>
          <w:color w:val="auto"/>
          <w:sz w:val="22"/>
          <w:szCs w:val="22"/>
          <w:u w:val="single"/>
        </w:rPr>
        <w:t xml:space="preserve">手机号码：       联系邮箱:         详细通讯地址：             </w:t>
      </w:r>
      <w:r>
        <w:rPr>
          <w:rFonts w:hint="eastAsia" w:ascii="宋体" w:hAnsi="宋体"/>
          <w:color w:val="auto"/>
          <w:sz w:val="22"/>
          <w:szCs w:val="22"/>
        </w:rPr>
        <w:t xml:space="preserve"> 。  </w:t>
      </w:r>
    </w:p>
    <w:p>
      <w:pPr>
        <w:spacing w:line="400" w:lineRule="exact"/>
        <w:rPr>
          <w:rFonts w:ascii="宋体" w:hAnsi="宋体"/>
          <w:color w:val="auto"/>
        </w:rPr>
      </w:pPr>
    </w:p>
    <w:p>
      <w:pPr>
        <w:spacing w:line="460" w:lineRule="exact"/>
        <w:ind w:firstLine="3971" w:firstLineChars="1805"/>
        <w:rPr>
          <w:rFonts w:ascii="宋体" w:hAnsi="宋体"/>
          <w:color w:val="auto"/>
          <w:sz w:val="22"/>
          <w:szCs w:val="22"/>
        </w:rPr>
      </w:pPr>
    </w:p>
    <w:p>
      <w:pPr>
        <w:spacing w:line="460" w:lineRule="exact"/>
        <w:ind w:firstLine="2955"/>
        <w:rPr>
          <w:rFonts w:ascii="宋体" w:hAnsi="宋体"/>
          <w:color w:val="auto"/>
          <w:sz w:val="22"/>
          <w:szCs w:val="22"/>
        </w:rPr>
      </w:pPr>
      <w:r>
        <w:rPr>
          <w:rFonts w:hint="eastAsia" w:ascii="宋体" w:hAnsi="宋体"/>
          <w:color w:val="auto"/>
          <w:sz w:val="22"/>
          <w:szCs w:val="22"/>
        </w:rPr>
        <w:t xml:space="preserve">         投标人全称（公章）：</w:t>
      </w:r>
    </w:p>
    <w:p>
      <w:pPr>
        <w:spacing w:line="460" w:lineRule="exact"/>
        <w:ind w:firstLine="2955"/>
        <w:rPr>
          <w:rFonts w:ascii="宋体" w:hAnsi="宋体"/>
          <w:color w:val="auto"/>
          <w:sz w:val="22"/>
          <w:szCs w:val="22"/>
        </w:rPr>
      </w:pPr>
      <w:r>
        <w:rPr>
          <w:rFonts w:hint="eastAsia" w:ascii="宋体" w:hAnsi="宋体"/>
          <w:color w:val="auto"/>
          <w:sz w:val="22"/>
          <w:szCs w:val="22"/>
        </w:rPr>
        <w:t xml:space="preserve">         日期：     年    月   日</w:t>
      </w:r>
    </w:p>
    <w:p>
      <w:pPr>
        <w:spacing w:before="120" w:beforeLines="50" w:after="120" w:line="480" w:lineRule="auto"/>
        <w:ind w:firstLine="221" w:firstLineChars="100"/>
        <w:rPr>
          <w:rFonts w:hint="eastAsia"/>
          <w:color w:val="auto"/>
          <w:sz w:val="22"/>
          <w:szCs w:val="22"/>
        </w:rPr>
      </w:pPr>
      <w:r>
        <w:rPr>
          <w:rFonts w:hint="eastAsia" w:ascii="宋体" w:hAnsi="宋体" w:cs="Courier New"/>
          <w:b/>
          <w:color w:val="auto"/>
          <w:sz w:val="22"/>
          <w:szCs w:val="22"/>
          <w:lang w:eastAsia="zh-CN"/>
        </w:rPr>
        <w:t>备注：附</w:t>
      </w:r>
      <w:r>
        <w:rPr>
          <w:rFonts w:hint="eastAsia" w:ascii="宋体" w:hAnsi="宋体"/>
          <w:b/>
          <w:color w:val="auto"/>
          <w:sz w:val="22"/>
          <w:szCs w:val="22"/>
        </w:rPr>
        <w:t>法定代表人</w:t>
      </w:r>
      <w:r>
        <w:rPr>
          <w:rFonts w:ascii="宋体" w:hAnsi="宋体" w:cs="Courier New"/>
          <w:b/>
          <w:color w:val="auto"/>
          <w:sz w:val="22"/>
          <w:szCs w:val="22"/>
        </w:rPr>
        <w:t>身份证正反面复印件</w:t>
      </w:r>
    </w:p>
    <w:p>
      <w:pPr>
        <w:widowControl/>
        <w:adjustRightInd w:val="0"/>
        <w:snapToGrid w:val="0"/>
        <w:spacing w:line="360" w:lineRule="auto"/>
        <w:jc w:val="center"/>
        <w:rPr>
          <w:rFonts w:hint="eastAsia" w:ascii="新宋体" w:hAnsi="新宋体" w:eastAsia="新宋体" w:cs="新宋体"/>
          <w:b/>
          <w:color w:val="auto"/>
          <w:kern w:val="0"/>
          <w:sz w:val="28"/>
          <w:szCs w:val="28"/>
        </w:rPr>
      </w:pPr>
      <w:r>
        <w:rPr>
          <w:rFonts w:hint="eastAsia" w:ascii="新宋体" w:hAnsi="新宋体" w:eastAsia="新宋体" w:cs="新宋体"/>
          <w:b/>
          <w:color w:val="auto"/>
          <w:kern w:val="0"/>
          <w:sz w:val="28"/>
          <w:szCs w:val="28"/>
        </w:rPr>
        <w:t>（1-2）法定代表人授权书</w:t>
      </w:r>
    </w:p>
    <w:p>
      <w:pPr>
        <w:spacing w:line="420" w:lineRule="exact"/>
        <w:rPr>
          <w:rFonts w:hint="eastAsia" w:ascii="新宋体" w:hAnsi="新宋体" w:eastAsia="新宋体"/>
          <w:b/>
          <w:color w:val="auto"/>
          <w:sz w:val="22"/>
          <w:szCs w:val="22"/>
        </w:rPr>
      </w:pPr>
    </w:p>
    <w:p>
      <w:pPr>
        <w:spacing w:line="360" w:lineRule="exact"/>
        <w:rPr>
          <w:rFonts w:hint="eastAsia" w:ascii="宋体"/>
          <w:color w:val="auto"/>
          <w:sz w:val="22"/>
        </w:rPr>
      </w:pPr>
      <w:r>
        <w:rPr>
          <w:rFonts w:hint="eastAsia" w:ascii="宋体"/>
          <w:color w:val="auto"/>
          <w:sz w:val="22"/>
          <w:u w:val="single"/>
        </w:rPr>
        <w:t>（采购人名称）</w:t>
      </w:r>
      <w:r>
        <w:rPr>
          <w:rFonts w:hint="eastAsia" w:ascii="宋体"/>
          <w:color w:val="auto"/>
          <w:sz w:val="22"/>
          <w:lang w:val="zh-CN"/>
        </w:rPr>
        <w:t>：</w:t>
      </w:r>
    </w:p>
    <w:p>
      <w:pPr>
        <w:snapToGrid w:val="0"/>
        <w:spacing w:line="580" w:lineRule="atLeast"/>
        <w:ind w:firstLine="440" w:firstLineChars="200"/>
        <w:rPr>
          <w:rFonts w:hint="eastAsia" w:ascii="宋体"/>
          <w:color w:val="auto"/>
          <w:sz w:val="22"/>
          <w:szCs w:val="22"/>
        </w:rPr>
      </w:pPr>
      <w:r>
        <w:rPr>
          <w:rFonts w:hint="eastAsia"/>
          <w:color w:val="auto"/>
          <w:sz w:val="22"/>
          <w:szCs w:val="22"/>
        </w:rPr>
        <w:t>本授权委托书声明</w:t>
      </w:r>
      <w:r>
        <w:rPr>
          <w:rFonts w:hint="eastAsia" w:ascii="宋体"/>
          <w:color w:val="auto"/>
          <w:sz w:val="22"/>
          <w:szCs w:val="22"/>
        </w:rPr>
        <w:t>：我</w:t>
      </w:r>
      <w:r>
        <w:rPr>
          <w:rFonts w:hint="eastAsia" w:ascii="宋体"/>
          <w:color w:val="auto"/>
          <w:sz w:val="22"/>
          <w:szCs w:val="22"/>
          <w:u w:val="single"/>
        </w:rPr>
        <w:t xml:space="preserve">   （法定代表人姓名）   </w:t>
      </w:r>
      <w:r>
        <w:rPr>
          <w:rFonts w:hint="eastAsia" w:ascii="宋体"/>
          <w:color w:val="auto"/>
          <w:sz w:val="22"/>
          <w:szCs w:val="22"/>
        </w:rPr>
        <w:t>系</w:t>
      </w:r>
      <w:r>
        <w:rPr>
          <w:rFonts w:hint="eastAsia" w:ascii="宋体"/>
          <w:color w:val="auto"/>
          <w:sz w:val="22"/>
          <w:szCs w:val="22"/>
          <w:u w:val="single"/>
        </w:rPr>
        <w:t xml:space="preserve">   （供 应 商 名 称）  </w:t>
      </w:r>
      <w:r>
        <w:rPr>
          <w:rFonts w:hint="eastAsia" w:ascii="宋体"/>
          <w:color w:val="auto"/>
          <w:sz w:val="22"/>
          <w:szCs w:val="22"/>
        </w:rPr>
        <w:t>的法定代表人，现授权委托</w:t>
      </w:r>
      <w:r>
        <w:rPr>
          <w:rFonts w:hint="eastAsia" w:ascii="宋体"/>
          <w:color w:val="auto"/>
          <w:sz w:val="22"/>
          <w:szCs w:val="22"/>
          <w:u w:val="single"/>
        </w:rPr>
        <w:t xml:space="preserve">  （单 位 名 称）   </w:t>
      </w:r>
      <w:r>
        <w:rPr>
          <w:rFonts w:hint="eastAsia" w:ascii="宋体"/>
          <w:color w:val="auto"/>
          <w:sz w:val="22"/>
          <w:szCs w:val="22"/>
        </w:rPr>
        <w:t>的</w:t>
      </w:r>
      <w:r>
        <w:rPr>
          <w:rFonts w:hint="eastAsia" w:ascii="宋体"/>
          <w:color w:val="auto"/>
          <w:sz w:val="22"/>
          <w:szCs w:val="22"/>
          <w:u w:val="single"/>
        </w:rPr>
        <w:t xml:space="preserve">  （授权代表姓名）  </w:t>
      </w:r>
      <w:r>
        <w:rPr>
          <w:rFonts w:hint="eastAsia" w:ascii="宋体"/>
          <w:color w:val="auto"/>
          <w:sz w:val="22"/>
          <w:szCs w:val="22"/>
        </w:rPr>
        <w:t>为我公司法定代表人授权代表，参加贵处组织的</w:t>
      </w:r>
      <w:r>
        <w:rPr>
          <w:rFonts w:hint="eastAsia" w:ascii="宋体"/>
          <w:color w:val="auto"/>
          <w:sz w:val="22"/>
          <w:szCs w:val="22"/>
          <w:u w:val="single"/>
        </w:rPr>
        <w:t xml:space="preserve">  （招标项目名称，括号中填写项目编号）  </w:t>
      </w:r>
      <w:r>
        <w:rPr>
          <w:rFonts w:hint="eastAsia" w:ascii="宋体"/>
          <w:color w:val="auto"/>
          <w:sz w:val="22"/>
          <w:szCs w:val="22"/>
        </w:rPr>
        <w:t>项目投标，全权处理本次招投标活动中的一切事宜，我承认授权代表全权代表我所签署的本项目的投标文件的内容。</w:t>
      </w:r>
    </w:p>
    <w:p>
      <w:pPr>
        <w:spacing w:line="360" w:lineRule="exact"/>
        <w:ind w:firstLine="440" w:firstLineChars="200"/>
        <w:rPr>
          <w:rFonts w:hint="eastAsia" w:ascii="宋体"/>
          <w:color w:val="auto"/>
          <w:sz w:val="22"/>
          <w:szCs w:val="22"/>
        </w:rPr>
      </w:pPr>
    </w:p>
    <w:p>
      <w:pPr>
        <w:spacing w:line="360" w:lineRule="exact"/>
        <w:ind w:firstLine="440" w:firstLineChars="200"/>
        <w:rPr>
          <w:rFonts w:hint="eastAsia" w:ascii="宋体"/>
          <w:color w:val="auto"/>
          <w:sz w:val="22"/>
        </w:rPr>
      </w:pPr>
      <w:r>
        <w:rPr>
          <w:rFonts w:hint="eastAsia" w:ascii="宋体"/>
          <w:color w:val="auto"/>
          <w:sz w:val="22"/>
          <w:szCs w:val="22"/>
        </w:rPr>
        <w:t>授权代表无转授权，特此授权。</w:t>
      </w:r>
    </w:p>
    <w:p>
      <w:pPr>
        <w:spacing w:line="360" w:lineRule="exact"/>
        <w:rPr>
          <w:rFonts w:hint="eastAsia" w:ascii="宋体"/>
          <w:color w:val="auto"/>
          <w:sz w:val="22"/>
        </w:rPr>
      </w:pPr>
      <w:r>
        <w:rPr>
          <w:rFonts w:hint="eastAsia" w:ascii="宋体"/>
          <w:color w:val="auto"/>
          <w:sz w:val="22"/>
        </w:rPr>
        <w:t xml:space="preserve">    </w:t>
      </w:r>
    </w:p>
    <w:p>
      <w:pPr>
        <w:spacing w:line="460" w:lineRule="exact"/>
        <w:rPr>
          <w:rFonts w:ascii="宋体" w:hAnsi="宋体"/>
          <w:color w:val="auto"/>
          <w:sz w:val="22"/>
          <w:szCs w:val="22"/>
        </w:rPr>
      </w:pPr>
      <w:r>
        <w:rPr>
          <w:rFonts w:hint="eastAsia" w:ascii="宋体" w:hAnsi="宋体" w:cs="Courier New"/>
          <w:b/>
          <w:color w:val="auto"/>
          <w:sz w:val="22"/>
          <w:szCs w:val="22"/>
          <w:lang w:eastAsia="zh-CN"/>
        </w:rPr>
        <w:t>备注：附</w:t>
      </w:r>
      <w:r>
        <w:rPr>
          <w:rFonts w:hint="eastAsia" w:ascii="宋体" w:hAnsi="宋体"/>
          <w:b/>
          <w:color w:val="auto"/>
          <w:sz w:val="22"/>
          <w:szCs w:val="22"/>
        </w:rPr>
        <w:t>法定代表人及授权代表的</w:t>
      </w:r>
      <w:r>
        <w:rPr>
          <w:rFonts w:ascii="宋体" w:hAnsi="宋体" w:cs="Courier New"/>
          <w:b/>
          <w:color w:val="auto"/>
          <w:sz w:val="22"/>
          <w:szCs w:val="22"/>
        </w:rPr>
        <w:t>身份证</w:t>
      </w:r>
      <w:r>
        <w:rPr>
          <w:rFonts w:hint="eastAsia" w:ascii="宋体" w:hAnsi="宋体"/>
          <w:b/>
          <w:color w:val="auto"/>
          <w:sz w:val="22"/>
          <w:szCs w:val="22"/>
        </w:rPr>
        <w:t>正反面复印件</w:t>
      </w:r>
      <w:r>
        <w:rPr>
          <w:rFonts w:hint="eastAsia" w:ascii="宋体" w:hAnsi="宋体" w:cs="Courier New"/>
          <w:b/>
          <w:color w:val="auto"/>
          <w:sz w:val="22"/>
          <w:szCs w:val="22"/>
        </w:rPr>
        <w:t>。</w:t>
      </w:r>
    </w:p>
    <w:p>
      <w:pPr>
        <w:spacing w:line="360" w:lineRule="exact"/>
        <w:ind w:left="2699"/>
        <w:rPr>
          <w:rFonts w:hint="eastAsia" w:ascii="宋体"/>
          <w:color w:val="auto"/>
          <w:sz w:val="22"/>
        </w:rPr>
      </w:pPr>
      <w:r>
        <w:rPr>
          <w:rFonts w:hint="eastAsia" w:ascii="宋体"/>
          <w:color w:val="auto"/>
          <w:sz w:val="22"/>
        </w:rPr>
        <w:t xml:space="preserve">  </w:t>
      </w:r>
    </w:p>
    <w:p>
      <w:pPr>
        <w:spacing w:line="360" w:lineRule="exact"/>
        <w:ind w:left="2699"/>
        <w:rPr>
          <w:rFonts w:hint="eastAsia" w:ascii="宋体"/>
          <w:color w:val="auto"/>
          <w:sz w:val="22"/>
        </w:rPr>
      </w:pPr>
      <w:r>
        <w:rPr>
          <w:rFonts w:hint="eastAsia" w:ascii="宋体"/>
          <w:color w:val="auto"/>
          <w:sz w:val="22"/>
        </w:rPr>
        <w:t xml:space="preserve">  </w:t>
      </w:r>
    </w:p>
    <w:p>
      <w:pPr>
        <w:spacing w:line="460" w:lineRule="exact"/>
        <w:ind w:firstLine="3987" w:firstLineChars="1805"/>
        <w:rPr>
          <w:rFonts w:ascii="宋体" w:hAnsi="宋体"/>
          <w:color w:val="auto"/>
          <w:sz w:val="22"/>
          <w:szCs w:val="22"/>
        </w:rPr>
      </w:pPr>
      <w:r>
        <w:rPr>
          <w:rFonts w:hint="eastAsia" w:ascii="宋体"/>
          <w:b/>
          <w:color w:val="auto"/>
          <w:sz w:val="22"/>
        </w:rPr>
        <w:t xml:space="preserve">            </w:t>
      </w:r>
      <w:r>
        <w:rPr>
          <w:rFonts w:hint="eastAsia" w:ascii="宋体" w:hAnsi="宋体"/>
          <w:color w:val="auto"/>
          <w:sz w:val="22"/>
          <w:szCs w:val="22"/>
        </w:rPr>
        <w:t>法定代表人 (签字或盖章)：</w:t>
      </w:r>
    </w:p>
    <w:p>
      <w:pPr>
        <w:spacing w:line="460" w:lineRule="exact"/>
        <w:ind w:firstLine="2955"/>
        <w:rPr>
          <w:rFonts w:ascii="宋体" w:hAnsi="宋体"/>
          <w:color w:val="auto"/>
          <w:sz w:val="22"/>
          <w:szCs w:val="22"/>
        </w:rPr>
      </w:pPr>
      <w:r>
        <w:rPr>
          <w:rFonts w:hint="eastAsia" w:ascii="宋体" w:hAnsi="宋体"/>
          <w:color w:val="auto"/>
          <w:sz w:val="22"/>
          <w:szCs w:val="22"/>
        </w:rPr>
        <w:t xml:space="preserve">         投标人全称（公章）：</w:t>
      </w:r>
    </w:p>
    <w:p>
      <w:pPr>
        <w:spacing w:line="460" w:lineRule="exact"/>
        <w:ind w:firstLine="2955"/>
        <w:rPr>
          <w:rFonts w:ascii="宋体" w:hAnsi="宋体"/>
          <w:color w:val="auto"/>
          <w:sz w:val="22"/>
          <w:szCs w:val="22"/>
        </w:rPr>
      </w:pPr>
      <w:r>
        <w:rPr>
          <w:rFonts w:hint="eastAsia" w:ascii="宋体" w:hAnsi="宋体"/>
          <w:color w:val="auto"/>
          <w:sz w:val="22"/>
          <w:szCs w:val="22"/>
        </w:rPr>
        <w:t xml:space="preserve">         日期：     年    月   日</w:t>
      </w:r>
    </w:p>
    <w:p>
      <w:pPr>
        <w:pStyle w:val="31"/>
        <w:adjustRightInd w:val="0"/>
        <w:snapToGrid w:val="0"/>
        <w:spacing w:line="360" w:lineRule="exact"/>
        <w:jc w:val="both"/>
        <w:rPr>
          <w:rFonts w:hint="eastAsia"/>
          <w:color w:val="auto"/>
        </w:rPr>
      </w:pPr>
    </w:p>
    <w:p>
      <w:pPr>
        <w:pStyle w:val="31"/>
        <w:adjustRightInd w:val="0"/>
        <w:snapToGrid w:val="0"/>
        <w:spacing w:line="360" w:lineRule="exact"/>
        <w:jc w:val="center"/>
        <w:rPr>
          <w:rFonts w:hint="eastAsia"/>
          <w:color w:val="auto"/>
        </w:rPr>
      </w:pPr>
    </w:p>
    <w:p>
      <w:pPr>
        <w:pStyle w:val="31"/>
        <w:adjustRightInd w:val="0"/>
        <w:snapToGrid w:val="0"/>
        <w:spacing w:line="360" w:lineRule="exact"/>
        <w:jc w:val="center"/>
        <w:rPr>
          <w:rFonts w:hint="eastAsia" w:ascii="新宋体" w:hAnsi="新宋体" w:eastAsia="新宋体" w:cs="新宋体"/>
          <w:b/>
          <w:color w:val="auto"/>
          <w:kern w:val="0"/>
          <w:sz w:val="28"/>
          <w:szCs w:val="28"/>
          <w:lang w:val="en-US" w:eastAsia="zh-CN" w:bidi="ar-SA"/>
        </w:rPr>
      </w:pPr>
      <w:r>
        <w:rPr>
          <w:rFonts w:hint="eastAsia" w:ascii="新宋体" w:hAnsi="新宋体" w:eastAsia="新宋体" w:cs="新宋体"/>
          <w:b/>
          <w:color w:val="auto"/>
          <w:kern w:val="0"/>
          <w:sz w:val="28"/>
          <w:szCs w:val="28"/>
          <w:lang w:val="en-US" w:eastAsia="zh-CN" w:bidi="ar-SA"/>
        </w:rPr>
        <w:t>（2）营业执照（或事业法人登记证书或其它工商等登记证明材料）</w:t>
      </w:r>
    </w:p>
    <w:p>
      <w:pPr>
        <w:spacing w:line="460" w:lineRule="exact"/>
        <w:rPr>
          <w:rFonts w:ascii="宋体" w:hAnsi="宋体" w:cs="Courier New"/>
          <w:color w:val="auto"/>
          <w:sz w:val="22"/>
          <w:szCs w:val="22"/>
        </w:rPr>
      </w:pPr>
      <w:r>
        <w:rPr>
          <w:rFonts w:hint="eastAsia" w:ascii="宋体" w:hAnsi="宋体"/>
          <w:b/>
          <w:bCs/>
          <w:color w:val="auto"/>
          <w:sz w:val="22"/>
          <w:szCs w:val="22"/>
        </w:rPr>
        <w:t>说明：</w:t>
      </w:r>
      <w:r>
        <w:rPr>
          <w:rFonts w:ascii="宋体" w:hAnsi="宋体" w:cs="Courier New"/>
          <w:color w:val="auto"/>
          <w:sz w:val="22"/>
          <w:szCs w:val="22"/>
        </w:rPr>
        <w:t>1</w:t>
      </w:r>
      <w:r>
        <w:rPr>
          <w:rFonts w:hint="eastAsia" w:ascii="宋体" w:hAnsi="宋体" w:cs="Courier New"/>
          <w:color w:val="auto"/>
          <w:sz w:val="22"/>
          <w:szCs w:val="22"/>
        </w:rPr>
        <w:t>、</w:t>
      </w:r>
      <w:r>
        <w:rPr>
          <w:rFonts w:ascii="宋体" w:hAnsi="宋体" w:cs="Courier New"/>
          <w:color w:val="auto"/>
          <w:sz w:val="22"/>
          <w:szCs w:val="2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spacing w:line="380" w:lineRule="exact"/>
        <w:rPr>
          <w:rFonts w:ascii="宋体" w:hAnsi="宋体"/>
          <w:bCs/>
          <w:color w:val="auto"/>
          <w:sz w:val="22"/>
          <w:szCs w:val="22"/>
        </w:rPr>
      </w:pPr>
      <w:r>
        <w:rPr>
          <w:rFonts w:ascii="宋体" w:hAnsi="宋体" w:cs="Courier New"/>
          <w:color w:val="auto"/>
          <w:sz w:val="22"/>
          <w:szCs w:val="22"/>
        </w:rPr>
        <w:t>2、投标人提供的相应证明材料复印件均应符合：内容完整、清晰、整洁，并由投标人加盖其单位公章。</w:t>
      </w:r>
    </w:p>
    <w:p>
      <w:pPr>
        <w:pStyle w:val="31"/>
        <w:adjustRightInd w:val="0"/>
        <w:snapToGrid w:val="0"/>
        <w:spacing w:line="360" w:lineRule="exact"/>
        <w:jc w:val="center"/>
        <w:rPr>
          <w:rFonts w:hint="eastAsia" w:ascii="宋体" w:hAnsi="宋体"/>
          <w:b/>
          <w:bCs/>
          <w:color w:val="auto"/>
          <w:kern w:val="2"/>
          <w:sz w:val="22"/>
          <w:szCs w:val="22"/>
          <w:lang w:val="en-US" w:eastAsia="zh-CN" w:bidi="ar-SA"/>
        </w:rPr>
      </w:pPr>
    </w:p>
    <w:p>
      <w:pPr>
        <w:pStyle w:val="31"/>
        <w:adjustRightInd w:val="0"/>
        <w:snapToGrid w:val="0"/>
        <w:spacing w:line="360" w:lineRule="exact"/>
        <w:jc w:val="center"/>
        <w:rPr>
          <w:rFonts w:hint="eastAsia" w:ascii="新宋体" w:hAnsi="新宋体" w:eastAsia="新宋体" w:cs="新宋体"/>
          <w:b/>
          <w:color w:val="auto"/>
          <w:kern w:val="0"/>
          <w:sz w:val="28"/>
          <w:szCs w:val="28"/>
          <w:lang w:val="en-US" w:eastAsia="zh-CN" w:bidi="ar-SA"/>
        </w:rPr>
      </w:pPr>
      <w:r>
        <w:rPr>
          <w:rFonts w:hint="eastAsia" w:ascii="新宋体" w:hAnsi="新宋体" w:eastAsia="新宋体" w:cs="新宋体"/>
          <w:b/>
          <w:color w:val="auto"/>
          <w:kern w:val="0"/>
          <w:sz w:val="28"/>
          <w:szCs w:val="28"/>
          <w:lang w:val="en-US" w:eastAsia="zh-CN" w:bidi="ar-SA"/>
        </w:rPr>
        <w:t xml:space="preserve">     （3）财务状况报告、依法缴纳税收证明材料、依法缴纳社会保障资金证明材料(新成立的公司，必须提供情况说明)</w:t>
      </w:r>
    </w:p>
    <w:p>
      <w:pPr>
        <w:spacing w:line="380" w:lineRule="exact"/>
        <w:rPr>
          <w:rFonts w:ascii="宋体" w:hAnsi="宋体"/>
          <w:b/>
          <w:color w:val="auto"/>
          <w:sz w:val="22"/>
          <w:szCs w:val="22"/>
        </w:rPr>
      </w:pPr>
      <w:r>
        <w:rPr>
          <w:rFonts w:hint="eastAsia" w:ascii="宋体" w:hAnsi="宋体"/>
          <w:b/>
          <w:color w:val="auto"/>
          <w:sz w:val="22"/>
          <w:szCs w:val="22"/>
        </w:rPr>
        <w:t>财务状况报告说明：</w:t>
      </w:r>
    </w:p>
    <w:p>
      <w:pPr>
        <w:spacing w:line="380" w:lineRule="exact"/>
        <w:rPr>
          <w:rFonts w:ascii="宋体" w:hAnsi="宋体"/>
          <w:b/>
          <w:color w:val="auto"/>
          <w:sz w:val="22"/>
          <w:szCs w:val="22"/>
        </w:rPr>
      </w:pPr>
      <w:r>
        <w:rPr>
          <w:rFonts w:hint="eastAsia" w:ascii="宋体" w:hAnsi="宋体"/>
          <w:b/>
          <w:color w:val="auto"/>
          <w:sz w:val="22"/>
          <w:szCs w:val="22"/>
        </w:rPr>
        <w:t>投标人财务状况报告允许采用财务报告、或资信证明、或投标担保函方式提供（可以选择其中一种）。</w:t>
      </w:r>
    </w:p>
    <w:p>
      <w:pPr>
        <w:spacing w:line="460" w:lineRule="exact"/>
        <w:rPr>
          <w:rFonts w:ascii="宋体" w:hAnsi="宋体" w:cs="Courier New"/>
          <w:b/>
          <w:color w:val="auto"/>
          <w:sz w:val="22"/>
          <w:szCs w:val="22"/>
        </w:rPr>
      </w:pPr>
      <w:r>
        <w:rPr>
          <w:rFonts w:hint="eastAsia" w:ascii="宋体" w:hAnsi="宋体" w:cs="Courier New"/>
          <w:b/>
          <w:color w:val="auto"/>
          <w:sz w:val="22"/>
          <w:szCs w:val="22"/>
        </w:rPr>
        <w:t>1、</w:t>
      </w:r>
      <w:r>
        <w:rPr>
          <w:rFonts w:ascii="宋体" w:hAnsi="宋体" w:cs="Courier New"/>
          <w:b/>
          <w:color w:val="auto"/>
          <w:sz w:val="22"/>
          <w:szCs w:val="22"/>
        </w:rPr>
        <w:t>投标人提供财务报告的</w:t>
      </w:r>
      <w:r>
        <w:rPr>
          <w:rFonts w:hint="eastAsia" w:ascii="宋体" w:hAnsi="宋体" w:cs="Courier New"/>
          <w:b/>
          <w:color w:val="auto"/>
          <w:sz w:val="22"/>
          <w:szCs w:val="22"/>
        </w:rPr>
        <w:t>，</w:t>
      </w:r>
      <w:r>
        <w:rPr>
          <w:rFonts w:ascii="宋体" w:hAnsi="宋体" w:cs="Courier New"/>
          <w:b/>
          <w:color w:val="auto"/>
          <w:sz w:val="22"/>
          <w:szCs w:val="22"/>
        </w:rPr>
        <w:t>应符合下列规定：</w:t>
      </w:r>
    </w:p>
    <w:p>
      <w:pPr>
        <w:spacing w:line="460" w:lineRule="exact"/>
        <w:rPr>
          <w:rFonts w:ascii="宋体" w:hAnsi="宋体" w:cs="Courier New"/>
          <w:color w:val="auto"/>
          <w:sz w:val="22"/>
          <w:szCs w:val="22"/>
        </w:rPr>
      </w:pPr>
      <w:r>
        <w:rPr>
          <w:rFonts w:ascii="宋体" w:hAnsi="宋体" w:cs="Courier New"/>
          <w:color w:val="auto"/>
          <w:sz w:val="22"/>
          <w:szCs w:val="22"/>
        </w:rPr>
        <w:t>1.1提供上一年度的年度财务报告</w:t>
      </w:r>
      <w:r>
        <w:rPr>
          <w:rFonts w:hint="eastAsia" w:ascii="宋体" w:hAnsi="宋体" w:cs="Courier New"/>
          <w:color w:val="auto"/>
          <w:sz w:val="22"/>
          <w:szCs w:val="22"/>
        </w:rPr>
        <w:t>或</w:t>
      </w:r>
      <w:r>
        <w:rPr>
          <w:rFonts w:ascii="宋体" w:hAnsi="宋体" w:cs="Courier New"/>
          <w:color w:val="auto"/>
          <w:sz w:val="22"/>
          <w:szCs w:val="22"/>
        </w:rPr>
        <w:t>该半年度中任一季度的季度财务报告或该半年度的半年度财务报告。</w:t>
      </w:r>
    </w:p>
    <w:p>
      <w:pPr>
        <w:spacing w:line="460" w:lineRule="exact"/>
        <w:rPr>
          <w:rFonts w:ascii="宋体" w:hAnsi="宋体" w:cs="Courier New"/>
          <w:color w:val="auto"/>
          <w:sz w:val="22"/>
          <w:szCs w:val="22"/>
        </w:rPr>
      </w:pPr>
      <w:r>
        <w:rPr>
          <w:rFonts w:ascii="宋体" w:hAnsi="宋体" w:cs="Courier New"/>
          <w:color w:val="auto"/>
          <w:sz w:val="22"/>
          <w:szCs w:val="22"/>
        </w:rPr>
        <w:t>1.</w:t>
      </w:r>
      <w:r>
        <w:rPr>
          <w:rFonts w:hint="eastAsia" w:ascii="宋体" w:hAnsi="宋体" w:cs="Courier New"/>
          <w:color w:val="auto"/>
          <w:sz w:val="22"/>
          <w:szCs w:val="22"/>
        </w:rPr>
        <w:t>2企业提供的财务报告复印件，包括资产负债表、利润表、现金流量表、所有者权益变动表（若有）及其附注（若有）。</w:t>
      </w:r>
    </w:p>
    <w:p>
      <w:pPr>
        <w:spacing w:line="460" w:lineRule="exact"/>
        <w:rPr>
          <w:rFonts w:ascii="宋体" w:hAnsi="宋体" w:cs="Courier New"/>
          <w:color w:val="auto"/>
          <w:sz w:val="22"/>
          <w:szCs w:val="22"/>
        </w:rPr>
      </w:pPr>
      <w:r>
        <w:rPr>
          <w:rFonts w:hint="eastAsia" w:ascii="宋体" w:hAnsi="宋体" w:cs="Courier New"/>
          <w:color w:val="auto"/>
          <w:sz w:val="22"/>
          <w:szCs w:val="22"/>
        </w:rPr>
        <w:t>1</w:t>
      </w:r>
      <w:r>
        <w:rPr>
          <w:rFonts w:ascii="宋体" w:hAnsi="宋体" w:cs="Courier New"/>
          <w:color w:val="auto"/>
          <w:sz w:val="22"/>
          <w:szCs w:val="22"/>
        </w:rPr>
        <w:t>.</w:t>
      </w:r>
      <w:r>
        <w:rPr>
          <w:rFonts w:hint="eastAsia" w:ascii="宋体" w:hAnsi="宋体" w:cs="Courier New"/>
          <w:color w:val="auto"/>
          <w:sz w:val="22"/>
          <w:szCs w:val="22"/>
        </w:rPr>
        <w:t>3事业单位提供的财务报告复印件，包括资产负债表、收入支出表（或收入费用表）、财政补助收入支出表（若有）。</w:t>
      </w:r>
    </w:p>
    <w:p>
      <w:pPr>
        <w:spacing w:line="460" w:lineRule="exact"/>
        <w:rPr>
          <w:rFonts w:ascii="宋体" w:hAnsi="宋体" w:cs="Courier New"/>
          <w:color w:val="auto"/>
          <w:sz w:val="22"/>
          <w:szCs w:val="22"/>
        </w:rPr>
      </w:pPr>
      <w:r>
        <w:rPr>
          <w:rFonts w:hint="eastAsia" w:ascii="宋体" w:hAnsi="宋体" w:cs="Courier New"/>
          <w:color w:val="auto"/>
          <w:sz w:val="22"/>
          <w:szCs w:val="22"/>
        </w:rPr>
        <w:t>1</w:t>
      </w:r>
      <w:r>
        <w:rPr>
          <w:rFonts w:ascii="宋体" w:hAnsi="宋体" w:cs="Courier New"/>
          <w:color w:val="auto"/>
          <w:sz w:val="22"/>
          <w:szCs w:val="22"/>
        </w:rPr>
        <w:t>.</w:t>
      </w:r>
      <w:r>
        <w:rPr>
          <w:rFonts w:hint="eastAsia" w:ascii="宋体" w:hAnsi="宋体" w:cs="Courier New"/>
          <w:color w:val="auto"/>
          <w:sz w:val="22"/>
          <w:szCs w:val="22"/>
        </w:rPr>
        <w:t>4社会团体提供的财务报告复印件，包括资产负债表、业务活动表、现金流量表。</w:t>
      </w:r>
    </w:p>
    <w:p>
      <w:pPr>
        <w:spacing w:line="460" w:lineRule="exact"/>
        <w:rPr>
          <w:rFonts w:ascii="宋体" w:hAnsi="宋体" w:cs="Courier New"/>
          <w:b/>
          <w:color w:val="auto"/>
          <w:sz w:val="22"/>
          <w:szCs w:val="22"/>
        </w:rPr>
      </w:pPr>
      <w:r>
        <w:rPr>
          <w:rFonts w:ascii="宋体" w:hAnsi="宋体" w:cs="Courier New"/>
          <w:b/>
          <w:color w:val="auto"/>
          <w:sz w:val="22"/>
          <w:szCs w:val="22"/>
        </w:rPr>
        <w:t>2</w:t>
      </w:r>
      <w:r>
        <w:rPr>
          <w:rFonts w:hint="eastAsia" w:ascii="宋体" w:hAnsi="宋体" w:cs="Courier New"/>
          <w:b/>
          <w:color w:val="auto"/>
          <w:sz w:val="22"/>
          <w:szCs w:val="22"/>
        </w:rPr>
        <w:t>、投标人提供资信证明的</w:t>
      </w:r>
    </w:p>
    <w:p>
      <w:pPr>
        <w:spacing w:line="460" w:lineRule="exact"/>
        <w:rPr>
          <w:rFonts w:ascii="宋体" w:hAnsi="宋体" w:cs="Courier New"/>
          <w:color w:val="auto"/>
          <w:sz w:val="22"/>
          <w:szCs w:val="22"/>
        </w:rPr>
      </w:pPr>
      <w:r>
        <w:rPr>
          <w:rFonts w:hint="eastAsia" w:ascii="宋体" w:hAnsi="宋体" w:cs="Courier New"/>
          <w:color w:val="auto"/>
          <w:sz w:val="22"/>
          <w:szCs w:val="22"/>
        </w:rPr>
        <w:t>2</w:t>
      </w:r>
      <w:r>
        <w:rPr>
          <w:rFonts w:ascii="宋体" w:hAnsi="宋体" w:cs="Courier New"/>
          <w:color w:val="auto"/>
          <w:sz w:val="22"/>
          <w:szCs w:val="22"/>
        </w:rPr>
        <w:t>.1</w:t>
      </w:r>
      <w:r>
        <w:rPr>
          <w:rFonts w:hint="eastAsia" w:ascii="宋体" w:hAnsi="宋体" w:cs="Courier New"/>
          <w:color w:val="auto"/>
          <w:sz w:val="22"/>
          <w:szCs w:val="22"/>
        </w:rPr>
        <w:t>非自然人适用（包括企业、事业单位、社会团体和其他组织）：提供投标人开户（基本存款账户）许可证复印件及开户银行出具的资信证明复印件。</w:t>
      </w:r>
    </w:p>
    <w:p>
      <w:pPr>
        <w:spacing w:line="460" w:lineRule="exact"/>
        <w:rPr>
          <w:rFonts w:ascii="宋体" w:hAnsi="宋体" w:cs="Courier New"/>
          <w:color w:val="auto"/>
          <w:sz w:val="22"/>
          <w:szCs w:val="22"/>
        </w:rPr>
      </w:pPr>
      <w:r>
        <w:rPr>
          <w:rFonts w:hint="eastAsia" w:ascii="宋体" w:hAnsi="宋体" w:cs="Courier New"/>
          <w:color w:val="auto"/>
          <w:sz w:val="22"/>
          <w:szCs w:val="22"/>
        </w:rPr>
        <w:t>2</w:t>
      </w:r>
      <w:r>
        <w:rPr>
          <w:rFonts w:ascii="宋体" w:hAnsi="宋体" w:cs="Courier New"/>
          <w:color w:val="auto"/>
          <w:sz w:val="22"/>
          <w:szCs w:val="22"/>
        </w:rPr>
        <w:t>.2</w:t>
      </w:r>
      <w:r>
        <w:rPr>
          <w:rFonts w:hint="eastAsia" w:ascii="宋体" w:hAnsi="宋体" w:cs="Courier New"/>
          <w:color w:val="auto"/>
          <w:sz w:val="22"/>
          <w:szCs w:val="22"/>
        </w:rPr>
        <w:t>自然人适用：提供个人账户的开户银行出具的资信证明复印件。</w:t>
      </w:r>
    </w:p>
    <w:p>
      <w:pPr>
        <w:spacing w:line="460" w:lineRule="exact"/>
        <w:rPr>
          <w:rFonts w:ascii="宋体" w:hAnsi="宋体" w:cs="Courier New"/>
          <w:b/>
          <w:color w:val="auto"/>
          <w:sz w:val="22"/>
          <w:szCs w:val="22"/>
        </w:rPr>
      </w:pPr>
      <w:r>
        <w:rPr>
          <w:rFonts w:hint="eastAsia" w:ascii="宋体" w:hAnsi="宋体" w:cs="Courier New"/>
          <w:b/>
          <w:color w:val="auto"/>
          <w:sz w:val="22"/>
          <w:szCs w:val="22"/>
        </w:rPr>
        <w:t>3、投标人提供投标担保函的</w:t>
      </w:r>
    </w:p>
    <w:p>
      <w:pPr>
        <w:spacing w:line="460" w:lineRule="exact"/>
        <w:rPr>
          <w:rFonts w:ascii="宋体" w:hAnsi="宋体" w:cs="Courier New"/>
          <w:color w:val="auto"/>
          <w:sz w:val="22"/>
          <w:szCs w:val="22"/>
        </w:rPr>
      </w:pPr>
      <w:r>
        <w:rPr>
          <w:rFonts w:hint="eastAsia" w:ascii="宋体" w:hAnsi="宋体" w:cs="Courier New"/>
          <w:color w:val="auto"/>
          <w:sz w:val="22"/>
          <w:szCs w:val="22"/>
        </w:rPr>
        <w:t>3</w:t>
      </w:r>
      <w:r>
        <w:rPr>
          <w:rFonts w:ascii="宋体" w:hAnsi="宋体" w:cs="Courier New"/>
          <w:color w:val="auto"/>
          <w:sz w:val="22"/>
          <w:szCs w:val="22"/>
        </w:rPr>
        <w:t>.1</w:t>
      </w:r>
      <w:r>
        <w:rPr>
          <w:rFonts w:hint="eastAsia" w:ascii="宋体" w:hAnsi="宋体" w:cs="Courier New"/>
          <w:color w:val="auto"/>
          <w:sz w:val="22"/>
          <w:szCs w:val="22"/>
        </w:rPr>
        <w:t>提供由财政部门认可的政府采购专业担保机构出具的投标担保函复印件。</w:t>
      </w:r>
    </w:p>
    <w:p>
      <w:pPr>
        <w:spacing w:line="460" w:lineRule="exact"/>
        <w:rPr>
          <w:rFonts w:ascii="宋体" w:hAnsi="宋体" w:cs="Courier New"/>
          <w:color w:val="auto"/>
          <w:sz w:val="22"/>
          <w:szCs w:val="22"/>
        </w:rPr>
      </w:pPr>
      <w:r>
        <w:rPr>
          <w:rFonts w:ascii="宋体" w:hAnsi="宋体" w:cs="Courier New"/>
          <w:color w:val="auto"/>
          <w:sz w:val="22"/>
          <w:szCs w:val="22"/>
        </w:rPr>
        <w:t>3.2“财政部门认可的政府采购专业担保机构”应符合《财政部关于开展政府采购信用担保试点工作方案》（财库[2012]124号）的规定。</w:t>
      </w:r>
    </w:p>
    <w:p>
      <w:pPr>
        <w:spacing w:line="460" w:lineRule="exact"/>
        <w:rPr>
          <w:rFonts w:ascii="宋体" w:hAnsi="宋体" w:cs="Courier New"/>
          <w:color w:val="auto"/>
          <w:sz w:val="22"/>
          <w:szCs w:val="22"/>
        </w:rPr>
      </w:pPr>
      <w:r>
        <w:rPr>
          <w:rFonts w:hint="eastAsia" w:ascii="宋体" w:hAnsi="宋体" w:cs="Courier New"/>
          <w:color w:val="auto"/>
          <w:sz w:val="22"/>
          <w:szCs w:val="22"/>
        </w:rPr>
        <w:t>3.3投标担保函担保金额不得少于本项目采购预算。</w:t>
      </w:r>
    </w:p>
    <w:p>
      <w:pPr>
        <w:spacing w:line="380" w:lineRule="exact"/>
        <w:rPr>
          <w:rFonts w:ascii="宋体" w:hAnsi="宋体"/>
          <w:color w:val="auto"/>
          <w:sz w:val="22"/>
          <w:szCs w:val="22"/>
        </w:rPr>
      </w:pPr>
      <w:r>
        <w:rPr>
          <w:rFonts w:hint="eastAsia" w:ascii="宋体" w:hAnsi="宋体"/>
          <w:b/>
          <w:bCs/>
          <w:color w:val="auto"/>
          <w:sz w:val="22"/>
          <w:szCs w:val="22"/>
        </w:rPr>
        <w:t>依法缴纳税收证明材料说明：</w:t>
      </w:r>
    </w:p>
    <w:p>
      <w:pPr>
        <w:spacing w:line="460" w:lineRule="exact"/>
        <w:rPr>
          <w:rFonts w:ascii="宋体" w:hAnsi="宋体" w:cs="Courier New"/>
          <w:color w:val="auto"/>
          <w:sz w:val="22"/>
          <w:szCs w:val="22"/>
        </w:rPr>
      </w:pPr>
      <w:r>
        <w:rPr>
          <w:rFonts w:hint="eastAsia" w:ascii="宋体" w:hAnsi="宋体" w:cs="Courier New"/>
          <w:color w:val="auto"/>
          <w:sz w:val="22"/>
          <w:szCs w:val="22"/>
        </w:rPr>
        <w:t>1.</w:t>
      </w:r>
      <w:r>
        <w:rPr>
          <w:rFonts w:ascii="宋体" w:hAnsi="宋体" w:cs="Courier New"/>
          <w:color w:val="auto"/>
          <w:sz w:val="22"/>
          <w:szCs w:val="22"/>
        </w:rPr>
        <w:t>依法缴纳税收的投标人，提供投标截止时间前六个月（按照投标截止时间推算）中任一月份的</w:t>
      </w:r>
      <w:r>
        <w:rPr>
          <w:rFonts w:hint="eastAsia" w:ascii="宋体" w:hAnsi="宋体" w:cs="Courier New"/>
          <w:color w:val="auto"/>
          <w:sz w:val="22"/>
          <w:szCs w:val="22"/>
        </w:rPr>
        <w:t>依法缴纳税收的证明材料（完税证明或纳税证明或银行电子缴税付款凭证等）；</w:t>
      </w:r>
    </w:p>
    <w:p>
      <w:pPr>
        <w:spacing w:line="460" w:lineRule="exact"/>
        <w:rPr>
          <w:rFonts w:ascii="宋体" w:hAnsi="宋体" w:cs="Courier New"/>
          <w:color w:val="auto"/>
          <w:sz w:val="22"/>
          <w:szCs w:val="22"/>
        </w:rPr>
      </w:pPr>
      <w:r>
        <w:rPr>
          <w:rFonts w:hint="eastAsia" w:ascii="宋体" w:hAnsi="宋体" w:cs="Courier New"/>
          <w:color w:val="auto"/>
          <w:sz w:val="22"/>
          <w:szCs w:val="22"/>
        </w:rPr>
        <w:t>2.依法免税的投标人，应提供相应文件证明其依法免税；</w:t>
      </w:r>
    </w:p>
    <w:p>
      <w:pPr>
        <w:spacing w:line="380" w:lineRule="exact"/>
        <w:rPr>
          <w:rFonts w:ascii="宋体" w:hAnsi="宋体"/>
          <w:color w:val="auto"/>
          <w:sz w:val="22"/>
          <w:szCs w:val="22"/>
        </w:rPr>
      </w:pPr>
      <w:r>
        <w:rPr>
          <w:rFonts w:hint="eastAsia" w:ascii="宋体" w:hAnsi="宋体" w:cs="Courier New"/>
          <w:color w:val="auto"/>
          <w:sz w:val="22"/>
          <w:szCs w:val="22"/>
        </w:rPr>
        <w:t>3.投标人因新注册成立等原因无法提供相关材料的，应在投标文件中提交如实的情况说明。</w:t>
      </w:r>
    </w:p>
    <w:p>
      <w:pPr>
        <w:spacing w:line="380" w:lineRule="exact"/>
        <w:rPr>
          <w:rFonts w:ascii="宋体" w:hAnsi="宋体"/>
          <w:b/>
          <w:color w:val="auto"/>
          <w:sz w:val="22"/>
          <w:szCs w:val="22"/>
        </w:rPr>
      </w:pPr>
      <w:r>
        <w:rPr>
          <w:rFonts w:hint="eastAsia" w:ascii="宋体" w:hAnsi="宋体"/>
          <w:b/>
          <w:bCs/>
          <w:color w:val="auto"/>
          <w:sz w:val="22"/>
          <w:szCs w:val="22"/>
        </w:rPr>
        <w:t>依法缴纳社会保障资金证明材料说明：</w:t>
      </w:r>
    </w:p>
    <w:p>
      <w:pPr>
        <w:spacing w:line="460" w:lineRule="exact"/>
        <w:rPr>
          <w:rFonts w:ascii="宋体" w:hAnsi="宋体" w:cs="Courier New"/>
          <w:color w:val="auto"/>
          <w:sz w:val="22"/>
          <w:szCs w:val="22"/>
        </w:rPr>
      </w:pPr>
      <w:r>
        <w:rPr>
          <w:rFonts w:hint="eastAsia" w:ascii="宋体" w:hAnsi="宋体" w:cs="Courier New"/>
          <w:color w:val="auto"/>
          <w:sz w:val="22"/>
          <w:szCs w:val="22"/>
        </w:rPr>
        <w:t>1.</w:t>
      </w:r>
      <w:r>
        <w:rPr>
          <w:rFonts w:ascii="宋体" w:hAnsi="宋体" w:cs="Courier New"/>
          <w:color w:val="auto"/>
          <w:sz w:val="22"/>
          <w:szCs w:val="22"/>
        </w:rPr>
        <w:t>依法缴纳社会保障资金的投标人，提供投标截止时间前六个月（按照投标截止时间推算）中任一月份的依法缴纳社会保障资金</w:t>
      </w:r>
      <w:r>
        <w:rPr>
          <w:rFonts w:hint="eastAsia" w:ascii="宋体" w:hAnsi="宋体" w:cs="Courier New"/>
          <w:color w:val="auto"/>
          <w:sz w:val="22"/>
          <w:szCs w:val="22"/>
        </w:rPr>
        <w:t>的证明材料（社保缴费专用收据或银行电子缴税付款凭证或社会保险缴纳清单等）；</w:t>
      </w:r>
    </w:p>
    <w:p>
      <w:pPr>
        <w:spacing w:line="460" w:lineRule="exact"/>
        <w:rPr>
          <w:rFonts w:ascii="宋体" w:hAnsi="宋体" w:cs="Courier New"/>
          <w:color w:val="auto"/>
          <w:sz w:val="22"/>
          <w:szCs w:val="22"/>
        </w:rPr>
      </w:pPr>
      <w:r>
        <w:rPr>
          <w:rFonts w:hint="eastAsia" w:ascii="宋体" w:hAnsi="宋体" w:cs="Courier New"/>
          <w:color w:val="auto"/>
          <w:sz w:val="22"/>
          <w:szCs w:val="22"/>
        </w:rPr>
        <w:t>2.依法不需要</w:t>
      </w:r>
      <w:r>
        <w:rPr>
          <w:rFonts w:ascii="宋体" w:hAnsi="宋体" w:cs="Courier New"/>
          <w:color w:val="auto"/>
          <w:sz w:val="22"/>
          <w:szCs w:val="22"/>
        </w:rPr>
        <w:t>依法缴纳社会保障资金</w:t>
      </w:r>
      <w:r>
        <w:rPr>
          <w:rFonts w:hint="eastAsia" w:ascii="宋体" w:hAnsi="宋体" w:cs="Courier New"/>
          <w:color w:val="auto"/>
          <w:sz w:val="22"/>
          <w:szCs w:val="22"/>
        </w:rPr>
        <w:t>的投标人，应提供相应文件证明其依法免税；</w:t>
      </w:r>
    </w:p>
    <w:p>
      <w:pPr>
        <w:spacing w:line="380" w:lineRule="exact"/>
        <w:rPr>
          <w:rFonts w:ascii="宋体" w:hAnsi="宋体"/>
          <w:color w:val="auto"/>
          <w:sz w:val="22"/>
          <w:szCs w:val="22"/>
        </w:rPr>
      </w:pPr>
      <w:r>
        <w:rPr>
          <w:rFonts w:hint="eastAsia" w:ascii="宋体" w:hAnsi="宋体" w:cs="Courier New"/>
          <w:color w:val="auto"/>
          <w:sz w:val="22"/>
          <w:szCs w:val="22"/>
        </w:rPr>
        <w:t>3.投标人因新注册成立等原因无法提供相关材料的，应在投标文件中提交如实的情况说明。</w:t>
      </w:r>
    </w:p>
    <w:p>
      <w:pPr>
        <w:pStyle w:val="31"/>
        <w:adjustRightInd w:val="0"/>
        <w:snapToGrid w:val="0"/>
        <w:spacing w:line="360" w:lineRule="exact"/>
        <w:jc w:val="center"/>
        <w:rPr>
          <w:rFonts w:hint="eastAsia"/>
          <w:color w:val="auto"/>
        </w:rPr>
      </w:pPr>
    </w:p>
    <w:p>
      <w:pPr>
        <w:pStyle w:val="31"/>
        <w:adjustRightInd w:val="0"/>
        <w:snapToGrid w:val="0"/>
        <w:spacing w:line="360" w:lineRule="exact"/>
        <w:jc w:val="center"/>
        <w:rPr>
          <w:rFonts w:hint="eastAsia" w:hAnsi="宋体"/>
          <w:b/>
          <w:color w:val="auto"/>
          <w:sz w:val="32"/>
          <w:lang w:val="zh-CN"/>
        </w:rPr>
      </w:pPr>
      <w:r>
        <w:rPr>
          <w:rFonts w:hint="eastAsia"/>
          <w:color w:val="auto"/>
        </w:rPr>
        <w:br w:type="page"/>
      </w:r>
      <w:r>
        <w:rPr>
          <w:rFonts w:hint="eastAsia" w:ascii="新宋体" w:hAnsi="新宋体" w:eastAsia="新宋体" w:cs="新宋体"/>
          <w:b/>
          <w:color w:val="auto"/>
          <w:kern w:val="0"/>
          <w:sz w:val="28"/>
          <w:szCs w:val="28"/>
          <w:lang w:val="en-US" w:eastAsia="zh-CN" w:bidi="ar-SA"/>
        </w:rPr>
        <w:t>（4）</w:t>
      </w:r>
      <w:r>
        <w:rPr>
          <w:rFonts w:hint="eastAsia" w:ascii="新宋体" w:hAnsi="新宋体" w:eastAsia="新宋体" w:cs="新宋体"/>
          <w:b/>
          <w:color w:val="auto"/>
          <w:kern w:val="0"/>
          <w:sz w:val="28"/>
          <w:szCs w:val="28"/>
          <w:lang w:val="zh-CN" w:eastAsia="zh-CN" w:bidi="ar-SA"/>
        </w:rPr>
        <w:t>供应商参与政府采购活动投标资格声明函</w:t>
      </w:r>
    </w:p>
    <w:tbl>
      <w:tblPr>
        <w:tblStyle w:val="5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31"/>
              <w:adjustRightInd w:val="0"/>
              <w:snapToGrid w:val="0"/>
              <w:spacing w:line="400" w:lineRule="exact"/>
              <w:rPr>
                <w:rFonts w:hint="eastAsia" w:ascii="新宋体" w:hAnsi="新宋体" w:eastAsia="新宋体" w:cs="新宋体"/>
                <w:b w:val="0"/>
                <w:bCs w:val="0"/>
                <w:color w:val="auto"/>
                <w:sz w:val="22"/>
                <w:szCs w:val="22"/>
              </w:rPr>
            </w:pPr>
            <w:r>
              <w:rPr>
                <w:rFonts w:hint="eastAsia" w:ascii="新宋体" w:hAnsi="新宋体" w:eastAsia="新宋体" w:cs="新宋体"/>
                <w:b w:val="0"/>
                <w:bCs w:val="0"/>
                <w:color w:val="auto"/>
                <w:sz w:val="22"/>
                <w:szCs w:val="22"/>
              </w:rPr>
              <w:t>项目名称</w:t>
            </w:r>
          </w:p>
        </w:tc>
        <w:tc>
          <w:tcPr>
            <w:tcW w:w="7992" w:type="dxa"/>
            <w:noWrap w:val="0"/>
            <w:vAlign w:val="top"/>
          </w:tcPr>
          <w:p>
            <w:pPr>
              <w:pStyle w:val="31"/>
              <w:adjustRightInd w:val="0"/>
              <w:snapToGrid w:val="0"/>
              <w:spacing w:line="400" w:lineRule="exact"/>
              <w:ind w:left="422" w:firstLine="331"/>
              <w:rPr>
                <w:rFonts w:hint="eastAsia" w:ascii="新宋体" w:hAnsi="新宋体" w:eastAsia="新宋体" w:cs="新宋体"/>
                <w:b w:val="0"/>
                <w:bCs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31"/>
              <w:adjustRightInd w:val="0"/>
              <w:snapToGrid w:val="0"/>
              <w:spacing w:line="400" w:lineRule="exact"/>
              <w:rPr>
                <w:rFonts w:hint="eastAsia" w:ascii="新宋体" w:hAnsi="新宋体" w:eastAsia="新宋体" w:cs="新宋体"/>
                <w:b w:val="0"/>
                <w:bCs w:val="0"/>
                <w:color w:val="auto"/>
                <w:sz w:val="22"/>
                <w:szCs w:val="22"/>
              </w:rPr>
            </w:pPr>
            <w:r>
              <w:rPr>
                <w:rFonts w:hint="eastAsia" w:ascii="新宋体" w:hAnsi="新宋体" w:eastAsia="新宋体" w:cs="新宋体"/>
                <w:b w:val="0"/>
                <w:bCs w:val="0"/>
                <w:color w:val="auto"/>
                <w:sz w:val="22"/>
                <w:szCs w:val="22"/>
              </w:rPr>
              <w:t>项目采购编号</w:t>
            </w:r>
          </w:p>
        </w:tc>
        <w:tc>
          <w:tcPr>
            <w:tcW w:w="7992" w:type="dxa"/>
            <w:noWrap w:val="0"/>
            <w:vAlign w:val="top"/>
          </w:tcPr>
          <w:p>
            <w:pPr>
              <w:pStyle w:val="31"/>
              <w:adjustRightInd w:val="0"/>
              <w:snapToGrid w:val="0"/>
              <w:spacing w:line="400" w:lineRule="exact"/>
              <w:ind w:left="422" w:firstLine="361"/>
              <w:rPr>
                <w:rFonts w:hint="eastAsia" w:ascii="新宋体" w:hAnsi="新宋体" w:eastAsia="新宋体" w:cs="新宋体"/>
                <w:b w:val="0"/>
                <w:bCs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31"/>
              <w:adjustRightInd w:val="0"/>
              <w:snapToGrid w:val="0"/>
              <w:spacing w:line="400" w:lineRule="exact"/>
              <w:rPr>
                <w:rFonts w:hint="eastAsia" w:ascii="新宋体" w:hAnsi="新宋体" w:eastAsia="新宋体" w:cs="新宋体"/>
                <w:b w:val="0"/>
                <w:bCs w:val="0"/>
                <w:color w:val="auto"/>
                <w:sz w:val="22"/>
                <w:szCs w:val="22"/>
              </w:rPr>
            </w:pPr>
            <w:r>
              <w:rPr>
                <w:rFonts w:hint="eastAsia" w:ascii="新宋体" w:hAnsi="新宋体" w:eastAsia="新宋体" w:cs="新宋体"/>
                <w:b w:val="0"/>
                <w:bCs w:val="0"/>
                <w:color w:val="auto"/>
                <w:sz w:val="22"/>
                <w:szCs w:val="22"/>
              </w:rPr>
              <w:t>时    间</w:t>
            </w:r>
          </w:p>
        </w:tc>
        <w:tc>
          <w:tcPr>
            <w:tcW w:w="7992" w:type="dxa"/>
            <w:noWrap w:val="0"/>
            <w:vAlign w:val="top"/>
          </w:tcPr>
          <w:p>
            <w:pPr>
              <w:adjustRightInd w:val="0"/>
              <w:snapToGrid w:val="0"/>
              <w:spacing w:line="440" w:lineRule="exact"/>
              <w:rPr>
                <w:rFonts w:hint="eastAsia" w:ascii="新宋体" w:hAnsi="新宋体" w:eastAsia="新宋体" w:cs="新宋体"/>
                <w:b w:val="0"/>
                <w:bCs w:val="0"/>
                <w:color w:val="auto"/>
                <w:sz w:val="22"/>
                <w:szCs w:val="22"/>
              </w:rPr>
            </w:pPr>
            <w:r>
              <w:rPr>
                <w:rFonts w:hint="eastAsia" w:ascii="新宋体" w:hAnsi="新宋体" w:eastAsia="新宋体" w:cs="新宋体"/>
                <w:b w:val="0"/>
                <w:bCs w:val="0"/>
                <w:color w:val="auto"/>
                <w:sz w:val="22"/>
                <w:szCs w:val="22"/>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31"/>
              <w:adjustRightInd w:val="0"/>
              <w:snapToGrid w:val="0"/>
              <w:spacing w:line="400" w:lineRule="exact"/>
              <w:ind w:firstLine="450"/>
              <w:rPr>
                <w:rFonts w:hint="eastAsia" w:ascii="新宋体" w:hAnsi="新宋体" w:eastAsia="新宋体" w:cs="新宋体"/>
                <w:b w:val="0"/>
                <w:bCs w:val="0"/>
                <w:color w:val="auto"/>
                <w:sz w:val="20"/>
                <w:szCs w:val="20"/>
              </w:rPr>
            </w:pPr>
            <w:r>
              <w:rPr>
                <w:rFonts w:hint="eastAsia" w:ascii="新宋体" w:hAnsi="新宋体" w:eastAsia="新宋体" w:cs="新宋体"/>
                <w:b w:val="0"/>
                <w:bCs w:val="0"/>
                <w:color w:val="auto"/>
                <w:sz w:val="20"/>
                <w:szCs w:val="20"/>
              </w:rPr>
              <w:t>1、根据政府采购法第二十二条规定，我单位满足以下条件，并已经在技术资信部分投标文件中提供了相应的证明材料：</w:t>
            </w:r>
          </w:p>
          <w:p>
            <w:pPr>
              <w:pStyle w:val="31"/>
              <w:adjustRightInd w:val="0"/>
              <w:snapToGrid w:val="0"/>
              <w:spacing w:line="400" w:lineRule="exact"/>
              <w:ind w:firstLine="400" w:firstLineChars="200"/>
              <w:rPr>
                <w:rFonts w:hint="eastAsia" w:ascii="新宋体" w:hAnsi="新宋体" w:eastAsia="新宋体" w:cs="新宋体"/>
                <w:b w:val="0"/>
                <w:bCs w:val="0"/>
                <w:color w:val="auto"/>
                <w:sz w:val="20"/>
                <w:szCs w:val="20"/>
              </w:rPr>
            </w:pPr>
            <w:r>
              <w:rPr>
                <w:rFonts w:hint="eastAsia" w:ascii="新宋体" w:hAnsi="新宋体" w:eastAsia="新宋体" w:cs="新宋体"/>
                <w:b w:val="0"/>
                <w:bCs w:val="0"/>
                <w:color w:val="auto"/>
                <w:sz w:val="20"/>
                <w:szCs w:val="20"/>
              </w:rPr>
              <w:t xml:space="preserve">（一）具有独立承担民事责任的能力； </w:t>
            </w:r>
            <w:r>
              <w:rPr>
                <w:rFonts w:hint="eastAsia" w:ascii="新宋体" w:hAnsi="新宋体" w:eastAsia="新宋体" w:cs="新宋体"/>
                <w:b w:val="0"/>
                <w:bCs w:val="0"/>
                <w:color w:val="auto"/>
                <w:sz w:val="20"/>
                <w:szCs w:val="20"/>
              </w:rPr>
              <w:br w:type="textWrapping"/>
            </w:r>
            <w:r>
              <w:rPr>
                <w:rFonts w:hint="eastAsia" w:ascii="新宋体" w:hAnsi="新宋体" w:eastAsia="新宋体" w:cs="新宋体"/>
                <w:b w:val="0"/>
                <w:bCs w:val="0"/>
                <w:color w:val="auto"/>
                <w:sz w:val="20"/>
                <w:szCs w:val="20"/>
              </w:rPr>
              <w:t xml:space="preserve">　　（二）具有良好的商业信誉和健全的财务会计制度； </w:t>
            </w:r>
            <w:r>
              <w:rPr>
                <w:rFonts w:hint="eastAsia" w:ascii="新宋体" w:hAnsi="新宋体" w:eastAsia="新宋体" w:cs="新宋体"/>
                <w:b w:val="0"/>
                <w:bCs w:val="0"/>
                <w:color w:val="auto"/>
                <w:sz w:val="20"/>
                <w:szCs w:val="20"/>
              </w:rPr>
              <w:br w:type="textWrapping"/>
            </w:r>
            <w:r>
              <w:rPr>
                <w:rFonts w:hint="eastAsia" w:ascii="新宋体" w:hAnsi="新宋体" w:eastAsia="新宋体" w:cs="新宋体"/>
                <w:b w:val="0"/>
                <w:bCs w:val="0"/>
                <w:color w:val="auto"/>
                <w:sz w:val="20"/>
                <w:szCs w:val="20"/>
              </w:rPr>
              <w:t xml:space="preserve">　　（三）具有履行合同所必需的设备和专业技术能力； </w:t>
            </w:r>
            <w:r>
              <w:rPr>
                <w:rFonts w:hint="eastAsia" w:ascii="新宋体" w:hAnsi="新宋体" w:eastAsia="新宋体" w:cs="新宋体"/>
                <w:b w:val="0"/>
                <w:bCs w:val="0"/>
                <w:color w:val="auto"/>
                <w:sz w:val="20"/>
                <w:szCs w:val="20"/>
              </w:rPr>
              <w:br w:type="textWrapping"/>
            </w:r>
            <w:r>
              <w:rPr>
                <w:rFonts w:hint="eastAsia" w:ascii="新宋体" w:hAnsi="新宋体" w:eastAsia="新宋体" w:cs="新宋体"/>
                <w:b w:val="0"/>
                <w:bCs w:val="0"/>
                <w:color w:val="auto"/>
                <w:sz w:val="20"/>
                <w:szCs w:val="20"/>
              </w:rPr>
              <w:t xml:space="preserve">　　（四）有依法缴纳税收和社会保障资金的良好记录； </w:t>
            </w:r>
            <w:r>
              <w:rPr>
                <w:rFonts w:hint="eastAsia" w:ascii="新宋体" w:hAnsi="新宋体" w:eastAsia="新宋体" w:cs="新宋体"/>
                <w:b w:val="0"/>
                <w:bCs w:val="0"/>
                <w:color w:val="auto"/>
                <w:sz w:val="20"/>
                <w:szCs w:val="20"/>
              </w:rPr>
              <w:br w:type="textWrapping"/>
            </w:r>
            <w:r>
              <w:rPr>
                <w:rFonts w:hint="eastAsia" w:ascii="新宋体" w:hAnsi="新宋体" w:eastAsia="新宋体" w:cs="新宋体"/>
                <w:b w:val="0"/>
                <w:bCs w:val="0"/>
                <w:color w:val="auto"/>
                <w:sz w:val="20"/>
                <w:szCs w:val="20"/>
              </w:rPr>
              <w:t xml:space="preserve">　　（五）参加政府采购活动前三年内，在经营活动中没有重大违法记录； </w:t>
            </w:r>
            <w:r>
              <w:rPr>
                <w:rFonts w:hint="eastAsia" w:ascii="新宋体" w:hAnsi="新宋体" w:eastAsia="新宋体" w:cs="新宋体"/>
                <w:b w:val="0"/>
                <w:bCs w:val="0"/>
                <w:color w:val="auto"/>
                <w:sz w:val="20"/>
                <w:szCs w:val="20"/>
              </w:rPr>
              <w:br w:type="textWrapping"/>
            </w:r>
            <w:r>
              <w:rPr>
                <w:rFonts w:hint="eastAsia" w:ascii="新宋体" w:hAnsi="新宋体" w:eastAsia="新宋体" w:cs="新宋体"/>
                <w:b w:val="0"/>
                <w:bCs w:val="0"/>
                <w:color w:val="auto"/>
                <w:sz w:val="20"/>
                <w:szCs w:val="20"/>
              </w:rPr>
              <w:t xml:space="preserve">　　（六）法律、行政法规规定的其他条件。 </w:t>
            </w:r>
          </w:p>
          <w:p>
            <w:pPr>
              <w:pStyle w:val="31"/>
              <w:adjustRightInd w:val="0"/>
              <w:snapToGrid w:val="0"/>
              <w:spacing w:line="400" w:lineRule="exact"/>
              <w:ind w:firstLine="450"/>
              <w:rPr>
                <w:rFonts w:hint="eastAsia" w:ascii="新宋体" w:hAnsi="新宋体" w:eastAsia="新宋体" w:cs="新宋体"/>
                <w:b w:val="0"/>
                <w:bCs w:val="0"/>
                <w:color w:val="auto"/>
                <w:sz w:val="20"/>
                <w:szCs w:val="20"/>
              </w:rPr>
            </w:pPr>
            <w:r>
              <w:rPr>
                <w:rFonts w:hint="eastAsia" w:ascii="新宋体" w:hAnsi="新宋体" w:eastAsia="新宋体" w:cs="新宋体"/>
                <w:b w:val="0"/>
                <w:bCs w:val="0"/>
                <w:color w:val="auto"/>
                <w:sz w:val="20"/>
                <w:szCs w:val="20"/>
              </w:rPr>
              <w:t>2、根据财政部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w:t>
            </w:r>
          </w:p>
          <w:p>
            <w:pPr>
              <w:pStyle w:val="31"/>
              <w:adjustRightInd w:val="0"/>
              <w:snapToGrid w:val="0"/>
              <w:spacing w:line="400" w:lineRule="exact"/>
              <w:ind w:firstLine="450"/>
              <w:rPr>
                <w:rFonts w:hint="eastAsia" w:ascii="新宋体" w:hAnsi="新宋体" w:eastAsia="新宋体" w:cs="新宋体"/>
                <w:b w:val="0"/>
                <w:bCs w:val="0"/>
                <w:color w:val="auto"/>
                <w:sz w:val="20"/>
                <w:szCs w:val="20"/>
              </w:rPr>
            </w:pPr>
            <w:r>
              <w:rPr>
                <w:rFonts w:hint="eastAsia" w:ascii="新宋体" w:hAnsi="新宋体" w:eastAsia="新宋体" w:cs="新宋体"/>
                <w:b w:val="0"/>
                <w:bCs w:val="0"/>
                <w:color w:val="auto"/>
                <w:sz w:val="20"/>
                <w:szCs w:val="20"/>
              </w:rPr>
              <w:t>3、我单位没有被各地、各级财政部门限制参加政府采购活动或曾被各地、各级财政部门限制参加政府采购活动但已不在限制期内。</w:t>
            </w:r>
          </w:p>
          <w:p>
            <w:pPr>
              <w:pStyle w:val="31"/>
              <w:adjustRightInd w:val="0"/>
              <w:snapToGrid w:val="0"/>
              <w:spacing w:line="410" w:lineRule="atLeast"/>
              <w:ind w:firstLine="450"/>
              <w:rPr>
                <w:rFonts w:hint="eastAsia" w:ascii="新宋体" w:hAnsi="新宋体" w:eastAsia="新宋体" w:cs="新宋体"/>
                <w:b w:val="0"/>
                <w:bCs w:val="0"/>
                <w:color w:val="auto"/>
                <w:sz w:val="20"/>
                <w:szCs w:val="20"/>
              </w:rPr>
            </w:pPr>
            <w:r>
              <w:rPr>
                <w:rFonts w:hint="eastAsia" w:ascii="新宋体" w:hAnsi="新宋体" w:eastAsia="新宋体" w:cs="新宋体"/>
                <w:b w:val="0"/>
                <w:bCs w:val="0"/>
                <w:color w:val="auto"/>
                <w:sz w:val="20"/>
                <w:szCs w:val="20"/>
              </w:rPr>
              <w:t>4、我单位、法人代表及本次拟派的项目负责人近三年来无行贿犯罪记录；</w:t>
            </w:r>
          </w:p>
          <w:p>
            <w:pPr>
              <w:tabs>
                <w:tab w:val="center" w:pos="4483"/>
              </w:tabs>
              <w:adjustRightInd w:val="0"/>
              <w:spacing w:line="360" w:lineRule="auto"/>
              <w:ind w:firstLine="455" w:firstLineChars="228"/>
              <w:rPr>
                <w:rFonts w:hint="eastAsia" w:ascii="新宋体" w:hAnsi="新宋体" w:eastAsia="新宋体" w:cs="新宋体"/>
                <w:b w:val="0"/>
                <w:bCs w:val="0"/>
                <w:color w:val="auto"/>
                <w:sz w:val="20"/>
                <w:szCs w:val="20"/>
              </w:rPr>
            </w:pPr>
            <w:r>
              <w:rPr>
                <w:rFonts w:hint="eastAsia" w:ascii="新宋体" w:hAnsi="新宋体" w:eastAsia="新宋体" w:cs="新宋体"/>
                <w:b w:val="0"/>
                <w:bCs w:val="0"/>
                <w:color w:val="auto"/>
                <w:sz w:val="20"/>
                <w:szCs w:val="20"/>
              </w:rPr>
              <w:t>5、我单位参与本项目政府采购活动3年内其它重大违法记录（重大违法记录，是指供应商因违法经营受到刑事处罚或者责令停产停业、吊销许可证或者执照、较大数额罚款等行政处罚）情况声明：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hint="eastAsia" w:ascii="新宋体" w:hAnsi="新宋体" w:eastAsia="新宋体" w:cs="新宋体"/>
                <w:b w:val="0"/>
                <w:bCs w:val="0"/>
                <w:color w:val="auto"/>
                <w:sz w:val="20"/>
                <w:szCs w:val="20"/>
                <w:u w:val="single"/>
              </w:rPr>
            </w:pPr>
            <w:r>
              <w:rPr>
                <w:rFonts w:hint="eastAsia" w:ascii="新宋体" w:hAnsi="新宋体" w:eastAsia="新宋体" w:cs="新宋体"/>
                <w:b w:val="0"/>
                <w:bCs w:val="0"/>
                <w:color w:val="auto"/>
                <w:sz w:val="20"/>
                <w:szCs w:val="20"/>
                <w:u w:val="single"/>
              </w:rPr>
              <w:t xml:space="preserve">                                                                               </w:t>
            </w:r>
          </w:p>
          <w:p>
            <w:pPr>
              <w:tabs>
                <w:tab w:val="center" w:pos="4483"/>
              </w:tabs>
              <w:adjustRightInd w:val="0"/>
              <w:spacing w:line="360" w:lineRule="auto"/>
              <w:ind w:firstLine="459"/>
              <w:rPr>
                <w:rFonts w:hint="eastAsia" w:ascii="新宋体" w:hAnsi="新宋体" w:eastAsia="新宋体" w:cs="新宋体"/>
                <w:b w:val="0"/>
                <w:bCs w:val="0"/>
                <w:color w:val="auto"/>
                <w:sz w:val="20"/>
                <w:szCs w:val="20"/>
              </w:rPr>
            </w:pPr>
            <w:r>
              <w:rPr>
                <w:rFonts w:hint="eastAsia" w:ascii="新宋体" w:hAnsi="新宋体" w:eastAsia="新宋体" w:cs="新宋体"/>
                <w:b w:val="0"/>
                <w:bCs w:val="0"/>
                <w:color w:val="auto"/>
                <w:sz w:val="20"/>
                <w:szCs w:val="20"/>
                <w:u w:val="single"/>
              </w:rPr>
              <w:t>6、我单位符合本项目特定资格条件：                         的要求，并在</w:t>
            </w:r>
            <w:r>
              <w:rPr>
                <w:rFonts w:hint="eastAsia" w:ascii="新宋体" w:hAnsi="新宋体" w:eastAsia="新宋体" w:cs="新宋体"/>
                <w:b w:val="0"/>
                <w:bCs w:val="0"/>
                <w:color w:val="auto"/>
                <w:sz w:val="20"/>
                <w:szCs w:val="20"/>
              </w:rPr>
              <w:t>技术资信部分投标文件中提供了相应的证明材料</w:t>
            </w:r>
            <w:r>
              <w:rPr>
                <w:rFonts w:hint="eastAsia" w:ascii="新宋体" w:hAnsi="新宋体" w:eastAsia="新宋体" w:cs="新宋体"/>
                <w:b w:val="0"/>
                <w:bCs w:val="0"/>
                <w:color w:val="auto"/>
                <w:sz w:val="20"/>
                <w:szCs w:val="20"/>
                <w:u w:val="single"/>
              </w:rPr>
              <w:t>（招标文件没有要求特定资格条件的，本条款空格处可以空白）</w:t>
            </w:r>
          </w:p>
          <w:p>
            <w:pPr>
              <w:tabs>
                <w:tab w:val="center" w:pos="4483"/>
              </w:tabs>
              <w:adjustRightInd w:val="0"/>
              <w:spacing w:line="360" w:lineRule="auto"/>
              <w:ind w:firstLine="400" w:firstLineChars="200"/>
              <w:rPr>
                <w:rFonts w:hint="eastAsia" w:ascii="新宋体" w:hAnsi="新宋体" w:eastAsia="新宋体" w:cs="新宋体"/>
                <w:b w:val="0"/>
                <w:bCs w:val="0"/>
                <w:color w:val="auto"/>
                <w:sz w:val="22"/>
                <w:szCs w:val="22"/>
              </w:rPr>
            </w:pPr>
            <w:r>
              <w:rPr>
                <w:rFonts w:hint="eastAsia" w:ascii="新宋体" w:hAnsi="新宋体" w:eastAsia="新宋体" w:cs="新宋体"/>
                <w:b w:val="0"/>
                <w:bCs w:val="0"/>
                <w:color w:val="auto"/>
                <w:sz w:val="20"/>
                <w:szCs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31"/>
              <w:adjustRightInd w:val="0"/>
              <w:snapToGrid w:val="0"/>
              <w:spacing w:line="400" w:lineRule="exact"/>
              <w:ind w:left="422" w:firstLine="331"/>
              <w:jc w:val="left"/>
              <w:rPr>
                <w:rFonts w:hint="eastAsia" w:ascii="新宋体" w:hAnsi="新宋体" w:eastAsia="新宋体" w:cs="新宋体"/>
                <w:b w:val="0"/>
                <w:bCs w:val="0"/>
                <w:color w:val="auto"/>
                <w:sz w:val="22"/>
                <w:szCs w:val="22"/>
              </w:rPr>
            </w:pPr>
            <w:r>
              <w:rPr>
                <w:rFonts w:hint="eastAsia" w:ascii="新宋体" w:hAnsi="新宋体" w:eastAsia="新宋体" w:cs="新宋体"/>
                <w:b w:val="0"/>
                <w:bCs w:val="0"/>
                <w:color w:val="auto"/>
                <w:sz w:val="22"/>
                <w:szCs w:val="22"/>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31"/>
              <w:adjustRightInd w:val="0"/>
              <w:snapToGrid w:val="0"/>
              <w:spacing w:line="400" w:lineRule="exact"/>
              <w:ind w:left="422" w:firstLine="352"/>
              <w:rPr>
                <w:rFonts w:hint="eastAsia" w:ascii="新宋体" w:hAnsi="新宋体" w:eastAsia="新宋体" w:cs="新宋体"/>
                <w:b w:val="0"/>
                <w:bCs w:val="0"/>
                <w:color w:val="auto"/>
                <w:sz w:val="22"/>
                <w:szCs w:val="22"/>
              </w:rPr>
            </w:pPr>
            <w:r>
              <w:rPr>
                <w:rFonts w:hint="eastAsia" w:ascii="新宋体" w:hAnsi="新宋体" w:eastAsia="新宋体" w:cs="新宋体"/>
                <w:b w:val="0"/>
                <w:bCs w:val="0"/>
                <w:color w:val="auto"/>
                <w:sz w:val="22"/>
                <w:szCs w:val="22"/>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pPr>
              <w:pStyle w:val="31"/>
              <w:adjustRightInd w:val="0"/>
              <w:snapToGrid w:val="0"/>
              <w:spacing w:line="400" w:lineRule="exact"/>
              <w:ind w:left="422" w:firstLine="331"/>
              <w:rPr>
                <w:rFonts w:hint="eastAsia" w:ascii="新宋体" w:hAnsi="新宋体" w:eastAsia="新宋体" w:cs="新宋体"/>
                <w:b w:val="0"/>
                <w:bCs w:val="0"/>
                <w:color w:val="auto"/>
                <w:sz w:val="22"/>
                <w:szCs w:val="22"/>
              </w:rPr>
            </w:pPr>
            <w:r>
              <w:rPr>
                <w:rFonts w:hint="eastAsia" w:ascii="新宋体" w:hAnsi="新宋体" w:eastAsia="新宋体" w:cs="新宋体"/>
                <w:b w:val="0"/>
                <w:bCs w:val="0"/>
                <w:color w:val="auto"/>
                <w:sz w:val="22"/>
                <w:szCs w:val="22"/>
              </w:rPr>
              <w:t>签署日期：</w:t>
            </w:r>
          </w:p>
        </w:tc>
      </w:tr>
    </w:tbl>
    <w:p>
      <w:pPr>
        <w:spacing w:line="360" w:lineRule="exact"/>
        <w:jc w:val="left"/>
        <w:rPr>
          <w:rFonts w:ascii="宋体"/>
          <w:b/>
          <w:bCs w:val="0"/>
          <w:color w:val="auto"/>
          <w:sz w:val="22"/>
          <w:szCs w:val="22"/>
          <w:u w:val="single"/>
        </w:rPr>
      </w:pPr>
      <w:r>
        <w:rPr>
          <w:rFonts w:hint="eastAsia" w:ascii="宋体"/>
          <w:b/>
          <w:bCs/>
          <w:color w:val="auto"/>
          <w:sz w:val="22"/>
          <w:szCs w:val="22"/>
        </w:rPr>
        <w:t xml:space="preserve"> </w:t>
      </w:r>
      <w:r>
        <w:rPr>
          <w:rFonts w:hint="eastAsia" w:ascii="宋体"/>
          <w:bCs/>
          <w:color w:val="auto"/>
          <w:sz w:val="22"/>
          <w:szCs w:val="22"/>
        </w:rPr>
        <w:t xml:space="preserve"> </w:t>
      </w:r>
      <w:r>
        <w:rPr>
          <w:rFonts w:hint="eastAsia" w:ascii="宋体"/>
          <w:b/>
          <w:bCs w:val="0"/>
          <w:color w:val="auto"/>
          <w:sz w:val="22"/>
          <w:szCs w:val="22"/>
          <w:u w:val="single"/>
        </w:rPr>
        <w:t>备注：▲投标供应商必须提供本声明，不提供按无效投标处理。</w:t>
      </w:r>
    </w:p>
    <w:p>
      <w:pPr>
        <w:pStyle w:val="2"/>
        <w:rPr>
          <w:rFonts w:hint="eastAsia" w:ascii="新宋体" w:hAnsi="新宋体" w:eastAsia="新宋体" w:cs="新宋体"/>
          <w:b w:val="0"/>
          <w:bCs w:val="0"/>
          <w:color w:val="auto"/>
          <w:sz w:val="22"/>
          <w:szCs w:val="22"/>
        </w:rPr>
      </w:pPr>
    </w:p>
    <w:p>
      <w:pPr>
        <w:spacing w:line="400" w:lineRule="exact"/>
        <w:rPr>
          <w:rFonts w:ascii="宋体" w:hAnsi="宋体" w:cs="宋体"/>
          <w:color w:val="auto"/>
        </w:rPr>
      </w:pPr>
    </w:p>
    <w:p>
      <w:pPr>
        <w:pStyle w:val="27"/>
        <w:spacing w:after="0" w:line="400" w:lineRule="exact"/>
        <w:ind w:left="0" w:leftChars="0" w:right="0" w:rightChars="0"/>
        <w:rPr>
          <w:rFonts w:ascii="宋体" w:hAnsi="宋体" w:cs="宋体"/>
          <w:color w:val="auto"/>
        </w:rPr>
      </w:pPr>
    </w:p>
    <w:p>
      <w:pPr>
        <w:jc w:val="center"/>
        <w:rPr>
          <w:rFonts w:hint="eastAsia" w:ascii="新宋体" w:hAnsi="新宋体" w:eastAsia="新宋体" w:cs="新宋体"/>
          <w:b/>
          <w:color w:val="auto"/>
          <w:kern w:val="0"/>
          <w:sz w:val="28"/>
          <w:szCs w:val="28"/>
          <w:lang w:val="en-US" w:eastAsia="zh-CN" w:bidi="ar-SA"/>
        </w:rPr>
      </w:pPr>
      <w:r>
        <w:rPr>
          <w:rFonts w:hint="eastAsia" w:ascii="新宋体" w:hAnsi="新宋体" w:eastAsia="新宋体" w:cs="新宋体"/>
          <w:b/>
          <w:color w:val="auto"/>
          <w:kern w:val="0"/>
          <w:sz w:val="28"/>
          <w:szCs w:val="28"/>
          <w:lang w:val="en-US" w:eastAsia="zh-CN" w:bidi="ar-SA"/>
        </w:rPr>
        <w:t>（5）法定代表人诚信投标承诺书</w:t>
      </w:r>
    </w:p>
    <w:p>
      <w:pPr>
        <w:spacing w:line="460" w:lineRule="atLeast"/>
        <w:jc w:val="left"/>
        <w:rPr>
          <w:rFonts w:ascii="宋体"/>
          <w:color w:val="auto"/>
          <w:sz w:val="22"/>
          <w:szCs w:val="22"/>
        </w:rPr>
      </w:pPr>
      <w:r>
        <w:rPr>
          <w:rFonts w:hint="eastAsia" w:ascii="宋体"/>
          <w:color w:val="auto"/>
          <w:sz w:val="22"/>
          <w:szCs w:val="22"/>
        </w:rPr>
        <w:t>本人以企业法定代表人的身份郑重承诺：</w:t>
      </w:r>
    </w:p>
    <w:p>
      <w:pPr>
        <w:spacing w:line="460" w:lineRule="atLeast"/>
        <w:ind w:firstLine="440" w:firstLineChars="200"/>
        <w:jc w:val="left"/>
        <w:rPr>
          <w:rFonts w:ascii="宋体"/>
          <w:b w:val="0"/>
          <w:bCs/>
          <w:color w:val="auto"/>
          <w:sz w:val="22"/>
          <w:szCs w:val="22"/>
        </w:rPr>
      </w:pPr>
      <w:r>
        <w:rPr>
          <w:rFonts w:hint="eastAsia" w:ascii="宋体"/>
          <w:b w:val="0"/>
          <w:bCs/>
          <w:color w:val="auto"/>
          <w:sz w:val="22"/>
          <w:szCs w:val="22"/>
        </w:rPr>
        <w:t>将遵循公开、公平、公正和诚信信用的原则参加</w:t>
      </w:r>
      <w:r>
        <w:rPr>
          <w:rFonts w:hint="eastAsia" w:ascii="宋体" w:cs="楷体_GB2312"/>
          <w:b w:val="0"/>
          <w:bCs/>
          <w:color w:val="auto"/>
          <w:sz w:val="22"/>
          <w:szCs w:val="22"/>
          <w:u w:val="single"/>
        </w:rPr>
        <w:t xml:space="preserve">              项目（招标编号：   ）</w:t>
      </w:r>
      <w:r>
        <w:rPr>
          <w:rFonts w:hint="eastAsia" w:ascii="宋体"/>
          <w:b w:val="0"/>
          <w:bCs/>
          <w:color w:val="auto"/>
          <w:sz w:val="22"/>
          <w:szCs w:val="22"/>
        </w:rPr>
        <w:t>的投标；</w:t>
      </w:r>
    </w:p>
    <w:p>
      <w:pPr>
        <w:spacing w:line="460" w:lineRule="atLeast"/>
        <w:ind w:firstLine="440" w:firstLineChars="200"/>
        <w:jc w:val="left"/>
        <w:rPr>
          <w:rFonts w:ascii="宋体"/>
          <w:b w:val="0"/>
          <w:bCs/>
          <w:color w:val="auto"/>
          <w:sz w:val="22"/>
          <w:szCs w:val="22"/>
          <w:u w:val="single"/>
        </w:rPr>
      </w:pPr>
      <w:r>
        <w:rPr>
          <w:rFonts w:hint="eastAsia" w:ascii="宋体"/>
          <w:b w:val="0"/>
          <w:bCs/>
          <w:color w:val="auto"/>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ascii="宋体"/>
          <w:b w:val="0"/>
          <w:bCs/>
          <w:color w:val="auto"/>
          <w:sz w:val="22"/>
          <w:szCs w:val="22"/>
        </w:rPr>
      </w:pPr>
      <w:r>
        <w:rPr>
          <w:rFonts w:hint="eastAsia" w:ascii="宋体"/>
          <w:b w:val="0"/>
          <w:bCs/>
          <w:color w:val="auto"/>
          <w:sz w:val="22"/>
          <w:szCs w:val="22"/>
        </w:rPr>
        <w:t>二、投标文件所提供的一切材料都是真实、有效、合法的。</w:t>
      </w:r>
    </w:p>
    <w:p>
      <w:pPr>
        <w:spacing w:line="460" w:lineRule="atLeast"/>
        <w:ind w:firstLine="440" w:firstLineChars="200"/>
        <w:jc w:val="left"/>
        <w:rPr>
          <w:rFonts w:ascii="宋体"/>
          <w:b w:val="0"/>
          <w:bCs/>
          <w:color w:val="auto"/>
          <w:sz w:val="22"/>
          <w:szCs w:val="22"/>
        </w:rPr>
      </w:pPr>
      <w:r>
        <w:rPr>
          <w:rFonts w:hint="eastAsia" w:ascii="宋体"/>
          <w:b w:val="0"/>
          <w:bCs/>
          <w:color w:val="auto"/>
          <w:sz w:val="22"/>
          <w:szCs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b w:val="0"/>
          <w:bCs/>
          <w:color w:val="auto"/>
          <w:sz w:val="22"/>
          <w:szCs w:val="22"/>
        </w:rPr>
      </w:pPr>
      <w:r>
        <w:rPr>
          <w:rFonts w:hint="eastAsia" w:ascii="宋体"/>
          <w:b w:val="0"/>
          <w:bCs/>
          <w:color w:val="auto"/>
          <w:sz w:val="22"/>
          <w:szCs w:val="22"/>
        </w:rPr>
        <w:t>四、不与采购人或招标代理机构串通投标，不损害国家利益，社会公共利益或其他人的合法权益。</w:t>
      </w:r>
    </w:p>
    <w:p>
      <w:pPr>
        <w:spacing w:line="460" w:lineRule="atLeast"/>
        <w:ind w:firstLine="440" w:firstLineChars="200"/>
        <w:jc w:val="left"/>
        <w:rPr>
          <w:rFonts w:ascii="宋体"/>
          <w:b w:val="0"/>
          <w:bCs/>
          <w:color w:val="auto"/>
          <w:sz w:val="22"/>
          <w:szCs w:val="22"/>
        </w:rPr>
      </w:pPr>
      <w:r>
        <w:rPr>
          <w:rFonts w:hint="eastAsia" w:ascii="宋体"/>
          <w:b w:val="0"/>
          <w:bCs/>
          <w:color w:val="auto"/>
          <w:sz w:val="22"/>
          <w:szCs w:val="22"/>
        </w:rPr>
        <w:t>五、不向采购人或者评标委员会成员行贿以牟取中标。</w:t>
      </w:r>
    </w:p>
    <w:p>
      <w:pPr>
        <w:spacing w:line="460" w:lineRule="atLeast"/>
        <w:ind w:firstLine="440" w:firstLineChars="200"/>
        <w:jc w:val="left"/>
        <w:rPr>
          <w:rFonts w:ascii="宋体"/>
          <w:b w:val="0"/>
          <w:bCs/>
          <w:color w:val="auto"/>
          <w:sz w:val="22"/>
          <w:szCs w:val="22"/>
        </w:rPr>
      </w:pPr>
      <w:r>
        <w:rPr>
          <w:rFonts w:hint="eastAsia" w:ascii="宋体"/>
          <w:b w:val="0"/>
          <w:bCs/>
          <w:color w:val="auto"/>
          <w:sz w:val="22"/>
          <w:szCs w:val="22"/>
        </w:rPr>
        <w:t>六、不以其他人名义投标或者以其他方式弄虚作假，骗取中标。</w:t>
      </w:r>
    </w:p>
    <w:p>
      <w:pPr>
        <w:spacing w:line="460" w:lineRule="atLeast"/>
        <w:ind w:firstLine="440" w:firstLineChars="200"/>
        <w:jc w:val="left"/>
        <w:rPr>
          <w:rFonts w:ascii="宋体"/>
          <w:b w:val="0"/>
          <w:bCs/>
          <w:color w:val="auto"/>
          <w:sz w:val="22"/>
          <w:szCs w:val="22"/>
        </w:rPr>
      </w:pPr>
      <w:r>
        <w:rPr>
          <w:rFonts w:hint="eastAsia" w:ascii="宋体"/>
          <w:b w:val="0"/>
          <w:bCs/>
          <w:color w:val="auto"/>
          <w:sz w:val="22"/>
          <w:szCs w:val="22"/>
        </w:rPr>
        <w:t>七、不在开标后进行虚假恶意投诉。</w:t>
      </w:r>
    </w:p>
    <w:p>
      <w:pPr>
        <w:spacing w:line="460" w:lineRule="atLeast"/>
        <w:ind w:firstLine="440" w:firstLineChars="200"/>
        <w:jc w:val="left"/>
        <w:rPr>
          <w:rFonts w:ascii="宋体"/>
          <w:b w:val="0"/>
          <w:bCs/>
          <w:color w:val="auto"/>
          <w:sz w:val="22"/>
          <w:szCs w:val="22"/>
        </w:rPr>
      </w:pPr>
      <w:r>
        <w:rPr>
          <w:rFonts w:hint="eastAsia" w:ascii="宋体"/>
          <w:b w:val="0"/>
          <w:bCs/>
          <w:color w:val="auto"/>
          <w:sz w:val="22"/>
          <w:szCs w:val="22"/>
        </w:rPr>
        <w:t>八、我单位没有被政府机关</w:t>
      </w:r>
      <w:r>
        <w:rPr>
          <w:rFonts w:ascii="宋体"/>
          <w:b w:val="0"/>
          <w:bCs/>
          <w:color w:val="auto"/>
          <w:sz w:val="22"/>
          <w:szCs w:val="22"/>
        </w:rPr>
        <w:t>列入失信被执行人</w:t>
      </w:r>
      <w:r>
        <w:rPr>
          <w:rFonts w:hint="eastAsia" w:ascii="宋体"/>
          <w:b w:val="0"/>
          <w:bCs/>
          <w:color w:val="auto"/>
          <w:sz w:val="22"/>
          <w:szCs w:val="22"/>
        </w:rPr>
        <w:t>名单</w:t>
      </w:r>
      <w:r>
        <w:rPr>
          <w:rFonts w:ascii="宋体"/>
          <w:b w:val="0"/>
          <w:bCs/>
          <w:color w:val="auto"/>
          <w:sz w:val="22"/>
          <w:szCs w:val="22"/>
        </w:rPr>
        <w:t>、重大税收违法案件当事人名单、政府采购严重违法失信行为记录名单及其他不符合《中华人民共和国政府采购法》第二十二条规定条件</w:t>
      </w:r>
      <w:r>
        <w:rPr>
          <w:rFonts w:hint="eastAsia" w:ascii="宋体"/>
          <w:b w:val="0"/>
          <w:bCs/>
          <w:color w:val="auto"/>
          <w:sz w:val="22"/>
          <w:szCs w:val="22"/>
        </w:rPr>
        <w:t>的情形。</w:t>
      </w:r>
    </w:p>
    <w:p>
      <w:pPr>
        <w:spacing w:line="460" w:lineRule="atLeast"/>
        <w:ind w:firstLine="440" w:firstLineChars="200"/>
        <w:jc w:val="left"/>
        <w:rPr>
          <w:rFonts w:hint="eastAsia" w:ascii="宋体"/>
          <w:b w:val="0"/>
          <w:bCs/>
          <w:color w:val="auto"/>
          <w:sz w:val="22"/>
          <w:szCs w:val="22"/>
        </w:rPr>
      </w:pPr>
      <w:r>
        <w:rPr>
          <w:rFonts w:hint="eastAsia" w:ascii="宋体"/>
          <w:b w:val="0"/>
          <w:bCs/>
          <w:color w:val="auto"/>
          <w:sz w:val="22"/>
          <w:szCs w:val="22"/>
        </w:rPr>
        <w:t>九、我单位没有被各地、各级财政部门限制参加政府采购活动或曾被各地、各级财政部门限制参加政府采购活动但已不在限制期内。</w:t>
      </w:r>
    </w:p>
    <w:p>
      <w:pPr>
        <w:spacing w:line="460" w:lineRule="atLeast"/>
        <w:ind w:firstLine="440" w:firstLineChars="200"/>
        <w:jc w:val="left"/>
        <w:rPr>
          <w:rFonts w:ascii="宋体"/>
          <w:b w:val="0"/>
          <w:bCs/>
          <w:color w:val="auto"/>
          <w:sz w:val="22"/>
          <w:szCs w:val="22"/>
        </w:rPr>
      </w:pPr>
      <w:r>
        <w:rPr>
          <w:rFonts w:hint="eastAsia" w:ascii="宋体"/>
          <w:b w:val="0"/>
          <w:bCs/>
          <w:color w:val="auto"/>
          <w:sz w:val="22"/>
          <w:szCs w:val="22"/>
        </w:rPr>
        <w:t>十、我单位、法人代表及本次拟派的项目负责人近三年来无行贿犯罪记录；</w:t>
      </w:r>
    </w:p>
    <w:p>
      <w:pPr>
        <w:spacing w:line="460" w:lineRule="atLeast"/>
        <w:ind w:firstLine="440" w:firstLineChars="200"/>
        <w:jc w:val="left"/>
        <w:rPr>
          <w:rFonts w:ascii="宋体"/>
          <w:b w:val="0"/>
          <w:bCs/>
          <w:color w:val="auto"/>
          <w:sz w:val="22"/>
          <w:szCs w:val="22"/>
        </w:rPr>
      </w:pPr>
      <w:r>
        <w:rPr>
          <w:rFonts w:hint="eastAsia" w:ascii="宋体"/>
          <w:b w:val="0"/>
          <w:bCs/>
          <w:color w:val="auto"/>
          <w:sz w:val="22"/>
          <w:szCs w:val="22"/>
        </w:rPr>
        <w:t>十一、参与本项目政府采购活动3年内没有重大违法记录情况。</w:t>
      </w:r>
    </w:p>
    <w:p>
      <w:pPr>
        <w:spacing w:line="460" w:lineRule="atLeast"/>
        <w:ind w:firstLine="440" w:firstLineChars="200"/>
        <w:rPr>
          <w:rFonts w:ascii="宋体"/>
          <w:b w:val="0"/>
          <w:bCs/>
          <w:color w:val="auto"/>
          <w:sz w:val="22"/>
          <w:szCs w:val="22"/>
        </w:rPr>
      </w:pPr>
      <w:r>
        <w:rPr>
          <w:rFonts w:hint="eastAsia" w:ascii="宋体"/>
          <w:b w:val="0"/>
          <w:bCs/>
          <w:color w:val="auto"/>
          <w:sz w:val="22"/>
          <w:szCs w:val="22"/>
        </w:rPr>
        <w:t>本公司若有违反本承诺内容的行为，愿意承担法律责任，包括不限于：愿意接受相关行政主管部门作出的处罚；给采购人造成损失的，依法承担相应的赔偿责任。</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特此承诺！</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投标人全称（盖章）：</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投标人代表（签字或盖章）：</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日          期：  年  月  日</w:t>
      </w:r>
    </w:p>
    <w:p>
      <w:pPr>
        <w:spacing w:line="460" w:lineRule="atLeast"/>
        <w:ind w:right="1120"/>
        <w:jc w:val="both"/>
        <w:rPr>
          <w:rFonts w:ascii="宋体"/>
          <w:b w:val="0"/>
          <w:bCs/>
          <w:color w:val="auto"/>
          <w:sz w:val="22"/>
          <w:szCs w:val="22"/>
        </w:rPr>
      </w:pPr>
    </w:p>
    <w:p>
      <w:pPr>
        <w:spacing w:line="360" w:lineRule="exact"/>
        <w:jc w:val="left"/>
        <w:rPr>
          <w:rFonts w:hint="eastAsia" w:ascii="宋体"/>
          <w:bCs/>
          <w:color w:val="auto"/>
          <w:sz w:val="22"/>
          <w:szCs w:val="22"/>
          <w:u w:val="single"/>
        </w:rPr>
      </w:pPr>
    </w:p>
    <w:p>
      <w:pPr>
        <w:spacing w:line="360" w:lineRule="exact"/>
        <w:jc w:val="left"/>
        <w:rPr>
          <w:rFonts w:ascii="宋体"/>
          <w:b/>
          <w:bCs w:val="0"/>
          <w:color w:val="auto"/>
          <w:sz w:val="30"/>
        </w:rPr>
      </w:pPr>
      <w:r>
        <w:rPr>
          <w:rFonts w:hint="eastAsia" w:ascii="宋体"/>
          <w:b/>
          <w:bCs w:val="0"/>
          <w:color w:val="auto"/>
          <w:sz w:val="22"/>
          <w:szCs w:val="22"/>
          <w:u w:val="single"/>
        </w:rPr>
        <w:t>备注：▲投标供应商必须提供本承诺书，不提供按无效投标处理。</w:t>
      </w:r>
    </w:p>
    <w:p>
      <w:pPr>
        <w:pStyle w:val="27"/>
        <w:spacing w:after="0" w:line="400" w:lineRule="exact"/>
        <w:ind w:left="0" w:leftChars="0" w:right="0" w:rightChars="0"/>
        <w:rPr>
          <w:rFonts w:ascii="宋体" w:hAnsi="宋体" w:cs="宋体"/>
          <w:color w:val="auto"/>
        </w:rPr>
      </w:pPr>
    </w:p>
    <w:p>
      <w:pPr>
        <w:pStyle w:val="27"/>
        <w:spacing w:after="0" w:line="400" w:lineRule="exact"/>
        <w:ind w:left="0" w:leftChars="0" w:right="0" w:rightChars="0"/>
        <w:rPr>
          <w:rFonts w:ascii="宋体" w:hAnsi="宋体" w:cs="宋体"/>
          <w:color w:val="auto"/>
        </w:rPr>
      </w:pPr>
    </w:p>
    <w:p>
      <w:pPr>
        <w:pStyle w:val="27"/>
        <w:spacing w:after="0" w:line="400" w:lineRule="exact"/>
        <w:ind w:left="0" w:leftChars="0" w:right="0" w:rightChars="0"/>
        <w:rPr>
          <w:rFonts w:ascii="宋体" w:hAnsi="宋体" w:cs="宋体"/>
          <w:color w:val="auto"/>
        </w:rPr>
      </w:pPr>
    </w:p>
    <w:p>
      <w:pPr>
        <w:pStyle w:val="27"/>
        <w:spacing w:after="0" w:line="400" w:lineRule="exact"/>
        <w:ind w:left="0" w:leftChars="0" w:right="0" w:rightChars="0"/>
        <w:rPr>
          <w:rFonts w:hint="eastAsia" w:ascii="宋体" w:hAnsi="宋体" w:cs="宋体"/>
          <w:color w:val="auto"/>
        </w:rPr>
      </w:pPr>
    </w:p>
    <w:p>
      <w:pPr>
        <w:widowControl/>
        <w:adjustRightInd w:val="0"/>
        <w:snapToGrid w:val="0"/>
        <w:spacing w:line="360" w:lineRule="auto"/>
        <w:jc w:val="center"/>
        <w:rPr>
          <w:rFonts w:hint="eastAsia" w:ascii="新宋体" w:hAnsi="新宋体" w:eastAsia="新宋体" w:cs="新宋体"/>
          <w:b/>
          <w:color w:val="auto"/>
          <w:kern w:val="0"/>
          <w:sz w:val="28"/>
          <w:szCs w:val="28"/>
        </w:rPr>
      </w:pPr>
    </w:p>
    <w:p>
      <w:pPr>
        <w:jc w:val="center"/>
        <w:rPr>
          <w:rFonts w:hint="eastAsia" w:ascii="新宋体" w:hAnsi="新宋体" w:eastAsia="新宋体" w:cs="新宋体"/>
          <w:b/>
          <w:color w:val="auto"/>
          <w:kern w:val="0"/>
          <w:sz w:val="28"/>
          <w:szCs w:val="28"/>
          <w:lang w:val="en-US" w:eastAsia="zh-CN" w:bidi="ar-SA"/>
        </w:rPr>
      </w:pPr>
      <w:r>
        <w:rPr>
          <w:rFonts w:hint="eastAsia" w:ascii="新宋体" w:hAnsi="新宋体" w:eastAsia="新宋体" w:cs="新宋体"/>
          <w:b/>
          <w:color w:val="auto"/>
          <w:kern w:val="0"/>
          <w:sz w:val="28"/>
          <w:szCs w:val="28"/>
          <w:lang w:val="en-US" w:eastAsia="zh-CN" w:bidi="ar-SA"/>
        </w:rPr>
        <w:t>（6）参加政府采购活动前3年内在经营活动中没有重大违法记录的</w:t>
      </w:r>
    </w:p>
    <w:p>
      <w:pPr>
        <w:jc w:val="center"/>
        <w:rPr>
          <w:rFonts w:hint="eastAsia" w:ascii="新宋体" w:hAnsi="新宋体" w:eastAsia="新宋体" w:cs="新宋体"/>
          <w:b/>
          <w:color w:val="auto"/>
          <w:kern w:val="0"/>
          <w:sz w:val="28"/>
          <w:szCs w:val="28"/>
          <w:lang w:val="en-US" w:eastAsia="zh-CN" w:bidi="ar-SA"/>
        </w:rPr>
      </w:pPr>
      <w:r>
        <w:rPr>
          <w:rFonts w:hint="eastAsia" w:ascii="新宋体" w:hAnsi="新宋体" w:eastAsia="新宋体" w:cs="新宋体"/>
          <w:b/>
          <w:color w:val="auto"/>
          <w:kern w:val="0"/>
          <w:sz w:val="28"/>
          <w:szCs w:val="28"/>
          <w:lang w:val="en-US" w:eastAsia="zh-CN" w:bidi="ar-SA"/>
        </w:rPr>
        <w:t>声明函</w:t>
      </w:r>
    </w:p>
    <w:p>
      <w:pPr>
        <w:spacing w:line="460" w:lineRule="exact"/>
        <w:rPr>
          <w:rFonts w:hint="eastAsia" w:ascii="新宋体" w:hAnsi="新宋体" w:eastAsia="新宋体" w:cs="楷体"/>
          <w:color w:val="auto"/>
          <w:sz w:val="22"/>
          <w:szCs w:val="22"/>
        </w:rPr>
      </w:pPr>
      <w:r>
        <w:rPr>
          <w:rFonts w:hint="eastAsia" w:ascii="新宋体" w:hAnsi="新宋体" w:eastAsia="新宋体"/>
          <w:color w:val="auto"/>
          <w:sz w:val="22"/>
          <w:szCs w:val="22"/>
          <w:lang w:eastAsia="zh-CN"/>
        </w:rPr>
        <w:t>温州市鹿城区山福镇人民政府</w:t>
      </w:r>
      <w:r>
        <w:rPr>
          <w:rFonts w:hint="eastAsia" w:ascii="新宋体" w:hAnsi="新宋体" w:eastAsia="新宋体" w:cs="楷体"/>
          <w:color w:val="auto"/>
          <w:sz w:val="22"/>
          <w:szCs w:val="22"/>
        </w:rPr>
        <w:t>：</w:t>
      </w:r>
    </w:p>
    <w:p>
      <w:pPr>
        <w:widowControl/>
        <w:adjustRightInd w:val="0"/>
        <w:snapToGrid w:val="0"/>
        <w:spacing w:line="460" w:lineRule="exact"/>
        <w:jc w:val="left"/>
        <w:rPr>
          <w:rFonts w:hint="eastAsia" w:ascii="新宋体" w:hAnsi="新宋体" w:eastAsia="新宋体" w:cs="楷体"/>
          <w:color w:val="auto"/>
          <w:sz w:val="22"/>
          <w:szCs w:val="22"/>
        </w:rPr>
      </w:pPr>
      <w:r>
        <w:rPr>
          <w:rFonts w:hint="eastAsia" w:ascii="新宋体" w:hAnsi="新宋体" w:eastAsia="新宋体" w:cs="楷体"/>
          <w:color w:val="auto"/>
          <w:sz w:val="22"/>
          <w:szCs w:val="22"/>
          <w:lang w:eastAsia="zh-CN"/>
        </w:rPr>
        <w:t>宁波国咨工程造价咨询有限公司</w:t>
      </w:r>
      <w:r>
        <w:rPr>
          <w:rFonts w:hint="eastAsia" w:ascii="新宋体" w:hAnsi="新宋体" w:eastAsia="新宋体" w:cs="楷体"/>
          <w:color w:val="auto"/>
          <w:sz w:val="22"/>
          <w:szCs w:val="22"/>
        </w:rPr>
        <w:t>：</w:t>
      </w:r>
    </w:p>
    <w:p>
      <w:pPr>
        <w:widowControl/>
        <w:adjustRightInd w:val="0"/>
        <w:snapToGrid w:val="0"/>
        <w:spacing w:line="460" w:lineRule="exact"/>
        <w:ind w:firstLine="440" w:firstLineChars="200"/>
        <w:jc w:val="lef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我方</w:t>
      </w:r>
      <w:r>
        <w:rPr>
          <w:rFonts w:hint="eastAsia" w:ascii="新宋体" w:hAnsi="新宋体" w:eastAsia="新宋体" w:cs="新宋体"/>
          <w:color w:val="auto"/>
          <w:kern w:val="0"/>
          <w:sz w:val="22"/>
          <w:szCs w:val="22"/>
          <w:u w:val="single"/>
        </w:rPr>
        <w:t xml:space="preserve">            （供应商）</w:t>
      </w:r>
      <w:r>
        <w:rPr>
          <w:rFonts w:hint="eastAsia" w:ascii="新宋体" w:hAnsi="新宋体" w:eastAsia="新宋体" w:cs="新宋体"/>
          <w:color w:val="auto"/>
          <w:kern w:val="0"/>
          <w:sz w:val="22"/>
          <w:szCs w:val="22"/>
        </w:rPr>
        <w:t>具有良好的商业信誉，依法缴纳税收和社会保障资金，未被列入失</w:t>
      </w:r>
      <w:r>
        <w:rPr>
          <w:rFonts w:hint="eastAsia" w:ascii="宋体"/>
          <w:color w:val="auto"/>
          <w:sz w:val="22"/>
          <w:szCs w:val="22"/>
        </w:rPr>
        <w:t>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adjustRightInd w:val="0"/>
        <w:snapToGrid w:val="0"/>
        <w:spacing w:line="460" w:lineRule="exact"/>
        <w:ind w:firstLine="440" w:firstLineChars="200"/>
        <w:jc w:val="lef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以上事项如有虚假或隐瞒，我方愿意承担一切后果和责任。</w:t>
      </w:r>
    </w:p>
    <w:p>
      <w:pPr>
        <w:widowControl/>
        <w:adjustRightInd w:val="0"/>
        <w:snapToGrid w:val="0"/>
        <w:spacing w:line="460" w:lineRule="exact"/>
        <w:ind w:firstLine="440" w:firstLineChars="200"/>
        <w:jc w:val="left"/>
        <w:rPr>
          <w:rFonts w:hint="eastAsia" w:ascii="新宋体" w:hAnsi="新宋体" w:eastAsia="新宋体" w:cs="新宋体"/>
          <w:color w:val="auto"/>
          <w:kern w:val="0"/>
          <w:sz w:val="22"/>
          <w:szCs w:val="22"/>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特此承诺！</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投标人全称（盖章）：</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投标人代表（签字或盖章）：</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日          期：  年  月  日</w:t>
      </w:r>
    </w:p>
    <w:p>
      <w:pPr>
        <w:widowControl/>
        <w:adjustRightInd w:val="0"/>
        <w:snapToGrid w:val="0"/>
        <w:spacing w:line="360" w:lineRule="auto"/>
        <w:jc w:val="center"/>
        <w:rPr>
          <w:rFonts w:hint="eastAsia" w:ascii="新宋体" w:hAnsi="新宋体" w:eastAsia="新宋体" w:cs="新宋体"/>
          <w:b/>
          <w:color w:val="auto"/>
          <w:kern w:val="0"/>
          <w:sz w:val="28"/>
          <w:szCs w:val="28"/>
        </w:rPr>
      </w:pPr>
      <w:r>
        <w:rPr>
          <w:rFonts w:hint="eastAsia" w:ascii="新宋体" w:hAnsi="新宋体" w:eastAsia="新宋体" w:cs="新宋体"/>
          <w:color w:val="auto"/>
          <w:kern w:val="0"/>
          <w:sz w:val="22"/>
          <w:szCs w:val="22"/>
        </w:rPr>
        <w:br w:type="page"/>
      </w:r>
      <w:r>
        <w:rPr>
          <w:rFonts w:hint="eastAsia" w:ascii="新宋体" w:hAnsi="新宋体" w:eastAsia="新宋体" w:cs="新宋体"/>
          <w:b/>
          <w:color w:val="auto"/>
          <w:kern w:val="0"/>
          <w:sz w:val="28"/>
          <w:szCs w:val="28"/>
          <w:lang w:val="en-US" w:eastAsia="zh-CN" w:bidi="ar-SA"/>
        </w:rPr>
        <w:t>（7）具有履行合同所必需的设备和专业技术能力的承诺函</w:t>
      </w:r>
    </w:p>
    <w:p>
      <w:pPr>
        <w:widowControl/>
        <w:adjustRightInd w:val="0"/>
        <w:snapToGrid w:val="0"/>
        <w:spacing w:line="360" w:lineRule="auto"/>
        <w:jc w:val="center"/>
        <w:rPr>
          <w:rFonts w:hint="eastAsia" w:ascii="新宋体" w:hAnsi="新宋体" w:eastAsia="新宋体" w:cs="新宋体"/>
          <w:b/>
          <w:color w:val="auto"/>
          <w:kern w:val="0"/>
          <w:sz w:val="28"/>
          <w:szCs w:val="28"/>
        </w:rPr>
      </w:pPr>
    </w:p>
    <w:p>
      <w:pPr>
        <w:spacing w:line="460" w:lineRule="exact"/>
        <w:rPr>
          <w:rFonts w:hint="eastAsia" w:ascii="新宋体" w:hAnsi="新宋体" w:eastAsia="新宋体"/>
          <w:color w:val="auto"/>
          <w:sz w:val="22"/>
          <w:szCs w:val="22"/>
        </w:rPr>
      </w:pPr>
      <w:r>
        <w:rPr>
          <w:rFonts w:hint="eastAsia" w:ascii="新宋体" w:hAnsi="新宋体" w:eastAsia="新宋体"/>
          <w:color w:val="auto"/>
          <w:sz w:val="22"/>
          <w:szCs w:val="22"/>
          <w:lang w:eastAsia="zh-CN"/>
        </w:rPr>
        <w:t>温州市鹿城区山福镇人民政府</w:t>
      </w:r>
      <w:r>
        <w:rPr>
          <w:rFonts w:hint="eastAsia" w:ascii="新宋体" w:hAnsi="新宋体" w:eastAsia="新宋体"/>
          <w:color w:val="auto"/>
          <w:sz w:val="22"/>
          <w:szCs w:val="22"/>
        </w:rPr>
        <w:t>：</w:t>
      </w:r>
    </w:p>
    <w:p>
      <w:pPr>
        <w:spacing w:line="460" w:lineRule="exact"/>
        <w:rPr>
          <w:rFonts w:hint="eastAsia" w:ascii="新宋体" w:hAnsi="新宋体" w:eastAsia="新宋体"/>
          <w:color w:val="auto"/>
          <w:sz w:val="22"/>
          <w:szCs w:val="22"/>
        </w:rPr>
      </w:pPr>
      <w:r>
        <w:rPr>
          <w:rFonts w:hint="eastAsia" w:ascii="新宋体" w:hAnsi="新宋体" w:eastAsia="新宋体"/>
          <w:color w:val="auto"/>
          <w:sz w:val="22"/>
          <w:szCs w:val="22"/>
          <w:lang w:eastAsia="zh-CN"/>
        </w:rPr>
        <w:t>宁波国咨工程造价咨询有限公司</w:t>
      </w:r>
      <w:r>
        <w:rPr>
          <w:rFonts w:hint="eastAsia" w:ascii="新宋体" w:hAnsi="新宋体" w:eastAsia="新宋体"/>
          <w:color w:val="auto"/>
          <w:sz w:val="22"/>
          <w:szCs w:val="22"/>
        </w:rPr>
        <w:t>：</w:t>
      </w:r>
    </w:p>
    <w:p>
      <w:pPr>
        <w:widowControl/>
        <w:adjustRightInd w:val="0"/>
        <w:snapToGrid w:val="0"/>
        <w:spacing w:line="360" w:lineRule="auto"/>
        <w:jc w:val="left"/>
        <w:rPr>
          <w:rFonts w:hint="eastAsia" w:ascii="新宋体" w:hAnsi="新宋体" w:eastAsia="新宋体" w:cs="新宋体"/>
          <w:color w:val="auto"/>
          <w:kern w:val="0"/>
          <w:sz w:val="22"/>
          <w:szCs w:val="22"/>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我方</w:t>
      </w:r>
      <w:r>
        <w:rPr>
          <w:rFonts w:hint="eastAsia" w:ascii="新宋体" w:hAnsi="新宋体" w:eastAsia="新宋体" w:cs="新宋体"/>
          <w:color w:val="auto"/>
          <w:kern w:val="0"/>
          <w:sz w:val="22"/>
          <w:szCs w:val="22"/>
          <w:u w:val="single"/>
        </w:rPr>
        <w:t xml:space="preserve"> （供应商）</w:t>
      </w:r>
      <w:r>
        <w:rPr>
          <w:rFonts w:hint="eastAsia" w:ascii="新宋体" w:hAnsi="新宋体" w:eastAsia="新宋体" w:cs="新宋体"/>
          <w:color w:val="auto"/>
          <w:kern w:val="0"/>
          <w:sz w:val="22"/>
          <w:szCs w:val="22"/>
        </w:rPr>
        <w:t>承诺具有履行本次</w:t>
      </w:r>
      <w:r>
        <w:rPr>
          <w:rFonts w:hint="eastAsia" w:ascii="新宋体" w:hAnsi="新宋体" w:eastAsia="新宋体" w:cs="新宋体"/>
          <w:color w:val="auto"/>
          <w:kern w:val="0"/>
          <w:sz w:val="22"/>
          <w:szCs w:val="22"/>
          <w:u w:val="single"/>
        </w:rPr>
        <w:t xml:space="preserve">              </w:t>
      </w:r>
      <w:r>
        <w:rPr>
          <w:rFonts w:hint="eastAsia" w:ascii="新宋体" w:hAnsi="新宋体" w:eastAsia="新宋体" w:cs="新宋体"/>
          <w:color w:val="auto"/>
          <w:kern w:val="0"/>
          <w:sz w:val="22"/>
          <w:szCs w:val="22"/>
        </w:rPr>
        <w:t>（项目名称）政府采购合同所必需的设备和专业技术能力。如有虚假，采购人可取消我方任何资格（投标/中标/签订合同），我方对此无任何异议。</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特此承诺！</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rPr>
      </w:pPr>
    </w:p>
    <w:p>
      <w:pPr>
        <w:tabs>
          <w:tab w:val="left" w:pos="840"/>
        </w:tabs>
        <w:adjustRightInd w:val="0"/>
        <w:snapToGrid w:val="0"/>
        <w:spacing w:line="360" w:lineRule="auto"/>
        <w:ind w:left="420" w:leftChars="200" w:firstLine="330" w:firstLineChars="150"/>
        <w:rPr>
          <w:rFonts w:hint="eastAsia" w:ascii="新宋体" w:hAnsi="新宋体" w:eastAsia="新宋体"/>
          <w:color w:val="auto"/>
          <w:sz w:val="22"/>
          <w:szCs w:val="22"/>
        </w:rPr>
      </w:pPr>
      <w:r>
        <w:rPr>
          <w:rFonts w:hint="eastAsia" w:ascii="新宋体" w:hAnsi="新宋体" w:eastAsia="新宋体"/>
          <w:color w:val="auto"/>
          <w:sz w:val="22"/>
          <w:szCs w:val="22"/>
        </w:rPr>
        <w:t>投标人全称（盖章）：</w:t>
      </w:r>
    </w:p>
    <w:p>
      <w:pPr>
        <w:tabs>
          <w:tab w:val="left" w:pos="840"/>
        </w:tabs>
        <w:adjustRightInd w:val="0"/>
        <w:snapToGrid w:val="0"/>
        <w:spacing w:line="360" w:lineRule="auto"/>
        <w:ind w:left="420" w:leftChars="200" w:firstLine="330" w:firstLineChars="150"/>
        <w:rPr>
          <w:rFonts w:hint="eastAsia" w:ascii="新宋体" w:hAnsi="新宋体" w:eastAsia="新宋体"/>
          <w:color w:val="auto"/>
          <w:sz w:val="22"/>
          <w:szCs w:val="22"/>
        </w:rPr>
      </w:pPr>
      <w:r>
        <w:rPr>
          <w:rFonts w:hint="eastAsia" w:ascii="新宋体" w:hAnsi="新宋体" w:eastAsia="新宋体"/>
          <w:color w:val="auto"/>
          <w:sz w:val="22"/>
          <w:szCs w:val="22"/>
        </w:rPr>
        <w:t>投标人代表（签字或盖章）：</w:t>
      </w:r>
    </w:p>
    <w:p>
      <w:pPr>
        <w:tabs>
          <w:tab w:val="left" w:pos="840"/>
        </w:tabs>
        <w:adjustRightInd w:val="0"/>
        <w:snapToGrid w:val="0"/>
        <w:spacing w:line="360" w:lineRule="auto"/>
        <w:ind w:left="420" w:leftChars="200" w:firstLine="330" w:firstLineChars="150"/>
        <w:rPr>
          <w:rFonts w:hint="eastAsia" w:ascii="新宋体" w:hAnsi="新宋体" w:eastAsia="新宋体"/>
          <w:color w:val="auto"/>
          <w:sz w:val="22"/>
          <w:szCs w:val="22"/>
        </w:rPr>
      </w:pPr>
      <w:r>
        <w:rPr>
          <w:rFonts w:hint="eastAsia" w:ascii="新宋体" w:hAnsi="新宋体" w:eastAsia="新宋体"/>
          <w:color w:val="auto"/>
          <w:sz w:val="22"/>
          <w:szCs w:val="22"/>
        </w:rPr>
        <w:t>日          期：  年  月  日</w:t>
      </w:r>
    </w:p>
    <w:p>
      <w:pPr>
        <w:spacing w:line="360" w:lineRule="auto"/>
        <w:rPr>
          <w:rFonts w:hint="eastAsia" w:ascii="宋体"/>
          <w:color w:val="auto"/>
          <w:sz w:val="22"/>
          <w:szCs w:val="22"/>
        </w:rPr>
      </w:pPr>
    </w:p>
    <w:p>
      <w:pPr>
        <w:pStyle w:val="27"/>
        <w:spacing w:after="0" w:line="400" w:lineRule="exact"/>
        <w:ind w:left="0" w:leftChars="0" w:right="0" w:rightChars="0"/>
        <w:rPr>
          <w:rFonts w:hint="eastAsia" w:ascii="宋体" w:hAnsi="宋体" w:cs="宋体"/>
          <w:color w:val="auto"/>
        </w:rPr>
      </w:pPr>
    </w:p>
    <w:p>
      <w:pPr>
        <w:pStyle w:val="27"/>
        <w:spacing w:after="0" w:line="400" w:lineRule="exact"/>
        <w:ind w:left="0" w:leftChars="0" w:right="0" w:rightChars="0"/>
        <w:rPr>
          <w:rFonts w:ascii="宋体" w:hAnsi="宋体" w:cs="宋体"/>
          <w:color w:val="auto"/>
        </w:rPr>
      </w:pPr>
    </w:p>
    <w:p>
      <w:pPr>
        <w:spacing w:line="360" w:lineRule="auto"/>
        <w:ind w:firstLine="1124" w:firstLineChars="400"/>
        <w:rPr>
          <w:rFonts w:hint="eastAsia" w:ascii="宋体"/>
          <w:color w:val="auto"/>
          <w:sz w:val="22"/>
          <w:szCs w:val="22"/>
        </w:rPr>
      </w:pPr>
      <w:r>
        <w:rPr>
          <w:rFonts w:hint="eastAsia" w:ascii="新宋体" w:hAnsi="新宋体" w:eastAsia="新宋体" w:cs="新宋体"/>
          <w:b/>
          <w:color w:val="auto"/>
          <w:kern w:val="0"/>
          <w:sz w:val="28"/>
          <w:szCs w:val="28"/>
          <w:lang w:val="en-US" w:eastAsia="zh-CN" w:bidi="ar-SA"/>
        </w:rPr>
        <w:t>（8）至本项目投标截止时间内任意时间的“信用中国（https://www.creditchina.gov.cn/）”、“中国政府采购网（http://www.ccgp.gov.cn/）”投标人信用查询网页截图（最终以开标当日采购人或采购代理机构网页查询结果为准）。</w:t>
      </w:r>
      <w:r>
        <w:rPr>
          <w:rFonts w:hint="eastAsia"/>
          <w:color w:val="auto"/>
        </w:rPr>
        <w:br w:type="page"/>
      </w:r>
    </w:p>
    <w:p>
      <w:pPr>
        <w:spacing w:before="120" w:beforeLines="50" w:after="120" w:afterLines="50"/>
        <w:rPr>
          <w:rFonts w:hint="eastAsia"/>
          <w:color w:val="auto"/>
          <w:sz w:val="22"/>
          <w:szCs w:val="22"/>
        </w:rPr>
      </w:pPr>
      <w:r>
        <w:rPr>
          <w:rFonts w:hint="eastAsia"/>
          <w:color w:val="auto"/>
          <w:sz w:val="22"/>
          <w:szCs w:val="22"/>
        </w:rPr>
        <w:t>（商务技术文件封面，供参考）</w:t>
      </w:r>
      <w:bookmarkEnd w:id="134"/>
      <w:bookmarkEnd w:id="135"/>
    </w:p>
    <w:p>
      <w:pPr>
        <w:rPr>
          <w:rFonts w:hint="eastAsia" w:ascii="新宋体" w:hAnsi="新宋体" w:eastAsia="新宋体" w:cs="新宋体"/>
          <w:color w:val="auto"/>
        </w:rPr>
      </w:pPr>
    </w:p>
    <w:p>
      <w:pPr>
        <w:rPr>
          <w:rFonts w:hint="eastAsia" w:ascii="新宋体" w:hAnsi="新宋体" w:eastAsia="新宋体" w:cs="新宋体"/>
          <w:color w:val="auto"/>
        </w:rPr>
      </w:pPr>
    </w:p>
    <w:p>
      <w:pPr>
        <w:rPr>
          <w:rFonts w:hint="eastAsia" w:ascii="新宋体" w:hAnsi="新宋体" w:eastAsia="新宋体" w:cs="新宋体"/>
          <w:color w:val="auto"/>
        </w:rPr>
      </w:pPr>
    </w:p>
    <w:p>
      <w:pPr>
        <w:jc w:val="center"/>
        <w:rPr>
          <w:rFonts w:hint="eastAsia" w:ascii="新宋体" w:hAnsi="新宋体" w:eastAsia="新宋体" w:cs="新宋体"/>
          <w:color w:val="auto"/>
          <w:sz w:val="28"/>
          <w:szCs w:val="28"/>
        </w:rPr>
      </w:pP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（项目名称）</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投标文件</w:t>
      </w:r>
    </w:p>
    <w:p>
      <w:p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pStyle w:val="24"/>
        <w:ind w:firstLine="281"/>
        <w:rPr>
          <w:rFonts w:hint="eastAsia" w:ascii="新宋体" w:hAnsi="新宋体" w:eastAsia="新宋体" w:cs="新宋体"/>
          <w:color w:val="auto"/>
          <w:sz w:val="28"/>
          <w:szCs w:val="28"/>
        </w:rPr>
      </w:pPr>
    </w:p>
    <w:p>
      <w:pPr>
        <w:pStyle w:val="24"/>
        <w:ind w:firstLine="281"/>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jc w:val="center"/>
        <w:rPr>
          <w:rFonts w:hint="eastAsia" w:ascii="新宋体" w:hAnsi="新宋体" w:eastAsia="新宋体" w:cs="新宋体"/>
          <w:color w:val="auto"/>
          <w:sz w:val="52"/>
          <w:szCs w:val="52"/>
        </w:rPr>
      </w:pPr>
      <w:r>
        <w:rPr>
          <w:rFonts w:hint="eastAsia" w:ascii="新宋体" w:hAnsi="新宋体" w:eastAsia="新宋体" w:cs="新宋体"/>
          <w:color w:val="auto"/>
          <w:sz w:val="52"/>
          <w:szCs w:val="52"/>
        </w:rPr>
        <w:t>商 务 技 术 文 件</w:t>
      </w:r>
    </w:p>
    <w:p>
      <w:pPr>
        <w:spacing w:line="360" w:lineRule="auto"/>
        <w:rPr>
          <w:rFonts w:hint="eastAsia" w:ascii="新宋体" w:hAnsi="新宋体" w:eastAsia="新宋体" w:cs="新宋体"/>
          <w:color w:val="auto"/>
          <w:szCs w:val="21"/>
        </w:rPr>
      </w:pPr>
    </w:p>
    <w:p>
      <w:pPr>
        <w:spacing w:line="360" w:lineRule="auto"/>
        <w:rPr>
          <w:rFonts w:hint="eastAsia" w:ascii="新宋体" w:hAnsi="新宋体" w:eastAsia="新宋体" w:cs="新宋体"/>
          <w:color w:val="auto"/>
          <w:szCs w:val="21"/>
        </w:rPr>
      </w:pPr>
    </w:p>
    <w:p>
      <w:pPr>
        <w:spacing w:line="360" w:lineRule="auto"/>
        <w:rPr>
          <w:rFonts w:hint="eastAsia" w:ascii="新宋体" w:hAnsi="新宋体" w:eastAsia="新宋体" w:cs="新宋体"/>
          <w:color w:val="auto"/>
          <w:szCs w:val="21"/>
        </w:rPr>
      </w:pPr>
    </w:p>
    <w:p>
      <w:pPr>
        <w:spacing w:line="360" w:lineRule="auto"/>
        <w:rPr>
          <w:rFonts w:hint="eastAsia" w:ascii="新宋体" w:hAnsi="新宋体" w:eastAsia="新宋体" w:cs="新宋体"/>
          <w:color w:val="auto"/>
          <w:szCs w:val="21"/>
        </w:rPr>
      </w:pPr>
    </w:p>
    <w:p>
      <w:pPr>
        <w:pStyle w:val="24"/>
        <w:ind w:firstLine="321"/>
        <w:rPr>
          <w:rFonts w:hint="eastAsia"/>
          <w:color w:val="auto"/>
        </w:rPr>
      </w:pPr>
    </w:p>
    <w:p>
      <w:pPr>
        <w:spacing w:line="360" w:lineRule="auto"/>
        <w:rPr>
          <w:rFonts w:hint="eastAsia" w:ascii="新宋体" w:hAnsi="新宋体" w:eastAsia="新宋体" w:cs="新宋体"/>
          <w:color w:val="auto"/>
          <w:szCs w:val="21"/>
        </w:rPr>
      </w:pPr>
    </w:p>
    <w:p>
      <w:pPr>
        <w:jc w:val="cente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投标人：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（盖单位章）</w:t>
      </w:r>
    </w:p>
    <w:p>
      <w:pPr>
        <w:rPr>
          <w:rFonts w:hint="eastAsia" w:ascii="新宋体" w:hAnsi="新宋体" w:eastAsia="新宋体" w:cs="新宋体"/>
          <w:color w:val="auto"/>
          <w:sz w:val="28"/>
          <w:szCs w:val="28"/>
          <w:u w:val="single"/>
        </w:rPr>
      </w:pPr>
    </w:p>
    <w:p>
      <w:pPr>
        <w:jc w:val="cente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法定代表人或其委托代理人：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（签字或盖章）</w:t>
      </w:r>
    </w:p>
    <w:p>
      <w:pPr>
        <w:rPr>
          <w:rFonts w:hint="eastAsia" w:ascii="新宋体" w:hAnsi="新宋体" w:eastAsia="新宋体" w:cs="新宋体"/>
          <w:color w:val="auto"/>
          <w:sz w:val="28"/>
          <w:szCs w:val="28"/>
        </w:rPr>
      </w:pPr>
    </w:p>
    <w:p>
      <w:pPr>
        <w:jc w:val="center"/>
        <w:rPr>
          <w:rFonts w:hint="eastAsia" w:ascii="新宋体" w:hAnsi="新宋体" w:eastAsia="新宋体" w:cs="新宋体"/>
          <w:color w:val="auto"/>
          <w:sz w:val="28"/>
          <w:szCs w:val="28"/>
        </w:rPr>
      </w:pP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日</w:t>
      </w:r>
    </w:p>
    <w:p>
      <w:pPr>
        <w:pStyle w:val="24"/>
        <w:ind w:firstLine="0" w:firstLineChars="0"/>
        <w:rPr>
          <w:rFonts w:hint="eastAsia" w:ascii="宋体" w:hAnsi="宋体"/>
          <w:color w:val="auto"/>
          <w:sz w:val="22"/>
          <w:szCs w:val="22"/>
        </w:rPr>
      </w:pPr>
      <w:r>
        <w:rPr>
          <w:rFonts w:hint="eastAsia" w:ascii="宋体" w:hAnsi="宋体" w:cs="宋体"/>
          <w:color w:val="auto"/>
        </w:rPr>
        <w:br w:type="page"/>
      </w:r>
    </w:p>
    <w:p>
      <w:pPr>
        <w:numPr>
          <w:ilvl w:val="0"/>
          <w:numId w:val="24"/>
        </w:numPr>
        <w:spacing w:line="5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针对评分细则，编制目录索引，注明评标细则项目所在投标文件页码，格式自拟</w:t>
      </w:r>
    </w:p>
    <w:p>
      <w:pPr>
        <w:numPr>
          <w:ilvl w:val="0"/>
          <w:numId w:val="24"/>
        </w:numPr>
        <w:spacing w:line="5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投标函</w:t>
      </w:r>
    </w:p>
    <w:p>
      <w:pPr>
        <w:numPr>
          <w:ilvl w:val="0"/>
          <w:numId w:val="24"/>
        </w:numPr>
        <w:spacing w:line="5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商务偏离表、技术偏离表</w:t>
      </w:r>
    </w:p>
    <w:p>
      <w:pPr>
        <w:numPr>
          <w:ilvl w:val="0"/>
          <w:numId w:val="24"/>
        </w:numPr>
        <w:spacing w:line="5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投标技术方案（以下内容格式自拟）</w:t>
      </w:r>
    </w:p>
    <w:p>
      <w:pPr>
        <w:numPr>
          <w:ilvl w:val="0"/>
          <w:numId w:val="25"/>
        </w:numPr>
        <w:spacing w:line="540" w:lineRule="exact"/>
        <w:ind w:firstLine="84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eastAsia="zh-CN"/>
        </w:rPr>
        <w:t>对本项目道路清扫保洁工作的现状调查与问题剖析</w:t>
      </w:r>
    </w:p>
    <w:p>
      <w:pPr>
        <w:numPr>
          <w:ilvl w:val="0"/>
          <w:numId w:val="25"/>
        </w:numPr>
        <w:spacing w:line="540" w:lineRule="exact"/>
        <w:ind w:firstLine="840"/>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eastAsia="zh-CN"/>
        </w:rPr>
        <w:t>清扫保洁具体实施计划和方案</w:t>
      </w:r>
    </w:p>
    <w:p>
      <w:pPr>
        <w:numPr>
          <w:ilvl w:val="0"/>
          <w:numId w:val="25"/>
        </w:numPr>
        <w:spacing w:line="540" w:lineRule="exact"/>
        <w:ind w:firstLine="840"/>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val="en-US" w:eastAsia="zh-CN"/>
        </w:rPr>
        <w:t>拟设立的各项管理规章制度及档案资料的建立管理</w:t>
      </w:r>
    </w:p>
    <w:p>
      <w:pPr>
        <w:numPr>
          <w:ilvl w:val="0"/>
          <w:numId w:val="25"/>
        </w:numPr>
        <w:spacing w:line="540" w:lineRule="exact"/>
        <w:ind w:firstLine="840"/>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eastAsia="zh-CN"/>
        </w:rPr>
        <w:t>应对突发事情的响应及处理方案</w:t>
      </w:r>
    </w:p>
    <w:p>
      <w:pPr>
        <w:numPr>
          <w:ilvl w:val="0"/>
          <w:numId w:val="24"/>
        </w:numPr>
        <w:spacing w:line="5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投标人自2016年1月1日以来同类项目业绩清单</w:t>
      </w:r>
    </w:p>
    <w:p>
      <w:pPr>
        <w:numPr>
          <w:ilvl w:val="0"/>
          <w:numId w:val="24"/>
        </w:numPr>
        <w:spacing w:line="54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资信证明文件（本部分为商务技术文件评分内容，各供应商参照评分标准根据自身情况提供）</w:t>
      </w:r>
    </w:p>
    <w:p>
      <w:pPr>
        <w:spacing w:line="460" w:lineRule="exact"/>
        <w:rPr>
          <w:rFonts w:hint="eastAsia" w:ascii="宋体" w:hAnsi="宋体"/>
          <w:b/>
          <w:bCs/>
          <w:color w:val="auto"/>
          <w:sz w:val="22"/>
          <w:szCs w:val="22"/>
        </w:rPr>
      </w:pPr>
      <w:r>
        <w:rPr>
          <w:rFonts w:ascii="新宋体" w:hAnsi="新宋体" w:eastAsia="新宋体" w:cs="新宋体"/>
          <w:color w:val="auto"/>
          <w:sz w:val="22"/>
          <w:szCs w:val="22"/>
        </w:rPr>
        <w:br w:type="page"/>
      </w:r>
      <w:r>
        <w:rPr>
          <w:rFonts w:hint="eastAsia" w:ascii="宋体" w:hAnsi="宋体"/>
          <w:b/>
          <w:bCs/>
          <w:color w:val="auto"/>
          <w:sz w:val="22"/>
          <w:szCs w:val="22"/>
        </w:rPr>
        <w:t>附件一</w:t>
      </w:r>
    </w:p>
    <w:p>
      <w:pPr>
        <w:spacing w:line="460" w:lineRule="exact"/>
        <w:ind w:left="22" w:hanging="22" w:hangingChars="8"/>
        <w:jc w:val="center"/>
        <w:rPr>
          <w:rFonts w:hint="eastAsia" w:ascii="宋体" w:hAnsi="宋体"/>
          <w:b/>
          <w:bCs/>
          <w:color w:val="auto"/>
          <w:sz w:val="28"/>
          <w:szCs w:val="28"/>
        </w:rPr>
      </w:pPr>
      <w:r>
        <w:rPr>
          <w:rFonts w:hint="eastAsia" w:ascii="宋体" w:hAnsi="宋体"/>
          <w:b/>
          <w:bCs/>
          <w:color w:val="auto"/>
          <w:sz w:val="28"/>
          <w:szCs w:val="28"/>
        </w:rPr>
        <w:t>投 标 函</w:t>
      </w:r>
    </w:p>
    <w:p>
      <w:pPr>
        <w:spacing w:line="420" w:lineRule="exact"/>
        <w:rPr>
          <w:rFonts w:hint="eastAsia" w:ascii="宋体" w:hAnsi="宋体"/>
          <w:color w:val="auto"/>
          <w:sz w:val="22"/>
          <w:szCs w:val="22"/>
        </w:rPr>
      </w:pPr>
      <w:r>
        <w:rPr>
          <w:rFonts w:hint="eastAsia" w:ascii="宋体" w:hAnsi="宋体"/>
          <w:color w:val="auto"/>
          <w:sz w:val="22"/>
          <w:szCs w:val="22"/>
          <w:lang w:eastAsia="zh-CN"/>
        </w:rPr>
        <w:t>温州市鹿城区山福镇人民政府</w:t>
      </w:r>
      <w:r>
        <w:rPr>
          <w:rFonts w:hint="eastAsia" w:ascii="宋体" w:hAnsi="宋体"/>
          <w:color w:val="auto"/>
          <w:sz w:val="22"/>
          <w:szCs w:val="22"/>
        </w:rPr>
        <w:t>：</w:t>
      </w:r>
    </w:p>
    <w:p>
      <w:pPr>
        <w:spacing w:line="420" w:lineRule="exact"/>
        <w:rPr>
          <w:rFonts w:hint="eastAsia" w:ascii="宋体" w:hAnsi="宋体"/>
          <w:color w:val="auto"/>
          <w:sz w:val="22"/>
          <w:szCs w:val="22"/>
        </w:rPr>
      </w:pPr>
      <w:r>
        <w:rPr>
          <w:rFonts w:hint="eastAsia" w:ascii="宋体" w:hAnsi="宋体"/>
          <w:color w:val="auto"/>
          <w:sz w:val="22"/>
          <w:szCs w:val="22"/>
          <w:lang w:eastAsia="zh-CN"/>
        </w:rPr>
        <w:t>宁波国咨工程造价咨询有限公司</w:t>
      </w:r>
      <w:r>
        <w:rPr>
          <w:rFonts w:hint="eastAsia" w:ascii="宋体" w:hAnsi="宋体"/>
          <w:color w:val="auto"/>
          <w:sz w:val="22"/>
          <w:szCs w:val="22"/>
        </w:rPr>
        <w:t>：</w:t>
      </w:r>
    </w:p>
    <w:p>
      <w:pPr>
        <w:spacing w:line="420" w:lineRule="exact"/>
        <w:ind w:firstLine="440" w:firstLineChars="200"/>
        <w:rPr>
          <w:rFonts w:hint="eastAsia" w:ascii="宋体" w:hAnsi="宋体"/>
          <w:color w:val="auto"/>
          <w:sz w:val="22"/>
          <w:szCs w:val="22"/>
        </w:rPr>
      </w:pPr>
      <w:r>
        <w:rPr>
          <w:rFonts w:hint="eastAsia" w:ascii="宋体" w:hAnsi="宋体"/>
          <w:color w:val="auto"/>
          <w:sz w:val="22"/>
          <w:szCs w:val="22"/>
        </w:rPr>
        <w:t>根据贵方为</w:t>
      </w:r>
      <w:r>
        <w:rPr>
          <w:rFonts w:hint="eastAsia" w:ascii="宋体" w:hAnsi="宋体"/>
          <w:color w:val="auto"/>
          <w:sz w:val="22"/>
          <w:szCs w:val="22"/>
          <w:u w:val="single"/>
        </w:rPr>
        <w:t xml:space="preserve">             </w:t>
      </w:r>
      <w:r>
        <w:rPr>
          <w:rFonts w:hint="eastAsia" w:ascii="宋体" w:hAnsi="宋体"/>
          <w:color w:val="auto"/>
          <w:sz w:val="22"/>
          <w:szCs w:val="22"/>
        </w:rPr>
        <w:t>项目（项目编号：</w:t>
      </w:r>
      <w:r>
        <w:rPr>
          <w:rFonts w:hint="eastAsia" w:ascii="宋体" w:hAnsi="宋体"/>
          <w:color w:val="auto"/>
          <w:sz w:val="22"/>
          <w:szCs w:val="22"/>
          <w:u w:val="single"/>
        </w:rPr>
        <w:t xml:space="preserve">        </w:t>
      </w:r>
      <w:r>
        <w:rPr>
          <w:rFonts w:hint="eastAsia" w:ascii="宋体" w:hAnsi="宋体"/>
          <w:color w:val="auto"/>
          <w:sz w:val="22"/>
          <w:szCs w:val="22"/>
        </w:rPr>
        <w:t>）的投标邀请，我方</w:t>
      </w:r>
      <w:r>
        <w:rPr>
          <w:rFonts w:hint="eastAsia" w:ascii="宋体" w:hAnsi="宋体"/>
          <w:color w:val="auto"/>
          <w:sz w:val="22"/>
          <w:szCs w:val="22"/>
          <w:u w:val="single"/>
        </w:rPr>
        <w:t xml:space="preserve">           　　</w:t>
      </w:r>
      <w:r>
        <w:rPr>
          <w:rFonts w:hint="eastAsia" w:ascii="宋体" w:hAnsi="宋体"/>
          <w:color w:val="auto"/>
          <w:sz w:val="22"/>
          <w:szCs w:val="22"/>
        </w:rPr>
        <w:t>（投标人名称）作为投标人正式授权</w:t>
      </w:r>
      <w:r>
        <w:rPr>
          <w:rFonts w:hint="eastAsia" w:ascii="宋体" w:hAnsi="宋体"/>
          <w:color w:val="auto"/>
          <w:sz w:val="22"/>
          <w:szCs w:val="22"/>
          <w:u w:val="single"/>
        </w:rPr>
        <w:t xml:space="preserve">　           </w:t>
      </w:r>
      <w:r>
        <w:rPr>
          <w:rFonts w:hint="eastAsia" w:ascii="宋体" w:hAnsi="宋体"/>
          <w:color w:val="auto"/>
          <w:sz w:val="22"/>
          <w:szCs w:val="22"/>
        </w:rPr>
        <w:t>（授权代表全名，职务）代表我方处理有关本项目投标的一切事宜。</w:t>
      </w:r>
    </w:p>
    <w:p>
      <w:pPr>
        <w:autoSpaceDE w:val="0"/>
        <w:autoSpaceDN w:val="0"/>
        <w:adjustRightInd w:val="0"/>
        <w:spacing w:line="420" w:lineRule="atLeast"/>
        <w:ind w:firstLine="440" w:firstLineChars="200"/>
        <w:rPr>
          <w:rFonts w:ascii="新宋体" w:hAnsi="Segoe UI Symbol" w:eastAsia="新宋体" w:cs="新宋体"/>
          <w:color w:val="auto"/>
          <w:kern w:val="0"/>
          <w:sz w:val="22"/>
          <w:szCs w:val="22"/>
          <w:lang w:val="zh-CN"/>
        </w:rPr>
      </w:pPr>
      <w:r>
        <w:rPr>
          <w:rFonts w:hint="eastAsia" w:ascii="新宋体" w:hAnsi="Segoe UI Symbol" w:eastAsia="新宋体" w:cs="新宋体"/>
          <w:color w:val="auto"/>
          <w:kern w:val="0"/>
          <w:sz w:val="22"/>
          <w:szCs w:val="22"/>
          <w:lang w:val="zh-CN"/>
        </w:rPr>
        <w:t>在此提交的投标文件中，包括如下内容，并已分别单独密封装袋：</w:t>
      </w:r>
    </w:p>
    <w:p>
      <w:pPr>
        <w:numPr>
          <w:ilvl w:val="0"/>
          <w:numId w:val="26"/>
        </w:numPr>
        <w:spacing w:line="420" w:lineRule="exact"/>
        <w:rPr>
          <w:rFonts w:hint="eastAsia" w:ascii="新宋体" w:hAnsi="新宋体" w:eastAsia="新宋体" w:cs="新宋体"/>
          <w:color w:val="auto"/>
          <w:szCs w:val="21"/>
        </w:rPr>
      </w:pPr>
      <w:r>
        <w:rPr>
          <w:rFonts w:hint="eastAsia" w:ascii="新宋体" w:hAnsi="新宋体" w:eastAsia="新宋体" w:cs="新宋体"/>
          <w:color w:val="auto"/>
          <w:sz w:val="22"/>
        </w:rPr>
        <w:t>按“投标人须知”要求编制的投标文件资格审查资料 ；</w:t>
      </w:r>
    </w:p>
    <w:p>
      <w:pPr>
        <w:numPr>
          <w:ilvl w:val="0"/>
          <w:numId w:val="26"/>
        </w:numPr>
        <w:spacing w:line="420" w:lineRule="exact"/>
        <w:rPr>
          <w:rFonts w:hint="eastAsia" w:ascii="新宋体" w:hAnsi="新宋体" w:eastAsia="新宋体" w:cs="新宋体"/>
          <w:color w:val="auto"/>
          <w:szCs w:val="21"/>
        </w:rPr>
      </w:pPr>
      <w:r>
        <w:rPr>
          <w:rFonts w:hint="eastAsia" w:ascii="新宋体" w:hAnsi="新宋体" w:eastAsia="新宋体" w:cs="新宋体"/>
          <w:color w:val="auto"/>
          <w:sz w:val="22"/>
        </w:rPr>
        <w:t>按“投标人须知”要求编制的投标文件商务商务技术文件 ；</w:t>
      </w:r>
    </w:p>
    <w:p>
      <w:pPr>
        <w:numPr>
          <w:ilvl w:val="0"/>
          <w:numId w:val="26"/>
        </w:numPr>
        <w:spacing w:line="420" w:lineRule="exact"/>
        <w:rPr>
          <w:rFonts w:hint="eastAsia" w:ascii="新宋体" w:hAnsi="新宋体" w:eastAsia="新宋体" w:cs="新宋体"/>
          <w:color w:val="auto"/>
          <w:szCs w:val="21"/>
        </w:rPr>
      </w:pPr>
      <w:r>
        <w:rPr>
          <w:rFonts w:hint="eastAsia" w:ascii="新宋体" w:hAnsi="新宋体" w:eastAsia="新宋体" w:cs="新宋体"/>
          <w:color w:val="auto"/>
          <w:sz w:val="22"/>
        </w:rPr>
        <w:t>按“投标人须知”要求编制的投标文件投标报价标 。</w:t>
      </w:r>
    </w:p>
    <w:p>
      <w:pPr>
        <w:autoSpaceDE w:val="0"/>
        <w:autoSpaceDN w:val="0"/>
        <w:adjustRightInd w:val="0"/>
        <w:spacing w:line="420" w:lineRule="atLeast"/>
        <w:ind w:firstLine="440"/>
        <w:rPr>
          <w:rFonts w:ascii="新宋体" w:hAnsi="Segoe UI Symbol" w:eastAsia="新宋体" w:cs="新宋体"/>
          <w:color w:val="auto"/>
          <w:kern w:val="0"/>
          <w:sz w:val="22"/>
          <w:szCs w:val="22"/>
          <w:lang w:val="zh-CN"/>
        </w:rPr>
      </w:pPr>
      <w:r>
        <w:rPr>
          <w:rFonts w:hint="eastAsia" w:ascii="新宋体" w:hAnsi="Segoe UI Symbol" w:eastAsia="新宋体" w:cs="新宋体"/>
          <w:color w:val="auto"/>
          <w:kern w:val="0"/>
          <w:sz w:val="22"/>
          <w:szCs w:val="22"/>
          <w:lang w:val="zh-CN"/>
        </w:rPr>
        <w:t>我方己完全明白采购文件的所有条款要求，并重申以下几点：</w:t>
      </w:r>
    </w:p>
    <w:p>
      <w:pPr>
        <w:numPr>
          <w:ilvl w:val="0"/>
          <w:numId w:val="27"/>
        </w:numPr>
        <w:spacing w:line="420" w:lineRule="exact"/>
        <w:rPr>
          <w:rFonts w:hint="eastAsia" w:ascii="新宋体" w:hAnsi="新宋体" w:eastAsia="新宋体" w:cs="新宋体"/>
          <w:color w:val="auto"/>
          <w:sz w:val="22"/>
        </w:rPr>
      </w:pPr>
      <w:r>
        <w:rPr>
          <w:rFonts w:hint="eastAsia" w:ascii="新宋体" w:hAnsi="新宋体" w:eastAsia="新宋体" w:cs="新宋体"/>
          <w:color w:val="auto"/>
          <w:sz w:val="22"/>
        </w:rPr>
        <w:t>已详细阅读全部采购文件，包括采购文件补充文件（如果有，包括相关的补充、更正、澄清公告和文件）、参考资料及有关附件，确认无误。我方完全理解并接受采购文件的各项规定和要求。</w:t>
      </w:r>
    </w:p>
    <w:p>
      <w:pPr>
        <w:numPr>
          <w:ilvl w:val="0"/>
          <w:numId w:val="27"/>
        </w:numPr>
        <w:spacing w:line="420" w:lineRule="exact"/>
        <w:rPr>
          <w:rFonts w:hint="eastAsia" w:ascii="新宋体" w:hAnsi="新宋体" w:eastAsia="新宋体" w:cs="新宋体"/>
          <w:color w:val="auto"/>
          <w:sz w:val="22"/>
        </w:rPr>
      </w:pPr>
      <w:r>
        <w:rPr>
          <w:rFonts w:hint="eastAsia" w:ascii="新宋体" w:hAnsi="新宋体" w:eastAsia="新宋体" w:cs="新宋体"/>
          <w:color w:val="auto"/>
          <w:sz w:val="22"/>
        </w:rPr>
        <w:t>同意提供按照贵方可能要求的与投标有关的一切数据或资料等。若贵方需要，我方愿意提供我方作出的一切承诺的证明材料。</w:t>
      </w:r>
    </w:p>
    <w:p>
      <w:pPr>
        <w:numPr>
          <w:ilvl w:val="0"/>
          <w:numId w:val="27"/>
        </w:numPr>
        <w:spacing w:line="420" w:lineRule="exact"/>
        <w:rPr>
          <w:rFonts w:hint="eastAsia" w:ascii="新宋体" w:hAnsi="新宋体" w:eastAsia="新宋体" w:cs="新宋体"/>
          <w:color w:val="auto"/>
          <w:sz w:val="22"/>
        </w:rPr>
      </w:pPr>
      <w:r>
        <w:rPr>
          <w:rFonts w:hint="eastAsia" w:ascii="新宋体" w:hAnsi="新宋体" w:eastAsia="新宋体" w:cs="新宋体"/>
          <w:color w:val="auto"/>
          <w:sz w:val="22"/>
        </w:rPr>
        <w:t>如中标，保证按照采购文件要求及投标文件的承诺与采购人签订合同，保证履行合同条款。</w:t>
      </w:r>
    </w:p>
    <w:p>
      <w:pPr>
        <w:numPr>
          <w:ilvl w:val="0"/>
          <w:numId w:val="27"/>
        </w:numPr>
        <w:spacing w:line="420" w:lineRule="exact"/>
        <w:rPr>
          <w:rFonts w:hint="eastAsia" w:ascii="新宋体" w:hAnsi="新宋体" w:eastAsia="新宋体" w:cs="新宋体"/>
          <w:color w:val="auto"/>
          <w:sz w:val="22"/>
        </w:rPr>
      </w:pPr>
      <w:r>
        <w:rPr>
          <w:rFonts w:hint="eastAsia" w:ascii="新宋体" w:hAnsi="新宋体" w:eastAsia="新宋体" w:cs="新宋体"/>
          <w:color w:val="auto"/>
          <w:sz w:val="22"/>
        </w:rPr>
        <w:t>同意在采购文件中供应商须知规定的开标日期起遵守本投标书中的承诺且在投标有效期满之前均具有约束力。</w:t>
      </w:r>
    </w:p>
    <w:p>
      <w:pPr>
        <w:numPr>
          <w:ilvl w:val="0"/>
          <w:numId w:val="27"/>
        </w:numPr>
        <w:spacing w:line="420" w:lineRule="exact"/>
        <w:rPr>
          <w:rFonts w:hint="eastAsia" w:ascii="新宋体" w:hAnsi="新宋体" w:eastAsia="新宋体" w:cs="新宋体"/>
          <w:color w:val="auto"/>
          <w:sz w:val="22"/>
        </w:rPr>
      </w:pPr>
      <w:r>
        <w:rPr>
          <w:rFonts w:hint="eastAsia" w:ascii="新宋体" w:hAnsi="新宋体" w:eastAsia="新宋体" w:cs="新宋体"/>
          <w:color w:val="auto"/>
          <w:sz w:val="22"/>
        </w:rPr>
        <w:t>如果在开标后规定的投标有效期内撤回投标，我方接受贵方处罚。</w:t>
      </w:r>
    </w:p>
    <w:p>
      <w:pPr>
        <w:numPr>
          <w:ilvl w:val="0"/>
          <w:numId w:val="27"/>
        </w:numPr>
        <w:spacing w:line="420" w:lineRule="exact"/>
        <w:rPr>
          <w:rFonts w:hint="eastAsia" w:ascii="新宋体" w:hAnsi="新宋体" w:eastAsia="新宋体" w:cs="新宋体"/>
          <w:color w:val="auto"/>
          <w:sz w:val="22"/>
        </w:rPr>
      </w:pPr>
      <w:r>
        <w:rPr>
          <w:rFonts w:hint="eastAsia" w:ascii="新宋体" w:hAnsi="新宋体" w:eastAsia="新宋体" w:cs="新宋体"/>
          <w:color w:val="auto"/>
          <w:sz w:val="22"/>
        </w:rPr>
        <w:t>完全理解贵方不一定要接受最低价的投标。</w:t>
      </w:r>
    </w:p>
    <w:p>
      <w:pPr>
        <w:numPr>
          <w:ilvl w:val="0"/>
          <w:numId w:val="27"/>
        </w:numPr>
        <w:spacing w:line="420" w:lineRule="exact"/>
        <w:rPr>
          <w:rFonts w:hint="eastAsia" w:ascii="新宋体" w:hAnsi="新宋体" w:eastAsia="新宋体" w:cs="新宋体"/>
          <w:color w:val="auto"/>
          <w:sz w:val="22"/>
        </w:rPr>
      </w:pPr>
      <w:r>
        <w:rPr>
          <w:rFonts w:hint="eastAsia" w:ascii="新宋体" w:hAnsi="新宋体" w:eastAsia="新宋体" w:cs="新宋体"/>
          <w:color w:val="auto"/>
          <w:sz w:val="22"/>
        </w:rPr>
        <w:t>在参加本项目前三年内（被通报或者处罚的违法行为有：</w:t>
      </w:r>
      <w:r>
        <w:rPr>
          <w:rFonts w:hint="eastAsia" w:ascii="新宋体" w:hAnsi="新宋体" w:eastAsia="新宋体" w:cs="新宋体"/>
          <w:color w:val="auto"/>
          <w:sz w:val="22"/>
          <w:u w:val="single"/>
        </w:rPr>
        <w:t xml:space="preserve">                  </w:t>
      </w:r>
      <w:r>
        <w:rPr>
          <w:rFonts w:hint="eastAsia" w:ascii="新宋体" w:hAnsi="新宋体" w:eastAsia="新宋体" w:cs="新宋体"/>
          <w:color w:val="auto"/>
          <w:sz w:val="22"/>
        </w:rPr>
        <w:t>）或（没有因违法经营受到刑事处罚或者责令停产停业、吊销许可证或者执照、较大数额罚款等行政处罚或处罚）或（在</w:t>
      </w:r>
      <w:r>
        <w:rPr>
          <w:rFonts w:hint="eastAsia" w:ascii="新宋体" w:hAnsi="新宋体" w:eastAsia="新宋体" w:cs="新宋体"/>
          <w:color w:val="auto"/>
          <w:sz w:val="22"/>
          <w:u w:val="single"/>
        </w:rPr>
        <w:t xml:space="preserve">  </w:t>
      </w:r>
      <w:r>
        <w:rPr>
          <w:rFonts w:hint="eastAsia" w:ascii="新宋体" w:hAnsi="新宋体" w:eastAsia="新宋体" w:cs="新宋体"/>
          <w:color w:val="auto"/>
          <w:sz w:val="22"/>
        </w:rPr>
        <w:t>至</w:t>
      </w:r>
      <w:r>
        <w:rPr>
          <w:rFonts w:hint="eastAsia" w:ascii="新宋体" w:hAnsi="新宋体" w:eastAsia="新宋体" w:cs="新宋体"/>
          <w:color w:val="auto"/>
          <w:sz w:val="22"/>
          <w:u w:val="single"/>
        </w:rPr>
        <w:t xml:space="preserve">  </w:t>
      </w:r>
      <w:r>
        <w:rPr>
          <w:rFonts w:hint="eastAsia" w:ascii="新宋体" w:hAnsi="新宋体" w:eastAsia="新宋体" w:cs="新宋体"/>
          <w:color w:val="auto"/>
          <w:sz w:val="22"/>
        </w:rPr>
        <w:t>期间禁止参加政府采购活动但是期限届满，须附相关证明文件）</w:t>
      </w:r>
    </w:p>
    <w:p>
      <w:pPr>
        <w:numPr>
          <w:ilvl w:val="0"/>
          <w:numId w:val="27"/>
        </w:numPr>
        <w:spacing w:line="420" w:lineRule="exact"/>
        <w:rPr>
          <w:rFonts w:hint="eastAsia" w:ascii="新宋体" w:hAnsi="新宋体" w:eastAsia="新宋体" w:cs="新宋体"/>
          <w:color w:val="auto"/>
          <w:sz w:val="22"/>
        </w:rPr>
      </w:pPr>
      <w:r>
        <w:rPr>
          <w:rFonts w:hint="eastAsia" w:ascii="新宋体" w:hAnsi="新宋体" w:eastAsia="新宋体" w:cs="新宋体"/>
          <w:color w:val="auto"/>
          <w:sz w:val="22"/>
        </w:rPr>
        <w:t>在投标截止前（未被“信用中国”网站(</w:t>
      </w:r>
      <w:r>
        <w:rPr>
          <w:rFonts w:hint="eastAsia" w:ascii="新宋体" w:hAnsi="新宋体" w:eastAsia="新宋体" w:cs="新宋体"/>
          <w:color w:val="auto"/>
        </w:rPr>
        <w:fldChar w:fldCharType="begin"/>
      </w:r>
      <w:r>
        <w:rPr>
          <w:rFonts w:hint="eastAsia" w:ascii="新宋体" w:hAnsi="新宋体" w:eastAsia="新宋体" w:cs="新宋体"/>
          <w:color w:val="auto"/>
        </w:rPr>
        <w:instrText xml:space="preserve"> HYPERLINK "http://www.creditchina.gov.cn" </w:instrText>
      </w:r>
      <w:r>
        <w:rPr>
          <w:rFonts w:hint="eastAsia" w:ascii="新宋体" w:hAnsi="新宋体" w:eastAsia="新宋体" w:cs="新宋体"/>
          <w:color w:val="auto"/>
        </w:rPr>
        <w:fldChar w:fldCharType="separate"/>
      </w:r>
      <w:r>
        <w:rPr>
          <w:rFonts w:hint="eastAsia" w:ascii="新宋体" w:hAnsi="新宋体" w:eastAsia="新宋体" w:cs="新宋体"/>
          <w:color w:val="auto"/>
          <w:sz w:val="22"/>
        </w:rPr>
        <w:t>www.creditchina.gov.cn</w:t>
      </w:r>
      <w:r>
        <w:rPr>
          <w:rFonts w:hint="eastAsia" w:ascii="新宋体" w:hAnsi="新宋体" w:eastAsia="新宋体" w:cs="新宋体"/>
          <w:color w:val="auto"/>
          <w:sz w:val="22"/>
        </w:rPr>
        <w:fldChar w:fldCharType="end"/>
      </w:r>
      <w:r>
        <w:rPr>
          <w:rFonts w:hint="eastAsia" w:ascii="新宋体" w:hAnsi="新宋体" w:eastAsia="新宋体" w:cs="新宋体"/>
          <w:color w:val="auto"/>
          <w:sz w:val="22"/>
        </w:rPr>
        <w:t>)列入失信被执行人、重大税收违法案件当事人名单；未被“中国政府采购网”(</w:t>
      </w:r>
      <w:r>
        <w:rPr>
          <w:rFonts w:hint="eastAsia" w:ascii="新宋体" w:hAnsi="新宋体" w:eastAsia="新宋体" w:cs="新宋体"/>
          <w:color w:val="auto"/>
        </w:rPr>
        <w:fldChar w:fldCharType="begin"/>
      </w:r>
      <w:r>
        <w:rPr>
          <w:rFonts w:hint="eastAsia" w:ascii="新宋体" w:hAnsi="新宋体" w:eastAsia="新宋体" w:cs="新宋体"/>
          <w:color w:val="auto"/>
        </w:rPr>
        <w:instrText xml:space="preserve"> HYPERLINK "http://www.ccgp.gov.cn" </w:instrText>
      </w:r>
      <w:r>
        <w:rPr>
          <w:rFonts w:hint="eastAsia" w:ascii="新宋体" w:hAnsi="新宋体" w:eastAsia="新宋体" w:cs="新宋体"/>
          <w:color w:val="auto"/>
        </w:rPr>
        <w:fldChar w:fldCharType="separate"/>
      </w:r>
      <w:r>
        <w:rPr>
          <w:rFonts w:hint="eastAsia" w:ascii="新宋体" w:hAnsi="新宋体" w:eastAsia="新宋体" w:cs="新宋体"/>
          <w:color w:val="auto"/>
          <w:sz w:val="22"/>
        </w:rPr>
        <w:t>www.ccgp.gov.cn</w:t>
      </w:r>
      <w:r>
        <w:rPr>
          <w:rFonts w:hint="eastAsia" w:ascii="新宋体" w:hAnsi="新宋体" w:eastAsia="新宋体" w:cs="新宋体"/>
          <w:color w:val="auto"/>
          <w:sz w:val="22"/>
        </w:rPr>
        <w:fldChar w:fldCharType="end"/>
      </w:r>
      <w:r>
        <w:rPr>
          <w:rFonts w:hint="eastAsia" w:ascii="新宋体" w:hAnsi="新宋体" w:eastAsia="新宋体" w:cs="新宋体"/>
          <w:color w:val="auto"/>
          <w:sz w:val="22"/>
        </w:rPr>
        <w:t>)列入政府采购严重违法失信行为记录名单。）或（被“信用中国”或“中国政府采购网”列入……名单。）</w:t>
      </w:r>
    </w:p>
    <w:p>
      <w:pPr>
        <w:numPr>
          <w:ilvl w:val="0"/>
          <w:numId w:val="27"/>
        </w:numPr>
        <w:spacing w:line="420" w:lineRule="exact"/>
        <w:rPr>
          <w:rFonts w:hint="eastAsia" w:ascii="新宋体" w:hAnsi="新宋体" w:eastAsia="新宋体" w:cs="新宋体"/>
          <w:color w:val="auto"/>
          <w:sz w:val="22"/>
        </w:rPr>
      </w:pPr>
      <w:r>
        <w:rPr>
          <w:rFonts w:hint="eastAsia" w:ascii="新宋体" w:hAnsi="新宋体" w:eastAsia="新宋体" w:cs="新宋体"/>
          <w:color w:val="auto"/>
          <w:sz w:val="22"/>
        </w:rPr>
        <w:t>单位、法定代表人（单位负责人）、本项目被授权人及本项目负责人在参加本项目前三年内（以法院判决书生效日期为准）均无行贿犯罪记录。</w:t>
      </w:r>
    </w:p>
    <w:p>
      <w:pPr>
        <w:numPr>
          <w:ilvl w:val="0"/>
          <w:numId w:val="27"/>
        </w:numPr>
        <w:spacing w:line="420" w:lineRule="exact"/>
        <w:rPr>
          <w:rFonts w:hint="eastAsia" w:ascii="新宋体" w:hAnsi="新宋体" w:eastAsia="新宋体" w:cs="新宋体"/>
          <w:color w:val="auto"/>
          <w:sz w:val="22"/>
        </w:rPr>
      </w:pPr>
      <w:r>
        <w:rPr>
          <w:rFonts w:hint="eastAsia" w:ascii="新宋体" w:hAnsi="新宋体" w:eastAsia="新宋体" w:cs="新宋体"/>
          <w:color w:val="auto"/>
          <w:sz w:val="22"/>
        </w:rPr>
        <w:t>如有列情形之一的，我方愿意被取消中标资格（如中标），同时继续承担其他一切法律后果，并不再寻求任何旨在减轻或免除法律责任的解释：</w:t>
      </w:r>
    </w:p>
    <w:p>
      <w:pPr>
        <w:spacing w:line="420" w:lineRule="exact"/>
        <w:ind w:firstLine="440" w:firstLineChars="200"/>
        <w:rPr>
          <w:rFonts w:hint="eastAsia" w:ascii="新宋体" w:hAnsi="新宋体" w:eastAsia="新宋体" w:cs="新宋体"/>
          <w:color w:val="auto"/>
          <w:sz w:val="22"/>
        </w:rPr>
      </w:pPr>
      <w:r>
        <w:rPr>
          <w:rFonts w:hint="eastAsia" w:ascii="新宋体" w:hAnsi="新宋体" w:eastAsia="新宋体" w:cs="新宋体"/>
          <w:color w:val="auto"/>
          <w:sz w:val="22"/>
        </w:rPr>
        <w:t>(1)提供虚假材料（承诺）谋取中标、成交的；</w:t>
      </w:r>
    </w:p>
    <w:p>
      <w:pPr>
        <w:spacing w:line="420" w:lineRule="exact"/>
        <w:ind w:firstLine="440" w:firstLineChars="200"/>
        <w:rPr>
          <w:rFonts w:hint="eastAsia" w:ascii="新宋体" w:hAnsi="新宋体" w:eastAsia="新宋体" w:cs="新宋体"/>
          <w:color w:val="auto"/>
          <w:sz w:val="22"/>
        </w:rPr>
      </w:pPr>
      <w:r>
        <w:rPr>
          <w:rFonts w:hint="eastAsia" w:ascii="新宋体" w:hAnsi="新宋体" w:eastAsia="新宋体" w:cs="新宋体"/>
          <w:color w:val="auto"/>
          <w:sz w:val="22"/>
        </w:rPr>
        <w:t>(2)采取不正当手段诋毁、排挤其他供应商的；</w:t>
      </w:r>
    </w:p>
    <w:p>
      <w:pPr>
        <w:spacing w:line="420" w:lineRule="exact"/>
        <w:ind w:firstLine="440" w:firstLineChars="200"/>
        <w:rPr>
          <w:rFonts w:hint="eastAsia" w:ascii="新宋体" w:hAnsi="新宋体" w:eastAsia="新宋体" w:cs="新宋体"/>
          <w:color w:val="auto"/>
          <w:sz w:val="22"/>
        </w:rPr>
      </w:pPr>
      <w:r>
        <w:rPr>
          <w:rFonts w:hint="eastAsia" w:ascii="新宋体" w:hAnsi="新宋体" w:eastAsia="新宋体" w:cs="新宋体"/>
          <w:color w:val="auto"/>
          <w:sz w:val="22"/>
        </w:rPr>
        <w:t>(3)与采购人、其它供应商或者采购代理机构恶意串通的；</w:t>
      </w:r>
    </w:p>
    <w:p>
      <w:pPr>
        <w:spacing w:line="420" w:lineRule="exact"/>
        <w:ind w:firstLine="440" w:firstLineChars="200"/>
        <w:rPr>
          <w:rFonts w:hint="eastAsia" w:ascii="新宋体" w:hAnsi="新宋体" w:eastAsia="新宋体" w:cs="新宋体"/>
          <w:color w:val="auto"/>
          <w:sz w:val="22"/>
        </w:rPr>
      </w:pPr>
      <w:r>
        <w:rPr>
          <w:rFonts w:hint="eastAsia" w:ascii="新宋体" w:hAnsi="新宋体" w:eastAsia="新宋体" w:cs="新宋体"/>
          <w:color w:val="auto"/>
          <w:sz w:val="22"/>
        </w:rPr>
        <w:t>(4)向采购人、采购代理机构行贿或者提供其他不正当利益的；</w:t>
      </w:r>
    </w:p>
    <w:p>
      <w:pPr>
        <w:spacing w:line="420" w:lineRule="exact"/>
        <w:ind w:firstLine="440" w:firstLineChars="200"/>
        <w:rPr>
          <w:rFonts w:hint="eastAsia" w:ascii="新宋体" w:hAnsi="新宋体" w:eastAsia="新宋体" w:cs="新宋体"/>
          <w:color w:val="auto"/>
          <w:sz w:val="22"/>
        </w:rPr>
      </w:pPr>
      <w:r>
        <w:rPr>
          <w:rFonts w:hint="eastAsia" w:ascii="新宋体" w:hAnsi="新宋体" w:eastAsia="新宋体" w:cs="新宋体"/>
          <w:color w:val="auto"/>
          <w:sz w:val="22"/>
        </w:rPr>
        <w:t>(5)在招标采购过程中与采购人进行协商谈判的；</w:t>
      </w:r>
    </w:p>
    <w:p>
      <w:pPr>
        <w:spacing w:line="420" w:lineRule="exact"/>
        <w:ind w:firstLine="440" w:firstLineChars="200"/>
        <w:rPr>
          <w:rFonts w:hint="eastAsia" w:ascii="新宋体" w:hAnsi="新宋体" w:eastAsia="新宋体" w:cs="新宋体"/>
          <w:color w:val="auto"/>
          <w:sz w:val="22"/>
        </w:rPr>
      </w:pPr>
      <w:r>
        <w:rPr>
          <w:rFonts w:hint="eastAsia" w:ascii="新宋体" w:hAnsi="新宋体" w:eastAsia="新宋体" w:cs="新宋体"/>
          <w:color w:val="auto"/>
          <w:sz w:val="22"/>
        </w:rPr>
        <w:t>(6)拒绝有关部门监督检查或提供虚假情况的。</w:t>
      </w:r>
    </w:p>
    <w:p>
      <w:pPr>
        <w:numPr>
          <w:ilvl w:val="0"/>
          <w:numId w:val="27"/>
        </w:numPr>
        <w:spacing w:line="420" w:lineRule="exact"/>
        <w:rPr>
          <w:rFonts w:hint="eastAsia" w:ascii="新宋体" w:hAnsi="新宋体" w:eastAsia="新宋体" w:cs="新宋体"/>
          <w:color w:val="auto"/>
          <w:sz w:val="22"/>
        </w:rPr>
      </w:pPr>
      <w:r>
        <w:rPr>
          <w:rFonts w:hint="eastAsia" w:ascii="新宋体" w:hAnsi="新宋体" w:eastAsia="新宋体" w:cs="新宋体"/>
          <w:color w:val="auto"/>
          <w:sz w:val="22"/>
        </w:rPr>
        <w:t>所有与本投标有关的函件请发往下列地址：</w:t>
      </w:r>
    </w:p>
    <w:p>
      <w:pPr>
        <w:spacing w:line="420" w:lineRule="exact"/>
        <w:ind w:firstLine="435"/>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地址</w:t>
      </w:r>
      <w:r>
        <w:rPr>
          <w:rFonts w:hint="eastAsia" w:ascii="新宋体" w:hAnsi="新宋体" w:eastAsia="新宋体" w:cs="新宋体"/>
          <w:color w:val="auto"/>
          <w:sz w:val="22"/>
          <w:szCs w:val="22"/>
          <w:u w:val="single"/>
        </w:rPr>
        <w:t xml:space="preserve">                           </w:t>
      </w:r>
    </w:p>
    <w:p>
      <w:pPr>
        <w:spacing w:line="420" w:lineRule="exact"/>
        <w:ind w:firstLine="435"/>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电话</w:t>
      </w:r>
      <w:r>
        <w:rPr>
          <w:rFonts w:hint="eastAsia" w:ascii="新宋体" w:hAnsi="新宋体" w:eastAsia="新宋体" w:cs="新宋体"/>
          <w:color w:val="auto"/>
          <w:sz w:val="22"/>
          <w:szCs w:val="22"/>
          <w:u w:val="single"/>
        </w:rPr>
        <w:t xml:space="preserve">                           </w:t>
      </w:r>
    </w:p>
    <w:p>
      <w:pPr>
        <w:spacing w:line="420" w:lineRule="exact"/>
        <w:ind w:firstLine="435"/>
        <w:rPr>
          <w:rFonts w:hint="eastAsia" w:ascii="新宋体" w:hAnsi="新宋体" w:eastAsia="新宋体" w:cs="新宋体"/>
          <w:color w:val="auto"/>
          <w:sz w:val="22"/>
          <w:szCs w:val="22"/>
          <w:u w:val="single"/>
        </w:rPr>
      </w:pPr>
      <w:r>
        <w:rPr>
          <w:rFonts w:hint="eastAsia" w:ascii="新宋体" w:hAnsi="新宋体" w:eastAsia="新宋体" w:cs="新宋体"/>
          <w:color w:val="auto"/>
          <w:sz w:val="22"/>
          <w:szCs w:val="22"/>
        </w:rPr>
        <w:t xml:space="preserve">   传真</w:t>
      </w:r>
      <w:r>
        <w:rPr>
          <w:rFonts w:hint="eastAsia" w:ascii="新宋体" w:hAnsi="新宋体" w:eastAsia="新宋体" w:cs="新宋体"/>
          <w:color w:val="auto"/>
          <w:sz w:val="22"/>
          <w:szCs w:val="22"/>
          <w:u w:val="single"/>
        </w:rPr>
        <w:t xml:space="preserve">                           </w:t>
      </w:r>
    </w:p>
    <w:p>
      <w:pPr>
        <w:spacing w:line="420" w:lineRule="exact"/>
        <w:ind w:firstLine="770" w:firstLineChars="350"/>
        <w:rPr>
          <w:rFonts w:hint="eastAsia" w:ascii="宋体" w:hAnsi="宋体"/>
          <w:color w:val="auto"/>
          <w:sz w:val="22"/>
          <w:szCs w:val="22"/>
        </w:rPr>
      </w:pPr>
      <w:r>
        <w:rPr>
          <w:rFonts w:hint="eastAsia" w:ascii="新宋体" w:hAnsi="新宋体" w:eastAsia="新宋体" w:cs="新宋体"/>
          <w:color w:val="auto"/>
          <w:sz w:val="22"/>
          <w:szCs w:val="22"/>
        </w:rPr>
        <w:t>电子邮件</w:t>
      </w:r>
      <w:r>
        <w:rPr>
          <w:rFonts w:hint="eastAsia" w:ascii="新宋体" w:hAnsi="新宋体" w:eastAsia="新宋体" w:cs="新宋体"/>
          <w:color w:val="auto"/>
          <w:sz w:val="22"/>
          <w:szCs w:val="22"/>
          <w:u w:val="single"/>
        </w:rPr>
        <w:t xml:space="preserve">                           </w:t>
      </w:r>
    </w:p>
    <w:p>
      <w:pPr>
        <w:spacing w:line="420" w:lineRule="exact"/>
        <w:ind w:firstLine="4620"/>
        <w:rPr>
          <w:rFonts w:hint="eastAsia" w:ascii="新宋体" w:hAnsi="新宋体" w:eastAsia="新宋体" w:cs="hakuyoxingshu7000"/>
          <w:color w:val="auto"/>
          <w:sz w:val="22"/>
          <w:szCs w:val="22"/>
        </w:rPr>
      </w:pPr>
      <w:r>
        <w:rPr>
          <w:rFonts w:hint="eastAsia" w:ascii="新宋体" w:hAnsi="新宋体" w:eastAsia="新宋体" w:cs="hakuyoxingshu7000"/>
          <w:color w:val="auto"/>
          <w:sz w:val="22"/>
          <w:szCs w:val="22"/>
        </w:rPr>
        <w:t>投标人名称（盖章）</w:t>
      </w:r>
      <w:r>
        <w:rPr>
          <w:rFonts w:hint="eastAsia" w:ascii="新宋体" w:hAnsi="新宋体" w:eastAsia="新宋体" w:cs="hakuyoxingshu7000"/>
          <w:color w:val="auto"/>
          <w:sz w:val="22"/>
          <w:szCs w:val="22"/>
          <w:u w:val="single"/>
        </w:rPr>
        <w:t xml:space="preserve">                  </w:t>
      </w:r>
    </w:p>
    <w:p>
      <w:pPr>
        <w:spacing w:line="420" w:lineRule="exact"/>
        <w:ind w:firstLine="4620"/>
        <w:rPr>
          <w:rFonts w:hint="eastAsia" w:ascii="新宋体" w:hAnsi="新宋体" w:eastAsia="新宋体" w:cs="hakuyoxingshu7000"/>
          <w:color w:val="auto"/>
          <w:sz w:val="22"/>
          <w:szCs w:val="22"/>
        </w:rPr>
      </w:pPr>
      <w:r>
        <w:rPr>
          <w:rFonts w:hint="eastAsia" w:ascii="新宋体" w:hAnsi="新宋体" w:eastAsia="新宋体" w:cs="hakuyoxingshu7000"/>
          <w:color w:val="auto"/>
          <w:sz w:val="22"/>
          <w:szCs w:val="22"/>
        </w:rPr>
        <w:t>投标人代表（签字）</w:t>
      </w:r>
      <w:r>
        <w:rPr>
          <w:rFonts w:hint="eastAsia" w:ascii="新宋体" w:hAnsi="新宋体" w:eastAsia="新宋体" w:cs="hakuyoxingshu7000"/>
          <w:color w:val="auto"/>
          <w:sz w:val="22"/>
          <w:szCs w:val="22"/>
          <w:u w:val="single"/>
        </w:rPr>
        <w:t xml:space="preserve">                   </w:t>
      </w:r>
    </w:p>
    <w:p>
      <w:pPr>
        <w:spacing w:line="460" w:lineRule="exact"/>
        <w:ind w:firstLine="4620"/>
        <w:rPr>
          <w:rFonts w:hint="eastAsia" w:ascii="新宋体" w:hAnsi="新宋体" w:eastAsia="新宋体" w:cs="hakuyoxingshu7000"/>
          <w:color w:val="auto"/>
          <w:sz w:val="22"/>
          <w:szCs w:val="22"/>
          <w:u w:val="single"/>
        </w:rPr>
      </w:pPr>
      <w:r>
        <w:rPr>
          <w:rFonts w:hint="eastAsia" w:ascii="新宋体" w:hAnsi="新宋体" w:eastAsia="新宋体" w:cs="hakuyoxingshu7000"/>
          <w:color w:val="auto"/>
          <w:sz w:val="22"/>
          <w:szCs w:val="22"/>
        </w:rPr>
        <w:t>日    期</w:t>
      </w:r>
      <w:r>
        <w:rPr>
          <w:rFonts w:hint="eastAsia" w:ascii="新宋体" w:hAnsi="新宋体" w:eastAsia="新宋体" w:cs="hakuyoxingshu7000"/>
          <w:color w:val="auto"/>
          <w:sz w:val="22"/>
          <w:szCs w:val="22"/>
          <w:u w:val="single"/>
        </w:rPr>
        <w:t xml:space="preserve">           </w:t>
      </w:r>
    </w:p>
    <w:p>
      <w:pPr>
        <w:spacing w:line="460" w:lineRule="exact"/>
        <w:ind w:firstLine="4620"/>
        <w:rPr>
          <w:rFonts w:hint="eastAsia" w:ascii="新宋体" w:hAnsi="新宋体" w:eastAsia="新宋体" w:cs="hakuyoxingshu7000"/>
          <w:color w:val="auto"/>
          <w:sz w:val="22"/>
          <w:szCs w:val="22"/>
          <w:u w:val="single"/>
        </w:rPr>
      </w:pPr>
    </w:p>
    <w:p>
      <w:pPr>
        <w:spacing w:line="460" w:lineRule="exact"/>
        <w:rPr>
          <w:rFonts w:hint="eastAsia" w:ascii="新宋体" w:hAnsi="新宋体" w:eastAsia="新宋体"/>
          <w:b/>
          <w:color w:val="auto"/>
          <w:sz w:val="22"/>
          <w:szCs w:val="22"/>
          <w:u w:val="single"/>
        </w:rPr>
      </w:pPr>
      <w:r>
        <w:rPr>
          <w:rFonts w:hint="eastAsia" w:ascii="新宋体" w:hAnsi="新宋体" w:eastAsia="新宋体"/>
          <w:b/>
          <w:color w:val="auto"/>
          <w:sz w:val="22"/>
          <w:szCs w:val="22"/>
          <w:u w:val="single"/>
        </w:rPr>
        <w:t>▲不提供投标函的投标文件将被视为未实质性响应采购文件。</w:t>
      </w:r>
    </w:p>
    <w:p>
      <w:pPr>
        <w:spacing w:line="460" w:lineRule="exact"/>
        <w:ind w:firstLine="435"/>
        <w:rPr>
          <w:rFonts w:hint="eastAsia" w:ascii="新宋体" w:hAnsi="新宋体" w:eastAsia="新宋体"/>
          <w:b/>
          <w:color w:val="auto"/>
          <w:sz w:val="22"/>
          <w:szCs w:val="22"/>
          <w:u w:val="single"/>
        </w:rPr>
      </w:pPr>
    </w:p>
    <w:p>
      <w:pPr>
        <w:spacing w:line="460" w:lineRule="exact"/>
        <w:rPr>
          <w:rFonts w:hint="eastAsia" w:ascii="新宋体" w:hAnsi="新宋体" w:eastAsia="新宋体"/>
          <w:b/>
          <w:bCs/>
          <w:color w:val="auto"/>
          <w:sz w:val="22"/>
          <w:szCs w:val="22"/>
        </w:rPr>
      </w:pPr>
      <w:r>
        <w:rPr>
          <w:rFonts w:hint="eastAsia" w:ascii="新宋体" w:hAnsi="新宋体" w:eastAsia="新宋体"/>
          <w:b/>
          <w:color w:val="auto"/>
          <w:sz w:val="22"/>
          <w:szCs w:val="22"/>
          <w:u w:val="single"/>
        </w:rPr>
        <w:br w:type="page"/>
      </w:r>
      <w:r>
        <w:rPr>
          <w:rFonts w:hint="eastAsia" w:ascii="新宋体" w:hAnsi="新宋体" w:eastAsia="新宋体"/>
          <w:b/>
          <w:bCs/>
          <w:color w:val="auto"/>
          <w:sz w:val="22"/>
          <w:szCs w:val="22"/>
        </w:rPr>
        <w:t>附件二</w:t>
      </w:r>
    </w:p>
    <w:p>
      <w:pPr>
        <w:autoSpaceDE w:val="0"/>
        <w:autoSpaceDN w:val="0"/>
        <w:adjustRightInd w:val="0"/>
        <w:spacing w:line="360" w:lineRule="exact"/>
        <w:jc w:val="center"/>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商务偏离表</w:t>
      </w:r>
    </w:p>
    <w:p>
      <w:pPr>
        <w:autoSpaceDE w:val="0"/>
        <w:autoSpaceDN w:val="0"/>
        <w:adjustRightInd w:val="0"/>
        <w:spacing w:line="360" w:lineRule="exact"/>
        <w:ind w:firstLine="3413"/>
        <w:rPr>
          <w:rFonts w:hint="eastAsia" w:ascii="宋体"/>
          <w:color w:val="auto"/>
          <w:sz w:val="32"/>
          <w:lang w:val="zh-CN"/>
        </w:rPr>
      </w:pPr>
      <w:r>
        <w:rPr>
          <w:rFonts w:hint="eastAsia" w:ascii="宋体"/>
          <w:color w:val="auto"/>
          <w:sz w:val="32"/>
          <w:lang w:val="zh-CN"/>
        </w:rPr>
        <w:t xml:space="preserve">      </w:t>
      </w:r>
    </w:p>
    <w:tbl>
      <w:tblPr>
        <w:tblStyle w:val="5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wBefore w:w="0" w:type="dxa"/>
          <w:wAfter w:w="0" w:type="dxa"/>
          <w:trHeight w:val="936"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color w:val="auto"/>
                <w:sz w:val="24"/>
                <w:lang w:val="zh-CN"/>
              </w:rPr>
            </w:pPr>
            <w:r>
              <w:rPr>
                <w:rFonts w:hint="eastAsia" w:ascii="宋体"/>
                <w:b/>
                <w:color w:val="auto"/>
                <w:sz w:val="24"/>
                <w:lang w:val="zh-CN"/>
              </w:rPr>
              <w:t>序 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color w:val="auto"/>
                <w:sz w:val="24"/>
                <w:lang w:val="zh-CN"/>
              </w:rPr>
            </w:pPr>
            <w:r>
              <w:rPr>
                <w:rFonts w:hint="eastAsia" w:ascii="宋体"/>
                <w:b/>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color w:val="auto"/>
                <w:sz w:val="24"/>
                <w:lang w:val="zh-CN"/>
              </w:rPr>
            </w:pPr>
            <w:r>
              <w:rPr>
                <w:rFonts w:hint="eastAsia" w:ascii="宋体"/>
                <w:b/>
                <w:color w:val="auto"/>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color w:val="auto"/>
                <w:sz w:val="24"/>
                <w:lang w:val="zh-CN"/>
              </w:rPr>
            </w:pPr>
            <w:r>
              <w:rPr>
                <w:rFonts w:hint="eastAsia" w:ascii="宋体"/>
                <w:b/>
                <w:color w:val="auto"/>
                <w:sz w:val="24"/>
                <w:lang w:val="zh-CN"/>
              </w:rPr>
              <w:t>投标文件</w:t>
            </w:r>
          </w:p>
          <w:p>
            <w:pPr>
              <w:autoSpaceDE w:val="0"/>
              <w:autoSpaceDN w:val="0"/>
              <w:adjustRightInd w:val="0"/>
              <w:spacing w:line="360" w:lineRule="exact"/>
              <w:jc w:val="center"/>
              <w:rPr>
                <w:rFonts w:hint="eastAsia" w:ascii="宋体"/>
                <w:b/>
                <w:color w:val="auto"/>
                <w:sz w:val="24"/>
                <w:lang w:val="zh-CN"/>
              </w:rPr>
            </w:pPr>
            <w:r>
              <w:rPr>
                <w:rFonts w:hint="eastAsia" w:ascii="宋体"/>
                <w:b/>
                <w:color w:val="auto"/>
                <w:sz w:val="24"/>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color w:val="auto"/>
                <w:sz w:val="24"/>
                <w:lang w:val="zh-CN"/>
              </w:rPr>
            </w:pPr>
            <w:r>
              <w:rPr>
                <w:rFonts w:hint="eastAsia" w:ascii="宋体"/>
                <w:b/>
                <w:color w:val="auto"/>
                <w:sz w:val="24"/>
                <w:lang w:val="zh-CN"/>
              </w:rPr>
              <w:t>备 注</w:t>
            </w:r>
          </w:p>
        </w:tc>
      </w:tr>
      <w:tr>
        <w:tblPrEx>
          <w:tblCellMar>
            <w:top w:w="0" w:type="dxa"/>
            <w:left w:w="108" w:type="dxa"/>
            <w:bottom w:w="0" w:type="dxa"/>
            <w:right w:w="108" w:type="dxa"/>
          </w:tblCellMar>
        </w:tblPrEx>
        <w:trPr>
          <w:wBefore w:w="0" w:type="dxa"/>
          <w:wAfter w:w="0" w:type="dxa"/>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r>
      <w:tr>
        <w:tblPrEx>
          <w:tblCellMar>
            <w:top w:w="0" w:type="dxa"/>
            <w:left w:w="108" w:type="dxa"/>
            <w:bottom w:w="0" w:type="dxa"/>
            <w:right w:w="108" w:type="dxa"/>
          </w:tblCellMar>
        </w:tblPrEx>
        <w:trPr>
          <w:wBefore w:w="0" w:type="dxa"/>
          <w:wAfter w:w="0" w:type="dxa"/>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r>
      <w:tr>
        <w:tblPrEx>
          <w:tblCellMar>
            <w:top w:w="0" w:type="dxa"/>
            <w:left w:w="108" w:type="dxa"/>
            <w:bottom w:w="0" w:type="dxa"/>
            <w:right w:w="108" w:type="dxa"/>
          </w:tblCellMar>
        </w:tblPrEx>
        <w:trPr>
          <w:wBefore w:w="0" w:type="dxa"/>
          <w:wAfter w:w="0" w:type="dxa"/>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r>
      <w:tr>
        <w:tblPrEx>
          <w:tblCellMar>
            <w:top w:w="0" w:type="dxa"/>
            <w:left w:w="108" w:type="dxa"/>
            <w:bottom w:w="0" w:type="dxa"/>
            <w:right w:w="108" w:type="dxa"/>
          </w:tblCellMar>
        </w:tblPrEx>
        <w:trPr>
          <w:wBefore w:w="0" w:type="dxa"/>
          <w:wAfter w:w="0" w:type="dxa"/>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r>
      <w:tr>
        <w:tblPrEx>
          <w:tblCellMar>
            <w:top w:w="0" w:type="dxa"/>
            <w:left w:w="108" w:type="dxa"/>
            <w:bottom w:w="0" w:type="dxa"/>
            <w:right w:w="108" w:type="dxa"/>
          </w:tblCellMar>
        </w:tblPrEx>
        <w:trPr>
          <w:wBefore w:w="0" w:type="dxa"/>
          <w:wAfter w:w="0" w:type="dxa"/>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r>
      <w:tr>
        <w:tblPrEx>
          <w:tblCellMar>
            <w:top w:w="0" w:type="dxa"/>
            <w:left w:w="108" w:type="dxa"/>
            <w:bottom w:w="0" w:type="dxa"/>
            <w:right w:w="108" w:type="dxa"/>
          </w:tblCellMar>
        </w:tblPrEx>
        <w:trPr>
          <w:wBefore w:w="0" w:type="dxa"/>
          <w:wAfter w:w="0" w:type="dxa"/>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r>
      <w:tr>
        <w:tblPrEx>
          <w:tblCellMar>
            <w:top w:w="0" w:type="dxa"/>
            <w:left w:w="108" w:type="dxa"/>
            <w:bottom w:w="0" w:type="dxa"/>
            <w:right w:w="108" w:type="dxa"/>
          </w:tblCellMar>
        </w:tblPrEx>
        <w:trPr>
          <w:wBefore w:w="0" w:type="dxa"/>
          <w:wAfter w:w="0" w:type="dxa"/>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r>
      <w:tr>
        <w:tblPrEx>
          <w:tblCellMar>
            <w:top w:w="0" w:type="dxa"/>
            <w:left w:w="108" w:type="dxa"/>
            <w:bottom w:w="0" w:type="dxa"/>
            <w:right w:w="108" w:type="dxa"/>
          </w:tblCellMar>
        </w:tblPrEx>
        <w:trPr>
          <w:wBefore w:w="0" w:type="dxa"/>
          <w:wAfter w:w="0" w:type="dxa"/>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r>
      <w:tr>
        <w:tblPrEx>
          <w:tblCellMar>
            <w:top w:w="0" w:type="dxa"/>
            <w:left w:w="108" w:type="dxa"/>
            <w:bottom w:w="0" w:type="dxa"/>
            <w:right w:w="108" w:type="dxa"/>
          </w:tblCellMar>
        </w:tblPrEx>
        <w:trPr>
          <w:wBefore w:w="0" w:type="dxa"/>
          <w:wAfter w:w="0" w:type="dxa"/>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4"/>
                <w:lang w:val="zh-CN"/>
              </w:rPr>
            </w:pPr>
          </w:p>
        </w:tc>
      </w:tr>
    </w:tbl>
    <w:p>
      <w:pPr>
        <w:autoSpaceDE w:val="0"/>
        <w:autoSpaceDN w:val="0"/>
        <w:adjustRightInd w:val="0"/>
        <w:spacing w:line="360" w:lineRule="exact"/>
        <w:rPr>
          <w:rFonts w:hint="eastAsia" w:ascii="宋体"/>
          <w:b/>
          <w:color w:val="auto"/>
          <w:sz w:val="24"/>
          <w:lang w:val="zh-CN"/>
        </w:rPr>
      </w:pPr>
      <w:r>
        <w:rPr>
          <w:rFonts w:hint="eastAsia" w:ascii="宋体"/>
          <w:b/>
          <w:color w:val="auto"/>
          <w:sz w:val="24"/>
          <w:lang w:val="zh-CN"/>
        </w:rPr>
        <w:t>供应商盖章：</w:t>
      </w:r>
      <w:r>
        <w:rPr>
          <w:rFonts w:hint="eastAsia" w:ascii="宋体"/>
          <w:b/>
          <w:color w:val="auto"/>
          <w:sz w:val="24"/>
          <w:u w:val="single"/>
          <w:lang w:val="zh-CN"/>
        </w:rPr>
        <w:t xml:space="preserve">              </w:t>
      </w:r>
      <w:r>
        <w:rPr>
          <w:rFonts w:hint="eastAsia" w:ascii="宋体"/>
          <w:b/>
          <w:color w:val="auto"/>
          <w:sz w:val="24"/>
          <w:lang w:val="zh-CN"/>
        </w:rPr>
        <w:t xml:space="preserve">  </w:t>
      </w:r>
    </w:p>
    <w:p>
      <w:pPr>
        <w:autoSpaceDE w:val="0"/>
        <w:autoSpaceDN w:val="0"/>
        <w:adjustRightInd w:val="0"/>
        <w:spacing w:line="360" w:lineRule="exact"/>
        <w:rPr>
          <w:rFonts w:hint="eastAsia" w:ascii="宋体"/>
          <w:b/>
          <w:color w:val="auto"/>
          <w:szCs w:val="21"/>
          <w:lang w:val="zh-CN"/>
        </w:rPr>
      </w:pPr>
    </w:p>
    <w:p>
      <w:pPr>
        <w:autoSpaceDE w:val="0"/>
        <w:autoSpaceDN w:val="0"/>
        <w:adjustRightInd w:val="0"/>
        <w:spacing w:line="360" w:lineRule="exact"/>
        <w:jc w:val="center"/>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技术偏离表</w:t>
      </w:r>
    </w:p>
    <w:p>
      <w:pPr>
        <w:pStyle w:val="23"/>
        <w:rPr>
          <w:rFonts w:hint="eastAsia"/>
          <w:color w:val="auto"/>
        </w:rPr>
      </w:pPr>
    </w:p>
    <w:tbl>
      <w:tblPr>
        <w:tblStyle w:val="5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wBefore w:w="0" w:type="dxa"/>
          <w:wAfter w:w="0" w:type="dxa"/>
          <w:trHeight w:val="918"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color w:val="auto"/>
                <w:sz w:val="22"/>
                <w:lang w:val="zh-CN"/>
              </w:rPr>
            </w:pPr>
            <w:r>
              <w:rPr>
                <w:rFonts w:hint="eastAsia" w:ascii="宋体"/>
                <w:b/>
                <w:color w:val="auto"/>
                <w:sz w:val="22"/>
                <w:lang w:val="zh-CN"/>
              </w:rPr>
              <w:t>序 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color w:val="auto"/>
                <w:sz w:val="22"/>
                <w:lang w:val="zh-CN"/>
              </w:rPr>
            </w:pPr>
            <w:r>
              <w:rPr>
                <w:rFonts w:hint="eastAsia" w:ascii="宋体"/>
                <w:b/>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color w:val="auto"/>
                <w:sz w:val="22"/>
                <w:lang w:val="zh-CN"/>
              </w:rPr>
            </w:pPr>
            <w:r>
              <w:rPr>
                <w:rFonts w:hint="eastAsia" w:ascii="宋体"/>
                <w:b/>
                <w:color w:val="auto"/>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color w:val="auto"/>
                <w:sz w:val="22"/>
                <w:lang w:val="zh-CN"/>
              </w:rPr>
            </w:pPr>
            <w:r>
              <w:rPr>
                <w:rFonts w:hint="eastAsia" w:ascii="宋体"/>
                <w:b/>
                <w:color w:val="auto"/>
                <w:sz w:val="22"/>
                <w:lang w:val="zh-CN"/>
              </w:rPr>
              <w:t>投标文件</w:t>
            </w:r>
          </w:p>
          <w:p>
            <w:pPr>
              <w:autoSpaceDE w:val="0"/>
              <w:autoSpaceDN w:val="0"/>
              <w:adjustRightInd w:val="0"/>
              <w:spacing w:line="360" w:lineRule="exact"/>
              <w:jc w:val="center"/>
              <w:rPr>
                <w:rFonts w:hint="eastAsia" w:ascii="宋体"/>
                <w:b/>
                <w:color w:val="auto"/>
                <w:sz w:val="22"/>
                <w:lang w:val="zh-CN"/>
              </w:rPr>
            </w:pPr>
            <w:r>
              <w:rPr>
                <w:rFonts w:hint="eastAsia" w:ascii="宋体"/>
                <w:b/>
                <w:color w:val="auto"/>
                <w:sz w:val="22"/>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color w:val="auto"/>
                <w:sz w:val="22"/>
                <w:lang w:val="zh-CN"/>
              </w:rPr>
            </w:pPr>
            <w:r>
              <w:rPr>
                <w:rFonts w:hint="eastAsia" w:ascii="宋体"/>
                <w:b/>
                <w:color w:val="auto"/>
                <w:sz w:val="22"/>
                <w:lang w:val="zh-CN"/>
              </w:rPr>
              <w:t>备 注</w:t>
            </w: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color w:val="auto"/>
                <w:sz w:val="22"/>
                <w:lang w:val="zh-CN"/>
              </w:rPr>
            </w:pPr>
          </w:p>
        </w:tc>
      </w:tr>
    </w:tbl>
    <w:p>
      <w:pPr>
        <w:spacing w:line="360" w:lineRule="exact"/>
        <w:rPr>
          <w:rFonts w:hint="eastAsia" w:ascii="宋体"/>
          <w:b/>
          <w:color w:val="auto"/>
          <w:spacing w:val="20"/>
          <w:sz w:val="22"/>
        </w:rPr>
      </w:pPr>
      <w:r>
        <w:rPr>
          <w:rFonts w:hint="eastAsia" w:ascii="宋体"/>
          <w:b/>
          <w:color w:val="auto"/>
          <w:sz w:val="22"/>
          <w:lang w:val="zh-CN"/>
        </w:rPr>
        <w:t>供应商盖章：</w:t>
      </w:r>
      <w:r>
        <w:rPr>
          <w:rFonts w:hint="eastAsia" w:ascii="宋体"/>
          <w:b/>
          <w:color w:val="auto"/>
          <w:sz w:val="22"/>
          <w:u w:val="single"/>
          <w:lang w:val="zh-CN"/>
        </w:rPr>
        <w:t xml:space="preserve">             </w:t>
      </w:r>
    </w:p>
    <w:p>
      <w:pPr>
        <w:spacing w:line="400" w:lineRule="exact"/>
        <w:ind w:left="220" w:hanging="220" w:hangingChars="100"/>
        <w:rPr>
          <w:rFonts w:ascii="宋体"/>
          <w:color w:val="auto"/>
          <w:sz w:val="22"/>
          <w:szCs w:val="22"/>
        </w:rPr>
      </w:pPr>
      <w:r>
        <w:rPr>
          <w:rFonts w:hint="eastAsia" w:ascii="宋体"/>
          <w:color w:val="auto"/>
          <w:sz w:val="22"/>
          <w:szCs w:val="22"/>
        </w:rPr>
        <w:t>说明：</w:t>
      </w:r>
    </w:p>
    <w:p>
      <w:pPr>
        <w:spacing w:line="400" w:lineRule="exact"/>
        <w:ind w:left="220" w:hanging="220" w:hangingChars="100"/>
        <w:rPr>
          <w:rFonts w:ascii="新宋体" w:hAnsi="新宋体" w:eastAsia="新宋体" w:cs="新宋体"/>
          <w:color w:val="auto"/>
          <w:sz w:val="22"/>
        </w:rPr>
      </w:pPr>
      <w:r>
        <w:rPr>
          <w:rFonts w:hint="eastAsia" w:ascii="新宋体" w:hAnsi="新宋体" w:eastAsia="新宋体" w:cs="新宋体"/>
          <w:color w:val="auto"/>
          <w:sz w:val="22"/>
        </w:rPr>
        <w:t>1.如不填写，则视为完全响应招标文件。</w:t>
      </w:r>
    </w:p>
    <w:p>
      <w:pPr>
        <w:spacing w:line="400" w:lineRule="exact"/>
        <w:ind w:left="220" w:hanging="220" w:hangingChars="100"/>
        <w:rPr>
          <w:rFonts w:ascii="新宋体" w:hAnsi="新宋体" w:eastAsia="新宋体" w:cs="新宋体"/>
          <w:color w:val="auto"/>
          <w:sz w:val="22"/>
        </w:rPr>
      </w:pPr>
      <w:r>
        <w:rPr>
          <w:rFonts w:hint="eastAsia" w:ascii="新宋体" w:hAnsi="新宋体" w:eastAsia="新宋体" w:cs="新宋体"/>
          <w:color w:val="auto"/>
          <w:sz w:val="22"/>
        </w:rPr>
        <w:t>2.如出现偏离，投标供应商务必如实填写此表，否则存在的风险由投标供应商自行承担。</w:t>
      </w:r>
    </w:p>
    <w:p>
      <w:pPr>
        <w:spacing w:line="400" w:lineRule="exact"/>
        <w:rPr>
          <w:rFonts w:ascii="新宋体" w:hAnsi="新宋体" w:eastAsia="新宋体" w:cs="新宋体"/>
          <w:color w:val="auto"/>
          <w:sz w:val="22"/>
        </w:rPr>
      </w:pPr>
      <w:r>
        <w:rPr>
          <w:rFonts w:hint="eastAsia" w:ascii="新宋体" w:hAnsi="新宋体" w:eastAsia="新宋体" w:cs="新宋体"/>
          <w:color w:val="auto"/>
          <w:sz w:val="22"/>
        </w:rPr>
        <w:t>3</w:t>
      </w:r>
      <w:r>
        <w:rPr>
          <w:rFonts w:hint="eastAsia" w:ascii="新宋体" w:hAnsi="新宋体" w:eastAsia="新宋体" w:cs="新宋体"/>
          <w:color w:val="auto"/>
          <w:sz w:val="22"/>
          <w:u w:val="single"/>
        </w:rPr>
        <w:t>.</w:t>
      </w:r>
      <w:r>
        <w:rPr>
          <w:rFonts w:hint="eastAsia" w:ascii="新宋体" w:hAnsi="新宋体" w:eastAsia="新宋体" w:cs="新宋体"/>
          <w:b/>
          <w:bCs/>
          <w:color w:val="auto"/>
          <w:sz w:val="22"/>
          <w:u w:val="single"/>
        </w:rPr>
        <w:t>▲不提供此表的响应文件将被视为未实质性响应招标文件，其按无效投标处理</w:t>
      </w:r>
      <w:r>
        <w:rPr>
          <w:rFonts w:hint="eastAsia" w:ascii="新宋体" w:hAnsi="新宋体" w:eastAsia="新宋体" w:cs="新宋体"/>
          <w:b/>
          <w:bCs/>
          <w:color w:val="auto"/>
          <w:sz w:val="22"/>
        </w:rPr>
        <w:t>。</w:t>
      </w:r>
    </w:p>
    <w:p>
      <w:pPr>
        <w:spacing w:line="400" w:lineRule="exact"/>
        <w:ind w:left="220" w:hanging="220" w:hangingChars="100"/>
        <w:rPr>
          <w:rFonts w:hint="eastAsia" w:ascii="新宋体" w:hAnsi="新宋体" w:eastAsia="新宋体" w:cs="新宋体"/>
          <w:color w:val="auto"/>
          <w:sz w:val="22"/>
        </w:rPr>
      </w:pPr>
      <w:r>
        <w:rPr>
          <w:rFonts w:hint="eastAsia" w:ascii="新宋体" w:hAnsi="新宋体" w:eastAsia="新宋体" w:cs="新宋体"/>
          <w:color w:val="auto"/>
          <w:sz w:val="22"/>
        </w:rPr>
        <w:t>4.表格可以延续。</w:t>
      </w:r>
    </w:p>
    <w:p>
      <w:pPr>
        <w:spacing w:line="460" w:lineRule="exact"/>
        <w:jc w:val="left"/>
        <w:rPr>
          <w:rFonts w:hint="eastAsia" w:ascii="新宋体" w:hAnsi="新宋体" w:eastAsia="新宋体"/>
          <w:b/>
          <w:bCs/>
          <w:color w:val="auto"/>
          <w:kern w:val="2"/>
          <w:sz w:val="28"/>
          <w:szCs w:val="28"/>
          <w:lang w:val="en-US" w:eastAsia="zh-CN" w:bidi="ar-SA"/>
        </w:rPr>
      </w:pPr>
      <w:r>
        <w:rPr>
          <w:rFonts w:ascii="新宋体" w:hAnsi="新宋体" w:eastAsia="新宋体" w:cs="新宋体"/>
          <w:color w:val="auto"/>
          <w:sz w:val="22"/>
          <w:szCs w:val="22"/>
        </w:rPr>
        <w:br w:type="page"/>
      </w:r>
      <w:r>
        <w:rPr>
          <w:rFonts w:hint="eastAsia" w:ascii="新宋体" w:hAnsi="新宋体" w:eastAsia="新宋体"/>
          <w:b/>
          <w:bCs/>
          <w:color w:val="auto"/>
          <w:sz w:val="22"/>
          <w:szCs w:val="22"/>
        </w:rPr>
        <w:t>附件</w:t>
      </w:r>
      <w:r>
        <w:rPr>
          <w:rFonts w:hint="eastAsia" w:ascii="新宋体" w:hAnsi="新宋体" w:eastAsia="新宋体"/>
          <w:b/>
          <w:bCs/>
          <w:color w:val="auto"/>
          <w:sz w:val="22"/>
          <w:szCs w:val="22"/>
          <w:lang w:eastAsia="zh-CN"/>
        </w:rPr>
        <w:t>三</w:t>
      </w:r>
      <w:r>
        <w:rPr>
          <w:rFonts w:hint="eastAsia" w:ascii="新宋体" w:hAnsi="新宋体" w:eastAsia="新宋体"/>
          <w:b/>
          <w:bCs/>
          <w:color w:val="auto"/>
          <w:sz w:val="22"/>
          <w:szCs w:val="22"/>
          <w:lang w:val="en-US" w:eastAsia="zh-CN"/>
        </w:rPr>
        <w:t xml:space="preserve">                      </w:t>
      </w:r>
      <w:r>
        <w:rPr>
          <w:rFonts w:hint="eastAsia" w:ascii="新宋体" w:hAnsi="新宋体" w:eastAsia="新宋体"/>
          <w:b/>
          <w:bCs/>
          <w:color w:val="auto"/>
          <w:kern w:val="2"/>
          <w:sz w:val="28"/>
          <w:szCs w:val="28"/>
          <w:lang w:val="en-US" w:eastAsia="zh-CN" w:bidi="ar-SA"/>
        </w:rPr>
        <w:t>拟投入设备（工具）一览表</w:t>
      </w:r>
    </w:p>
    <w:p>
      <w:pPr>
        <w:rPr>
          <w:rFonts w:hint="eastAsia" w:ascii="宋体" w:hAnsi="宋体"/>
          <w:b/>
          <w:color w:val="auto"/>
          <w:sz w:val="24"/>
        </w:rPr>
      </w:pPr>
    </w:p>
    <w:p>
      <w:pPr>
        <w:rPr>
          <w:rFonts w:hint="eastAsia" w:ascii="宋体" w:hAnsi="宋体"/>
          <w:color w:val="auto"/>
          <w:sz w:val="22"/>
        </w:rPr>
      </w:pPr>
      <w:r>
        <w:rPr>
          <w:rFonts w:hint="eastAsia" w:ascii="宋体" w:hAnsi="宋体"/>
          <w:b/>
          <w:color w:val="auto"/>
          <w:sz w:val="24"/>
        </w:rPr>
        <w:t>项目名称：</w:t>
      </w:r>
      <w:r>
        <w:rPr>
          <w:rFonts w:hint="eastAsia" w:ascii="宋体" w:hAnsi="宋体"/>
          <w:b/>
          <w:color w:val="auto"/>
          <w:sz w:val="22"/>
        </w:rPr>
        <w:t xml:space="preserve">                                             项目编号：</w:t>
      </w:r>
      <w:r>
        <w:rPr>
          <w:rFonts w:hint="eastAsia" w:ascii="宋体" w:hAnsi="宋体"/>
          <w:color w:val="auto"/>
          <w:sz w:val="22"/>
        </w:rPr>
        <w:t xml:space="preserve">             </w:t>
      </w:r>
    </w:p>
    <w:tbl>
      <w:tblPr>
        <w:tblStyle w:val="5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469"/>
        <w:gridCol w:w="850"/>
        <w:gridCol w:w="709"/>
        <w:gridCol w:w="1276"/>
        <w:gridCol w:w="1275"/>
        <w:gridCol w:w="1276"/>
        <w:gridCol w:w="1418"/>
        <w:gridCol w:w="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9" w:hRule="atLeast"/>
          <w:jc w:val="center"/>
        </w:trPr>
        <w:tc>
          <w:tcPr>
            <w:tcW w:w="766" w:type="dxa"/>
            <w:noWrap w:val="0"/>
            <w:vAlign w:val="center"/>
          </w:tcPr>
          <w:p>
            <w:pPr>
              <w:spacing w:line="360" w:lineRule="auto"/>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序号</w:t>
            </w:r>
          </w:p>
        </w:tc>
        <w:tc>
          <w:tcPr>
            <w:tcW w:w="1469" w:type="dxa"/>
            <w:noWrap w:val="0"/>
            <w:vAlign w:val="center"/>
          </w:tcPr>
          <w:p>
            <w:pPr>
              <w:spacing w:line="360" w:lineRule="auto"/>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设备名称</w:t>
            </w:r>
          </w:p>
        </w:tc>
        <w:tc>
          <w:tcPr>
            <w:tcW w:w="850" w:type="dxa"/>
            <w:noWrap w:val="0"/>
            <w:vAlign w:val="center"/>
          </w:tcPr>
          <w:p>
            <w:pPr>
              <w:autoSpaceDE w:val="0"/>
              <w:autoSpaceDN w:val="0"/>
              <w:spacing w:line="221"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使用时间</w:t>
            </w:r>
          </w:p>
        </w:tc>
        <w:tc>
          <w:tcPr>
            <w:tcW w:w="709" w:type="dxa"/>
            <w:noWrap w:val="0"/>
            <w:vAlign w:val="center"/>
          </w:tcPr>
          <w:p>
            <w:pPr>
              <w:spacing w:line="360" w:lineRule="auto"/>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数量</w:t>
            </w:r>
          </w:p>
        </w:tc>
        <w:tc>
          <w:tcPr>
            <w:tcW w:w="1276" w:type="dxa"/>
            <w:noWrap w:val="0"/>
            <w:vAlign w:val="center"/>
          </w:tcPr>
          <w:p>
            <w:pPr>
              <w:spacing w:line="360" w:lineRule="auto"/>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规格型号、总质量</w:t>
            </w:r>
          </w:p>
        </w:tc>
        <w:tc>
          <w:tcPr>
            <w:tcW w:w="1275" w:type="dxa"/>
            <w:noWrap w:val="0"/>
            <w:vAlign w:val="center"/>
          </w:tcPr>
          <w:p>
            <w:pPr>
              <w:autoSpaceDE w:val="0"/>
              <w:autoSpaceDN w:val="0"/>
              <w:spacing w:line="221"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品牌/产地</w:t>
            </w:r>
          </w:p>
        </w:tc>
        <w:tc>
          <w:tcPr>
            <w:tcW w:w="1276" w:type="dxa"/>
            <w:noWrap w:val="0"/>
            <w:vAlign w:val="center"/>
          </w:tcPr>
          <w:p>
            <w:pPr>
              <w:spacing w:line="28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车牌号</w:t>
            </w:r>
          </w:p>
        </w:tc>
        <w:tc>
          <w:tcPr>
            <w:tcW w:w="1418" w:type="dxa"/>
            <w:noWrap w:val="0"/>
            <w:vAlign w:val="center"/>
          </w:tcPr>
          <w:p>
            <w:pPr>
              <w:autoSpaceDE w:val="0"/>
              <w:autoSpaceDN w:val="0"/>
              <w:spacing w:line="221"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现服务项目名称、地点</w:t>
            </w:r>
          </w:p>
        </w:tc>
        <w:tc>
          <w:tcPr>
            <w:tcW w:w="815" w:type="dxa"/>
            <w:noWrap w:val="0"/>
            <w:vAlign w:val="center"/>
          </w:tcPr>
          <w:p>
            <w:pPr>
              <w:spacing w:line="360" w:lineRule="auto"/>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exact"/>
          <w:jc w:val="center"/>
        </w:trPr>
        <w:tc>
          <w:tcPr>
            <w:tcW w:w="766" w:type="dxa"/>
            <w:noWrap w:val="0"/>
            <w:vAlign w:val="center"/>
          </w:tcPr>
          <w:p>
            <w:pPr>
              <w:spacing w:line="360" w:lineRule="auto"/>
              <w:jc w:val="center"/>
              <w:rPr>
                <w:rFonts w:hint="eastAsia" w:ascii="新宋体" w:hAnsi="新宋体" w:eastAsia="新宋体" w:cs="新宋体"/>
                <w:color w:val="auto"/>
                <w:sz w:val="22"/>
                <w:szCs w:val="22"/>
              </w:rPr>
            </w:pPr>
          </w:p>
        </w:tc>
        <w:tc>
          <w:tcPr>
            <w:tcW w:w="1469" w:type="dxa"/>
            <w:noWrap w:val="0"/>
            <w:vAlign w:val="center"/>
          </w:tcPr>
          <w:p>
            <w:pPr>
              <w:spacing w:line="360" w:lineRule="auto"/>
              <w:jc w:val="center"/>
              <w:rPr>
                <w:rFonts w:hint="eastAsia" w:ascii="新宋体" w:hAnsi="新宋体" w:eastAsia="新宋体" w:cs="新宋体"/>
                <w:color w:val="auto"/>
                <w:sz w:val="22"/>
                <w:szCs w:val="22"/>
              </w:rPr>
            </w:pPr>
          </w:p>
        </w:tc>
        <w:tc>
          <w:tcPr>
            <w:tcW w:w="850" w:type="dxa"/>
            <w:noWrap w:val="0"/>
            <w:vAlign w:val="center"/>
          </w:tcPr>
          <w:p>
            <w:pPr>
              <w:spacing w:line="360" w:lineRule="auto"/>
              <w:jc w:val="center"/>
              <w:rPr>
                <w:rFonts w:hint="eastAsia" w:ascii="新宋体" w:hAnsi="新宋体" w:eastAsia="新宋体" w:cs="新宋体"/>
                <w:color w:val="auto"/>
                <w:sz w:val="22"/>
                <w:szCs w:val="22"/>
              </w:rPr>
            </w:pPr>
          </w:p>
        </w:tc>
        <w:tc>
          <w:tcPr>
            <w:tcW w:w="709"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275"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418" w:type="dxa"/>
            <w:noWrap w:val="0"/>
            <w:vAlign w:val="top"/>
          </w:tcPr>
          <w:p>
            <w:pPr>
              <w:spacing w:line="360" w:lineRule="auto"/>
              <w:jc w:val="center"/>
              <w:rPr>
                <w:rFonts w:hint="eastAsia" w:ascii="新宋体" w:hAnsi="新宋体" w:eastAsia="新宋体" w:cs="新宋体"/>
                <w:color w:val="auto"/>
                <w:sz w:val="22"/>
                <w:szCs w:val="22"/>
              </w:rPr>
            </w:pPr>
          </w:p>
        </w:tc>
        <w:tc>
          <w:tcPr>
            <w:tcW w:w="815" w:type="dxa"/>
            <w:noWrap w:val="0"/>
            <w:vAlign w:val="center"/>
          </w:tcPr>
          <w:p>
            <w:pPr>
              <w:spacing w:line="360" w:lineRule="auto"/>
              <w:jc w:val="center"/>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exact"/>
          <w:jc w:val="center"/>
        </w:trPr>
        <w:tc>
          <w:tcPr>
            <w:tcW w:w="766" w:type="dxa"/>
            <w:noWrap w:val="0"/>
            <w:vAlign w:val="center"/>
          </w:tcPr>
          <w:p>
            <w:pPr>
              <w:spacing w:line="360" w:lineRule="auto"/>
              <w:jc w:val="center"/>
              <w:rPr>
                <w:rFonts w:hint="eastAsia" w:ascii="新宋体" w:hAnsi="新宋体" w:eastAsia="新宋体" w:cs="新宋体"/>
                <w:color w:val="auto"/>
                <w:sz w:val="22"/>
                <w:szCs w:val="22"/>
              </w:rPr>
            </w:pPr>
          </w:p>
        </w:tc>
        <w:tc>
          <w:tcPr>
            <w:tcW w:w="1469" w:type="dxa"/>
            <w:noWrap w:val="0"/>
            <w:vAlign w:val="center"/>
          </w:tcPr>
          <w:p>
            <w:pPr>
              <w:spacing w:line="360" w:lineRule="auto"/>
              <w:jc w:val="center"/>
              <w:rPr>
                <w:rFonts w:hint="eastAsia" w:ascii="新宋体" w:hAnsi="新宋体" w:eastAsia="新宋体" w:cs="新宋体"/>
                <w:color w:val="auto"/>
                <w:sz w:val="22"/>
                <w:szCs w:val="22"/>
              </w:rPr>
            </w:pPr>
          </w:p>
        </w:tc>
        <w:tc>
          <w:tcPr>
            <w:tcW w:w="850" w:type="dxa"/>
            <w:noWrap w:val="0"/>
            <w:vAlign w:val="center"/>
          </w:tcPr>
          <w:p>
            <w:pPr>
              <w:spacing w:line="360" w:lineRule="auto"/>
              <w:jc w:val="center"/>
              <w:rPr>
                <w:rFonts w:hint="eastAsia" w:ascii="新宋体" w:hAnsi="新宋体" w:eastAsia="新宋体" w:cs="新宋体"/>
                <w:color w:val="auto"/>
                <w:sz w:val="22"/>
                <w:szCs w:val="22"/>
              </w:rPr>
            </w:pPr>
          </w:p>
        </w:tc>
        <w:tc>
          <w:tcPr>
            <w:tcW w:w="709"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275"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418" w:type="dxa"/>
            <w:noWrap w:val="0"/>
            <w:vAlign w:val="top"/>
          </w:tcPr>
          <w:p>
            <w:pPr>
              <w:spacing w:line="360" w:lineRule="auto"/>
              <w:jc w:val="center"/>
              <w:rPr>
                <w:rFonts w:hint="eastAsia" w:ascii="新宋体" w:hAnsi="新宋体" w:eastAsia="新宋体" w:cs="新宋体"/>
                <w:color w:val="auto"/>
                <w:sz w:val="22"/>
                <w:szCs w:val="22"/>
              </w:rPr>
            </w:pPr>
          </w:p>
        </w:tc>
        <w:tc>
          <w:tcPr>
            <w:tcW w:w="815" w:type="dxa"/>
            <w:noWrap w:val="0"/>
            <w:vAlign w:val="center"/>
          </w:tcPr>
          <w:p>
            <w:pPr>
              <w:spacing w:line="360" w:lineRule="auto"/>
              <w:jc w:val="center"/>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exact"/>
          <w:jc w:val="center"/>
        </w:trPr>
        <w:tc>
          <w:tcPr>
            <w:tcW w:w="766" w:type="dxa"/>
            <w:noWrap w:val="0"/>
            <w:vAlign w:val="center"/>
          </w:tcPr>
          <w:p>
            <w:pPr>
              <w:spacing w:line="360" w:lineRule="auto"/>
              <w:jc w:val="center"/>
              <w:rPr>
                <w:rFonts w:hint="eastAsia" w:ascii="新宋体" w:hAnsi="新宋体" w:eastAsia="新宋体" w:cs="新宋体"/>
                <w:color w:val="auto"/>
                <w:sz w:val="22"/>
                <w:szCs w:val="22"/>
              </w:rPr>
            </w:pPr>
          </w:p>
        </w:tc>
        <w:tc>
          <w:tcPr>
            <w:tcW w:w="1469" w:type="dxa"/>
            <w:noWrap w:val="0"/>
            <w:vAlign w:val="center"/>
          </w:tcPr>
          <w:p>
            <w:pPr>
              <w:spacing w:line="360" w:lineRule="auto"/>
              <w:jc w:val="center"/>
              <w:rPr>
                <w:rFonts w:hint="eastAsia" w:ascii="新宋体" w:hAnsi="新宋体" w:eastAsia="新宋体" w:cs="新宋体"/>
                <w:color w:val="auto"/>
                <w:sz w:val="22"/>
                <w:szCs w:val="22"/>
              </w:rPr>
            </w:pPr>
          </w:p>
        </w:tc>
        <w:tc>
          <w:tcPr>
            <w:tcW w:w="850" w:type="dxa"/>
            <w:noWrap w:val="0"/>
            <w:vAlign w:val="center"/>
          </w:tcPr>
          <w:p>
            <w:pPr>
              <w:spacing w:line="360" w:lineRule="auto"/>
              <w:jc w:val="center"/>
              <w:rPr>
                <w:rFonts w:hint="eastAsia" w:ascii="新宋体" w:hAnsi="新宋体" w:eastAsia="新宋体" w:cs="新宋体"/>
                <w:color w:val="auto"/>
                <w:sz w:val="22"/>
                <w:szCs w:val="22"/>
              </w:rPr>
            </w:pPr>
          </w:p>
        </w:tc>
        <w:tc>
          <w:tcPr>
            <w:tcW w:w="709"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275"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418" w:type="dxa"/>
            <w:noWrap w:val="0"/>
            <w:vAlign w:val="top"/>
          </w:tcPr>
          <w:p>
            <w:pPr>
              <w:spacing w:line="360" w:lineRule="auto"/>
              <w:jc w:val="center"/>
              <w:rPr>
                <w:rFonts w:hint="eastAsia" w:ascii="新宋体" w:hAnsi="新宋体" w:eastAsia="新宋体" w:cs="新宋体"/>
                <w:color w:val="auto"/>
                <w:sz w:val="22"/>
                <w:szCs w:val="22"/>
              </w:rPr>
            </w:pPr>
          </w:p>
        </w:tc>
        <w:tc>
          <w:tcPr>
            <w:tcW w:w="815" w:type="dxa"/>
            <w:noWrap w:val="0"/>
            <w:vAlign w:val="center"/>
          </w:tcPr>
          <w:p>
            <w:pPr>
              <w:spacing w:line="360" w:lineRule="auto"/>
              <w:jc w:val="center"/>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exact"/>
          <w:jc w:val="center"/>
        </w:trPr>
        <w:tc>
          <w:tcPr>
            <w:tcW w:w="766" w:type="dxa"/>
            <w:noWrap w:val="0"/>
            <w:vAlign w:val="center"/>
          </w:tcPr>
          <w:p>
            <w:pPr>
              <w:spacing w:line="360" w:lineRule="auto"/>
              <w:jc w:val="center"/>
              <w:rPr>
                <w:rFonts w:hint="eastAsia" w:ascii="新宋体" w:hAnsi="新宋体" w:eastAsia="新宋体" w:cs="新宋体"/>
                <w:color w:val="auto"/>
                <w:sz w:val="22"/>
                <w:szCs w:val="22"/>
              </w:rPr>
            </w:pPr>
          </w:p>
        </w:tc>
        <w:tc>
          <w:tcPr>
            <w:tcW w:w="1469" w:type="dxa"/>
            <w:noWrap w:val="0"/>
            <w:vAlign w:val="center"/>
          </w:tcPr>
          <w:p>
            <w:pPr>
              <w:spacing w:line="360" w:lineRule="auto"/>
              <w:jc w:val="center"/>
              <w:rPr>
                <w:rFonts w:hint="eastAsia" w:ascii="新宋体" w:hAnsi="新宋体" w:eastAsia="新宋体" w:cs="新宋体"/>
                <w:color w:val="auto"/>
                <w:sz w:val="22"/>
                <w:szCs w:val="22"/>
              </w:rPr>
            </w:pPr>
          </w:p>
        </w:tc>
        <w:tc>
          <w:tcPr>
            <w:tcW w:w="850" w:type="dxa"/>
            <w:noWrap w:val="0"/>
            <w:vAlign w:val="center"/>
          </w:tcPr>
          <w:p>
            <w:pPr>
              <w:spacing w:line="360" w:lineRule="auto"/>
              <w:jc w:val="center"/>
              <w:rPr>
                <w:rFonts w:hint="eastAsia" w:ascii="新宋体" w:hAnsi="新宋体" w:eastAsia="新宋体" w:cs="新宋体"/>
                <w:color w:val="auto"/>
                <w:sz w:val="22"/>
                <w:szCs w:val="22"/>
              </w:rPr>
            </w:pPr>
          </w:p>
        </w:tc>
        <w:tc>
          <w:tcPr>
            <w:tcW w:w="709"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275"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418" w:type="dxa"/>
            <w:noWrap w:val="0"/>
            <w:vAlign w:val="top"/>
          </w:tcPr>
          <w:p>
            <w:pPr>
              <w:spacing w:line="360" w:lineRule="auto"/>
              <w:jc w:val="center"/>
              <w:rPr>
                <w:rFonts w:hint="eastAsia" w:ascii="新宋体" w:hAnsi="新宋体" w:eastAsia="新宋体" w:cs="新宋体"/>
                <w:color w:val="auto"/>
                <w:sz w:val="22"/>
                <w:szCs w:val="22"/>
              </w:rPr>
            </w:pPr>
          </w:p>
        </w:tc>
        <w:tc>
          <w:tcPr>
            <w:tcW w:w="815" w:type="dxa"/>
            <w:noWrap w:val="0"/>
            <w:vAlign w:val="center"/>
          </w:tcPr>
          <w:p>
            <w:pPr>
              <w:spacing w:line="360" w:lineRule="auto"/>
              <w:jc w:val="center"/>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exact"/>
          <w:jc w:val="center"/>
        </w:trPr>
        <w:tc>
          <w:tcPr>
            <w:tcW w:w="766" w:type="dxa"/>
            <w:noWrap w:val="0"/>
            <w:vAlign w:val="center"/>
          </w:tcPr>
          <w:p>
            <w:pPr>
              <w:spacing w:line="360" w:lineRule="auto"/>
              <w:jc w:val="center"/>
              <w:rPr>
                <w:rFonts w:hint="eastAsia" w:ascii="新宋体" w:hAnsi="新宋体" w:eastAsia="新宋体" w:cs="新宋体"/>
                <w:color w:val="auto"/>
                <w:sz w:val="22"/>
                <w:szCs w:val="22"/>
              </w:rPr>
            </w:pPr>
          </w:p>
        </w:tc>
        <w:tc>
          <w:tcPr>
            <w:tcW w:w="1469" w:type="dxa"/>
            <w:noWrap w:val="0"/>
            <w:vAlign w:val="center"/>
          </w:tcPr>
          <w:p>
            <w:pPr>
              <w:spacing w:line="360" w:lineRule="auto"/>
              <w:jc w:val="center"/>
              <w:rPr>
                <w:rFonts w:hint="eastAsia" w:ascii="新宋体" w:hAnsi="新宋体" w:eastAsia="新宋体" w:cs="新宋体"/>
                <w:color w:val="auto"/>
                <w:sz w:val="22"/>
                <w:szCs w:val="22"/>
              </w:rPr>
            </w:pPr>
          </w:p>
        </w:tc>
        <w:tc>
          <w:tcPr>
            <w:tcW w:w="850" w:type="dxa"/>
            <w:noWrap w:val="0"/>
            <w:vAlign w:val="center"/>
          </w:tcPr>
          <w:p>
            <w:pPr>
              <w:spacing w:line="360" w:lineRule="auto"/>
              <w:jc w:val="center"/>
              <w:rPr>
                <w:rFonts w:hint="eastAsia" w:ascii="新宋体" w:hAnsi="新宋体" w:eastAsia="新宋体" w:cs="新宋体"/>
                <w:color w:val="auto"/>
                <w:sz w:val="22"/>
                <w:szCs w:val="22"/>
              </w:rPr>
            </w:pPr>
          </w:p>
        </w:tc>
        <w:tc>
          <w:tcPr>
            <w:tcW w:w="709"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275"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418" w:type="dxa"/>
            <w:noWrap w:val="0"/>
            <w:vAlign w:val="top"/>
          </w:tcPr>
          <w:p>
            <w:pPr>
              <w:spacing w:line="360" w:lineRule="auto"/>
              <w:jc w:val="center"/>
              <w:rPr>
                <w:rFonts w:hint="eastAsia" w:ascii="新宋体" w:hAnsi="新宋体" w:eastAsia="新宋体" w:cs="新宋体"/>
                <w:color w:val="auto"/>
                <w:sz w:val="22"/>
                <w:szCs w:val="22"/>
              </w:rPr>
            </w:pPr>
          </w:p>
        </w:tc>
        <w:tc>
          <w:tcPr>
            <w:tcW w:w="815" w:type="dxa"/>
            <w:noWrap w:val="0"/>
            <w:vAlign w:val="center"/>
          </w:tcPr>
          <w:p>
            <w:pPr>
              <w:spacing w:line="360" w:lineRule="auto"/>
              <w:jc w:val="center"/>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exact"/>
          <w:jc w:val="center"/>
        </w:trPr>
        <w:tc>
          <w:tcPr>
            <w:tcW w:w="766" w:type="dxa"/>
            <w:noWrap w:val="0"/>
            <w:vAlign w:val="center"/>
          </w:tcPr>
          <w:p>
            <w:pPr>
              <w:spacing w:line="360" w:lineRule="auto"/>
              <w:jc w:val="center"/>
              <w:rPr>
                <w:rFonts w:hint="eastAsia" w:ascii="新宋体" w:hAnsi="新宋体" w:eastAsia="新宋体" w:cs="新宋体"/>
                <w:color w:val="auto"/>
                <w:sz w:val="22"/>
                <w:szCs w:val="22"/>
              </w:rPr>
            </w:pPr>
          </w:p>
        </w:tc>
        <w:tc>
          <w:tcPr>
            <w:tcW w:w="1469" w:type="dxa"/>
            <w:noWrap w:val="0"/>
            <w:vAlign w:val="center"/>
          </w:tcPr>
          <w:p>
            <w:pPr>
              <w:spacing w:line="360" w:lineRule="auto"/>
              <w:jc w:val="center"/>
              <w:rPr>
                <w:rFonts w:hint="eastAsia" w:ascii="新宋体" w:hAnsi="新宋体" w:eastAsia="新宋体" w:cs="新宋体"/>
                <w:color w:val="auto"/>
                <w:sz w:val="22"/>
                <w:szCs w:val="22"/>
              </w:rPr>
            </w:pPr>
          </w:p>
        </w:tc>
        <w:tc>
          <w:tcPr>
            <w:tcW w:w="850" w:type="dxa"/>
            <w:noWrap w:val="0"/>
            <w:vAlign w:val="center"/>
          </w:tcPr>
          <w:p>
            <w:pPr>
              <w:spacing w:line="360" w:lineRule="auto"/>
              <w:jc w:val="center"/>
              <w:rPr>
                <w:rFonts w:hint="eastAsia" w:ascii="新宋体" w:hAnsi="新宋体" w:eastAsia="新宋体" w:cs="新宋体"/>
                <w:color w:val="auto"/>
                <w:sz w:val="22"/>
                <w:szCs w:val="22"/>
              </w:rPr>
            </w:pPr>
          </w:p>
        </w:tc>
        <w:tc>
          <w:tcPr>
            <w:tcW w:w="709"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275"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418" w:type="dxa"/>
            <w:noWrap w:val="0"/>
            <w:vAlign w:val="top"/>
          </w:tcPr>
          <w:p>
            <w:pPr>
              <w:spacing w:line="360" w:lineRule="auto"/>
              <w:jc w:val="center"/>
              <w:rPr>
                <w:rFonts w:hint="eastAsia" w:ascii="新宋体" w:hAnsi="新宋体" w:eastAsia="新宋体" w:cs="新宋体"/>
                <w:color w:val="auto"/>
                <w:sz w:val="22"/>
                <w:szCs w:val="22"/>
              </w:rPr>
            </w:pPr>
          </w:p>
        </w:tc>
        <w:tc>
          <w:tcPr>
            <w:tcW w:w="815" w:type="dxa"/>
            <w:noWrap w:val="0"/>
            <w:vAlign w:val="center"/>
          </w:tcPr>
          <w:p>
            <w:pPr>
              <w:spacing w:line="360" w:lineRule="auto"/>
              <w:jc w:val="center"/>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exact"/>
          <w:jc w:val="center"/>
        </w:trPr>
        <w:tc>
          <w:tcPr>
            <w:tcW w:w="766" w:type="dxa"/>
            <w:noWrap w:val="0"/>
            <w:vAlign w:val="center"/>
          </w:tcPr>
          <w:p>
            <w:pPr>
              <w:spacing w:line="360" w:lineRule="auto"/>
              <w:jc w:val="center"/>
              <w:rPr>
                <w:rFonts w:hint="eastAsia" w:ascii="新宋体" w:hAnsi="新宋体" w:eastAsia="新宋体" w:cs="新宋体"/>
                <w:color w:val="auto"/>
                <w:sz w:val="22"/>
                <w:szCs w:val="22"/>
              </w:rPr>
            </w:pPr>
          </w:p>
        </w:tc>
        <w:tc>
          <w:tcPr>
            <w:tcW w:w="1469" w:type="dxa"/>
            <w:noWrap w:val="0"/>
            <w:vAlign w:val="center"/>
          </w:tcPr>
          <w:p>
            <w:pPr>
              <w:spacing w:line="360" w:lineRule="auto"/>
              <w:jc w:val="center"/>
              <w:rPr>
                <w:rFonts w:hint="eastAsia" w:ascii="新宋体" w:hAnsi="新宋体" w:eastAsia="新宋体" w:cs="新宋体"/>
                <w:color w:val="auto"/>
                <w:sz w:val="22"/>
                <w:szCs w:val="22"/>
              </w:rPr>
            </w:pPr>
          </w:p>
        </w:tc>
        <w:tc>
          <w:tcPr>
            <w:tcW w:w="850" w:type="dxa"/>
            <w:noWrap w:val="0"/>
            <w:vAlign w:val="center"/>
          </w:tcPr>
          <w:p>
            <w:pPr>
              <w:spacing w:line="360" w:lineRule="auto"/>
              <w:jc w:val="center"/>
              <w:rPr>
                <w:rFonts w:hint="eastAsia" w:ascii="新宋体" w:hAnsi="新宋体" w:eastAsia="新宋体" w:cs="新宋体"/>
                <w:color w:val="auto"/>
                <w:sz w:val="22"/>
                <w:szCs w:val="22"/>
              </w:rPr>
            </w:pPr>
          </w:p>
        </w:tc>
        <w:tc>
          <w:tcPr>
            <w:tcW w:w="709"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275"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418" w:type="dxa"/>
            <w:noWrap w:val="0"/>
            <w:vAlign w:val="top"/>
          </w:tcPr>
          <w:p>
            <w:pPr>
              <w:spacing w:line="360" w:lineRule="auto"/>
              <w:jc w:val="center"/>
              <w:rPr>
                <w:rFonts w:hint="eastAsia" w:ascii="新宋体" w:hAnsi="新宋体" w:eastAsia="新宋体" w:cs="新宋体"/>
                <w:color w:val="auto"/>
                <w:sz w:val="22"/>
                <w:szCs w:val="22"/>
              </w:rPr>
            </w:pPr>
          </w:p>
        </w:tc>
        <w:tc>
          <w:tcPr>
            <w:tcW w:w="815" w:type="dxa"/>
            <w:noWrap w:val="0"/>
            <w:vAlign w:val="center"/>
          </w:tcPr>
          <w:p>
            <w:pPr>
              <w:spacing w:line="360" w:lineRule="auto"/>
              <w:jc w:val="center"/>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exact"/>
          <w:jc w:val="center"/>
        </w:trPr>
        <w:tc>
          <w:tcPr>
            <w:tcW w:w="766" w:type="dxa"/>
            <w:noWrap w:val="0"/>
            <w:vAlign w:val="center"/>
          </w:tcPr>
          <w:p>
            <w:pPr>
              <w:spacing w:line="360" w:lineRule="auto"/>
              <w:jc w:val="center"/>
              <w:rPr>
                <w:rFonts w:hint="eastAsia" w:ascii="新宋体" w:hAnsi="新宋体" w:eastAsia="新宋体" w:cs="新宋体"/>
                <w:color w:val="auto"/>
                <w:sz w:val="22"/>
                <w:szCs w:val="22"/>
              </w:rPr>
            </w:pPr>
          </w:p>
        </w:tc>
        <w:tc>
          <w:tcPr>
            <w:tcW w:w="1469" w:type="dxa"/>
            <w:noWrap w:val="0"/>
            <w:vAlign w:val="center"/>
          </w:tcPr>
          <w:p>
            <w:pPr>
              <w:spacing w:line="360" w:lineRule="auto"/>
              <w:jc w:val="center"/>
              <w:rPr>
                <w:rFonts w:hint="eastAsia" w:ascii="新宋体" w:hAnsi="新宋体" w:eastAsia="新宋体" w:cs="新宋体"/>
                <w:color w:val="auto"/>
                <w:sz w:val="22"/>
                <w:szCs w:val="22"/>
              </w:rPr>
            </w:pPr>
          </w:p>
        </w:tc>
        <w:tc>
          <w:tcPr>
            <w:tcW w:w="850" w:type="dxa"/>
            <w:noWrap w:val="0"/>
            <w:vAlign w:val="center"/>
          </w:tcPr>
          <w:p>
            <w:pPr>
              <w:spacing w:line="360" w:lineRule="auto"/>
              <w:jc w:val="center"/>
              <w:rPr>
                <w:rFonts w:hint="eastAsia" w:ascii="新宋体" w:hAnsi="新宋体" w:eastAsia="新宋体" w:cs="新宋体"/>
                <w:color w:val="auto"/>
                <w:sz w:val="22"/>
                <w:szCs w:val="22"/>
              </w:rPr>
            </w:pPr>
          </w:p>
        </w:tc>
        <w:tc>
          <w:tcPr>
            <w:tcW w:w="709"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275"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418" w:type="dxa"/>
            <w:noWrap w:val="0"/>
            <w:vAlign w:val="top"/>
          </w:tcPr>
          <w:p>
            <w:pPr>
              <w:spacing w:line="360" w:lineRule="auto"/>
              <w:jc w:val="center"/>
              <w:rPr>
                <w:rFonts w:hint="eastAsia" w:ascii="新宋体" w:hAnsi="新宋体" w:eastAsia="新宋体" w:cs="新宋体"/>
                <w:color w:val="auto"/>
                <w:sz w:val="22"/>
                <w:szCs w:val="22"/>
              </w:rPr>
            </w:pPr>
          </w:p>
        </w:tc>
        <w:tc>
          <w:tcPr>
            <w:tcW w:w="815" w:type="dxa"/>
            <w:noWrap w:val="0"/>
            <w:vAlign w:val="center"/>
          </w:tcPr>
          <w:p>
            <w:pPr>
              <w:spacing w:line="360" w:lineRule="auto"/>
              <w:jc w:val="center"/>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exact"/>
          <w:jc w:val="center"/>
        </w:trPr>
        <w:tc>
          <w:tcPr>
            <w:tcW w:w="766" w:type="dxa"/>
            <w:noWrap w:val="0"/>
            <w:vAlign w:val="center"/>
          </w:tcPr>
          <w:p>
            <w:pPr>
              <w:spacing w:line="360" w:lineRule="auto"/>
              <w:jc w:val="center"/>
              <w:rPr>
                <w:rFonts w:hint="eastAsia" w:ascii="新宋体" w:hAnsi="新宋体" w:eastAsia="新宋体" w:cs="新宋体"/>
                <w:color w:val="auto"/>
                <w:sz w:val="22"/>
                <w:szCs w:val="22"/>
              </w:rPr>
            </w:pPr>
          </w:p>
        </w:tc>
        <w:tc>
          <w:tcPr>
            <w:tcW w:w="1469" w:type="dxa"/>
            <w:noWrap w:val="0"/>
            <w:vAlign w:val="center"/>
          </w:tcPr>
          <w:p>
            <w:pPr>
              <w:spacing w:line="360" w:lineRule="auto"/>
              <w:jc w:val="center"/>
              <w:rPr>
                <w:rFonts w:hint="eastAsia" w:ascii="新宋体" w:hAnsi="新宋体" w:eastAsia="新宋体" w:cs="新宋体"/>
                <w:color w:val="auto"/>
                <w:sz w:val="22"/>
                <w:szCs w:val="22"/>
              </w:rPr>
            </w:pPr>
          </w:p>
        </w:tc>
        <w:tc>
          <w:tcPr>
            <w:tcW w:w="850" w:type="dxa"/>
            <w:noWrap w:val="0"/>
            <w:vAlign w:val="center"/>
          </w:tcPr>
          <w:p>
            <w:pPr>
              <w:spacing w:line="360" w:lineRule="auto"/>
              <w:jc w:val="center"/>
              <w:rPr>
                <w:rFonts w:hint="eastAsia" w:ascii="新宋体" w:hAnsi="新宋体" w:eastAsia="新宋体" w:cs="新宋体"/>
                <w:color w:val="auto"/>
                <w:sz w:val="22"/>
                <w:szCs w:val="22"/>
              </w:rPr>
            </w:pPr>
          </w:p>
        </w:tc>
        <w:tc>
          <w:tcPr>
            <w:tcW w:w="709"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275" w:type="dxa"/>
            <w:noWrap w:val="0"/>
            <w:vAlign w:val="center"/>
          </w:tcPr>
          <w:p>
            <w:pPr>
              <w:spacing w:line="360" w:lineRule="auto"/>
              <w:jc w:val="center"/>
              <w:rPr>
                <w:rFonts w:hint="eastAsia" w:ascii="新宋体" w:hAnsi="新宋体" w:eastAsia="新宋体" w:cs="新宋体"/>
                <w:color w:val="auto"/>
                <w:sz w:val="22"/>
                <w:szCs w:val="22"/>
              </w:rPr>
            </w:pPr>
          </w:p>
        </w:tc>
        <w:tc>
          <w:tcPr>
            <w:tcW w:w="1276" w:type="dxa"/>
            <w:noWrap w:val="0"/>
            <w:vAlign w:val="center"/>
          </w:tcPr>
          <w:p>
            <w:pPr>
              <w:spacing w:line="360" w:lineRule="auto"/>
              <w:jc w:val="center"/>
              <w:rPr>
                <w:rFonts w:hint="eastAsia" w:ascii="新宋体" w:hAnsi="新宋体" w:eastAsia="新宋体" w:cs="新宋体"/>
                <w:color w:val="auto"/>
                <w:sz w:val="22"/>
                <w:szCs w:val="22"/>
              </w:rPr>
            </w:pPr>
          </w:p>
        </w:tc>
        <w:tc>
          <w:tcPr>
            <w:tcW w:w="1418" w:type="dxa"/>
            <w:noWrap w:val="0"/>
            <w:vAlign w:val="top"/>
          </w:tcPr>
          <w:p>
            <w:pPr>
              <w:spacing w:line="360" w:lineRule="auto"/>
              <w:jc w:val="center"/>
              <w:rPr>
                <w:rFonts w:hint="eastAsia" w:ascii="新宋体" w:hAnsi="新宋体" w:eastAsia="新宋体" w:cs="新宋体"/>
                <w:color w:val="auto"/>
                <w:sz w:val="22"/>
                <w:szCs w:val="22"/>
              </w:rPr>
            </w:pPr>
          </w:p>
        </w:tc>
        <w:tc>
          <w:tcPr>
            <w:tcW w:w="815" w:type="dxa"/>
            <w:noWrap w:val="0"/>
            <w:vAlign w:val="center"/>
          </w:tcPr>
          <w:p>
            <w:pPr>
              <w:spacing w:line="360" w:lineRule="auto"/>
              <w:jc w:val="center"/>
              <w:rPr>
                <w:rFonts w:hint="eastAsia" w:ascii="新宋体" w:hAnsi="新宋体" w:eastAsia="新宋体" w:cs="新宋体"/>
                <w:color w:val="auto"/>
                <w:sz w:val="22"/>
                <w:szCs w:val="22"/>
              </w:rPr>
            </w:pPr>
          </w:p>
        </w:tc>
      </w:tr>
    </w:tbl>
    <w:p>
      <w:pPr>
        <w:pStyle w:val="31"/>
        <w:spacing w:line="400" w:lineRule="atLeast"/>
        <w:ind w:left="660" w:hanging="660" w:hangingChars="300"/>
        <w:rPr>
          <w:rFonts w:hint="eastAsia" w:hAnsi="宋体"/>
          <w:color w:val="auto"/>
          <w:sz w:val="22"/>
        </w:rPr>
      </w:pPr>
      <w:r>
        <w:rPr>
          <w:rFonts w:hint="eastAsia" w:hAnsi="宋体"/>
          <w:color w:val="auto"/>
          <w:sz w:val="22"/>
        </w:rPr>
        <w:t>注：</w:t>
      </w:r>
    </w:p>
    <w:p>
      <w:pPr>
        <w:pStyle w:val="31"/>
        <w:spacing w:line="400" w:lineRule="atLeast"/>
        <w:ind w:left="660" w:hanging="660" w:hangingChars="300"/>
        <w:rPr>
          <w:rFonts w:hint="eastAsia" w:hAnsi="宋体"/>
          <w:color w:val="auto"/>
          <w:sz w:val="22"/>
        </w:rPr>
      </w:pPr>
      <w:r>
        <w:rPr>
          <w:rFonts w:hint="eastAsia" w:hAnsi="宋体"/>
          <w:color w:val="auto"/>
          <w:sz w:val="22"/>
        </w:rPr>
        <w:t>1、本表所列为投标人拟投入的保洁作业机具（车辆须附车辆行驶证等证明材料，租赁车辆还须提供租赁合同，复印件加盖公章）及项目实施所需要的其他设备及工具。</w:t>
      </w:r>
    </w:p>
    <w:p>
      <w:pPr>
        <w:pStyle w:val="31"/>
        <w:spacing w:line="400" w:lineRule="atLeast"/>
        <w:rPr>
          <w:rFonts w:hint="eastAsia" w:hAnsi="宋体"/>
          <w:color w:val="auto"/>
          <w:sz w:val="22"/>
        </w:rPr>
      </w:pPr>
      <w:r>
        <w:rPr>
          <w:rFonts w:hint="eastAsia" w:hAnsi="宋体"/>
          <w:color w:val="auto"/>
          <w:sz w:val="22"/>
        </w:rPr>
        <w:t>2、如车辆（船）现没有服务项目的，在“现服务项目名称、地点”栏填写“无”。投标人自有车辆（船）若已在其他保洁服务项目中投入使用的，则不得作为本项目拟投入的保洁车辆（船）。</w:t>
      </w:r>
    </w:p>
    <w:p>
      <w:pPr>
        <w:pStyle w:val="31"/>
        <w:spacing w:line="400" w:lineRule="atLeast"/>
        <w:ind w:left="660" w:hanging="660" w:hangingChars="300"/>
        <w:rPr>
          <w:rFonts w:hint="eastAsia" w:hAnsi="宋体"/>
          <w:color w:val="auto"/>
          <w:sz w:val="22"/>
        </w:rPr>
      </w:pPr>
      <w:r>
        <w:rPr>
          <w:rFonts w:hint="eastAsia" w:hAnsi="宋体"/>
          <w:color w:val="auto"/>
          <w:sz w:val="22"/>
        </w:rPr>
        <w:t>3、此表仅提供了表格形式，投标人应根据需要准备足够数量的表格来填写。</w:t>
      </w:r>
    </w:p>
    <w:p>
      <w:pPr>
        <w:pStyle w:val="31"/>
        <w:spacing w:line="400" w:lineRule="atLeast"/>
        <w:ind w:left="660" w:hanging="660" w:hangingChars="300"/>
        <w:rPr>
          <w:rFonts w:hint="eastAsia" w:hAnsi="宋体"/>
          <w:color w:val="auto"/>
          <w:sz w:val="32"/>
          <w:szCs w:val="32"/>
        </w:rPr>
      </w:pPr>
      <w:r>
        <w:rPr>
          <w:rFonts w:hint="eastAsia" w:hAnsi="宋体"/>
          <w:color w:val="auto"/>
          <w:sz w:val="22"/>
        </w:rPr>
        <w:t xml:space="preserve">4、中标后必须按要求时间全部到位。    </w:t>
      </w:r>
      <w:r>
        <w:rPr>
          <w:rFonts w:hint="eastAsia" w:hAnsi="宋体"/>
          <w:color w:val="auto"/>
          <w:sz w:val="32"/>
          <w:szCs w:val="32"/>
        </w:rPr>
        <w:t xml:space="preserve">  </w:t>
      </w:r>
    </w:p>
    <w:p>
      <w:pPr>
        <w:pStyle w:val="24"/>
        <w:ind w:firstLine="0" w:firstLineChars="0"/>
        <w:rPr>
          <w:rFonts w:ascii="新宋体" w:hAnsi="新宋体" w:eastAsia="新宋体"/>
          <w:color w:val="auto"/>
        </w:rPr>
      </w:pPr>
    </w:p>
    <w:p>
      <w:pPr>
        <w:spacing w:line="380" w:lineRule="exact"/>
        <w:ind w:firstLine="4400" w:firstLineChars="2000"/>
        <w:jc w:val="lef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投标人全称（盖章）：</w:t>
      </w:r>
    </w:p>
    <w:p>
      <w:pPr>
        <w:spacing w:line="380" w:lineRule="exact"/>
        <w:ind w:firstLine="4400" w:firstLineChars="2000"/>
        <w:jc w:val="lef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投标人代表（签字或盖章）：</w:t>
      </w:r>
    </w:p>
    <w:p>
      <w:pPr>
        <w:spacing w:line="380" w:lineRule="exact"/>
        <w:ind w:firstLine="4400" w:firstLineChars="2000"/>
        <w:jc w:val="lef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日期：  年   月  日  </w:t>
      </w:r>
    </w:p>
    <w:p>
      <w:pPr>
        <w:tabs>
          <w:tab w:val="left" w:pos="780"/>
        </w:tabs>
        <w:spacing w:line="400" w:lineRule="exact"/>
        <w:ind w:left="180"/>
        <w:rPr>
          <w:rFonts w:hint="eastAsia" w:ascii="新宋体" w:hAnsi="新宋体" w:eastAsia="新宋体" w:cs="新宋体"/>
          <w:b/>
          <w:bCs/>
          <w:color w:val="auto"/>
          <w:sz w:val="22"/>
          <w:szCs w:val="22"/>
          <w:lang w:eastAsia="zh-CN"/>
        </w:rPr>
      </w:pPr>
      <w:r>
        <w:rPr>
          <w:rFonts w:hint="eastAsia" w:ascii="新宋体" w:hAnsi="新宋体" w:eastAsia="新宋体" w:cs="新宋体"/>
          <w:color w:val="auto"/>
          <w:sz w:val="22"/>
          <w:szCs w:val="22"/>
        </w:rPr>
        <w:br w:type="page"/>
      </w:r>
      <w:r>
        <w:rPr>
          <w:rFonts w:hint="eastAsia" w:ascii="新宋体" w:hAnsi="新宋体" w:eastAsia="新宋体" w:cs="新宋体"/>
          <w:b/>
          <w:bCs/>
          <w:color w:val="auto"/>
          <w:sz w:val="22"/>
          <w:szCs w:val="22"/>
        </w:rPr>
        <w:t>附件</w:t>
      </w:r>
      <w:r>
        <w:rPr>
          <w:rFonts w:hint="eastAsia" w:ascii="新宋体" w:hAnsi="新宋体" w:eastAsia="新宋体" w:cs="新宋体"/>
          <w:b/>
          <w:bCs/>
          <w:color w:val="auto"/>
          <w:sz w:val="22"/>
          <w:szCs w:val="22"/>
          <w:lang w:eastAsia="zh-CN"/>
        </w:rPr>
        <w:t>四</w:t>
      </w:r>
    </w:p>
    <w:p>
      <w:pPr>
        <w:spacing w:line="380" w:lineRule="exact"/>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供应商为完成本项目组建的工作小组名单</w:t>
      </w:r>
    </w:p>
    <w:p>
      <w:pPr>
        <w:pStyle w:val="31"/>
        <w:spacing w:line="400" w:lineRule="atLeast"/>
        <w:ind w:left="17" w:hanging="17" w:hangingChars="6"/>
        <w:jc w:val="center"/>
        <w:rPr>
          <w:rFonts w:hint="eastAsia" w:ascii="新宋体" w:hAnsi="新宋体" w:eastAsia="新宋体" w:cs="新宋体"/>
          <w:b/>
          <w:color w:val="auto"/>
          <w:sz w:val="28"/>
        </w:rPr>
      </w:pPr>
      <w:r>
        <w:rPr>
          <w:rFonts w:hint="eastAsia" w:ascii="新宋体" w:hAnsi="新宋体" w:eastAsia="新宋体" w:cs="新宋体"/>
          <w:b/>
          <w:color w:val="auto"/>
          <w:sz w:val="28"/>
        </w:rPr>
        <w:t>（1）项目负责人简历表</w:t>
      </w:r>
    </w:p>
    <w:p>
      <w:pPr>
        <w:pStyle w:val="31"/>
        <w:spacing w:line="400" w:lineRule="atLeast"/>
        <w:ind w:left="663" w:hanging="663" w:hangingChars="300"/>
        <w:rPr>
          <w:rFonts w:hint="eastAsia" w:ascii="新宋体" w:hAnsi="新宋体" w:eastAsia="新宋体" w:cs="新宋体"/>
          <w:b/>
          <w:color w:val="auto"/>
          <w:sz w:val="22"/>
        </w:rPr>
      </w:pPr>
      <w:r>
        <w:rPr>
          <w:rFonts w:hint="eastAsia" w:ascii="新宋体" w:hAnsi="新宋体" w:eastAsia="新宋体" w:cs="新宋体"/>
          <w:b/>
          <w:color w:val="auto"/>
          <w:sz w:val="22"/>
        </w:rPr>
        <w:t>项目名称：                                            项目编号：</w:t>
      </w:r>
    </w:p>
    <w:tbl>
      <w:tblPr>
        <w:tblStyle w:val="56"/>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1、一般情况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姓   名</w:t>
            </w:r>
          </w:p>
        </w:tc>
        <w:tc>
          <w:tcPr>
            <w:tcW w:w="1799"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年  龄</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学  历</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毕业学校</w:t>
            </w:r>
          </w:p>
        </w:tc>
        <w:tc>
          <w:tcPr>
            <w:tcW w:w="1799"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专  业</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职  务</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职  称</w:t>
            </w:r>
          </w:p>
        </w:tc>
        <w:tc>
          <w:tcPr>
            <w:tcW w:w="1799"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拟任何职</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参加工作</w:t>
            </w:r>
          </w:p>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时间</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2、个人简历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时  间</w:t>
            </w:r>
          </w:p>
        </w:tc>
        <w:tc>
          <w:tcPr>
            <w:tcW w:w="8070" w:type="dxa"/>
            <w:gridSpan w:val="6"/>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专业工作经历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c>
          <w:tcPr>
            <w:tcW w:w="8070" w:type="dxa"/>
            <w:gridSpan w:val="6"/>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c>
          <w:tcPr>
            <w:tcW w:w="8070" w:type="dxa"/>
            <w:gridSpan w:val="6"/>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3、项目负责人业绩</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序号</w:t>
            </w:r>
          </w:p>
        </w:tc>
        <w:tc>
          <w:tcPr>
            <w:tcW w:w="3427" w:type="dxa"/>
            <w:gridSpan w:val="3"/>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项  目  名  称</w:t>
            </w:r>
          </w:p>
        </w:tc>
        <w:tc>
          <w:tcPr>
            <w:tcW w:w="1440"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完成年份</w:t>
            </w:r>
          </w:p>
        </w:tc>
        <w:tc>
          <w:tcPr>
            <w:tcW w:w="3642"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获奖情况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c>
          <w:tcPr>
            <w:tcW w:w="3427" w:type="dxa"/>
            <w:gridSpan w:val="3"/>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c>
          <w:tcPr>
            <w:tcW w:w="1440"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c>
          <w:tcPr>
            <w:tcW w:w="3642"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c>
          <w:tcPr>
            <w:tcW w:w="3427" w:type="dxa"/>
            <w:gridSpan w:val="3"/>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c>
          <w:tcPr>
            <w:tcW w:w="1440"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c>
          <w:tcPr>
            <w:tcW w:w="3642"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c>
          <w:tcPr>
            <w:tcW w:w="3427" w:type="dxa"/>
            <w:gridSpan w:val="3"/>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c>
          <w:tcPr>
            <w:tcW w:w="1440"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c>
          <w:tcPr>
            <w:tcW w:w="3642"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noWrap w:val="0"/>
            <w:vAlign w:val="center"/>
          </w:tcPr>
          <w:p>
            <w:pPr>
              <w:spacing w:line="360" w:lineRule="exact"/>
              <w:rPr>
                <w:rFonts w:hint="eastAsia" w:ascii="新宋体" w:hAnsi="新宋体" w:eastAsia="新宋体" w:cs="新宋体"/>
                <w:color w:val="auto"/>
                <w:sz w:val="22"/>
                <w:szCs w:val="22"/>
              </w:rPr>
            </w:pPr>
          </w:p>
        </w:tc>
        <w:tc>
          <w:tcPr>
            <w:tcW w:w="3427" w:type="dxa"/>
            <w:gridSpan w:val="3"/>
            <w:tcBorders>
              <w:top w:val="single" w:color="auto" w:sz="4" w:space="0"/>
              <w:bottom w:val="single" w:color="auto" w:sz="12" w:space="0"/>
            </w:tcBorders>
            <w:noWrap w:val="0"/>
            <w:vAlign w:val="center"/>
          </w:tcPr>
          <w:p>
            <w:pPr>
              <w:spacing w:line="360" w:lineRule="exact"/>
              <w:rPr>
                <w:rFonts w:hint="eastAsia" w:ascii="新宋体" w:hAnsi="新宋体" w:eastAsia="新宋体" w:cs="新宋体"/>
                <w:color w:val="auto"/>
                <w:sz w:val="22"/>
                <w:szCs w:val="22"/>
              </w:rPr>
            </w:pPr>
          </w:p>
        </w:tc>
        <w:tc>
          <w:tcPr>
            <w:tcW w:w="1440" w:type="dxa"/>
            <w:gridSpan w:val="2"/>
            <w:tcBorders>
              <w:top w:val="single" w:color="auto" w:sz="4" w:space="0"/>
              <w:bottom w:val="single" w:color="auto" w:sz="12" w:space="0"/>
            </w:tcBorders>
            <w:noWrap w:val="0"/>
            <w:vAlign w:val="center"/>
          </w:tcPr>
          <w:p>
            <w:pPr>
              <w:spacing w:line="360" w:lineRule="exact"/>
              <w:rPr>
                <w:rFonts w:hint="eastAsia" w:ascii="新宋体" w:hAnsi="新宋体" w:eastAsia="新宋体" w:cs="新宋体"/>
                <w:color w:val="auto"/>
                <w:sz w:val="22"/>
                <w:szCs w:val="22"/>
              </w:rPr>
            </w:pPr>
          </w:p>
        </w:tc>
        <w:tc>
          <w:tcPr>
            <w:tcW w:w="3642" w:type="dxa"/>
            <w:gridSpan w:val="2"/>
            <w:tcBorders>
              <w:top w:val="single" w:color="auto" w:sz="4" w:space="0"/>
              <w:bottom w:val="single" w:color="auto" w:sz="12" w:space="0"/>
            </w:tcBorders>
            <w:noWrap w:val="0"/>
            <w:vAlign w:val="center"/>
          </w:tcPr>
          <w:p>
            <w:pPr>
              <w:spacing w:line="360" w:lineRule="exact"/>
              <w:rPr>
                <w:rFonts w:hint="eastAsia" w:ascii="新宋体" w:hAnsi="新宋体" w:eastAsia="新宋体" w:cs="新宋体"/>
                <w:color w:val="auto"/>
                <w:sz w:val="22"/>
                <w:szCs w:val="22"/>
              </w:rPr>
            </w:pPr>
          </w:p>
        </w:tc>
      </w:tr>
    </w:tbl>
    <w:p>
      <w:pPr>
        <w:pStyle w:val="31"/>
        <w:spacing w:line="340" w:lineRule="exact"/>
        <w:ind w:left="660" w:hanging="660" w:hangingChars="300"/>
        <w:rPr>
          <w:rFonts w:hint="eastAsia" w:ascii="新宋体" w:hAnsi="新宋体" w:eastAsia="新宋体" w:cs="新宋体"/>
          <w:color w:val="auto"/>
          <w:sz w:val="22"/>
        </w:rPr>
      </w:pPr>
      <w:r>
        <w:rPr>
          <w:rFonts w:hint="eastAsia" w:ascii="新宋体" w:hAnsi="新宋体" w:eastAsia="新宋体" w:cs="新宋体"/>
          <w:color w:val="auto"/>
          <w:sz w:val="22"/>
        </w:rPr>
        <w:t xml:space="preserve">                                          </w:t>
      </w:r>
    </w:p>
    <w:p>
      <w:pPr>
        <w:spacing w:line="380" w:lineRule="exact"/>
        <w:ind w:firstLine="4400" w:firstLineChars="20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投标人全称（盖章）：</w:t>
      </w:r>
    </w:p>
    <w:p>
      <w:pPr>
        <w:spacing w:line="380" w:lineRule="exact"/>
        <w:ind w:firstLine="4400" w:firstLineChars="20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投标人代表（签字或盖章）：</w:t>
      </w:r>
    </w:p>
    <w:p>
      <w:pPr>
        <w:spacing w:line="380" w:lineRule="exact"/>
        <w:ind w:firstLine="4400" w:firstLineChars="20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日期：  年   月  日  </w:t>
      </w:r>
    </w:p>
    <w:p>
      <w:pPr>
        <w:pStyle w:val="31"/>
        <w:tabs>
          <w:tab w:val="left" w:pos="0"/>
          <w:tab w:val="left" w:pos="540"/>
        </w:tabs>
        <w:spacing w:line="340" w:lineRule="exact"/>
        <w:rPr>
          <w:rFonts w:hint="eastAsia" w:ascii="新宋体" w:hAnsi="新宋体" w:eastAsia="新宋体" w:cs="新宋体"/>
          <w:color w:val="auto"/>
          <w:sz w:val="22"/>
        </w:rPr>
      </w:pPr>
    </w:p>
    <w:p>
      <w:pPr>
        <w:jc w:val="center"/>
        <w:rPr>
          <w:rFonts w:hint="eastAsia" w:ascii="新宋体" w:hAnsi="新宋体" w:eastAsia="新宋体" w:cs="新宋体"/>
          <w:b/>
          <w:color w:val="auto"/>
          <w:sz w:val="28"/>
          <w:szCs w:val="21"/>
        </w:rPr>
      </w:pPr>
      <w:r>
        <w:rPr>
          <w:rFonts w:hint="eastAsia" w:ascii="新宋体" w:hAnsi="新宋体" w:eastAsia="新宋体" w:cs="新宋体"/>
          <w:b/>
          <w:color w:val="auto"/>
          <w:sz w:val="28"/>
          <w:szCs w:val="21"/>
        </w:rPr>
        <w:br w:type="page"/>
      </w:r>
      <w:r>
        <w:rPr>
          <w:rFonts w:hint="eastAsia" w:ascii="新宋体" w:hAnsi="新宋体" w:eastAsia="新宋体" w:cs="新宋体"/>
          <w:b/>
          <w:color w:val="auto"/>
          <w:sz w:val="28"/>
          <w:szCs w:val="21"/>
        </w:rPr>
        <w:t>（2）拟投入的项目实施人员名单</w:t>
      </w:r>
    </w:p>
    <w:p>
      <w:pPr>
        <w:rPr>
          <w:rFonts w:hint="eastAsia" w:ascii="新宋体" w:hAnsi="新宋体" w:eastAsia="新宋体" w:cs="新宋体"/>
          <w:color w:val="auto"/>
          <w:sz w:val="22"/>
        </w:rPr>
      </w:pPr>
      <w:r>
        <w:rPr>
          <w:rFonts w:hint="eastAsia" w:ascii="新宋体" w:hAnsi="新宋体" w:eastAsia="新宋体" w:cs="新宋体"/>
          <w:b/>
          <w:color w:val="auto"/>
          <w:sz w:val="24"/>
        </w:rPr>
        <w:t>项目名称：</w:t>
      </w:r>
      <w:r>
        <w:rPr>
          <w:rFonts w:hint="eastAsia" w:ascii="新宋体" w:hAnsi="新宋体" w:eastAsia="新宋体" w:cs="新宋体"/>
          <w:b/>
          <w:color w:val="auto"/>
          <w:sz w:val="22"/>
        </w:rPr>
        <w:t xml:space="preserve">                                         项目编号：</w:t>
      </w:r>
      <w:r>
        <w:rPr>
          <w:rFonts w:hint="eastAsia" w:ascii="新宋体" w:hAnsi="新宋体" w:eastAsia="新宋体" w:cs="新宋体"/>
          <w:color w:val="auto"/>
          <w:sz w:val="22"/>
        </w:rPr>
        <w:t xml:space="preserve"> </w:t>
      </w:r>
    </w:p>
    <w:tbl>
      <w:tblPr>
        <w:tblStyle w:val="5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15" w:hRule="atLeast"/>
          <w:jc w:val="center"/>
        </w:trPr>
        <w:tc>
          <w:tcPr>
            <w:tcW w:w="766" w:type="dxa"/>
            <w:noWrap w:val="0"/>
            <w:vAlign w:val="center"/>
          </w:tcPr>
          <w:p>
            <w:pPr>
              <w:spacing w:line="360" w:lineRule="auto"/>
              <w:jc w:val="center"/>
              <w:rPr>
                <w:rFonts w:hint="eastAsia" w:ascii="新宋体" w:hAnsi="新宋体" w:eastAsia="新宋体" w:cs="新宋体"/>
                <w:color w:val="auto"/>
                <w:sz w:val="22"/>
              </w:rPr>
            </w:pPr>
            <w:r>
              <w:rPr>
                <w:rFonts w:hint="eastAsia" w:ascii="新宋体" w:hAnsi="新宋体" w:eastAsia="新宋体" w:cs="新宋体"/>
                <w:color w:val="auto"/>
                <w:sz w:val="22"/>
              </w:rPr>
              <w:t>序号</w:t>
            </w:r>
          </w:p>
        </w:tc>
        <w:tc>
          <w:tcPr>
            <w:tcW w:w="958" w:type="dxa"/>
            <w:noWrap w:val="0"/>
            <w:vAlign w:val="center"/>
          </w:tcPr>
          <w:p>
            <w:pPr>
              <w:spacing w:line="360" w:lineRule="auto"/>
              <w:jc w:val="center"/>
              <w:rPr>
                <w:rFonts w:hint="eastAsia" w:ascii="新宋体" w:hAnsi="新宋体" w:eastAsia="新宋体" w:cs="新宋体"/>
                <w:color w:val="auto"/>
                <w:sz w:val="22"/>
              </w:rPr>
            </w:pPr>
            <w:r>
              <w:rPr>
                <w:rFonts w:hint="eastAsia" w:ascii="新宋体" w:hAnsi="新宋体" w:eastAsia="新宋体" w:cs="新宋体"/>
                <w:color w:val="auto"/>
                <w:sz w:val="22"/>
              </w:rPr>
              <w:t>姓名</w:t>
            </w:r>
          </w:p>
        </w:tc>
        <w:tc>
          <w:tcPr>
            <w:tcW w:w="958" w:type="dxa"/>
            <w:noWrap w:val="0"/>
            <w:vAlign w:val="center"/>
          </w:tcPr>
          <w:p>
            <w:pPr>
              <w:spacing w:line="360" w:lineRule="auto"/>
              <w:jc w:val="center"/>
              <w:rPr>
                <w:rFonts w:hint="eastAsia" w:ascii="新宋体" w:hAnsi="新宋体" w:eastAsia="新宋体" w:cs="新宋体"/>
                <w:color w:val="auto"/>
                <w:sz w:val="22"/>
              </w:rPr>
            </w:pPr>
            <w:r>
              <w:rPr>
                <w:rFonts w:hint="eastAsia" w:ascii="新宋体" w:hAnsi="新宋体" w:eastAsia="新宋体" w:cs="新宋体"/>
                <w:color w:val="auto"/>
                <w:sz w:val="22"/>
              </w:rPr>
              <w:t>性别</w:t>
            </w:r>
          </w:p>
        </w:tc>
        <w:tc>
          <w:tcPr>
            <w:tcW w:w="767" w:type="dxa"/>
            <w:noWrap w:val="0"/>
            <w:vAlign w:val="center"/>
          </w:tcPr>
          <w:p>
            <w:pPr>
              <w:spacing w:line="360" w:lineRule="auto"/>
              <w:jc w:val="center"/>
              <w:rPr>
                <w:rFonts w:hint="eastAsia" w:ascii="新宋体" w:hAnsi="新宋体" w:eastAsia="新宋体" w:cs="新宋体"/>
                <w:color w:val="auto"/>
                <w:sz w:val="22"/>
              </w:rPr>
            </w:pPr>
            <w:r>
              <w:rPr>
                <w:rFonts w:hint="eastAsia" w:ascii="新宋体" w:hAnsi="新宋体" w:eastAsia="新宋体" w:cs="新宋体"/>
                <w:color w:val="auto"/>
                <w:sz w:val="22"/>
              </w:rPr>
              <w:t>年龄</w:t>
            </w:r>
          </w:p>
        </w:tc>
        <w:tc>
          <w:tcPr>
            <w:tcW w:w="767" w:type="dxa"/>
            <w:noWrap w:val="0"/>
            <w:vAlign w:val="center"/>
          </w:tcPr>
          <w:p>
            <w:pPr>
              <w:spacing w:line="360" w:lineRule="auto"/>
              <w:jc w:val="center"/>
              <w:rPr>
                <w:rFonts w:hint="eastAsia" w:ascii="新宋体" w:hAnsi="新宋体" w:eastAsia="新宋体" w:cs="新宋体"/>
                <w:color w:val="auto"/>
                <w:sz w:val="22"/>
              </w:rPr>
            </w:pPr>
            <w:r>
              <w:rPr>
                <w:rFonts w:hint="eastAsia" w:ascii="新宋体" w:hAnsi="新宋体" w:eastAsia="新宋体" w:cs="新宋体"/>
                <w:color w:val="auto"/>
                <w:sz w:val="22"/>
              </w:rPr>
              <w:t>学历</w:t>
            </w:r>
          </w:p>
        </w:tc>
        <w:tc>
          <w:tcPr>
            <w:tcW w:w="1340" w:type="dxa"/>
            <w:noWrap w:val="0"/>
            <w:vAlign w:val="center"/>
          </w:tcPr>
          <w:p>
            <w:pPr>
              <w:spacing w:line="28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职称/职务</w:t>
            </w:r>
          </w:p>
        </w:tc>
        <w:tc>
          <w:tcPr>
            <w:tcW w:w="1326" w:type="dxa"/>
            <w:noWrap w:val="0"/>
            <w:vAlign w:val="center"/>
          </w:tcPr>
          <w:p>
            <w:pPr>
              <w:spacing w:line="280" w:lineRule="exact"/>
              <w:jc w:val="center"/>
              <w:rPr>
                <w:rFonts w:hint="eastAsia" w:ascii="新宋体" w:hAnsi="新宋体" w:eastAsia="新宋体" w:cs="新宋体"/>
                <w:color w:val="auto"/>
                <w:sz w:val="22"/>
              </w:rPr>
            </w:pPr>
            <w:r>
              <w:rPr>
                <w:rFonts w:hint="eastAsia" w:ascii="新宋体" w:hAnsi="新宋体" w:eastAsia="新宋体" w:cs="新宋体"/>
                <w:color w:val="auto"/>
              </w:rPr>
              <w:t>本工程中的岗位</w:t>
            </w:r>
          </w:p>
        </w:tc>
        <w:tc>
          <w:tcPr>
            <w:tcW w:w="1825" w:type="dxa"/>
            <w:noWrap w:val="0"/>
            <w:vAlign w:val="center"/>
          </w:tcPr>
          <w:p>
            <w:pPr>
              <w:spacing w:line="360" w:lineRule="auto"/>
              <w:jc w:val="center"/>
              <w:rPr>
                <w:rFonts w:hint="eastAsia" w:ascii="新宋体" w:hAnsi="新宋体" w:eastAsia="新宋体" w:cs="新宋体"/>
                <w:color w:val="auto"/>
                <w:sz w:val="22"/>
              </w:rPr>
            </w:pPr>
            <w:r>
              <w:rPr>
                <w:rFonts w:hint="eastAsia" w:ascii="新宋体" w:hAnsi="新宋体" w:eastAsia="新宋体" w:cs="新宋体"/>
                <w:color w:val="auto"/>
                <w:sz w:val="22"/>
              </w:rPr>
              <w:t>从事专业年限</w:t>
            </w:r>
          </w:p>
        </w:tc>
        <w:tc>
          <w:tcPr>
            <w:tcW w:w="1147" w:type="dxa"/>
            <w:noWrap w:val="0"/>
            <w:vAlign w:val="center"/>
          </w:tcPr>
          <w:p>
            <w:pPr>
              <w:spacing w:line="360" w:lineRule="auto"/>
              <w:jc w:val="center"/>
              <w:rPr>
                <w:rFonts w:hint="eastAsia" w:ascii="新宋体" w:hAnsi="新宋体" w:eastAsia="新宋体" w:cs="新宋体"/>
                <w:color w:val="auto"/>
                <w:sz w:val="22"/>
              </w:rPr>
            </w:pPr>
            <w:r>
              <w:rPr>
                <w:rFonts w:hint="eastAsia" w:ascii="新宋体" w:hAnsi="新宋体" w:eastAsia="新宋体" w:cs="新宋体"/>
                <w:color w:val="auto"/>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958"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767" w:type="dxa"/>
            <w:noWrap w:val="0"/>
            <w:vAlign w:val="center"/>
          </w:tcPr>
          <w:p>
            <w:pPr>
              <w:spacing w:line="360" w:lineRule="auto"/>
              <w:jc w:val="center"/>
              <w:rPr>
                <w:rFonts w:hint="eastAsia" w:ascii="新宋体" w:hAnsi="新宋体" w:eastAsia="新宋体" w:cs="新宋体"/>
                <w:color w:val="auto"/>
                <w:sz w:val="22"/>
              </w:rPr>
            </w:pPr>
          </w:p>
        </w:tc>
        <w:tc>
          <w:tcPr>
            <w:tcW w:w="1340" w:type="dxa"/>
            <w:noWrap w:val="0"/>
            <w:vAlign w:val="center"/>
          </w:tcPr>
          <w:p>
            <w:pPr>
              <w:spacing w:line="360" w:lineRule="auto"/>
              <w:jc w:val="center"/>
              <w:rPr>
                <w:rFonts w:hint="eastAsia" w:ascii="新宋体" w:hAnsi="新宋体" w:eastAsia="新宋体" w:cs="新宋体"/>
                <w:color w:val="auto"/>
                <w:sz w:val="22"/>
              </w:rPr>
            </w:pPr>
          </w:p>
        </w:tc>
        <w:tc>
          <w:tcPr>
            <w:tcW w:w="1326" w:type="dxa"/>
            <w:noWrap w:val="0"/>
            <w:vAlign w:val="center"/>
          </w:tcPr>
          <w:p>
            <w:pPr>
              <w:spacing w:line="360" w:lineRule="auto"/>
              <w:jc w:val="center"/>
              <w:rPr>
                <w:rFonts w:hint="eastAsia" w:ascii="新宋体" w:hAnsi="新宋体" w:eastAsia="新宋体" w:cs="新宋体"/>
                <w:color w:val="auto"/>
                <w:sz w:val="22"/>
              </w:rPr>
            </w:pPr>
          </w:p>
        </w:tc>
        <w:tc>
          <w:tcPr>
            <w:tcW w:w="1825" w:type="dxa"/>
            <w:noWrap w:val="0"/>
            <w:vAlign w:val="top"/>
          </w:tcPr>
          <w:p>
            <w:pPr>
              <w:spacing w:line="360" w:lineRule="auto"/>
              <w:jc w:val="center"/>
              <w:rPr>
                <w:rFonts w:hint="eastAsia" w:ascii="新宋体" w:hAnsi="新宋体" w:eastAsia="新宋体" w:cs="新宋体"/>
                <w:color w:val="auto"/>
                <w:sz w:val="22"/>
              </w:rPr>
            </w:pPr>
          </w:p>
        </w:tc>
        <w:tc>
          <w:tcPr>
            <w:tcW w:w="1147" w:type="dxa"/>
            <w:noWrap w:val="0"/>
            <w:vAlign w:val="center"/>
          </w:tcPr>
          <w:p>
            <w:pPr>
              <w:spacing w:line="360" w:lineRule="auto"/>
              <w:jc w:val="center"/>
              <w:rPr>
                <w:rFonts w:hint="eastAsia" w:ascii="新宋体" w:hAnsi="新宋体" w:eastAsia="新宋体" w:cs="新宋体"/>
                <w:color w:val="auto"/>
                <w:sz w:val="22"/>
              </w:rPr>
            </w:pPr>
          </w:p>
        </w:tc>
      </w:tr>
    </w:tbl>
    <w:p>
      <w:pPr>
        <w:pStyle w:val="31"/>
        <w:spacing w:line="400" w:lineRule="atLeast"/>
        <w:ind w:left="660" w:hanging="660" w:hangingChars="300"/>
        <w:rPr>
          <w:rFonts w:hint="eastAsia" w:ascii="新宋体" w:hAnsi="新宋体" w:eastAsia="新宋体" w:cs="新宋体"/>
          <w:color w:val="auto"/>
          <w:sz w:val="22"/>
        </w:rPr>
      </w:pPr>
      <w:r>
        <w:rPr>
          <w:rFonts w:hint="eastAsia" w:ascii="新宋体" w:hAnsi="新宋体" w:eastAsia="新宋体" w:cs="新宋体"/>
          <w:color w:val="auto"/>
          <w:sz w:val="22"/>
        </w:rPr>
        <w:t>注：此表仅提供了表格形式，供应商可按此表格复制。</w:t>
      </w:r>
    </w:p>
    <w:p>
      <w:pPr>
        <w:pStyle w:val="31"/>
        <w:spacing w:line="400" w:lineRule="atLeast"/>
        <w:ind w:left="660" w:hanging="660" w:hangingChars="300"/>
        <w:rPr>
          <w:rFonts w:hint="eastAsia" w:ascii="新宋体" w:hAnsi="新宋体" w:eastAsia="新宋体" w:cs="新宋体"/>
          <w:color w:val="auto"/>
          <w:sz w:val="22"/>
        </w:rPr>
      </w:pPr>
    </w:p>
    <w:p>
      <w:pPr>
        <w:pStyle w:val="31"/>
        <w:spacing w:line="400" w:lineRule="atLeast"/>
        <w:ind w:left="660" w:hanging="660" w:hangingChars="300"/>
        <w:rPr>
          <w:rFonts w:hint="eastAsia" w:ascii="新宋体" w:hAnsi="新宋体" w:eastAsia="新宋体" w:cs="新宋体"/>
          <w:color w:val="auto"/>
          <w:sz w:val="22"/>
        </w:rPr>
      </w:pPr>
    </w:p>
    <w:p>
      <w:pPr>
        <w:spacing w:line="380" w:lineRule="exact"/>
        <w:ind w:firstLine="4400" w:firstLineChars="20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投标人全称（盖章）：</w:t>
      </w:r>
    </w:p>
    <w:p>
      <w:pPr>
        <w:spacing w:line="380" w:lineRule="exact"/>
        <w:ind w:firstLine="4400" w:firstLineChars="20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投标人代表（签字或盖章）：</w:t>
      </w:r>
    </w:p>
    <w:p>
      <w:pPr>
        <w:spacing w:line="380" w:lineRule="exact"/>
        <w:ind w:firstLine="4400" w:firstLineChars="20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日期：  年   月  日</w:t>
      </w:r>
    </w:p>
    <w:p>
      <w:pPr>
        <w:spacing w:line="380" w:lineRule="exact"/>
        <w:jc w:val="center"/>
        <w:rPr>
          <w:rFonts w:hint="eastAsia" w:ascii="新宋体" w:hAnsi="新宋体" w:eastAsia="新宋体" w:cs="新宋体"/>
          <w:color w:val="auto"/>
          <w:sz w:val="22"/>
          <w:szCs w:val="22"/>
        </w:rPr>
      </w:pPr>
    </w:p>
    <w:p>
      <w:pPr>
        <w:spacing w:line="380" w:lineRule="exact"/>
        <w:jc w:val="both"/>
        <w:rPr>
          <w:rFonts w:hint="eastAsia" w:ascii="新宋体" w:hAnsi="新宋体" w:eastAsia="新宋体" w:cs="新宋体"/>
          <w:color w:val="auto"/>
          <w:sz w:val="22"/>
          <w:szCs w:val="22"/>
        </w:rPr>
      </w:pPr>
    </w:p>
    <w:p>
      <w:pPr>
        <w:spacing w:line="380" w:lineRule="exact"/>
        <w:jc w:val="left"/>
        <w:rPr>
          <w:rFonts w:hint="eastAsia" w:ascii="新宋体" w:hAnsi="新宋体" w:eastAsia="新宋体" w:cs="新宋体"/>
          <w:b/>
          <w:bCs/>
          <w:color w:val="auto"/>
          <w:sz w:val="22"/>
          <w:szCs w:val="22"/>
        </w:rPr>
      </w:pPr>
    </w:p>
    <w:p>
      <w:pPr>
        <w:spacing w:line="380" w:lineRule="exact"/>
        <w:jc w:val="left"/>
        <w:rPr>
          <w:rFonts w:hint="eastAsia" w:ascii="新宋体" w:hAnsi="新宋体" w:eastAsia="新宋体" w:cs="新宋体"/>
          <w:b/>
          <w:bCs/>
          <w:color w:val="auto"/>
          <w:sz w:val="22"/>
          <w:szCs w:val="22"/>
          <w:lang w:val="en-US" w:eastAsia="zh-CN"/>
        </w:rPr>
      </w:pPr>
      <w:r>
        <w:rPr>
          <w:rFonts w:hint="eastAsia" w:ascii="新宋体" w:hAnsi="新宋体" w:eastAsia="新宋体" w:cs="新宋体"/>
          <w:b/>
          <w:bCs/>
          <w:color w:val="auto"/>
          <w:sz w:val="22"/>
          <w:szCs w:val="22"/>
          <w:lang w:eastAsia="zh-CN"/>
        </w:rPr>
        <w:t>附件五</w:t>
      </w:r>
      <w:r>
        <w:rPr>
          <w:rFonts w:hint="eastAsia" w:ascii="新宋体" w:hAnsi="新宋体" w:eastAsia="新宋体" w:cs="新宋体"/>
          <w:b/>
          <w:bCs/>
          <w:color w:val="auto"/>
          <w:sz w:val="22"/>
          <w:szCs w:val="22"/>
          <w:lang w:val="en-US" w:eastAsia="zh-CN"/>
        </w:rPr>
        <w:t xml:space="preserve">                  </w:t>
      </w:r>
    </w:p>
    <w:p>
      <w:pPr>
        <w:spacing w:line="380" w:lineRule="exact"/>
        <w:ind w:firstLine="2650" w:firstLineChars="1100"/>
        <w:jc w:val="left"/>
        <w:rPr>
          <w:rFonts w:ascii="宋体" w:hAnsi="宋体" w:cs="宋体"/>
          <w:bCs/>
          <w:color w:val="auto"/>
          <w:sz w:val="24"/>
        </w:rPr>
      </w:pPr>
      <w:r>
        <w:rPr>
          <w:rFonts w:hint="eastAsia" w:ascii="宋体" w:hAnsi="宋体" w:cs="宋体"/>
          <w:b/>
          <w:color w:val="auto"/>
          <w:sz w:val="24"/>
        </w:rPr>
        <w:t>节能、环保产品证明材料（如有）</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val="0"/>
          <w:bCs/>
          <w:color w:val="auto"/>
          <w:sz w:val="24"/>
        </w:rPr>
      </w:pPr>
      <w:r>
        <w:rPr>
          <w:rFonts w:hint="eastAsia" w:ascii="宋体" w:hAnsi="宋体" w:cs="宋体"/>
          <w:b w:val="0"/>
          <w:bCs/>
          <w:color w:val="auto"/>
          <w:sz w:val="24"/>
        </w:rPr>
        <w:t>说明：</w:t>
      </w:r>
    </w:p>
    <w:p>
      <w:pPr>
        <w:spacing w:line="360" w:lineRule="auto"/>
        <w:ind w:firstLine="480" w:firstLineChars="200"/>
        <w:rPr>
          <w:rFonts w:ascii="宋体" w:hAnsi="宋体" w:cs="宋体"/>
          <w:b w:val="0"/>
          <w:bCs/>
          <w:color w:val="auto"/>
          <w:sz w:val="24"/>
        </w:rPr>
      </w:pPr>
      <w:r>
        <w:rPr>
          <w:rFonts w:hint="eastAsia" w:ascii="宋体" w:hAnsi="宋体" w:cs="宋体"/>
          <w:b w:val="0"/>
          <w:bCs/>
          <w:color w:val="auto"/>
          <w:sz w:val="24"/>
        </w:rPr>
        <w:t>1.投标人所投产品属于政府采购品目清单范围的，投标人应当提供经国家确定的认证机构出具的、处于有效期之内的节能产品、环境标志产品认证证书（复印件加盖投标人公章），另外投标人因对提供的环保、节能产品需在投标文件货物配置清单备注中注明；</w:t>
      </w:r>
    </w:p>
    <w:p>
      <w:pPr>
        <w:spacing w:line="380" w:lineRule="exact"/>
        <w:ind w:firstLine="480" w:firstLineChars="200"/>
        <w:rPr>
          <w:rFonts w:hint="eastAsia" w:ascii="宋体" w:hAnsi="宋体" w:cs="宋体"/>
          <w:b/>
          <w:color w:val="auto"/>
          <w:sz w:val="24"/>
        </w:rPr>
      </w:pPr>
      <w:r>
        <w:rPr>
          <w:rFonts w:hint="eastAsia" w:ascii="宋体" w:hAnsi="宋体" w:cs="宋体"/>
          <w:b w:val="0"/>
          <w:bCs/>
          <w:color w:val="auto"/>
          <w:sz w:val="24"/>
        </w:rPr>
        <w:t>2.评审小组成员审查此项只根据投标文件本身的内容，不再寻求其他的外部证据。</w:t>
      </w:r>
    </w:p>
    <w:p>
      <w:pPr>
        <w:spacing w:line="380" w:lineRule="exact"/>
        <w:jc w:val="center"/>
        <w:rPr>
          <w:rFonts w:hint="eastAsia" w:ascii="宋体" w:hAnsi="宋体" w:cs="宋体"/>
          <w:b/>
          <w:color w:val="auto"/>
          <w:sz w:val="24"/>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ascii="宋体" w:hAnsi="宋体"/>
          <w:b/>
          <w:bCs/>
          <w:color w:val="auto"/>
          <w:sz w:val="22"/>
          <w:szCs w:val="22"/>
        </w:rPr>
      </w:pPr>
    </w:p>
    <w:p>
      <w:pPr>
        <w:tabs>
          <w:tab w:val="left" w:pos="840"/>
        </w:tabs>
        <w:adjustRightInd w:val="0"/>
        <w:snapToGrid w:val="0"/>
        <w:spacing w:line="360" w:lineRule="auto"/>
        <w:jc w:val="left"/>
        <w:rPr>
          <w:rFonts w:hint="eastAsia" w:ascii="宋体" w:hAnsi="宋体"/>
          <w:b/>
          <w:bCs/>
          <w:color w:val="auto"/>
          <w:sz w:val="22"/>
          <w:szCs w:val="22"/>
        </w:rPr>
      </w:pPr>
      <w:r>
        <w:rPr>
          <w:rFonts w:ascii="宋体" w:hAnsi="宋体"/>
          <w:b/>
          <w:bCs/>
          <w:color w:val="auto"/>
          <w:sz w:val="22"/>
          <w:szCs w:val="22"/>
        </w:rPr>
        <w:t>附件</w:t>
      </w:r>
      <w:r>
        <w:rPr>
          <w:rFonts w:hint="eastAsia" w:ascii="宋体" w:hAnsi="宋体"/>
          <w:b/>
          <w:bCs/>
          <w:color w:val="auto"/>
          <w:sz w:val="22"/>
          <w:szCs w:val="22"/>
          <w:lang w:eastAsia="zh-CN"/>
        </w:rPr>
        <w:t>六</w:t>
      </w:r>
      <w:r>
        <w:rPr>
          <w:rFonts w:hint="eastAsia" w:ascii="宋体" w:hAnsi="宋体"/>
          <w:b/>
          <w:bCs/>
          <w:color w:val="auto"/>
          <w:sz w:val="22"/>
          <w:szCs w:val="22"/>
        </w:rPr>
        <w:t xml:space="preserve"> </w:t>
      </w:r>
    </w:p>
    <w:p>
      <w:pPr>
        <w:spacing w:line="380" w:lineRule="exact"/>
        <w:ind w:firstLine="3614" w:firstLineChars="1500"/>
        <w:jc w:val="both"/>
        <w:rPr>
          <w:rFonts w:hint="eastAsia" w:ascii="宋体" w:hAnsi="宋体" w:cs="宋体"/>
          <w:b/>
          <w:color w:val="auto"/>
          <w:sz w:val="24"/>
        </w:rPr>
      </w:pPr>
      <w:r>
        <w:rPr>
          <w:rFonts w:hint="eastAsia" w:ascii="宋体" w:hAnsi="宋体" w:cs="宋体"/>
          <w:b/>
          <w:color w:val="auto"/>
          <w:sz w:val="24"/>
        </w:rPr>
        <w:t>拟投入消耗品一览表</w:t>
      </w:r>
    </w:p>
    <w:p>
      <w:pPr>
        <w:spacing w:line="380" w:lineRule="exact"/>
        <w:rPr>
          <w:rFonts w:hint="eastAsia" w:ascii="宋体" w:hAnsi="宋体" w:cs="RMJENO+KaiTi_GB2312"/>
          <w:b/>
          <w:color w:val="auto"/>
        </w:rPr>
      </w:pPr>
      <w:r>
        <w:rPr>
          <w:rFonts w:hint="eastAsia" w:ascii="宋体" w:hAnsi="宋体"/>
          <w:b/>
          <w:color w:val="auto"/>
          <w:sz w:val="24"/>
        </w:rPr>
        <w:t xml:space="preserve">项目名称：                                            招标编号：             </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989"/>
        <w:gridCol w:w="1137"/>
        <w:gridCol w:w="1990"/>
        <w:gridCol w:w="994"/>
        <w:gridCol w:w="1705"/>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025" w:type="dxa"/>
            <w:noWrap w:val="0"/>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序号</w:t>
            </w:r>
          </w:p>
        </w:tc>
        <w:tc>
          <w:tcPr>
            <w:tcW w:w="1989" w:type="dxa"/>
            <w:noWrap w:val="0"/>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耗材名称</w:t>
            </w:r>
          </w:p>
        </w:tc>
        <w:tc>
          <w:tcPr>
            <w:tcW w:w="1137" w:type="dxa"/>
            <w:noWrap w:val="0"/>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型号规格</w:t>
            </w:r>
          </w:p>
        </w:tc>
        <w:tc>
          <w:tcPr>
            <w:tcW w:w="1990" w:type="dxa"/>
            <w:noWrap w:val="0"/>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品牌、产地</w:t>
            </w:r>
          </w:p>
        </w:tc>
        <w:tc>
          <w:tcPr>
            <w:tcW w:w="994" w:type="dxa"/>
            <w:noWrap w:val="0"/>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数量</w:t>
            </w:r>
          </w:p>
        </w:tc>
        <w:tc>
          <w:tcPr>
            <w:tcW w:w="1705" w:type="dxa"/>
            <w:noWrap w:val="0"/>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价格（元）</w:t>
            </w:r>
          </w:p>
        </w:tc>
        <w:tc>
          <w:tcPr>
            <w:tcW w:w="1164" w:type="dxa"/>
            <w:noWrap w:val="0"/>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5" w:type="dxa"/>
            <w:noWrap w:val="0"/>
            <w:vAlign w:val="top"/>
          </w:tcPr>
          <w:p>
            <w:pPr>
              <w:spacing w:line="380" w:lineRule="exact"/>
              <w:rPr>
                <w:rFonts w:ascii="宋体" w:hAnsi="宋体"/>
                <w:b/>
                <w:bCs/>
                <w:color w:val="auto"/>
                <w:sz w:val="22"/>
                <w:szCs w:val="22"/>
              </w:rPr>
            </w:pPr>
          </w:p>
        </w:tc>
        <w:tc>
          <w:tcPr>
            <w:tcW w:w="1989" w:type="dxa"/>
            <w:noWrap w:val="0"/>
            <w:vAlign w:val="top"/>
          </w:tcPr>
          <w:p>
            <w:pPr>
              <w:spacing w:line="380" w:lineRule="exact"/>
              <w:rPr>
                <w:rFonts w:ascii="宋体" w:hAnsi="宋体"/>
                <w:b/>
                <w:bCs/>
                <w:color w:val="auto"/>
                <w:sz w:val="22"/>
                <w:szCs w:val="22"/>
              </w:rPr>
            </w:pPr>
          </w:p>
        </w:tc>
        <w:tc>
          <w:tcPr>
            <w:tcW w:w="1137" w:type="dxa"/>
            <w:noWrap w:val="0"/>
            <w:vAlign w:val="top"/>
          </w:tcPr>
          <w:p>
            <w:pPr>
              <w:spacing w:line="380" w:lineRule="exact"/>
              <w:rPr>
                <w:rFonts w:ascii="宋体" w:hAnsi="宋体"/>
                <w:b/>
                <w:bCs/>
                <w:color w:val="auto"/>
                <w:sz w:val="22"/>
                <w:szCs w:val="22"/>
              </w:rPr>
            </w:pPr>
          </w:p>
        </w:tc>
        <w:tc>
          <w:tcPr>
            <w:tcW w:w="1990" w:type="dxa"/>
            <w:noWrap w:val="0"/>
            <w:vAlign w:val="top"/>
          </w:tcPr>
          <w:p>
            <w:pPr>
              <w:spacing w:line="380" w:lineRule="exact"/>
              <w:rPr>
                <w:rFonts w:ascii="宋体" w:hAnsi="宋体"/>
                <w:b/>
                <w:bCs/>
                <w:color w:val="auto"/>
                <w:sz w:val="22"/>
                <w:szCs w:val="22"/>
              </w:rPr>
            </w:pPr>
          </w:p>
        </w:tc>
        <w:tc>
          <w:tcPr>
            <w:tcW w:w="994" w:type="dxa"/>
            <w:noWrap w:val="0"/>
            <w:vAlign w:val="top"/>
          </w:tcPr>
          <w:p>
            <w:pPr>
              <w:spacing w:line="380" w:lineRule="exact"/>
              <w:rPr>
                <w:rFonts w:ascii="宋体" w:hAnsi="宋体"/>
                <w:b/>
                <w:bCs/>
                <w:color w:val="auto"/>
                <w:sz w:val="22"/>
                <w:szCs w:val="22"/>
              </w:rPr>
            </w:pPr>
          </w:p>
        </w:tc>
        <w:tc>
          <w:tcPr>
            <w:tcW w:w="1705" w:type="dxa"/>
            <w:noWrap w:val="0"/>
            <w:vAlign w:val="top"/>
          </w:tcPr>
          <w:p>
            <w:pPr>
              <w:spacing w:line="380" w:lineRule="exact"/>
              <w:rPr>
                <w:rFonts w:ascii="宋体" w:hAnsi="宋体"/>
                <w:b/>
                <w:bCs/>
                <w:color w:val="auto"/>
                <w:sz w:val="22"/>
                <w:szCs w:val="22"/>
              </w:rPr>
            </w:pPr>
          </w:p>
        </w:tc>
        <w:tc>
          <w:tcPr>
            <w:tcW w:w="1164" w:type="dxa"/>
            <w:noWrap w:val="0"/>
            <w:vAlign w:val="top"/>
          </w:tcPr>
          <w:p>
            <w:pPr>
              <w:spacing w:line="380" w:lineRule="exact"/>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5" w:type="dxa"/>
            <w:noWrap w:val="0"/>
            <w:vAlign w:val="top"/>
          </w:tcPr>
          <w:p>
            <w:pPr>
              <w:spacing w:line="380" w:lineRule="exact"/>
              <w:rPr>
                <w:rFonts w:ascii="宋体" w:hAnsi="宋体"/>
                <w:b/>
                <w:bCs/>
                <w:color w:val="auto"/>
                <w:sz w:val="22"/>
                <w:szCs w:val="22"/>
              </w:rPr>
            </w:pPr>
          </w:p>
        </w:tc>
        <w:tc>
          <w:tcPr>
            <w:tcW w:w="1989" w:type="dxa"/>
            <w:noWrap w:val="0"/>
            <w:vAlign w:val="top"/>
          </w:tcPr>
          <w:p>
            <w:pPr>
              <w:spacing w:line="380" w:lineRule="exact"/>
              <w:rPr>
                <w:rFonts w:ascii="宋体" w:hAnsi="宋体"/>
                <w:b/>
                <w:bCs/>
                <w:color w:val="auto"/>
                <w:sz w:val="22"/>
                <w:szCs w:val="22"/>
              </w:rPr>
            </w:pPr>
          </w:p>
        </w:tc>
        <w:tc>
          <w:tcPr>
            <w:tcW w:w="1137" w:type="dxa"/>
            <w:noWrap w:val="0"/>
            <w:vAlign w:val="top"/>
          </w:tcPr>
          <w:p>
            <w:pPr>
              <w:spacing w:line="380" w:lineRule="exact"/>
              <w:rPr>
                <w:rFonts w:ascii="宋体" w:hAnsi="宋体"/>
                <w:b/>
                <w:bCs/>
                <w:color w:val="auto"/>
                <w:sz w:val="22"/>
                <w:szCs w:val="22"/>
              </w:rPr>
            </w:pPr>
          </w:p>
        </w:tc>
        <w:tc>
          <w:tcPr>
            <w:tcW w:w="1990" w:type="dxa"/>
            <w:noWrap w:val="0"/>
            <w:vAlign w:val="top"/>
          </w:tcPr>
          <w:p>
            <w:pPr>
              <w:spacing w:line="380" w:lineRule="exact"/>
              <w:rPr>
                <w:rFonts w:ascii="宋体" w:hAnsi="宋体"/>
                <w:b/>
                <w:bCs/>
                <w:color w:val="auto"/>
                <w:sz w:val="22"/>
                <w:szCs w:val="22"/>
              </w:rPr>
            </w:pPr>
          </w:p>
        </w:tc>
        <w:tc>
          <w:tcPr>
            <w:tcW w:w="994" w:type="dxa"/>
            <w:noWrap w:val="0"/>
            <w:vAlign w:val="top"/>
          </w:tcPr>
          <w:p>
            <w:pPr>
              <w:spacing w:line="380" w:lineRule="exact"/>
              <w:rPr>
                <w:rFonts w:ascii="宋体" w:hAnsi="宋体"/>
                <w:b/>
                <w:bCs/>
                <w:color w:val="auto"/>
                <w:sz w:val="22"/>
                <w:szCs w:val="22"/>
              </w:rPr>
            </w:pPr>
          </w:p>
        </w:tc>
        <w:tc>
          <w:tcPr>
            <w:tcW w:w="1705" w:type="dxa"/>
            <w:noWrap w:val="0"/>
            <w:vAlign w:val="top"/>
          </w:tcPr>
          <w:p>
            <w:pPr>
              <w:spacing w:line="380" w:lineRule="exact"/>
              <w:rPr>
                <w:rFonts w:ascii="宋体" w:hAnsi="宋体"/>
                <w:b/>
                <w:bCs/>
                <w:color w:val="auto"/>
                <w:sz w:val="22"/>
                <w:szCs w:val="22"/>
              </w:rPr>
            </w:pPr>
          </w:p>
        </w:tc>
        <w:tc>
          <w:tcPr>
            <w:tcW w:w="1164" w:type="dxa"/>
            <w:noWrap w:val="0"/>
            <w:vAlign w:val="top"/>
          </w:tcPr>
          <w:p>
            <w:pPr>
              <w:spacing w:line="380" w:lineRule="exact"/>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25" w:type="dxa"/>
            <w:noWrap w:val="0"/>
            <w:vAlign w:val="top"/>
          </w:tcPr>
          <w:p>
            <w:pPr>
              <w:spacing w:line="380" w:lineRule="exact"/>
              <w:rPr>
                <w:rFonts w:ascii="宋体" w:hAnsi="宋体"/>
                <w:b/>
                <w:bCs/>
                <w:color w:val="auto"/>
                <w:sz w:val="22"/>
                <w:szCs w:val="22"/>
              </w:rPr>
            </w:pPr>
          </w:p>
        </w:tc>
        <w:tc>
          <w:tcPr>
            <w:tcW w:w="1989" w:type="dxa"/>
            <w:noWrap w:val="0"/>
            <w:vAlign w:val="top"/>
          </w:tcPr>
          <w:p>
            <w:pPr>
              <w:spacing w:line="380" w:lineRule="exact"/>
              <w:rPr>
                <w:rFonts w:ascii="宋体" w:hAnsi="宋体"/>
                <w:b/>
                <w:bCs/>
                <w:color w:val="auto"/>
                <w:sz w:val="22"/>
                <w:szCs w:val="22"/>
              </w:rPr>
            </w:pPr>
          </w:p>
        </w:tc>
        <w:tc>
          <w:tcPr>
            <w:tcW w:w="1137" w:type="dxa"/>
            <w:noWrap w:val="0"/>
            <w:vAlign w:val="top"/>
          </w:tcPr>
          <w:p>
            <w:pPr>
              <w:spacing w:line="380" w:lineRule="exact"/>
              <w:rPr>
                <w:rFonts w:ascii="宋体" w:hAnsi="宋体"/>
                <w:b/>
                <w:bCs/>
                <w:color w:val="auto"/>
                <w:sz w:val="22"/>
                <w:szCs w:val="22"/>
              </w:rPr>
            </w:pPr>
          </w:p>
        </w:tc>
        <w:tc>
          <w:tcPr>
            <w:tcW w:w="1990" w:type="dxa"/>
            <w:noWrap w:val="0"/>
            <w:vAlign w:val="top"/>
          </w:tcPr>
          <w:p>
            <w:pPr>
              <w:spacing w:line="380" w:lineRule="exact"/>
              <w:rPr>
                <w:rFonts w:ascii="宋体" w:hAnsi="宋体"/>
                <w:b/>
                <w:bCs/>
                <w:color w:val="auto"/>
                <w:sz w:val="22"/>
                <w:szCs w:val="22"/>
              </w:rPr>
            </w:pPr>
          </w:p>
        </w:tc>
        <w:tc>
          <w:tcPr>
            <w:tcW w:w="994" w:type="dxa"/>
            <w:noWrap w:val="0"/>
            <w:vAlign w:val="top"/>
          </w:tcPr>
          <w:p>
            <w:pPr>
              <w:spacing w:line="380" w:lineRule="exact"/>
              <w:rPr>
                <w:rFonts w:ascii="宋体" w:hAnsi="宋体"/>
                <w:b/>
                <w:bCs/>
                <w:color w:val="auto"/>
                <w:sz w:val="22"/>
                <w:szCs w:val="22"/>
              </w:rPr>
            </w:pPr>
          </w:p>
        </w:tc>
        <w:tc>
          <w:tcPr>
            <w:tcW w:w="1705" w:type="dxa"/>
            <w:noWrap w:val="0"/>
            <w:vAlign w:val="top"/>
          </w:tcPr>
          <w:p>
            <w:pPr>
              <w:spacing w:line="380" w:lineRule="exact"/>
              <w:rPr>
                <w:rFonts w:ascii="宋体" w:hAnsi="宋体"/>
                <w:b/>
                <w:bCs/>
                <w:color w:val="auto"/>
                <w:sz w:val="22"/>
                <w:szCs w:val="22"/>
              </w:rPr>
            </w:pPr>
          </w:p>
        </w:tc>
        <w:tc>
          <w:tcPr>
            <w:tcW w:w="1164" w:type="dxa"/>
            <w:noWrap w:val="0"/>
            <w:vAlign w:val="top"/>
          </w:tcPr>
          <w:p>
            <w:pPr>
              <w:spacing w:line="380" w:lineRule="exact"/>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5" w:type="dxa"/>
            <w:noWrap w:val="0"/>
            <w:vAlign w:val="top"/>
          </w:tcPr>
          <w:p>
            <w:pPr>
              <w:spacing w:line="380" w:lineRule="exact"/>
              <w:rPr>
                <w:rFonts w:ascii="宋体" w:hAnsi="宋体"/>
                <w:b/>
                <w:bCs/>
                <w:color w:val="auto"/>
                <w:sz w:val="22"/>
                <w:szCs w:val="22"/>
              </w:rPr>
            </w:pPr>
          </w:p>
        </w:tc>
        <w:tc>
          <w:tcPr>
            <w:tcW w:w="1989" w:type="dxa"/>
            <w:noWrap w:val="0"/>
            <w:vAlign w:val="top"/>
          </w:tcPr>
          <w:p>
            <w:pPr>
              <w:spacing w:line="380" w:lineRule="exact"/>
              <w:rPr>
                <w:rFonts w:ascii="宋体" w:hAnsi="宋体"/>
                <w:b/>
                <w:bCs/>
                <w:color w:val="auto"/>
                <w:sz w:val="22"/>
                <w:szCs w:val="22"/>
              </w:rPr>
            </w:pPr>
          </w:p>
        </w:tc>
        <w:tc>
          <w:tcPr>
            <w:tcW w:w="1137" w:type="dxa"/>
            <w:noWrap w:val="0"/>
            <w:vAlign w:val="top"/>
          </w:tcPr>
          <w:p>
            <w:pPr>
              <w:spacing w:line="380" w:lineRule="exact"/>
              <w:rPr>
                <w:rFonts w:ascii="宋体" w:hAnsi="宋体"/>
                <w:b/>
                <w:bCs/>
                <w:color w:val="auto"/>
                <w:sz w:val="22"/>
                <w:szCs w:val="22"/>
              </w:rPr>
            </w:pPr>
          </w:p>
        </w:tc>
        <w:tc>
          <w:tcPr>
            <w:tcW w:w="1990" w:type="dxa"/>
            <w:noWrap w:val="0"/>
            <w:vAlign w:val="top"/>
          </w:tcPr>
          <w:p>
            <w:pPr>
              <w:spacing w:line="380" w:lineRule="exact"/>
              <w:rPr>
                <w:rFonts w:ascii="宋体" w:hAnsi="宋体"/>
                <w:b/>
                <w:bCs/>
                <w:color w:val="auto"/>
                <w:sz w:val="22"/>
                <w:szCs w:val="22"/>
              </w:rPr>
            </w:pPr>
          </w:p>
        </w:tc>
        <w:tc>
          <w:tcPr>
            <w:tcW w:w="994" w:type="dxa"/>
            <w:noWrap w:val="0"/>
            <w:vAlign w:val="top"/>
          </w:tcPr>
          <w:p>
            <w:pPr>
              <w:spacing w:line="380" w:lineRule="exact"/>
              <w:rPr>
                <w:rFonts w:ascii="宋体" w:hAnsi="宋体"/>
                <w:b/>
                <w:bCs/>
                <w:color w:val="auto"/>
                <w:sz w:val="22"/>
                <w:szCs w:val="22"/>
              </w:rPr>
            </w:pPr>
          </w:p>
        </w:tc>
        <w:tc>
          <w:tcPr>
            <w:tcW w:w="1705" w:type="dxa"/>
            <w:noWrap w:val="0"/>
            <w:vAlign w:val="top"/>
          </w:tcPr>
          <w:p>
            <w:pPr>
              <w:spacing w:line="380" w:lineRule="exact"/>
              <w:rPr>
                <w:rFonts w:ascii="宋体" w:hAnsi="宋体"/>
                <w:b/>
                <w:bCs/>
                <w:color w:val="auto"/>
                <w:sz w:val="22"/>
                <w:szCs w:val="22"/>
              </w:rPr>
            </w:pPr>
          </w:p>
        </w:tc>
        <w:tc>
          <w:tcPr>
            <w:tcW w:w="1164" w:type="dxa"/>
            <w:noWrap w:val="0"/>
            <w:vAlign w:val="top"/>
          </w:tcPr>
          <w:p>
            <w:pPr>
              <w:spacing w:line="380" w:lineRule="exact"/>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5" w:type="dxa"/>
            <w:noWrap w:val="0"/>
            <w:vAlign w:val="top"/>
          </w:tcPr>
          <w:p>
            <w:pPr>
              <w:spacing w:line="380" w:lineRule="exact"/>
              <w:rPr>
                <w:rFonts w:ascii="宋体" w:hAnsi="宋体"/>
                <w:b/>
                <w:bCs/>
                <w:color w:val="auto"/>
                <w:sz w:val="22"/>
                <w:szCs w:val="22"/>
              </w:rPr>
            </w:pPr>
          </w:p>
        </w:tc>
        <w:tc>
          <w:tcPr>
            <w:tcW w:w="1989" w:type="dxa"/>
            <w:noWrap w:val="0"/>
            <w:vAlign w:val="top"/>
          </w:tcPr>
          <w:p>
            <w:pPr>
              <w:spacing w:line="380" w:lineRule="exact"/>
              <w:rPr>
                <w:rFonts w:ascii="宋体" w:hAnsi="宋体"/>
                <w:b/>
                <w:bCs/>
                <w:color w:val="auto"/>
                <w:sz w:val="22"/>
                <w:szCs w:val="22"/>
              </w:rPr>
            </w:pPr>
          </w:p>
        </w:tc>
        <w:tc>
          <w:tcPr>
            <w:tcW w:w="1137" w:type="dxa"/>
            <w:noWrap w:val="0"/>
            <w:vAlign w:val="top"/>
          </w:tcPr>
          <w:p>
            <w:pPr>
              <w:spacing w:line="380" w:lineRule="exact"/>
              <w:rPr>
                <w:rFonts w:ascii="宋体" w:hAnsi="宋体"/>
                <w:b/>
                <w:bCs/>
                <w:color w:val="auto"/>
                <w:sz w:val="22"/>
                <w:szCs w:val="22"/>
              </w:rPr>
            </w:pPr>
          </w:p>
        </w:tc>
        <w:tc>
          <w:tcPr>
            <w:tcW w:w="1990" w:type="dxa"/>
            <w:noWrap w:val="0"/>
            <w:vAlign w:val="top"/>
          </w:tcPr>
          <w:p>
            <w:pPr>
              <w:spacing w:line="380" w:lineRule="exact"/>
              <w:rPr>
                <w:rFonts w:ascii="宋体" w:hAnsi="宋体"/>
                <w:b/>
                <w:bCs/>
                <w:color w:val="auto"/>
                <w:sz w:val="22"/>
                <w:szCs w:val="22"/>
              </w:rPr>
            </w:pPr>
          </w:p>
        </w:tc>
        <w:tc>
          <w:tcPr>
            <w:tcW w:w="994" w:type="dxa"/>
            <w:noWrap w:val="0"/>
            <w:vAlign w:val="top"/>
          </w:tcPr>
          <w:p>
            <w:pPr>
              <w:spacing w:line="380" w:lineRule="exact"/>
              <w:rPr>
                <w:rFonts w:ascii="宋体" w:hAnsi="宋体"/>
                <w:b/>
                <w:bCs/>
                <w:color w:val="auto"/>
                <w:sz w:val="22"/>
                <w:szCs w:val="22"/>
              </w:rPr>
            </w:pPr>
          </w:p>
        </w:tc>
        <w:tc>
          <w:tcPr>
            <w:tcW w:w="1705" w:type="dxa"/>
            <w:noWrap w:val="0"/>
            <w:vAlign w:val="top"/>
          </w:tcPr>
          <w:p>
            <w:pPr>
              <w:spacing w:line="380" w:lineRule="exact"/>
              <w:rPr>
                <w:rFonts w:ascii="宋体" w:hAnsi="宋体"/>
                <w:b/>
                <w:bCs/>
                <w:color w:val="auto"/>
                <w:sz w:val="22"/>
                <w:szCs w:val="22"/>
              </w:rPr>
            </w:pPr>
          </w:p>
        </w:tc>
        <w:tc>
          <w:tcPr>
            <w:tcW w:w="1164" w:type="dxa"/>
            <w:noWrap w:val="0"/>
            <w:vAlign w:val="top"/>
          </w:tcPr>
          <w:p>
            <w:pPr>
              <w:spacing w:line="380" w:lineRule="exact"/>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5" w:type="dxa"/>
            <w:noWrap w:val="0"/>
            <w:vAlign w:val="top"/>
          </w:tcPr>
          <w:p>
            <w:pPr>
              <w:spacing w:line="380" w:lineRule="exact"/>
              <w:rPr>
                <w:rFonts w:ascii="宋体" w:hAnsi="宋体"/>
                <w:b/>
                <w:bCs/>
                <w:color w:val="auto"/>
                <w:sz w:val="22"/>
                <w:szCs w:val="22"/>
              </w:rPr>
            </w:pPr>
          </w:p>
        </w:tc>
        <w:tc>
          <w:tcPr>
            <w:tcW w:w="1989" w:type="dxa"/>
            <w:noWrap w:val="0"/>
            <w:vAlign w:val="top"/>
          </w:tcPr>
          <w:p>
            <w:pPr>
              <w:spacing w:line="380" w:lineRule="exact"/>
              <w:rPr>
                <w:rFonts w:ascii="宋体" w:hAnsi="宋体"/>
                <w:b/>
                <w:bCs/>
                <w:color w:val="auto"/>
                <w:sz w:val="22"/>
                <w:szCs w:val="22"/>
              </w:rPr>
            </w:pPr>
          </w:p>
        </w:tc>
        <w:tc>
          <w:tcPr>
            <w:tcW w:w="1137" w:type="dxa"/>
            <w:noWrap w:val="0"/>
            <w:vAlign w:val="top"/>
          </w:tcPr>
          <w:p>
            <w:pPr>
              <w:spacing w:line="380" w:lineRule="exact"/>
              <w:rPr>
                <w:rFonts w:ascii="宋体" w:hAnsi="宋体"/>
                <w:b/>
                <w:bCs/>
                <w:color w:val="auto"/>
                <w:sz w:val="22"/>
                <w:szCs w:val="22"/>
              </w:rPr>
            </w:pPr>
          </w:p>
        </w:tc>
        <w:tc>
          <w:tcPr>
            <w:tcW w:w="1990" w:type="dxa"/>
            <w:noWrap w:val="0"/>
            <w:vAlign w:val="top"/>
          </w:tcPr>
          <w:p>
            <w:pPr>
              <w:spacing w:line="380" w:lineRule="exact"/>
              <w:rPr>
                <w:rFonts w:ascii="宋体" w:hAnsi="宋体"/>
                <w:b/>
                <w:bCs/>
                <w:color w:val="auto"/>
                <w:sz w:val="22"/>
                <w:szCs w:val="22"/>
              </w:rPr>
            </w:pPr>
          </w:p>
        </w:tc>
        <w:tc>
          <w:tcPr>
            <w:tcW w:w="994" w:type="dxa"/>
            <w:noWrap w:val="0"/>
            <w:vAlign w:val="top"/>
          </w:tcPr>
          <w:p>
            <w:pPr>
              <w:spacing w:line="380" w:lineRule="exact"/>
              <w:rPr>
                <w:rFonts w:ascii="宋体" w:hAnsi="宋体"/>
                <w:b/>
                <w:bCs/>
                <w:color w:val="auto"/>
                <w:sz w:val="22"/>
                <w:szCs w:val="22"/>
              </w:rPr>
            </w:pPr>
          </w:p>
        </w:tc>
        <w:tc>
          <w:tcPr>
            <w:tcW w:w="1705" w:type="dxa"/>
            <w:noWrap w:val="0"/>
            <w:vAlign w:val="top"/>
          </w:tcPr>
          <w:p>
            <w:pPr>
              <w:spacing w:line="380" w:lineRule="exact"/>
              <w:rPr>
                <w:rFonts w:ascii="宋体" w:hAnsi="宋体"/>
                <w:b/>
                <w:bCs/>
                <w:color w:val="auto"/>
                <w:sz w:val="22"/>
                <w:szCs w:val="22"/>
              </w:rPr>
            </w:pPr>
          </w:p>
        </w:tc>
        <w:tc>
          <w:tcPr>
            <w:tcW w:w="1164" w:type="dxa"/>
            <w:noWrap w:val="0"/>
            <w:vAlign w:val="top"/>
          </w:tcPr>
          <w:p>
            <w:pPr>
              <w:spacing w:line="380" w:lineRule="exact"/>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5" w:type="dxa"/>
            <w:noWrap w:val="0"/>
            <w:vAlign w:val="top"/>
          </w:tcPr>
          <w:p>
            <w:pPr>
              <w:spacing w:line="380" w:lineRule="exact"/>
              <w:rPr>
                <w:rFonts w:ascii="宋体" w:hAnsi="宋体"/>
                <w:b/>
                <w:bCs/>
                <w:color w:val="auto"/>
                <w:sz w:val="22"/>
                <w:szCs w:val="22"/>
              </w:rPr>
            </w:pPr>
          </w:p>
        </w:tc>
        <w:tc>
          <w:tcPr>
            <w:tcW w:w="1989" w:type="dxa"/>
            <w:noWrap w:val="0"/>
            <w:vAlign w:val="top"/>
          </w:tcPr>
          <w:p>
            <w:pPr>
              <w:spacing w:line="380" w:lineRule="exact"/>
              <w:rPr>
                <w:rFonts w:ascii="宋体" w:hAnsi="宋体"/>
                <w:b/>
                <w:bCs/>
                <w:color w:val="auto"/>
                <w:sz w:val="22"/>
                <w:szCs w:val="22"/>
              </w:rPr>
            </w:pPr>
          </w:p>
        </w:tc>
        <w:tc>
          <w:tcPr>
            <w:tcW w:w="1137" w:type="dxa"/>
            <w:noWrap w:val="0"/>
            <w:vAlign w:val="top"/>
          </w:tcPr>
          <w:p>
            <w:pPr>
              <w:spacing w:line="380" w:lineRule="exact"/>
              <w:rPr>
                <w:rFonts w:ascii="宋体" w:hAnsi="宋体"/>
                <w:b/>
                <w:bCs/>
                <w:color w:val="auto"/>
                <w:sz w:val="22"/>
                <w:szCs w:val="22"/>
              </w:rPr>
            </w:pPr>
          </w:p>
        </w:tc>
        <w:tc>
          <w:tcPr>
            <w:tcW w:w="1990" w:type="dxa"/>
            <w:noWrap w:val="0"/>
            <w:vAlign w:val="top"/>
          </w:tcPr>
          <w:p>
            <w:pPr>
              <w:spacing w:line="380" w:lineRule="exact"/>
              <w:rPr>
                <w:rFonts w:ascii="宋体" w:hAnsi="宋体"/>
                <w:b/>
                <w:bCs/>
                <w:color w:val="auto"/>
                <w:sz w:val="22"/>
                <w:szCs w:val="22"/>
              </w:rPr>
            </w:pPr>
          </w:p>
        </w:tc>
        <w:tc>
          <w:tcPr>
            <w:tcW w:w="994" w:type="dxa"/>
            <w:noWrap w:val="0"/>
            <w:vAlign w:val="top"/>
          </w:tcPr>
          <w:p>
            <w:pPr>
              <w:spacing w:line="380" w:lineRule="exact"/>
              <w:rPr>
                <w:rFonts w:ascii="宋体" w:hAnsi="宋体"/>
                <w:b/>
                <w:bCs/>
                <w:color w:val="auto"/>
                <w:sz w:val="22"/>
                <w:szCs w:val="22"/>
              </w:rPr>
            </w:pPr>
          </w:p>
        </w:tc>
        <w:tc>
          <w:tcPr>
            <w:tcW w:w="1705" w:type="dxa"/>
            <w:noWrap w:val="0"/>
            <w:vAlign w:val="top"/>
          </w:tcPr>
          <w:p>
            <w:pPr>
              <w:spacing w:line="380" w:lineRule="exact"/>
              <w:rPr>
                <w:rFonts w:ascii="宋体" w:hAnsi="宋体"/>
                <w:b/>
                <w:bCs/>
                <w:color w:val="auto"/>
                <w:sz w:val="22"/>
                <w:szCs w:val="22"/>
              </w:rPr>
            </w:pPr>
          </w:p>
        </w:tc>
        <w:tc>
          <w:tcPr>
            <w:tcW w:w="1164" w:type="dxa"/>
            <w:noWrap w:val="0"/>
            <w:vAlign w:val="top"/>
          </w:tcPr>
          <w:p>
            <w:pPr>
              <w:spacing w:line="380" w:lineRule="exact"/>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5" w:type="dxa"/>
            <w:noWrap w:val="0"/>
            <w:vAlign w:val="top"/>
          </w:tcPr>
          <w:p>
            <w:pPr>
              <w:spacing w:line="380" w:lineRule="exact"/>
              <w:rPr>
                <w:rFonts w:ascii="宋体" w:hAnsi="宋体"/>
                <w:b/>
                <w:bCs/>
                <w:color w:val="auto"/>
                <w:sz w:val="22"/>
                <w:szCs w:val="22"/>
              </w:rPr>
            </w:pPr>
          </w:p>
        </w:tc>
        <w:tc>
          <w:tcPr>
            <w:tcW w:w="1989" w:type="dxa"/>
            <w:noWrap w:val="0"/>
            <w:vAlign w:val="top"/>
          </w:tcPr>
          <w:p>
            <w:pPr>
              <w:spacing w:line="380" w:lineRule="exact"/>
              <w:rPr>
                <w:rFonts w:ascii="宋体" w:hAnsi="宋体"/>
                <w:b/>
                <w:bCs/>
                <w:color w:val="auto"/>
                <w:sz w:val="22"/>
                <w:szCs w:val="22"/>
              </w:rPr>
            </w:pPr>
          </w:p>
        </w:tc>
        <w:tc>
          <w:tcPr>
            <w:tcW w:w="1137" w:type="dxa"/>
            <w:noWrap w:val="0"/>
            <w:vAlign w:val="top"/>
          </w:tcPr>
          <w:p>
            <w:pPr>
              <w:spacing w:line="380" w:lineRule="exact"/>
              <w:rPr>
                <w:rFonts w:ascii="宋体" w:hAnsi="宋体"/>
                <w:b/>
                <w:bCs/>
                <w:color w:val="auto"/>
                <w:sz w:val="22"/>
                <w:szCs w:val="22"/>
              </w:rPr>
            </w:pPr>
          </w:p>
        </w:tc>
        <w:tc>
          <w:tcPr>
            <w:tcW w:w="1990" w:type="dxa"/>
            <w:noWrap w:val="0"/>
            <w:vAlign w:val="top"/>
          </w:tcPr>
          <w:p>
            <w:pPr>
              <w:spacing w:line="380" w:lineRule="exact"/>
              <w:rPr>
                <w:rFonts w:ascii="宋体" w:hAnsi="宋体"/>
                <w:b/>
                <w:bCs/>
                <w:color w:val="auto"/>
                <w:sz w:val="22"/>
                <w:szCs w:val="22"/>
              </w:rPr>
            </w:pPr>
          </w:p>
        </w:tc>
        <w:tc>
          <w:tcPr>
            <w:tcW w:w="994" w:type="dxa"/>
            <w:noWrap w:val="0"/>
            <w:vAlign w:val="top"/>
          </w:tcPr>
          <w:p>
            <w:pPr>
              <w:spacing w:line="380" w:lineRule="exact"/>
              <w:rPr>
                <w:rFonts w:ascii="宋体" w:hAnsi="宋体"/>
                <w:b/>
                <w:bCs/>
                <w:color w:val="auto"/>
                <w:sz w:val="22"/>
                <w:szCs w:val="22"/>
              </w:rPr>
            </w:pPr>
          </w:p>
        </w:tc>
        <w:tc>
          <w:tcPr>
            <w:tcW w:w="1705" w:type="dxa"/>
            <w:noWrap w:val="0"/>
            <w:vAlign w:val="top"/>
          </w:tcPr>
          <w:p>
            <w:pPr>
              <w:spacing w:line="380" w:lineRule="exact"/>
              <w:rPr>
                <w:rFonts w:ascii="宋体" w:hAnsi="宋体"/>
                <w:b/>
                <w:bCs/>
                <w:color w:val="auto"/>
                <w:sz w:val="22"/>
                <w:szCs w:val="22"/>
              </w:rPr>
            </w:pPr>
          </w:p>
        </w:tc>
        <w:tc>
          <w:tcPr>
            <w:tcW w:w="1164" w:type="dxa"/>
            <w:noWrap w:val="0"/>
            <w:vAlign w:val="top"/>
          </w:tcPr>
          <w:p>
            <w:pPr>
              <w:spacing w:line="380" w:lineRule="exact"/>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5" w:type="dxa"/>
            <w:noWrap w:val="0"/>
            <w:vAlign w:val="top"/>
          </w:tcPr>
          <w:p>
            <w:pPr>
              <w:spacing w:line="380" w:lineRule="exact"/>
              <w:rPr>
                <w:rFonts w:ascii="宋体" w:hAnsi="宋体"/>
                <w:b/>
                <w:bCs/>
                <w:color w:val="auto"/>
                <w:sz w:val="22"/>
                <w:szCs w:val="22"/>
              </w:rPr>
            </w:pPr>
          </w:p>
        </w:tc>
        <w:tc>
          <w:tcPr>
            <w:tcW w:w="1989" w:type="dxa"/>
            <w:noWrap w:val="0"/>
            <w:vAlign w:val="top"/>
          </w:tcPr>
          <w:p>
            <w:pPr>
              <w:spacing w:line="380" w:lineRule="exact"/>
              <w:rPr>
                <w:rFonts w:ascii="宋体" w:hAnsi="宋体"/>
                <w:b/>
                <w:bCs/>
                <w:color w:val="auto"/>
                <w:sz w:val="22"/>
                <w:szCs w:val="22"/>
              </w:rPr>
            </w:pPr>
          </w:p>
        </w:tc>
        <w:tc>
          <w:tcPr>
            <w:tcW w:w="1137" w:type="dxa"/>
            <w:noWrap w:val="0"/>
            <w:vAlign w:val="top"/>
          </w:tcPr>
          <w:p>
            <w:pPr>
              <w:spacing w:line="380" w:lineRule="exact"/>
              <w:rPr>
                <w:rFonts w:ascii="宋体" w:hAnsi="宋体"/>
                <w:b/>
                <w:bCs/>
                <w:color w:val="auto"/>
                <w:sz w:val="22"/>
                <w:szCs w:val="22"/>
              </w:rPr>
            </w:pPr>
          </w:p>
        </w:tc>
        <w:tc>
          <w:tcPr>
            <w:tcW w:w="1990" w:type="dxa"/>
            <w:noWrap w:val="0"/>
            <w:vAlign w:val="top"/>
          </w:tcPr>
          <w:p>
            <w:pPr>
              <w:spacing w:line="380" w:lineRule="exact"/>
              <w:rPr>
                <w:rFonts w:ascii="宋体" w:hAnsi="宋体"/>
                <w:b/>
                <w:bCs/>
                <w:color w:val="auto"/>
                <w:sz w:val="22"/>
                <w:szCs w:val="22"/>
              </w:rPr>
            </w:pPr>
          </w:p>
        </w:tc>
        <w:tc>
          <w:tcPr>
            <w:tcW w:w="994" w:type="dxa"/>
            <w:noWrap w:val="0"/>
            <w:vAlign w:val="top"/>
          </w:tcPr>
          <w:p>
            <w:pPr>
              <w:spacing w:line="380" w:lineRule="exact"/>
              <w:rPr>
                <w:rFonts w:ascii="宋体" w:hAnsi="宋体"/>
                <w:b/>
                <w:bCs/>
                <w:color w:val="auto"/>
                <w:sz w:val="22"/>
                <w:szCs w:val="22"/>
              </w:rPr>
            </w:pPr>
          </w:p>
        </w:tc>
        <w:tc>
          <w:tcPr>
            <w:tcW w:w="1705" w:type="dxa"/>
            <w:noWrap w:val="0"/>
            <w:vAlign w:val="top"/>
          </w:tcPr>
          <w:p>
            <w:pPr>
              <w:spacing w:line="380" w:lineRule="exact"/>
              <w:rPr>
                <w:rFonts w:ascii="宋体" w:hAnsi="宋体"/>
                <w:b/>
                <w:bCs/>
                <w:color w:val="auto"/>
                <w:sz w:val="22"/>
                <w:szCs w:val="22"/>
              </w:rPr>
            </w:pPr>
          </w:p>
        </w:tc>
        <w:tc>
          <w:tcPr>
            <w:tcW w:w="1164" w:type="dxa"/>
            <w:noWrap w:val="0"/>
            <w:vAlign w:val="top"/>
          </w:tcPr>
          <w:p>
            <w:pPr>
              <w:spacing w:line="380" w:lineRule="exact"/>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25" w:type="dxa"/>
            <w:noWrap w:val="0"/>
            <w:vAlign w:val="top"/>
          </w:tcPr>
          <w:p>
            <w:pPr>
              <w:spacing w:line="380" w:lineRule="exact"/>
              <w:rPr>
                <w:rFonts w:ascii="宋体" w:hAnsi="宋体"/>
                <w:b/>
                <w:bCs/>
                <w:color w:val="auto"/>
                <w:sz w:val="22"/>
                <w:szCs w:val="22"/>
              </w:rPr>
            </w:pPr>
          </w:p>
        </w:tc>
        <w:tc>
          <w:tcPr>
            <w:tcW w:w="1989" w:type="dxa"/>
            <w:noWrap w:val="0"/>
            <w:vAlign w:val="top"/>
          </w:tcPr>
          <w:p>
            <w:pPr>
              <w:spacing w:line="380" w:lineRule="exact"/>
              <w:rPr>
                <w:rFonts w:ascii="宋体" w:hAnsi="宋体"/>
                <w:b/>
                <w:bCs/>
                <w:color w:val="auto"/>
                <w:sz w:val="22"/>
                <w:szCs w:val="22"/>
              </w:rPr>
            </w:pPr>
          </w:p>
        </w:tc>
        <w:tc>
          <w:tcPr>
            <w:tcW w:w="1137" w:type="dxa"/>
            <w:noWrap w:val="0"/>
            <w:vAlign w:val="top"/>
          </w:tcPr>
          <w:p>
            <w:pPr>
              <w:spacing w:line="380" w:lineRule="exact"/>
              <w:rPr>
                <w:rFonts w:ascii="宋体" w:hAnsi="宋体"/>
                <w:b/>
                <w:bCs/>
                <w:color w:val="auto"/>
                <w:sz w:val="22"/>
                <w:szCs w:val="22"/>
              </w:rPr>
            </w:pPr>
          </w:p>
        </w:tc>
        <w:tc>
          <w:tcPr>
            <w:tcW w:w="1990" w:type="dxa"/>
            <w:noWrap w:val="0"/>
            <w:vAlign w:val="top"/>
          </w:tcPr>
          <w:p>
            <w:pPr>
              <w:spacing w:line="380" w:lineRule="exact"/>
              <w:rPr>
                <w:rFonts w:ascii="宋体" w:hAnsi="宋体"/>
                <w:b/>
                <w:bCs/>
                <w:color w:val="auto"/>
                <w:sz w:val="22"/>
                <w:szCs w:val="22"/>
              </w:rPr>
            </w:pPr>
          </w:p>
        </w:tc>
        <w:tc>
          <w:tcPr>
            <w:tcW w:w="994" w:type="dxa"/>
            <w:noWrap w:val="0"/>
            <w:vAlign w:val="top"/>
          </w:tcPr>
          <w:p>
            <w:pPr>
              <w:spacing w:line="380" w:lineRule="exact"/>
              <w:rPr>
                <w:rFonts w:ascii="宋体" w:hAnsi="宋体"/>
                <w:b/>
                <w:bCs/>
                <w:color w:val="auto"/>
                <w:sz w:val="22"/>
                <w:szCs w:val="22"/>
              </w:rPr>
            </w:pPr>
          </w:p>
        </w:tc>
        <w:tc>
          <w:tcPr>
            <w:tcW w:w="1705" w:type="dxa"/>
            <w:noWrap w:val="0"/>
            <w:vAlign w:val="top"/>
          </w:tcPr>
          <w:p>
            <w:pPr>
              <w:spacing w:line="380" w:lineRule="exact"/>
              <w:rPr>
                <w:rFonts w:ascii="宋体" w:hAnsi="宋体"/>
                <w:b/>
                <w:bCs/>
                <w:color w:val="auto"/>
                <w:sz w:val="22"/>
                <w:szCs w:val="22"/>
              </w:rPr>
            </w:pPr>
          </w:p>
        </w:tc>
        <w:tc>
          <w:tcPr>
            <w:tcW w:w="1164" w:type="dxa"/>
            <w:noWrap w:val="0"/>
            <w:vAlign w:val="top"/>
          </w:tcPr>
          <w:p>
            <w:pPr>
              <w:spacing w:line="380" w:lineRule="exact"/>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5" w:type="dxa"/>
            <w:noWrap w:val="0"/>
            <w:vAlign w:val="top"/>
          </w:tcPr>
          <w:p>
            <w:pPr>
              <w:spacing w:line="380" w:lineRule="exact"/>
              <w:rPr>
                <w:rFonts w:ascii="宋体" w:hAnsi="宋体"/>
                <w:b/>
                <w:bCs/>
                <w:color w:val="auto"/>
                <w:sz w:val="22"/>
                <w:szCs w:val="22"/>
              </w:rPr>
            </w:pPr>
          </w:p>
        </w:tc>
        <w:tc>
          <w:tcPr>
            <w:tcW w:w="1989" w:type="dxa"/>
            <w:noWrap w:val="0"/>
            <w:vAlign w:val="top"/>
          </w:tcPr>
          <w:p>
            <w:pPr>
              <w:spacing w:line="380" w:lineRule="exact"/>
              <w:rPr>
                <w:rFonts w:ascii="宋体" w:hAnsi="宋体"/>
                <w:b/>
                <w:bCs/>
                <w:color w:val="auto"/>
                <w:sz w:val="22"/>
                <w:szCs w:val="22"/>
              </w:rPr>
            </w:pPr>
          </w:p>
        </w:tc>
        <w:tc>
          <w:tcPr>
            <w:tcW w:w="1137" w:type="dxa"/>
            <w:noWrap w:val="0"/>
            <w:vAlign w:val="top"/>
          </w:tcPr>
          <w:p>
            <w:pPr>
              <w:spacing w:line="380" w:lineRule="exact"/>
              <w:rPr>
                <w:rFonts w:ascii="宋体" w:hAnsi="宋体"/>
                <w:b/>
                <w:bCs/>
                <w:color w:val="auto"/>
                <w:sz w:val="22"/>
                <w:szCs w:val="22"/>
              </w:rPr>
            </w:pPr>
          </w:p>
        </w:tc>
        <w:tc>
          <w:tcPr>
            <w:tcW w:w="1990" w:type="dxa"/>
            <w:noWrap w:val="0"/>
            <w:vAlign w:val="top"/>
          </w:tcPr>
          <w:p>
            <w:pPr>
              <w:spacing w:line="380" w:lineRule="exact"/>
              <w:rPr>
                <w:rFonts w:ascii="宋体" w:hAnsi="宋体"/>
                <w:b/>
                <w:bCs/>
                <w:color w:val="auto"/>
                <w:sz w:val="22"/>
                <w:szCs w:val="22"/>
              </w:rPr>
            </w:pPr>
          </w:p>
        </w:tc>
        <w:tc>
          <w:tcPr>
            <w:tcW w:w="994" w:type="dxa"/>
            <w:noWrap w:val="0"/>
            <w:vAlign w:val="top"/>
          </w:tcPr>
          <w:p>
            <w:pPr>
              <w:spacing w:line="380" w:lineRule="exact"/>
              <w:rPr>
                <w:rFonts w:ascii="宋体" w:hAnsi="宋体"/>
                <w:b/>
                <w:bCs/>
                <w:color w:val="auto"/>
                <w:sz w:val="22"/>
                <w:szCs w:val="22"/>
              </w:rPr>
            </w:pPr>
          </w:p>
        </w:tc>
        <w:tc>
          <w:tcPr>
            <w:tcW w:w="1705" w:type="dxa"/>
            <w:noWrap w:val="0"/>
            <w:vAlign w:val="top"/>
          </w:tcPr>
          <w:p>
            <w:pPr>
              <w:spacing w:line="380" w:lineRule="exact"/>
              <w:rPr>
                <w:rFonts w:ascii="宋体" w:hAnsi="宋体"/>
                <w:b/>
                <w:bCs/>
                <w:color w:val="auto"/>
                <w:sz w:val="22"/>
                <w:szCs w:val="22"/>
              </w:rPr>
            </w:pPr>
          </w:p>
        </w:tc>
        <w:tc>
          <w:tcPr>
            <w:tcW w:w="1164" w:type="dxa"/>
            <w:noWrap w:val="0"/>
            <w:vAlign w:val="top"/>
          </w:tcPr>
          <w:p>
            <w:pPr>
              <w:spacing w:line="380" w:lineRule="exact"/>
              <w:rPr>
                <w:rFonts w:ascii="宋体" w:hAnsi="宋体"/>
                <w:b/>
                <w:bCs/>
                <w:color w:val="auto"/>
                <w:sz w:val="22"/>
                <w:szCs w:val="22"/>
              </w:rPr>
            </w:pPr>
          </w:p>
        </w:tc>
      </w:tr>
    </w:tbl>
    <w:p>
      <w:pPr>
        <w:pStyle w:val="6"/>
        <w:spacing w:line="360" w:lineRule="auto"/>
        <w:ind w:firstLine="0"/>
        <w:jc w:val="left"/>
        <w:rPr>
          <w:rFonts w:ascii="宋体" w:hAnsi="宋体" w:cs="Arial"/>
          <w:color w:val="auto"/>
          <w:sz w:val="22"/>
          <w:szCs w:val="22"/>
        </w:rPr>
      </w:pPr>
      <w:r>
        <w:rPr>
          <w:rFonts w:ascii="宋体" w:hAnsi="宋体" w:cs="Arial"/>
          <w:color w:val="auto"/>
          <w:sz w:val="22"/>
          <w:szCs w:val="22"/>
        </w:rPr>
        <w:t>注：</w:t>
      </w:r>
    </w:p>
    <w:p>
      <w:pPr>
        <w:pStyle w:val="6"/>
        <w:spacing w:line="360" w:lineRule="auto"/>
        <w:ind w:firstLine="0"/>
        <w:jc w:val="left"/>
        <w:rPr>
          <w:rFonts w:hint="eastAsia" w:ascii="宋体" w:hAnsi="宋体" w:cs="Arial"/>
          <w:color w:val="auto"/>
          <w:sz w:val="22"/>
          <w:szCs w:val="22"/>
        </w:rPr>
      </w:pPr>
      <w:r>
        <w:rPr>
          <w:rFonts w:hint="eastAsia" w:ascii="宋体" w:hAnsi="宋体" w:cs="Arial"/>
          <w:color w:val="auto"/>
          <w:sz w:val="22"/>
          <w:szCs w:val="22"/>
        </w:rPr>
        <w:t>1.本表所列为投标人拟投入的消耗材料清单。</w:t>
      </w:r>
    </w:p>
    <w:p>
      <w:pPr>
        <w:pStyle w:val="6"/>
        <w:spacing w:line="360" w:lineRule="auto"/>
        <w:ind w:firstLine="0"/>
        <w:jc w:val="left"/>
        <w:rPr>
          <w:rFonts w:hint="eastAsia" w:ascii="宋体" w:hAnsi="宋体" w:cs="Arial"/>
          <w:color w:val="auto"/>
          <w:sz w:val="22"/>
          <w:szCs w:val="22"/>
        </w:rPr>
      </w:pPr>
      <w:r>
        <w:rPr>
          <w:rFonts w:hint="eastAsia" w:ascii="宋体" w:hAnsi="宋体" w:cs="Arial"/>
          <w:color w:val="auto"/>
          <w:sz w:val="22"/>
          <w:szCs w:val="22"/>
        </w:rPr>
        <w:t>2.本表中所列耗材价格应计入投标总价。</w:t>
      </w:r>
    </w:p>
    <w:p>
      <w:pPr>
        <w:pStyle w:val="6"/>
        <w:spacing w:line="360" w:lineRule="auto"/>
        <w:ind w:firstLine="0"/>
        <w:jc w:val="left"/>
        <w:rPr>
          <w:rFonts w:hint="eastAsia" w:ascii="宋体" w:hAnsi="宋体" w:cs="Arial"/>
          <w:color w:val="auto"/>
          <w:sz w:val="22"/>
          <w:szCs w:val="22"/>
        </w:rPr>
      </w:pPr>
      <w:r>
        <w:rPr>
          <w:rFonts w:hint="eastAsia" w:ascii="宋体" w:hAnsi="宋体" w:cs="Arial"/>
          <w:color w:val="auto"/>
          <w:sz w:val="22"/>
          <w:szCs w:val="22"/>
        </w:rPr>
        <w:t>3.此表仅提供了表格形式，投标人应根据需要准备足够数量的表格来填写。</w:t>
      </w:r>
    </w:p>
    <w:p>
      <w:pPr>
        <w:tabs>
          <w:tab w:val="left" w:pos="840"/>
        </w:tabs>
        <w:adjustRightInd w:val="0"/>
        <w:snapToGrid w:val="0"/>
        <w:spacing w:line="360" w:lineRule="auto"/>
        <w:ind w:left="420" w:leftChars="200" w:right="440" w:firstLine="5280" w:firstLineChars="2400"/>
        <w:rPr>
          <w:rFonts w:hint="eastAsia" w:ascii="宋体" w:hAnsi="宋体"/>
          <w:color w:val="auto"/>
          <w:sz w:val="22"/>
          <w:szCs w:val="22"/>
        </w:rPr>
      </w:pPr>
    </w:p>
    <w:p>
      <w:pPr>
        <w:tabs>
          <w:tab w:val="left" w:pos="840"/>
        </w:tabs>
        <w:adjustRightInd w:val="0"/>
        <w:snapToGrid w:val="0"/>
        <w:spacing w:line="360" w:lineRule="auto"/>
        <w:ind w:left="420" w:leftChars="200" w:right="440" w:firstLine="5280" w:firstLineChars="2400"/>
        <w:rPr>
          <w:rFonts w:hint="eastAsia" w:ascii="宋体" w:hAnsi="宋体"/>
          <w:color w:val="auto"/>
          <w:sz w:val="22"/>
          <w:szCs w:val="22"/>
        </w:rPr>
      </w:pPr>
    </w:p>
    <w:p>
      <w:pPr>
        <w:spacing w:line="380" w:lineRule="exact"/>
        <w:ind w:firstLine="4400" w:firstLineChars="20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投标人全称（盖章）：</w:t>
      </w:r>
    </w:p>
    <w:p>
      <w:pPr>
        <w:spacing w:line="380" w:lineRule="exact"/>
        <w:ind w:firstLine="4400" w:firstLineChars="20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投标人代表（签字或盖章）：</w:t>
      </w:r>
    </w:p>
    <w:p>
      <w:pPr>
        <w:spacing w:line="380" w:lineRule="exact"/>
        <w:ind w:firstLine="4400" w:firstLineChars="20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日期：  年   月  日</w:t>
      </w:r>
    </w:p>
    <w:p>
      <w:pPr>
        <w:spacing w:line="400" w:lineRule="exact"/>
        <w:rPr>
          <w:rFonts w:hint="eastAsia" w:ascii="宋体" w:hAnsi="宋体"/>
          <w:color w:val="auto"/>
          <w:sz w:val="22"/>
          <w:szCs w:val="22"/>
        </w:rPr>
      </w:pPr>
      <w:r>
        <w:rPr>
          <w:rFonts w:hint="eastAsia" w:ascii="宋体" w:hAnsi="宋体"/>
          <w:color w:val="auto"/>
          <w:sz w:val="22"/>
          <w:szCs w:val="22"/>
        </w:rPr>
        <w:t xml:space="preserve">                </w:t>
      </w:r>
    </w:p>
    <w:p>
      <w:pPr>
        <w:jc w:val="center"/>
        <w:rPr>
          <w:rFonts w:hint="eastAsia" w:ascii="宋体" w:hAnsi="宋体"/>
          <w:b/>
          <w:bCs/>
          <w:color w:val="auto"/>
          <w:sz w:val="22"/>
          <w:szCs w:val="22"/>
        </w:rPr>
      </w:pPr>
    </w:p>
    <w:p>
      <w:pPr>
        <w:spacing w:line="24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br w:type="page"/>
      </w:r>
    </w:p>
    <w:p>
      <w:pPr>
        <w:spacing w:before="120" w:beforeLines="50" w:after="120" w:afterLines="5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（报价文件封面，供参考）</w:t>
      </w:r>
    </w:p>
    <w:p>
      <w:pPr>
        <w:rPr>
          <w:rFonts w:hint="eastAsia" w:ascii="新宋体" w:hAnsi="新宋体" w:eastAsia="新宋体" w:cs="新宋体"/>
          <w:color w:val="auto"/>
        </w:rPr>
      </w:pPr>
    </w:p>
    <w:p>
      <w:pPr>
        <w:rPr>
          <w:rFonts w:hint="eastAsia" w:ascii="新宋体" w:hAnsi="新宋体" w:eastAsia="新宋体" w:cs="新宋体"/>
          <w:color w:val="auto"/>
        </w:rPr>
      </w:pPr>
    </w:p>
    <w:p>
      <w:pPr>
        <w:rPr>
          <w:rFonts w:hint="eastAsia" w:ascii="新宋体" w:hAnsi="新宋体" w:eastAsia="新宋体" w:cs="新宋体"/>
          <w:color w:val="auto"/>
        </w:rPr>
      </w:pPr>
    </w:p>
    <w:p>
      <w:pPr>
        <w:jc w:val="center"/>
        <w:rPr>
          <w:rFonts w:hint="eastAsia" w:ascii="新宋体" w:hAnsi="新宋体" w:eastAsia="新宋体" w:cs="新宋体"/>
          <w:color w:val="auto"/>
          <w:sz w:val="28"/>
          <w:szCs w:val="28"/>
        </w:rPr>
      </w:pP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（项目名称）</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投标文件</w:t>
      </w:r>
    </w:p>
    <w:p>
      <w:p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pStyle w:val="24"/>
        <w:ind w:firstLine="281"/>
        <w:rPr>
          <w:rFonts w:hint="eastAsia" w:ascii="新宋体" w:hAnsi="新宋体" w:eastAsia="新宋体" w:cs="新宋体"/>
          <w:color w:val="auto"/>
          <w:sz w:val="28"/>
          <w:szCs w:val="28"/>
        </w:rPr>
      </w:pPr>
    </w:p>
    <w:p>
      <w:pPr>
        <w:pStyle w:val="24"/>
        <w:ind w:firstLine="281"/>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jc w:val="center"/>
        <w:rPr>
          <w:rFonts w:hint="eastAsia" w:ascii="新宋体" w:hAnsi="新宋体" w:eastAsia="新宋体" w:cs="新宋体"/>
          <w:color w:val="auto"/>
          <w:sz w:val="52"/>
          <w:szCs w:val="52"/>
        </w:rPr>
      </w:pPr>
      <w:r>
        <w:rPr>
          <w:rFonts w:hint="eastAsia" w:ascii="新宋体" w:hAnsi="新宋体" w:eastAsia="新宋体" w:cs="新宋体"/>
          <w:color w:val="auto"/>
          <w:sz w:val="52"/>
          <w:szCs w:val="52"/>
        </w:rPr>
        <w:t>报 价 文 件</w:t>
      </w:r>
    </w:p>
    <w:p>
      <w:pPr>
        <w:spacing w:line="360" w:lineRule="auto"/>
        <w:rPr>
          <w:rFonts w:hint="eastAsia" w:ascii="新宋体" w:hAnsi="新宋体" w:eastAsia="新宋体" w:cs="新宋体"/>
          <w:color w:val="auto"/>
          <w:szCs w:val="21"/>
        </w:rPr>
      </w:pPr>
    </w:p>
    <w:p>
      <w:pPr>
        <w:spacing w:line="360" w:lineRule="auto"/>
        <w:rPr>
          <w:rFonts w:hint="eastAsia" w:ascii="新宋体" w:hAnsi="新宋体" w:eastAsia="新宋体" w:cs="新宋体"/>
          <w:color w:val="auto"/>
          <w:szCs w:val="21"/>
        </w:rPr>
      </w:pPr>
    </w:p>
    <w:p>
      <w:pPr>
        <w:spacing w:line="360" w:lineRule="auto"/>
        <w:rPr>
          <w:rFonts w:hint="eastAsia" w:ascii="新宋体" w:hAnsi="新宋体" w:eastAsia="新宋体" w:cs="新宋体"/>
          <w:color w:val="auto"/>
          <w:szCs w:val="21"/>
        </w:rPr>
      </w:pPr>
    </w:p>
    <w:p>
      <w:pPr>
        <w:spacing w:line="360" w:lineRule="auto"/>
        <w:rPr>
          <w:rFonts w:hint="eastAsia" w:ascii="新宋体" w:hAnsi="新宋体" w:eastAsia="新宋体" w:cs="新宋体"/>
          <w:color w:val="auto"/>
          <w:szCs w:val="21"/>
        </w:rPr>
      </w:pPr>
    </w:p>
    <w:p>
      <w:pPr>
        <w:spacing w:line="360" w:lineRule="auto"/>
        <w:rPr>
          <w:rFonts w:hint="eastAsia" w:ascii="新宋体" w:hAnsi="新宋体" w:eastAsia="新宋体" w:cs="新宋体"/>
          <w:color w:val="auto"/>
          <w:szCs w:val="21"/>
        </w:rPr>
      </w:pPr>
    </w:p>
    <w:p>
      <w:pPr>
        <w:jc w:val="cente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供应商：</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（盖单位章）</w:t>
      </w:r>
    </w:p>
    <w:p>
      <w:pPr>
        <w:rPr>
          <w:rFonts w:hint="eastAsia" w:ascii="新宋体" w:hAnsi="新宋体" w:eastAsia="新宋体" w:cs="新宋体"/>
          <w:color w:val="auto"/>
          <w:sz w:val="28"/>
          <w:szCs w:val="28"/>
          <w:u w:val="single"/>
        </w:rPr>
      </w:pPr>
    </w:p>
    <w:p>
      <w:pPr>
        <w:jc w:val="cente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法定代表人（单位负责人）或其委托代理人：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（签字或盖章）</w:t>
      </w:r>
    </w:p>
    <w:p>
      <w:pPr>
        <w:rPr>
          <w:rFonts w:hint="eastAsia" w:ascii="新宋体" w:hAnsi="新宋体" w:eastAsia="新宋体" w:cs="新宋体"/>
          <w:color w:val="auto"/>
          <w:sz w:val="28"/>
          <w:szCs w:val="28"/>
        </w:rPr>
      </w:pPr>
    </w:p>
    <w:p>
      <w:pPr>
        <w:overflowPunct w:val="0"/>
        <w:spacing w:line="380" w:lineRule="exact"/>
        <w:ind w:firstLine="2738" w:firstLineChars="978"/>
        <w:rPr>
          <w:rFonts w:hint="eastAsia" w:ascii="新宋体" w:hAnsi="新宋体" w:eastAsia="新宋体" w:cs="新宋体"/>
          <w:color w:val="auto"/>
          <w:sz w:val="28"/>
          <w:szCs w:val="28"/>
        </w:rPr>
      </w:pP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日</w:t>
      </w:r>
    </w:p>
    <w:p>
      <w:pPr>
        <w:overflowPunct w:val="0"/>
        <w:spacing w:line="380" w:lineRule="exact"/>
        <w:rPr>
          <w:rFonts w:hint="eastAsia" w:ascii="新宋体" w:hAnsi="新宋体" w:eastAsia="新宋体" w:cs="新宋体"/>
          <w:b/>
          <w:bCs/>
          <w:color w:val="auto"/>
          <w:sz w:val="22"/>
          <w:szCs w:val="22"/>
        </w:rPr>
      </w:pPr>
      <w:r>
        <w:rPr>
          <w:rFonts w:hint="eastAsia" w:ascii="新宋体" w:hAnsi="新宋体" w:eastAsia="新宋体" w:cs="新宋体"/>
          <w:color w:val="auto"/>
          <w:sz w:val="22"/>
          <w:szCs w:val="22"/>
        </w:rPr>
        <w:br w:type="page"/>
      </w:r>
    </w:p>
    <w:p>
      <w:pPr>
        <w:autoSpaceDE w:val="0"/>
        <w:autoSpaceDN w:val="0"/>
        <w:adjustRightInd w:val="0"/>
        <w:spacing w:line="460" w:lineRule="atLeast"/>
        <w:jc w:val="center"/>
        <w:rPr>
          <w:rFonts w:hint="eastAsia" w:ascii="新宋体" w:hAnsi="新宋体" w:eastAsia="新宋体" w:cs="新宋体"/>
          <w:b/>
          <w:bCs/>
          <w:color w:val="auto"/>
          <w:kern w:val="0"/>
          <w:sz w:val="28"/>
          <w:szCs w:val="28"/>
          <w:lang w:val="zh-CN"/>
        </w:rPr>
      </w:pPr>
    </w:p>
    <w:p>
      <w:pPr>
        <w:jc w:val="center"/>
        <w:rPr>
          <w:rFonts w:hint="eastAsia" w:ascii="新宋体" w:hAnsi="新宋体" w:eastAsia="新宋体" w:cs="新宋体"/>
          <w:b/>
          <w:color w:val="auto"/>
          <w:sz w:val="28"/>
        </w:rPr>
      </w:pPr>
      <w:r>
        <w:rPr>
          <w:rFonts w:hint="eastAsia" w:ascii="新宋体" w:hAnsi="新宋体" w:eastAsia="新宋体" w:cs="新宋体"/>
          <w:b/>
          <w:color w:val="auto"/>
          <w:sz w:val="28"/>
        </w:rPr>
        <w:t>开标一览表</w:t>
      </w:r>
    </w:p>
    <w:p>
      <w:pPr>
        <w:overflowPunct w:val="0"/>
        <w:spacing w:line="380" w:lineRule="exact"/>
        <w:jc w:val="center"/>
        <w:rPr>
          <w:rFonts w:hint="eastAsia" w:ascii="新宋体" w:hAnsi="新宋体" w:eastAsia="新宋体" w:cs="新宋体"/>
          <w:b/>
          <w:bCs/>
          <w:color w:val="auto"/>
          <w:sz w:val="28"/>
        </w:rPr>
      </w:pPr>
    </w:p>
    <w:p>
      <w:pPr>
        <w:overflowPunct w:val="0"/>
        <w:spacing w:line="380" w:lineRule="exact"/>
        <w:jc w:val="center"/>
        <w:rPr>
          <w:rFonts w:hint="eastAsia" w:ascii="新宋体" w:hAnsi="新宋体" w:eastAsia="新宋体" w:cs="新宋体"/>
          <w:b/>
          <w:bCs/>
          <w:color w:val="auto"/>
          <w:sz w:val="28"/>
        </w:rPr>
      </w:pPr>
    </w:p>
    <w:p>
      <w:pPr>
        <w:overflowPunct w:val="0"/>
        <w:spacing w:line="380" w:lineRule="exact"/>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 xml:space="preserve">  项目编号：</w:t>
      </w:r>
      <w:r>
        <w:rPr>
          <w:rFonts w:hint="eastAsia" w:ascii="新宋体" w:hAnsi="新宋体" w:eastAsia="新宋体" w:cs="新宋体"/>
          <w:bCs/>
          <w:color w:val="auto"/>
          <w:sz w:val="22"/>
          <w:szCs w:val="22"/>
          <w:u w:val="single"/>
        </w:rPr>
        <w:t xml:space="preserve">        </w:t>
      </w:r>
      <w:r>
        <w:rPr>
          <w:rFonts w:hint="eastAsia" w:ascii="新宋体" w:hAnsi="新宋体" w:eastAsia="新宋体" w:cs="新宋体"/>
          <w:bCs/>
          <w:color w:val="auto"/>
          <w:sz w:val="22"/>
          <w:szCs w:val="22"/>
        </w:rPr>
        <w:t xml:space="preserve">                                           报价单位：</w:t>
      </w:r>
      <w:r>
        <w:rPr>
          <w:rFonts w:hint="eastAsia" w:ascii="新宋体" w:hAnsi="新宋体" w:eastAsia="新宋体" w:cs="新宋体"/>
          <w:bCs/>
          <w:color w:val="auto"/>
          <w:sz w:val="22"/>
          <w:szCs w:val="22"/>
          <w:u w:val="single"/>
        </w:rPr>
        <w:t>人民币元</w:t>
      </w:r>
    </w:p>
    <w:tbl>
      <w:tblPr>
        <w:tblStyle w:val="56"/>
        <w:tblW w:w="102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65"/>
        <w:gridCol w:w="4583"/>
        <w:gridCol w:w="24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5" w:hRule="atLeast"/>
          <w:jc w:val="center"/>
        </w:trPr>
        <w:tc>
          <w:tcPr>
            <w:tcW w:w="3165" w:type="dxa"/>
            <w:tcBorders>
              <w:left w:val="single" w:color="auto" w:sz="12" w:space="0"/>
              <w:bottom w:val="single" w:color="auto" w:sz="4" w:space="0"/>
              <w:right w:val="single" w:color="auto" w:sz="4" w:space="0"/>
            </w:tcBorders>
            <w:noWrap w:val="0"/>
            <w:vAlign w:val="center"/>
          </w:tcPr>
          <w:p>
            <w:pPr>
              <w:autoSpaceDE w:val="0"/>
              <w:autoSpaceDN w:val="0"/>
              <w:adjustRightInd w:val="0"/>
              <w:spacing w:line="380" w:lineRule="atLeast"/>
              <w:ind w:right="349" w:firstLine="325" w:firstLineChars="147"/>
              <w:jc w:val="center"/>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项目</w:t>
            </w:r>
          </w:p>
        </w:tc>
        <w:tc>
          <w:tcPr>
            <w:tcW w:w="4583" w:type="dxa"/>
            <w:tcBorders>
              <w:left w:val="single" w:color="auto" w:sz="4" w:space="0"/>
              <w:bottom w:val="single" w:color="auto" w:sz="4" w:space="0"/>
              <w:right w:val="single" w:color="auto" w:sz="4" w:space="0"/>
            </w:tcBorders>
            <w:noWrap w:val="0"/>
            <w:vAlign w:val="center"/>
          </w:tcPr>
          <w:p>
            <w:pPr>
              <w:autoSpaceDE w:val="0"/>
              <w:autoSpaceDN w:val="0"/>
              <w:adjustRightInd w:val="0"/>
              <w:spacing w:line="380" w:lineRule="atLeast"/>
              <w:ind w:right="349" w:firstLine="872" w:firstLineChars="395"/>
              <w:jc w:val="center"/>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投标报价（人民币元）</w:t>
            </w:r>
          </w:p>
        </w:tc>
        <w:tc>
          <w:tcPr>
            <w:tcW w:w="2452" w:type="dxa"/>
            <w:tcBorders>
              <w:left w:val="single" w:color="auto" w:sz="4" w:space="0"/>
              <w:bottom w:val="single" w:color="auto" w:sz="4" w:space="0"/>
              <w:right w:val="single" w:color="auto" w:sz="12" w:space="0"/>
            </w:tcBorders>
            <w:noWrap w:val="0"/>
            <w:vAlign w:val="center"/>
          </w:tcPr>
          <w:p>
            <w:pPr>
              <w:autoSpaceDE w:val="0"/>
              <w:autoSpaceDN w:val="0"/>
              <w:adjustRightInd w:val="0"/>
              <w:spacing w:line="380" w:lineRule="atLeast"/>
              <w:ind w:right="349"/>
              <w:jc w:val="center"/>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5" w:hRule="atLeast"/>
          <w:jc w:val="center"/>
        </w:trPr>
        <w:tc>
          <w:tcPr>
            <w:tcW w:w="3165" w:type="dxa"/>
            <w:tcBorders>
              <w:left w:val="single" w:color="auto" w:sz="12" w:space="0"/>
              <w:bottom w:val="single" w:color="auto" w:sz="4" w:space="0"/>
              <w:right w:val="single" w:color="auto" w:sz="4" w:space="0"/>
            </w:tcBorders>
            <w:noWrap w:val="0"/>
            <w:vAlign w:val="center"/>
          </w:tcPr>
          <w:p>
            <w:pPr>
              <w:autoSpaceDE w:val="0"/>
              <w:autoSpaceDN w:val="0"/>
              <w:adjustRightInd w:val="0"/>
              <w:spacing w:line="380" w:lineRule="atLeast"/>
              <w:ind w:right="349" w:firstLine="325" w:firstLineChars="147"/>
              <w:jc w:val="center"/>
              <w:rPr>
                <w:rFonts w:hint="eastAsia" w:ascii="新宋体" w:hAnsi="新宋体" w:eastAsia="新宋体" w:cs="新宋体"/>
                <w:b/>
                <w:bCs/>
                <w:color w:val="auto"/>
                <w:kern w:val="0"/>
                <w:sz w:val="22"/>
                <w:szCs w:val="22"/>
                <w:lang w:eastAsia="zh-CN"/>
              </w:rPr>
            </w:pPr>
            <w:r>
              <w:rPr>
                <w:rFonts w:hint="eastAsia" w:ascii="新宋体" w:hAnsi="新宋体" w:eastAsia="新宋体" w:cs="新宋体"/>
                <w:b/>
                <w:bCs/>
                <w:color w:val="auto"/>
                <w:kern w:val="0"/>
                <w:sz w:val="22"/>
                <w:szCs w:val="22"/>
                <w:lang w:eastAsia="zh-CN"/>
              </w:rPr>
              <w:t>道路、河道清扫保洁</w:t>
            </w:r>
          </w:p>
        </w:tc>
        <w:tc>
          <w:tcPr>
            <w:tcW w:w="4583" w:type="dxa"/>
            <w:tcBorders>
              <w:left w:val="single" w:color="auto" w:sz="4" w:space="0"/>
              <w:bottom w:val="single" w:color="auto" w:sz="4" w:space="0"/>
              <w:right w:val="single" w:color="auto" w:sz="4" w:space="0"/>
            </w:tcBorders>
            <w:noWrap w:val="0"/>
            <w:vAlign w:val="center"/>
          </w:tcPr>
          <w:p>
            <w:pPr>
              <w:autoSpaceDE w:val="0"/>
              <w:autoSpaceDN w:val="0"/>
              <w:adjustRightInd w:val="0"/>
              <w:spacing w:line="380" w:lineRule="atLeast"/>
              <w:ind w:right="349" w:firstLine="872" w:firstLineChars="395"/>
              <w:jc w:val="center"/>
              <w:rPr>
                <w:rFonts w:hint="eastAsia" w:ascii="新宋体" w:hAnsi="新宋体" w:eastAsia="新宋体" w:cs="新宋体"/>
                <w:b/>
                <w:bCs/>
                <w:color w:val="auto"/>
                <w:kern w:val="0"/>
                <w:sz w:val="22"/>
                <w:szCs w:val="22"/>
              </w:rPr>
            </w:pPr>
          </w:p>
        </w:tc>
        <w:tc>
          <w:tcPr>
            <w:tcW w:w="2452" w:type="dxa"/>
            <w:tcBorders>
              <w:left w:val="single" w:color="auto" w:sz="4" w:space="0"/>
              <w:bottom w:val="single" w:color="auto" w:sz="4" w:space="0"/>
              <w:right w:val="single" w:color="auto" w:sz="12" w:space="0"/>
            </w:tcBorders>
            <w:noWrap w:val="0"/>
            <w:vAlign w:val="center"/>
          </w:tcPr>
          <w:p>
            <w:pPr>
              <w:autoSpaceDE w:val="0"/>
              <w:autoSpaceDN w:val="0"/>
              <w:adjustRightInd w:val="0"/>
              <w:spacing w:line="380" w:lineRule="atLeast"/>
              <w:ind w:right="349"/>
              <w:jc w:val="center"/>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lang w:val="en-US" w:eastAsia="zh-CN"/>
              </w:rPr>
              <w:t>一年报价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5" w:hRule="atLeast"/>
          <w:jc w:val="center"/>
        </w:trPr>
        <w:tc>
          <w:tcPr>
            <w:tcW w:w="3165" w:type="dxa"/>
            <w:tcBorders>
              <w:left w:val="single" w:color="auto" w:sz="12" w:space="0"/>
              <w:bottom w:val="single" w:color="auto" w:sz="4" w:space="0"/>
              <w:right w:val="single" w:color="auto" w:sz="4" w:space="0"/>
            </w:tcBorders>
            <w:noWrap w:val="0"/>
            <w:vAlign w:val="center"/>
          </w:tcPr>
          <w:p>
            <w:pPr>
              <w:autoSpaceDE w:val="0"/>
              <w:autoSpaceDN w:val="0"/>
              <w:adjustRightInd w:val="0"/>
              <w:spacing w:line="380" w:lineRule="atLeast"/>
              <w:ind w:right="349" w:firstLine="325" w:firstLineChars="147"/>
              <w:jc w:val="center"/>
              <w:rPr>
                <w:rFonts w:hint="eastAsia" w:ascii="新宋体" w:hAnsi="新宋体" w:eastAsia="新宋体" w:cs="新宋体"/>
                <w:b/>
                <w:bCs/>
                <w:color w:val="auto"/>
                <w:kern w:val="0"/>
                <w:sz w:val="22"/>
                <w:szCs w:val="22"/>
                <w:lang w:eastAsia="zh-CN"/>
              </w:rPr>
            </w:pPr>
            <w:r>
              <w:rPr>
                <w:rFonts w:hint="eastAsia" w:ascii="新宋体" w:hAnsi="新宋体" w:eastAsia="新宋体" w:cs="新宋体"/>
                <w:b/>
                <w:bCs/>
                <w:color w:val="auto"/>
                <w:kern w:val="0"/>
                <w:sz w:val="22"/>
                <w:szCs w:val="22"/>
                <w:lang w:eastAsia="zh-CN"/>
              </w:rPr>
              <w:t>公厕保洁及维修</w:t>
            </w:r>
          </w:p>
        </w:tc>
        <w:tc>
          <w:tcPr>
            <w:tcW w:w="4583" w:type="dxa"/>
            <w:tcBorders>
              <w:left w:val="single" w:color="auto" w:sz="4" w:space="0"/>
              <w:bottom w:val="single" w:color="auto" w:sz="4" w:space="0"/>
              <w:right w:val="single" w:color="auto" w:sz="4" w:space="0"/>
            </w:tcBorders>
            <w:noWrap w:val="0"/>
            <w:vAlign w:val="center"/>
          </w:tcPr>
          <w:p>
            <w:pPr>
              <w:autoSpaceDE w:val="0"/>
              <w:autoSpaceDN w:val="0"/>
              <w:adjustRightInd w:val="0"/>
              <w:spacing w:line="380" w:lineRule="atLeast"/>
              <w:ind w:right="349" w:firstLine="872" w:firstLineChars="395"/>
              <w:jc w:val="center"/>
              <w:rPr>
                <w:rFonts w:hint="eastAsia" w:ascii="新宋体" w:hAnsi="新宋体" w:eastAsia="新宋体" w:cs="新宋体"/>
                <w:b/>
                <w:bCs/>
                <w:color w:val="auto"/>
                <w:kern w:val="0"/>
                <w:sz w:val="22"/>
                <w:szCs w:val="22"/>
              </w:rPr>
            </w:pPr>
          </w:p>
        </w:tc>
        <w:tc>
          <w:tcPr>
            <w:tcW w:w="2452" w:type="dxa"/>
            <w:tcBorders>
              <w:left w:val="single" w:color="auto" w:sz="4" w:space="0"/>
              <w:bottom w:val="single" w:color="auto" w:sz="4" w:space="0"/>
              <w:right w:val="single" w:color="auto" w:sz="12" w:space="0"/>
            </w:tcBorders>
            <w:noWrap w:val="0"/>
            <w:vAlign w:val="center"/>
          </w:tcPr>
          <w:p>
            <w:pPr>
              <w:autoSpaceDE w:val="0"/>
              <w:autoSpaceDN w:val="0"/>
              <w:adjustRightInd w:val="0"/>
              <w:spacing w:line="380" w:lineRule="atLeast"/>
              <w:ind w:right="349"/>
              <w:jc w:val="center"/>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lang w:val="en-US" w:eastAsia="zh-CN"/>
              </w:rPr>
              <w:t>一年报价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5" w:hRule="atLeast"/>
          <w:jc w:val="center"/>
        </w:trPr>
        <w:tc>
          <w:tcPr>
            <w:tcW w:w="3165" w:type="dxa"/>
            <w:tcBorders>
              <w:left w:val="single" w:color="auto" w:sz="12" w:space="0"/>
              <w:bottom w:val="single" w:color="auto" w:sz="4" w:space="0"/>
              <w:right w:val="single" w:color="auto" w:sz="4" w:space="0"/>
            </w:tcBorders>
            <w:noWrap w:val="0"/>
            <w:vAlign w:val="center"/>
          </w:tcPr>
          <w:p>
            <w:pPr>
              <w:autoSpaceDE w:val="0"/>
              <w:autoSpaceDN w:val="0"/>
              <w:adjustRightInd w:val="0"/>
              <w:spacing w:line="380" w:lineRule="atLeast"/>
              <w:ind w:right="349" w:firstLine="325" w:firstLineChars="147"/>
              <w:jc w:val="center"/>
              <w:rPr>
                <w:rFonts w:hint="eastAsia" w:ascii="新宋体" w:hAnsi="新宋体" w:eastAsia="新宋体" w:cs="新宋体"/>
                <w:b/>
                <w:bCs/>
                <w:color w:val="auto"/>
                <w:kern w:val="0"/>
                <w:sz w:val="22"/>
                <w:szCs w:val="22"/>
                <w:lang w:eastAsia="zh-CN"/>
              </w:rPr>
            </w:pPr>
            <w:r>
              <w:rPr>
                <w:rFonts w:hint="eastAsia" w:ascii="新宋体" w:hAnsi="新宋体" w:eastAsia="新宋体" w:cs="新宋体"/>
                <w:b/>
                <w:bCs/>
                <w:color w:val="auto"/>
                <w:kern w:val="0"/>
                <w:sz w:val="22"/>
                <w:szCs w:val="22"/>
                <w:lang w:eastAsia="zh-CN"/>
              </w:rPr>
              <w:t>垃圾分类</w:t>
            </w:r>
          </w:p>
        </w:tc>
        <w:tc>
          <w:tcPr>
            <w:tcW w:w="4583" w:type="dxa"/>
            <w:tcBorders>
              <w:left w:val="single" w:color="auto" w:sz="4" w:space="0"/>
              <w:bottom w:val="single" w:color="auto" w:sz="4" w:space="0"/>
              <w:right w:val="single" w:color="auto" w:sz="4" w:space="0"/>
            </w:tcBorders>
            <w:noWrap w:val="0"/>
            <w:vAlign w:val="center"/>
          </w:tcPr>
          <w:p>
            <w:pPr>
              <w:autoSpaceDE w:val="0"/>
              <w:autoSpaceDN w:val="0"/>
              <w:adjustRightInd w:val="0"/>
              <w:spacing w:line="380" w:lineRule="atLeast"/>
              <w:ind w:right="349" w:firstLine="872" w:firstLineChars="395"/>
              <w:jc w:val="center"/>
              <w:rPr>
                <w:rFonts w:hint="eastAsia" w:ascii="新宋体" w:hAnsi="新宋体" w:eastAsia="新宋体" w:cs="新宋体"/>
                <w:b/>
                <w:bCs/>
                <w:color w:val="auto"/>
                <w:kern w:val="0"/>
                <w:sz w:val="22"/>
                <w:szCs w:val="22"/>
              </w:rPr>
            </w:pPr>
          </w:p>
        </w:tc>
        <w:tc>
          <w:tcPr>
            <w:tcW w:w="2452" w:type="dxa"/>
            <w:tcBorders>
              <w:left w:val="single" w:color="auto" w:sz="4" w:space="0"/>
              <w:bottom w:val="single" w:color="auto" w:sz="4" w:space="0"/>
              <w:right w:val="single" w:color="auto" w:sz="12" w:space="0"/>
            </w:tcBorders>
            <w:noWrap w:val="0"/>
            <w:vAlign w:val="center"/>
          </w:tcPr>
          <w:p>
            <w:pPr>
              <w:autoSpaceDE w:val="0"/>
              <w:autoSpaceDN w:val="0"/>
              <w:adjustRightInd w:val="0"/>
              <w:spacing w:line="380" w:lineRule="atLeast"/>
              <w:ind w:right="349"/>
              <w:jc w:val="center"/>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lang w:val="en-US" w:eastAsia="zh-CN"/>
              </w:rPr>
              <w:t>一年报价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55" w:hRule="atLeast"/>
          <w:jc w:val="center"/>
        </w:trPr>
        <w:tc>
          <w:tcPr>
            <w:tcW w:w="3165"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pacing w:line="380" w:lineRule="atLeast"/>
              <w:ind w:right="349" w:firstLine="3657" w:firstLineChars="1656"/>
              <w:jc w:val="left"/>
              <w:rPr>
                <w:rFonts w:ascii="新宋体" w:hAnsi="新宋体" w:eastAsia="新宋体" w:cs="新宋体"/>
                <w:b/>
                <w:bCs/>
                <w:color w:val="auto"/>
                <w:kern w:val="0"/>
                <w:sz w:val="22"/>
                <w:szCs w:val="22"/>
              </w:rPr>
            </w:pPr>
          </w:p>
          <w:p>
            <w:pPr>
              <w:autoSpaceDE w:val="0"/>
              <w:autoSpaceDN w:val="0"/>
              <w:adjustRightInd w:val="0"/>
              <w:spacing w:line="380" w:lineRule="atLeast"/>
              <w:ind w:right="349"/>
              <w:jc w:val="left"/>
              <w:rPr>
                <w:rFonts w:hint="default" w:ascii="新宋体" w:hAnsi="新宋体" w:eastAsia="新宋体" w:cs="新宋体"/>
                <w:b/>
                <w:bCs/>
                <w:color w:val="auto"/>
                <w:kern w:val="0"/>
                <w:sz w:val="22"/>
                <w:szCs w:val="22"/>
                <w:lang w:val="en-US" w:eastAsia="zh-CN"/>
              </w:rPr>
            </w:pPr>
            <w:r>
              <w:rPr>
                <w:rFonts w:hint="eastAsia" w:ascii="新宋体" w:hAnsi="新宋体" w:eastAsia="新宋体" w:cs="新宋体"/>
                <w:b/>
                <w:bCs/>
                <w:color w:val="auto"/>
                <w:kern w:val="0"/>
                <w:sz w:val="22"/>
                <w:szCs w:val="22"/>
                <w:lang w:val="en-US" w:eastAsia="zh-CN"/>
              </w:rPr>
              <w:t xml:space="preserve">   </w:t>
            </w:r>
            <w:r>
              <w:rPr>
                <w:rFonts w:hint="eastAsia"/>
                <w:b/>
                <w:bCs/>
                <w:color w:val="auto"/>
                <w:szCs w:val="21"/>
                <w:lang w:val="en-US" w:eastAsia="zh-CN"/>
              </w:rPr>
              <w:t xml:space="preserve">    </w:t>
            </w:r>
            <w:r>
              <w:rPr>
                <w:rFonts w:hint="eastAsia"/>
                <w:b/>
                <w:bCs/>
                <w:color w:val="auto"/>
                <w:szCs w:val="21"/>
              </w:rPr>
              <w:t>投标总价</w:t>
            </w:r>
          </w:p>
          <w:p>
            <w:pPr>
              <w:autoSpaceDE w:val="0"/>
              <w:autoSpaceDN w:val="0"/>
              <w:adjustRightInd w:val="0"/>
              <w:spacing w:line="380" w:lineRule="atLeast"/>
              <w:ind w:right="349"/>
              <w:jc w:val="left"/>
              <w:rPr>
                <w:rFonts w:hint="eastAsia" w:ascii="新宋体" w:hAnsi="新宋体" w:eastAsia="新宋体" w:cs="新宋体"/>
                <w:b/>
                <w:bCs/>
                <w:color w:val="auto"/>
                <w:kern w:val="0"/>
                <w:sz w:val="22"/>
                <w:szCs w:val="22"/>
              </w:rPr>
            </w:pPr>
          </w:p>
        </w:tc>
        <w:tc>
          <w:tcPr>
            <w:tcW w:w="4583"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80" w:lineRule="atLeast"/>
              <w:ind w:right="349"/>
              <w:jc w:val="lef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（大写）：</w:t>
            </w:r>
          </w:p>
          <w:p>
            <w:pPr>
              <w:widowControl/>
              <w:jc w:val="left"/>
              <w:rPr>
                <w:rFonts w:ascii="新宋体" w:hAnsi="新宋体" w:eastAsia="新宋体" w:cs="新宋体"/>
                <w:b/>
                <w:bCs/>
                <w:color w:val="auto"/>
                <w:kern w:val="0"/>
                <w:sz w:val="22"/>
                <w:szCs w:val="22"/>
              </w:rPr>
            </w:pPr>
          </w:p>
          <w:p>
            <w:pPr>
              <w:autoSpaceDE w:val="0"/>
              <w:autoSpaceDN w:val="0"/>
              <w:adjustRightInd w:val="0"/>
              <w:spacing w:line="380" w:lineRule="atLeast"/>
              <w:ind w:right="349"/>
              <w:jc w:val="left"/>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（小写）：</w:t>
            </w:r>
          </w:p>
        </w:tc>
        <w:tc>
          <w:tcPr>
            <w:tcW w:w="2452" w:type="dxa"/>
            <w:tcBorders>
              <w:top w:val="single" w:color="auto" w:sz="4" w:space="0"/>
              <w:left w:val="single" w:color="auto" w:sz="4" w:space="0"/>
              <w:bottom w:val="single" w:color="auto" w:sz="12" w:space="0"/>
              <w:right w:val="single" w:color="auto" w:sz="12" w:space="0"/>
            </w:tcBorders>
            <w:noWrap w:val="0"/>
            <w:vAlign w:val="center"/>
          </w:tcPr>
          <w:p>
            <w:pPr>
              <w:widowControl/>
              <w:jc w:val="left"/>
              <w:rPr>
                <w:rFonts w:ascii="新宋体" w:hAnsi="新宋体" w:eastAsia="新宋体" w:cs="新宋体"/>
                <w:b/>
                <w:bCs/>
                <w:color w:val="auto"/>
                <w:kern w:val="0"/>
                <w:sz w:val="22"/>
                <w:szCs w:val="22"/>
              </w:rPr>
            </w:pPr>
          </w:p>
          <w:p>
            <w:pPr>
              <w:autoSpaceDE w:val="0"/>
              <w:autoSpaceDN w:val="0"/>
              <w:adjustRightInd w:val="0"/>
              <w:spacing w:line="380" w:lineRule="atLeast"/>
              <w:ind w:right="349"/>
              <w:jc w:val="center"/>
              <w:rPr>
                <w:rFonts w:hint="eastAsia"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lang w:val="en-US" w:eastAsia="zh-CN"/>
              </w:rPr>
              <w:t>一年报价</w:t>
            </w:r>
          </w:p>
        </w:tc>
      </w:tr>
    </w:tbl>
    <w:p>
      <w:pPr>
        <w:overflowPunct w:val="0"/>
        <w:spacing w:line="380" w:lineRule="exact"/>
        <w:rPr>
          <w:rFonts w:hint="eastAsia" w:ascii="新宋体" w:hAnsi="新宋体" w:eastAsia="新宋体" w:cs="新宋体"/>
          <w:bCs/>
          <w:color w:val="auto"/>
          <w:sz w:val="22"/>
          <w:szCs w:val="22"/>
        </w:rPr>
      </w:pPr>
    </w:p>
    <w:p>
      <w:pPr>
        <w:overflowPunct w:val="0"/>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说明：</w:t>
      </w:r>
    </w:p>
    <w:p>
      <w:pPr>
        <w:overflowPunct w:val="0"/>
        <w:spacing w:line="460" w:lineRule="exact"/>
        <w:rPr>
          <w:rFonts w:hint="eastAsia" w:ascii="新宋体" w:hAnsi="新宋体" w:eastAsia="新宋体" w:cs="新宋体"/>
          <w:b/>
          <w:color w:val="auto"/>
          <w:sz w:val="22"/>
        </w:rPr>
      </w:pPr>
      <w:r>
        <w:rPr>
          <w:rFonts w:hint="eastAsia" w:ascii="新宋体" w:hAnsi="新宋体" w:eastAsia="新宋体" w:cs="新宋体"/>
          <w:b/>
          <w:color w:val="auto"/>
          <w:sz w:val="22"/>
        </w:rPr>
        <w:t>此表不得自行增减内容，不提供此表格将被视为没有实质性响应招标文件,其投标文件将被拒绝</w:t>
      </w:r>
    </w:p>
    <w:p>
      <w:pPr>
        <w:overflowPunct w:val="0"/>
        <w:spacing w:line="460" w:lineRule="exact"/>
        <w:rPr>
          <w:rFonts w:hint="eastAsia" w:ascii="新宋体" w:hAnsi="新宋体" w:eastAsia="新宋体" w:cs="新宋体"/>
          <w:color w:val="auto"/>
          <w:sz w:val="22"/>
          <w:szCs w:val="22"/>
        </w:rPr>
      </w:pPr>
    </w:p>
    <w:p>
      <w:pPr>
        <w:overflowPunct w:val="0"/>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投标人全称（盖章）：</w:t>
      </w:r>
    </w:p>
    <w:p>
      <w:pPr>
        <w:overflowPunct w:val="0"/>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投标人代表（签字或盖章）：</w:t>
      </w:r>
    </w:p>
    <w:p>
      <w:pPr>
        <w:overflowPunct w:val="0"/>
        <w:spacing w:line="46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日 期：  年  月  日</w:t>
      </w:r>
    </w:p>
    <w:p>
      <w:pPr>
        <w:overflowPunct w:val="0"/>
        <w:spacing w:line="460" w:lineRule="exact"/>
        <w:rPr>
          <w:rFonts w:hint="eastAsia" w:ascii="新宋体" w:hAnsi="新宋体" w:eastAsia="新宋体" w:cs="新宋体"/>
          <w:color w:val="auto"/>
          <w:sz w:val="22"/>
          <w:szCs w:val="22"/>
        </w:rPr>
      </w:pPr>
    </w:p>
    <w:p>
      <w:pPr>
        <w:overflowPunct w:val="0"/>
        <w:spacing w:line="380" w:lineRule="exact"/>
        <w:ind w:firstLine="9460" w:firstLineChars="4300"/>
        <w:rPr>
          <w:rFonts w:hint="eastAsia" w:ascii="新宋体" w:hAnsi="新宋体" w:eastAsia="新宋体" w:cs="新宋体"/>
          <w:color w:val="auto"/>
          <w:sz w:val="22"/>
          <w:szCs w:val="22"/>
        </w:rPr>
      </w:pPr>
    </w:p>
    <w:p>
      <w:pPr>
        <w:spacing w:line="380" w:lineRule="exact"/>
        <w:jc w:val="center"/>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2"/>
          <w:szCs w:val="22"/>
        </w:rPr>
        <w:br w:type="page"/>
      </w:r>
      <w:r>
        <w:rPr>
          <w:rFonts w:hint="eastAsia" w:ascii="新宋体" w:hAnsi="新宋体" w:eastAsia="新宋体" w:cs="新宋体"/>
          <w:b/>
          <w:bCs/>
          <w:color w:val="auto"/>
          <w:sz w:val="28"/>
          <w:szCs w:val="28"/>
          <w:lang w:eastAsia="zh-CN"/>
        </w:rPr>
        <w:t>（道路、河道清扫保洁）</w:t>
      </w:r>
      <w:r>
        <w:rPr>
          <w:rFonts w:hint="eastAsia" w:ascii="新宋体" w:hAnsi="新宋体" w:eastAsia="新宋体" w:cs="新宋体"/>
          <w:b/>
          <w:bCs/>
          <w:color w:val="auto"/>
          <w:sz w:val="28"/>
          <w:szCs w:val="28"/>
        </w:rPr>
        <w:t>投标分项报价表</w:t>
      </w:r>
      <w:r>
        <w:rPr>
          <w:rFonts w:hint="eastAsia" w:ascii="新宋体" w:hAnsi="新宋体" w:eastAsia="新宋体" w:cs="新宋体"/>
          <w:b/>
          <w:bCs/>
          <w:color w:val="auto"/>
          <w:sz w:val="28"/>
          <w:szCs w:val="28"/>
          <w:lang w:val="en-US" w:eastAsia="zh-CN"/>
        </w:rPr>
        <w:t>1</w:t>
      </w:r>
    </w:p>
    <w:p>
      <w:pPr>
        <w:spacing w:line="380" w:lineRule="exact"/>
        <w:rPr>
          <w:rFonts w:hint="default" w:ascii="新宋体" w:hAnsi="新宋体" w:eastAsia="新宋体" w:cs="新宋体"/>
          <w:b/>
          <w:color w:val="auto"/>
          <w:sz w:val="22"/>
          <w:lang w:val="en-US"/>
        </w:rPr>
      </w:pPr>
      <w:r>
        <w:rPr>
          <w:rFonts w:hint="eastAsia" w:ascii="新宋体" w:hAnsi="新宋体" w:eastAsia="新宋体" w:cs="新宋体"/>
          <w:b/>
          <w:color w:val="auto"/>
          <w:sz w:val="22"/>
        </w:rPr>
        <w:t xml:space="preserve">项目名称： </w:t>
      </w:r>
      <w:r>
        <w:rPr>
          <w:rFonts w:hint="eastAsia" w:ascii="新宋体" w:hAnsi="新宋体" w:eastAsia="新宋体" w:cs="新宋体"/>
          <w:color w:val="auto"/>
          <w:sz w:val="22"/>
        </w:rPr>
        <w:t xml:space="preserve">       </w:t>
      </w:r>
      <w:r>
        <w:rPr>
          <w:rFonts w:hint="eastAsia" w:ascii="新宋体" w:hAnsi="新宋体" w:eastAsia="新宋体" w:cs="新宋体"/>
          <w:b/>
          <w:color w:val="auto"/>
          <w:sz w:val="22"/>
        </w:rPr>
        <w:t xml:space="preserve">                         项目编号：</w:t>
      </w:r>
      <w:r>
        <w:rPr>
          <w:rFonts w:hint="eastAsia" w:ascii="新宋体" w:hAnsi="新宋体" w:eastAsia="新宋体" w:cs="新宋体"/>
          <w:b/>
          <w:color w:val="auto"/>
          <w:sz w:val="22"/>
          <w:lang w:val="en-US" w:eastAsia="zh-CN"/>
        </w:rPr>
        <w:t xml:space="preserve">          </w:t>
      </w:r>
    </w:p>
    <w:tbl>
      <w:tblPr>
        <w:tblStyle w:val="56"/>
        <w:tblW w:w="100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1988"/>
        <w:gridCol w:w="2554"/>
        <w:gridCol w:w="2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521" w:type="dxa"/>
            <w:tcBorders>
              <w:tl2br w:val="nil"/>
              <w:tr2bl w:val="nil"/>
            </w:tcBorders>
            <w:noWrap w:val="0"/>
            <w:vAlign w:val="center"/>
          </w:tcPr>
          <w:p>
            <w:pPr>
              <w:jc w:val="center"/>
              <w:rPr>
                <w:rFonts w:hint="eastAsia" w:ascii="宋体" w:hAnsi="宋体"/>
                <w:color w:val="auto"/>
                <w:szCs w:val="21"/>
              </w:rPr>
            </w:pPr>
            <w:r>
              <w:rPr>
                <w:rFonts w:hint="eastAsia" w:ascii="宋体" w:hAnsi="宋体"/>
                <w:color w:val="auto"/>
                <w:szCs w:val="21"/>
              </w:rPr>
              <w:t>项目内容</w:t>
            </w:r>
          </w:p>
        </w:tc>
        <w:tc>
          <w:tcPr>
            <w:tcW w:w="1988" w:type="dxa"/>
            <w:tcBorders>
              <w:tl2br w:val="nil"/>
              <w:tr2bl w:val="nil"/>
            </w:tcBorders>
            <w:noWrap w:val="0"/>
            <w:vAlign w:val="center"/>
          </w:tcPr>
          <w:p>
            <w:pPr>
              <w:jc w:val="center"/>
              <w:rPr>
                <w:rFonts w:hint="eastAsia" w:ascii="宋体" w:hAnsi="宋体"/>
                <w:color w:val="auto"/>
                <w:szCs w:val="21"/>
              </w:rPr>
            </w:pPr>
            <w:r>
              <w:rPr>
                <w:rFonts w:hint="eastAsia" w:ascii="宋体" w:hAnsi="宋体"/>
                <w:color w:val="auto"/>
                <w:szCs w:val="21"/>
              </w:rPr>
              <w:t>月报价/金额(元)</w:t>
            </w:r>
          </w:p>
        </w:tc>
        <w:tc>
          <w:tcPr>
            <w:tcW w:w="2554" w:type="dxa"/>
            <w:tcBorders>
              <w:tl2br w:val="nil"/>
              <w:tr2bl w:val="nil"/>
            </w:tcBorders>
            <w:noWrap w:val="0"/>
            <w:vAlign w:val="center"/>
          </w:tcPr>
          <w:p>
            <w:pPr>
              <w:jc w:val="center"/>
              <w:rPr>
                <w:rFonts w:hint="eastAsia" w:ascii="宋体" w:hAnsi="宋体"/>
                <w:color w:val="auto"/>
                <w:szCs w:val="21"/>
              </w:rPr>
            </w:pPr>
            <w:r>
              <w:rPr>
                <w:rFonts w:hint="eastAsia" w:ascii="宋体" w:hAnsi="宋体"/>
                <w:color w:val="auto"/>
                <w:szCs w:val="21"/>
              </w:rPr>
              <w:t>计算依据（公式及过程）</w:t>
            </w:r>
          </w:p>
        </w:tc>
        <w:tc>
          <w:tcPr>
            <w:tcW w:w="2974" w:type="dxa"/>
            <w:tcBorders>
              <w:tl2br w:val="nil"/>
              <w:tr2bl w:val="nil"/>
            </w:tcBorders>
            <w:noWrap w:val="0"/>
            <w:vAlign w:val="center"/>
          </w:tcPr>
          <w:p>
            <w:pPr>
              <w:jc w:val="center"/>
              <w:rPr>
                <w:rFonts w:hint="eastAsia" w:ascii="宋体" w:hAnsi="宋体"/>
                <w:color w:val="auto"/>
                <w:szCs w:val="21"/>
              </w:rPr>
            </w:pPr>
            <w:r>
              <w:rPr>
                <w:rFonts w:hint="eastAsia" w:ascii="宋体" w:hAnsi="宋体"/>
                <w:color w:val="auto"/>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rPr>
              <w:t xml:space="preserve">一、人工费 </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rPr>
              <w:t>1、工人工资</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rPr>
            </w:pPr>
            <w:r>
              <w:rPr>
                <w:rFonts w:hint="eastAsia" w:ascii="宋体" w:hAnsi="宋体"/>
                <w:color w:val="auto"/>
                <w:sz w:val="19"/>
                <w:lang w:val="en-US" w:eastAsia="zh-CN"/>
              </w:rPr>
              <w:t>（1）管理员</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rPr>
            </w:pPr>
            <w:r>
              <w:rPr>
                <w:rFonts w:hint="eastAsia" w:ascii="宋体" w:hAnsi="宋体"/>
                <w:color w:val="auto"/>
                <w:sz w:val="19"/>
                <w:lang w:val="en-US" w:eastAsia="zh-CN"/>
              </w:rPr>
              <w:t>（2）清扫保洁员</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rPr>
            </w:pPr>
            <w:r>
              <w:rPr>
                <w:rFonts w:hint="eastAsia" w:ascii="宋体" w:hAnsi="宋体"/>
                <w:color w:val="auto"/>
                <w:sz w:val="19"/>
                <w:lang w:val="en-US" w:eastAsia="zh-CN"/>
              </w:rPr>
              <w:t>（3）河道保洁人员</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（4）司机</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lang w:val="en-US" w:eastAsia="zh-CN"/>
              </w:rPr>
              <w:t xml:space="preserve">2、人员社会保险 </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eastAsia="宋体"/>
                <w:color w:val="auto"/>
                <w:sz w:val="19"/>
                <w:lang w:val="en-US" w:eastAsia="zh-CN"/>
              </w:rPr>
            </w:pPr>
            <w:r>
              <w:rPr>
                <w:rFonts w:hint="eastAsia" w:ascii="宋体" w:hAnsi="宋体"/>
                <w:color w:val="auto"/>
                <w:sz w:val="19"/>
                <w:lang w:val="en-US" w:eastAsia="zh-CN"/>
              </w:rPr>
              <w:t>3、人身意外保险</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keepNext w:val="0"/>
              <w:keepLines w:val="0"/>
              <w:widowControl/>
              <w:suppressLineNumbers w:val="0"/>
              <w:jc w:val="left"/>
              <w:textAlignment w:val="center"/>
              <w:rPr>
                <w:rFonts w:hint="eastAsia" w:ascii="宋体" w:hAnsi="宋体"/>
                <w:color w:val="auto"/>
                <w:sz w:val="19"/>
              </w:rPr>
            </w:pPr>
            <w:r>
              <w:rPr>
                <w:rFonts w:hint="eastAsia" w:ascii="宋体" w:hAnsi="宋体" w:eastAsia="宋体" w:cs="宋体"/>
                <w:i w:val="0"/>
                <w:color w:val="auto"/>
                <w:kern w:val="0"/>
                <w:sz w:val="21"/>
                <w:szCs w:val="21"/>
                <w:u w:val="none"/>
                <w:lang w:val="en-US" w:eastAsia="zh-CN" w:bidi="ar"/>
              </w:rPr>
              <w:t>二、其他</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（1）法定节假日补贴     </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（2）高温补贴</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（3）特殊岗位津贴</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521" w:type="dxa"/>
            <w:tcBorders>
              <w:tl2br w:val="nil"/>
              <w:tr2bl w:val="nil"/>
            </w:tcBorders>
            <w:noWrap w:val="0"/>
            <w:vAlign w:val="center"/>
          </w:tcPr>
          <w:p>
            <w:pPr>
              <w:autoSpaceDE w:val="0"/>
              <w:autoSpaceDN w:val="0"/>
              <w:spacing w:line="211" w:lineRule="exact"/>
              <w:jc w:val="left"/>
              <w:rPr>
                <w:rFonts w:hint="eastAsia" w:ascii="宋体" w:hAnsi="宋体"/>
                <w:color w:val="auto"/>
                <w:sz w:val="19"/>
              </w:rPr>
            </w:pPr>
            <w:r>
              <w:rPr>
                <w:rFonts w:hint="eastAsia" w:ascii="宋体" w:hAnsi="宋体"/>
                <w:color w:val="auto"/>
                <w:sz w:val="19"/>
                <w:lang w:eastAsia="zh-CN"/>
              </w:rPr>
              <w:t>三</w:t>
            </w:r>
            <w:r>
              <w:rPr>
                <w:rFonts w:hint="eastAsia" w:ascii="宋体" w:hAnsi="宋体"/>
                <w:color w:val="auto"/>
                <w:sz w:val="19"/>
              </w:rPr>
              <w:t>、</w:t>
            </w:r>
            <w:r>
              <w:rPr>
                <w:rFonts w:ascii="宋体" w:hAnsi="宋体"/>
                <w:color w:val="auto"/>
                <w:sz w:val="19"/>
              </w:rPr>
              <w:t>GPS设备费、流量费等全部费用（如有）</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lang w:eastAsia="zh-CN"/>
              </w:rPr>
              <w:t>四</w:t>
            </w:r>
            <w:r>
              <w:rPr>
                <w:rFonts w:hint="eastAsia" w:ascii="宋体" w:hAnsi="宋体"/>
                <w:color w:val="auto"/>
                <w:sz w:val="19"/>
              </w:rPr>
              <w:t xml:space="preserve">、设备耗损费 </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1、安全生产设备</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2、反光衣、反光袖套反光袖套、工作服装、手套、大、小扫帚、方锹、畚箕、垃圾袋等</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五、作业车辆及损耗费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1、车辆折旧</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（1）洗扫一体车</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（2）小型高压冲洗车（四轮）</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（3）电动小型快速保洁车</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（4）电瓶船（玻璃钢或不锈钢）</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2、车辆维修费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3、车辆规费及保险</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4、油料费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5、水费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keepNext w:val="0"/>
              <w:keepLines w:val="0"/>
              <w:widowControl/>
              <w:suppressLineNumbers w:val="0"/>
              <w:jc w:val="left"/>
              <w:textAlignment w:val="center"/>
              <w:rPr>
                <w:rFonts w:hint="eastAsia" w:ascii="宋体" w:hAnsi="宋体"/>
                <w:color w:val="auto"/>
                <w:sz w:val="19"/>
                <w:szCs w:val="21"/>
              </w:rPr>
            </w:pPr>
            <w:r>
              <w:rPr>
                <w:rFonts w:hint="eastAsia" w:ascii="宋体" w:hAnsi="宋体" w:eastAsia="宋体" w:cs="宋体"/>
                <w:i w:val="0"/>
                <w:color w:val="auto"/>
                <w:kern w:val="0"/>
                <w:sz w:val="21"/>
                <w:szCs w:val="21"/>
                <w:u w:val="none"/>
                <w:lang w:val="en-US" w:eastAsia="zh-CN" w:bidi="ar"/>
              </w:rPr>
              <w:t>六、办公月费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1、水电费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2、电话费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3、办公用品</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4、业务开支</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5、租赁费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6、电脑、空调等折旧</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七、不可预见费及其他经费（含建筑垃圾清运）</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八、利润</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九、税金</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szCs w:val="21"/>
              </w:rPr>
              <w:t>月报价合计</w:t>
            </w:r>
            <w:r>
              <w:rPr>
                <w:rFonts w:hint="eastAsia" w:ascii="宋体" w:hAnsi="宋体"/>
                <w:color w:val="auto"/>
                <w:sz w:val="19"/>
              </w:rPr>
              <w:t>(</w:t>
            </w:r>
            <w:r>
              <w:rPr>
                <w:rFonts w:hint="eastAsia" w:ascii="宋体" w:hAnsi="宋体"/>
                <w:color w:val="auto"/>
                <w:sz w:val="19"/>
                <w:szCs w:val="21"/>
              </w:rPr>
              <w:t>人民币/</w:t>
            </w:r>
            <w:r>
              <w:rPr>
                <w:rFonts w:hint="eastAsia" w:ascii="宋体" w:hAnsi="宋体"/>
                <w:color w:val="auto"/>
                <w:sz w:val="19"/>
              </w:rPr>
              <w:t>元)：</w:t>
            </w:r>
          </w:p>
        </w:tc>
        <w:tc>
          <w:tcPr>
            <w:tcW w:w="4542" w:type="dxa"/>
            <w:gridSpan w:val="2"/>
            <w:tcBorders>
              <w:tl2br w:val="nil"/>
              <w:tr2bl w:val="nil"/>
            </w:tcBorders>
            <w:noWrap w:val="0"/>
            <w:vAlign w:val="center"/>
          </w:tcPr>
          <w:p>
            <w:pPr>
              <w:rPr>
                <w:rFonts w:hint="eastAsia" w:ascii="宋体" w:hAnsi="宋体"/>
                <w:color w:val="auto"/>
                <w:sz w:val="19"/>
                <w:szCs w:val="21"/>
              </w:rPr>
            </w:pPr>
            <w:r>
              <w:rPr>
                <w:rFonts w:hint="eastAsia" w:ascii="宋体" w:hAnsi="宋体"/>
                <w:color w:val="auto"/>
                <w:sz w:val="19"/>
                <w:szCs w:val="21"/>
              </w:rPr>
              <w:t>大写:</w:t>
            </w:r>
          </w:p>
          <w:p>
            <w:pPr>
              <w:rPr>
                <w:rFonts w:hint="eastAsia" w:ascii="宋体" w:hAnsi="宋体"/>
                <w:color w:val="auto"/>
                <w:sz w:val="19"/>
                <w:szCs w:val="21"/>
              </w:rPr>
            </w:pPr>
            <w:r>
              <w:rPr>
                <w:rFonts w:hint="eastAsia" w:ascii="宋体" w:hAnsi="宋体"/>
                <w:color w:val="auto"/>
                <w:sz w:val="19"/>
                <w:szCs w:val="21"/>
              </w:rPr>
              <w:t>小写：</w:t>
            </w:r>
          </w:p>
        </w:tc>
        <w:tc>
          <w:tcPr>
            <w:tcW w:w="2974" w:type="dxa"/>
            <w:tcBorders>
              <w:tl2br w:val="nil"/>
              <w:tr2bl w:val="nil"/>
            </w:tcBorders>
            <w:noWrap w:val="0"/>
            <w:vAlign w:val="center"/>
          </w:tcPr>
          <w:p>
            <w:pP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2521" w:type="dxa"/>
            <w:tcBorders>
              <w:tl2br w:val="nil"/>
              <w:tr2bl w:val="nil"/>
            </w:tcBorders>
            <w:noWrap w:val="0"/>
            <w:vAlign w:val="center"/>
          </w:tcPr>
          <w:p>
            <w:pPr>
              <w:jc w:val="left"/>
              <w:rPr>
                <w:rFonts w:hint="eastAsia" w:ascii="宋体" w:hAnsi="宋体"/>
                <w:color w:val="auto"/>
                <w:sz w:val="19"/>
              </w:rPr>
            </w:pPr>
            <w:r>
              <w:rPr>
                <w:rFonts w:hint="eastAsia" w:ascii="宋体" w:hAnsi="宋体"/>
                <w:color w:val="auto"/>
                <w:sz w:val="19"/>
              </w:rPr>
              <w:t>年度总价 (</w:t>
            </w:r>
            <w:r>
              <w:rPr>
                <w:rFonts w:hint="eastAsia" w:ascii="宋体" w:hAnsi="宋体"/>
                <w:color w:val="auto"/>
                <w:sz w:val="19"/>
                <w:szCs w:val="21"/>
              </w:rPr>
              <w:t>人民币/</w:t>
            </w:r>
            <w:r>
              <w:rPr>
                <w:rFonts w:hint="eastAsia" w:ascii="宋体" w:hAnsi="宋体"/>
                <w:color w:val="auto"/>
                <w:sz w:val="19"/>
              </w:rPr>
              <w:t>元)：</w:t>
            </w:r>
          </w:p>
          <w:p>
            <w:pPr>
              <w:jc w:val="left"/>
              <w:rPr>
                <w:rFonts w:hint="eastAsia" w:ascii="宋体" w:hAnsi="宋体"/>
                <w:color w:val="auto"/>
                <w:sz w:val="19"/>
                <w:szCs w:val="21"/>
              </w:rPr>
            </w:pPr>
            <w:r>
              <w:rPr>
                <w:rFonts w:hint="eastAsia" w:ascii="宋体" w:hAnsi="宋体"/>
                <w:color w:val="auto"/>
                <w:sz w:val="19"/>
              </w:rPr>
              <w:t>以上月报价×12个月</w:t>
            </w:r>
          </w:p>
        </w:tc>
        <w:tc>
          <w:tcPr>
            <w:tcW w:w="4542" w:type="dxa"/>
            <w:gridSpan w:val="2"/>
            <w:tcBorders>
              <w:tl2br w:val="nil"/>
              <w:tr2bl w:val="nil"/>
            </w:tcBorders>
            <w:noWrap w:val="0"/>
            <w:vAlign w:val="center"/>
          </w:tcPr>
          <w:p>
            <w:pPr>
              <w:rPr>
                <w:rFonts w:hint="eastAsia" w:ascii="宋体" w:hAnsi="宋体"/>
                <w:color w:val="auto"/>
                <w:sz w:val="19"/>
                <w:szCs w:val="21"/>
              </w:rPr>
            </w:pPr>
            <w:r>
              <w:rPr>
                <w:rFonts w:hint="eastAsia" w:ascii="宋体" w:hAnsi="宋体"/>
                <w:color w:val="auto"/>
                <w:sz w:val="19"/>
                <w:szCs w:val="21"/>
              </w:rPr>
              <w:t>大写:</w:t>
            </w:r>
          </w:p>
          <w:p>
            <w:pPr>
              <w:rPr>
                <w:rFonts w:hint="eastAsia" w:ascii="宋体" w:hAnsi="宋体"/>
                <w:color w:val="auto"/>
                <w:sz w:val="19"/>
                <w:szCs w:val="21"/>
              </w:rPr>
            </w:pPr>
            <w:r>
              <w:rPr>
                <w:rFonts w:hint="eastAsia" w:ascii="宋体" w:hAnsi="宋体"/>
                <w:color w:val="auto"/>
                <w:sz w:val="19"/>
                <w:szCs w:val="21"/>
              </w:rPr>
              <w:t>小写：</w:t>
            </w:r>
          </w:p>
        </w:tc>
        <w:tc>
          <w:tcPr>
            <w:tcW w:w="2974" w:type="dxa"/>
            <w:tcBorders>
              <w:tl2br w:val="nil"/>
              <w:tr2bl w:val="nil"/>
            </w:tcBorders>
            <w:noWrap w:val="0"/>
            <w:vAlign w:val="center"/>
          </w:tcPr>
          <w:p>
            <w:pPr>
              <w:rPr>
                <w:rFonts w:hint="eastAsia" w:ascii="宋体" w:hAnsi="宋体"/>
                <w:color w:val="auto"/>
                <w:sz w:val="19"/>
                <w:szCs w:val="21"/>
              </w:rPr>
            </w:pPr>
          </w:p>
        </w:tc>
      </w:tr>
    </w:tbl>
    <w:p>
      <w:pPr>
        <w:spacing w:line="380" w:lineRule="exact"/>
        <w:rPr>
          <w:rFonts w:hint="eastAsia" w:ascii="新宋体" w:hAnsi="新宋体" w:eastAsia="新宋体" w:cs="新宋体"/>
          <w:color w:val="auto"/>
          <w:sz w:val="22"/>
          <w:szCs w:val="22"/>
        </w:rPr>
      </w:pPr>
    </w:p>
    <w:p>
      <w:pPr>
        <w:spacing w:line="380" w:lineRule="exact"/>
        <w:rPr>
          <w:rFonts w:hint="eastAsia" w:ascii="新宋体" w:hAnsi="新宋体" w:eastAsia="新宋体" w:cs="新宋体"/>
          <w:color w:val="auto"/>
          <w:sz w:val="22"/>
          <w:szCs w:val="22"/>
        </w:rPr>
      </w:pPr>
    </w:p>
    <w:p>
      <w:pPr>
        <w:spacing w:line="38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说明：</w:t>
      </w:r>
    </w:p>
    <w:p>
      <w:pPr>
        <w:numPr>
          <w:ilvl w:val="0"/>
          <w:numId w:val="28"/>
        </w:numPr>
        <w:spacing w:line="38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投标分项报价表内总计价应与“开标一览表”</w:t>
      </w:r>
      <w:r>
        <w:rPr>
          <w:rFonts w:hint="eastAsia" w:ascii="新宋体" w:hAnsi="新宋体" w:eastAsia="新宋体" w:cs="新宋体"/>
          <w:color w:val="auto"/>
          <w:sz w:val="22"/>
          <w:szCs w:val="22"/>
          <w:lang w:eastAsia="zh-CN"/>
        </w:rPr>
        <w:t>对应“</w:t>
      </w:r>
      <w:r>
        <w:rPr>
          <w:rFonts w:hint="eastAsia" w:ascii="新宋体" w:hAnsi="新宋体" w:eastAsia="新宋体" w:cs="新宋体"/>
          <w:b/>
          <w:bCs/>
          <w:color w:val="auto"/>
          <w:kern w:val="0"/>
          <w:sz w:val="22"/>
          <w:szCs w:val="22"/>
          <w:lang w:eastAsia="zh-CN"/>
        </w:rPr>
        <w:t>道路、河道清扫保洁”报价</w:t>
      </w:r>
      <w:r>
        <w:rPr>
          <w:rFonts w:hint="eastAsia" w:ascii="新宋体" w:hAnsi="新宋体" w:eastAsia="新宋体" w:cs="新宋体"/>
          <w:color w:val="auto"/>
          <w:sz w:val="22"/>
          <w:szCs w:val="22"/>
        </w:rPr>
        <w:t>相一致。</w:t>
      </w:r>
    </w:p>
    <w:p>
      <w:pPr>
        <w:numPr>
          <w:ilvl w:val="0"/>
          <w:numId w:val="28"/>
        </w:numPr>
        <w:spacing w:line="38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不提供此表的报价，视为没有实质性响应采购文件要求。</w:t>
      </w:r>
    </w:p>
    <w:p>
      <w:pPr>
        <w:numPr>
          <w:ilvl w:val="0"/>
          <w:numId w:val="28"/>
        </w:numPr>
        <w:spacing w:line="38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本表可在不改变格式的情况下根据具体需要自行增减。</w:t>
      </w:r>
    </w:p>
    <w:p>
      <w:pPr>
        <w:numPr>
          <w:ilvl w:val="0"/>
          <w:numId w:val="28"/>
        </w:numPr>
        <w:spacing w:line="38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各项费用如已包含在其它费用中请注明“含”，若免费请注明“免”, 若没有请注明“无”。</w:t>
      </w:r>
    </w:p>
    <w:p>
      <w:pPr>
        <w:spacing w:line="380" w:lineRule="exact"/>
        <w:ind w:firstLine="4400" w:firstLineChars="2000"/>
        <w:rPr>
          <w:rFonts w:hint="eastAsia" w:ascii="新宋体" w:hAnsi="新宋体" w:eastAsia="新宋体" w:cs="新宋体"/>
          <w:color w:val="auto"/>
          <w:sz w:val="22"/>
        </w:rPr>
      </w:pPr>
    </w:p>
    <w:p>
      <w:pPr>
        <w:spacing w:line="38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投标人全称（盖章）：</w:t>
      </w:r>
    </w:p>
    <w:p>
      <w:pPr>
        <w:spacing w:line="380" w:lineRule="exact"/>
        <w:rPr>
          <w:rFonts w:hint="eastAsia" w:ascii="新宋体" w:hAnsi="新宋体" w:eastAsia="新宋体" w:cs="新宋体"/>
          <w:color w:val="auto"/>
          <w:sz w:val="22"/>
          <w:szCs w:val="22"/>
        </w:rPr>
      </w:pPr>
    </w:p>
    <w:p>
      <w:pPr>
        <w:spacing w:line="38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投标人代表（签字或盖章）：</w:t>
      </w:r>
    </w:p>
    <w:p>
      <w:pPr>
        <w:spacing w:line="380" w:lineRule="exact"/>
        <w:rPr>
          <w:rFonts w:hint="eastAsia" w:ascii="新宋体" w:hAnsi="新宋体" w:eastAsia="新宋体" w:cs="新宋体"/>
          <w:color w:val="auto"/>
          <w:sz w:val="22"/>
          <w:szCs w:val="22"/>
        </w:rPr>
      </w:pPr>
    </w:p>
    <w:p>
      <w:pPr>
        <w:spacing w:before="120" w:beforeLines="50" w:after="120" w:afterLines="5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日 期：  年  月  日</w:t>
      </w:r>
    </w:p>
    <w:p>
      <w:pPr>
        <w:pStyle w:val="4"/>
        <w:rPr>
          <w:rFonts w:hint="eastAsia" w:ascii="新宋体" w:hAnsi="新宋体" w:eastAsia="新宋体" w:cs="新宋体"/>
          <w:color w:val="auto"/>
          <w:sz w:val="36"/>
          <w:szCs w:val="36"/>
        </w:rPr>
      </w:pPr>
      <w:bookmarkStart w:id="136" w:name="_Toc15843"/>
      <w:bookmarkStart w:id="137" w:name="_Toc34572039"/>
    </w:p>
    <w:p>
      <w:pPr>
        <w:pStyle w:val="4"/>
        <w:rPr>
          <w:rFonts w:hint="eastAsia" w:ascii="新宋体" w:hAnsi="新宋体" w:eastAsia="新宋体" w:cs="新宋体"/>
          <w:color w:val="auto"/>
          <w:sz w:val="36"/>
          <w:szCs w:val="36"/>
        </w:rPr>
      </w:pPr>
    </w:p>
    <w:p>
      <w:pPr>
        <w:rPr>
          <w:rFonts w:hint="eastAsia"/>
          <w:color w:val="auto"/>
        </w:rPr>
      </w:pPr>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36"/>
          <w:szCs w:val="36"/>
        </w:rPr>
      </w:pPr>
    </w:p>
    <w:p>
      <w:pPr>
        <w:pStyle w:val="2"/>
        <w:jc w:val="both"/>
        <w:rPr>
          <w:rFonts w:hint="eastAsia" w:ascii="新宋体" w:hAnsi="新宋体" w:eastAsia="新宋体" w:cs="新宋体"/>
          <w:color w:val="auto"/>
          <w:sz w:val="36"/>
          <w:szCs w:val="36"/>
        </w:rPr>
      </w:pPr>
    </w:p>
    <w:p>
      <w:pPr>
        <w:rPr>
          <w:rFonts w:hint="eastAsia" w:ascii="新宋体" w:hAnsi="新宋体" w:eastAsia="新宋体" w:cs="新宋体"/>
          <w:color w:val="auto"/>
          <w:sz w:val="36"/>
          <w:szCs w:val="36"/>
        </w:rPr>
      </w:pPr>
    </w:p>
    <w:p>
      <w:pPr>
        <w:spacing w:line="380" w:lineRule="exact"/>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lang w:eastAsia="zh-CN"/>
        </w:rPr>
        <w:t>（公厕保洁及维修）</w:t>
      </w:r>
      <w:r>
        <w:rPr>
          <w:rFonts w:hint="eastAsia" w:ascii="新宋体" w:hAnsi="新宋体" w:eastAsia="新宋体" w:cs="新宋体"/>
          <w:b/>
          <w:bCs/>
          <w:color w:val="auto"/>
          <w:sz w:val="28"/>
          <w:szCs w:val="28"/>
        </w:rPr>
        <w:t>投标分项报价表</w:t>
      </w:r>
      <w:r>
        <w:rPr>
          <w:rFonts w:hint="eastAsia" w:ascii="新宋体" w:hAnsi="新宋体" w:eastAsia="新宋体" w:cs="新宋体"/>
          <w:b/>
          <w:bCs/>
          <w:color w:val="auto"/>
          <w:sz w:val="28"/>
          <w:szCs w:val="28"/>
          <w:lang w:val="en-US" w:eastAsia="zh-CN"/>
        </w:rPr>
        <w:t>2</w:t>
      </w:r>
    </w:p>
    <w:p>
      <w:pPr>
        <w:spacing w:line="380" w:lineRule="exact"/>
        <w:rPr>
          <w:rFonts w:hint="eastAsia" w:ascii="新宋体" w:hAnsi="新宋体" w:eastAsia="新宋体" w:cs="新宋体"/>
          <w:b/>
          <w:color w:val="auto"/>
          <w:sz w:val="22"/>
        </w:rPr>
      </w:pPr>
      <w:r>
        <w:rPr>
          <w:rFonts w:hint="eastAsia" w:ascii="新宋体" w:hAnsi="新宋体" w:eastAsia="新宋体" w:cs="新宋体"/>
          <w:b/>
          <w:color w:val="auto"/>
          <w:sz w:val="22"/>
        </w:rPr>
        <w:t xml:space="preserve">项目名称： </w:t>
      </w:r>
      <w:r>
        <w:rPr>
          <w:rFonts w:hint="eastAsia" w:ascii="新宋体" w:hAnsi="新宋体" w:eastAsia="新宋体" w:cs="新宋体"/>
          <w:color w:val="auto"/>
          <w:sz w:val="22"/>
        </w:rPr>
        <w:t xml:space="preserve">       </w:t>
      </w:r>
      <w:r>
        <w:rPr>
          <w:rFonts w:hint="eastAsia" w:ascii="新宋体" w:hAnsi="新宋体" w:eastAsia="新宋体" w:cs="新宋体"/>
          <w:b/>
          <w:color w:val="auto"/>
          <w:sz w:val="22"/>
        </w:rPr>
        <w:t xml:space="preserve">                             项目编号：</w:t>
      </w:r>
    </w:p>
    <w:tbl>
      <w:tblPr>
        <w:tblStyle w:val="56"/>
        <w:tblW w:w="100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1988"/>
        <w:gridCol w:w="2554"/>
        <w:gridCol w:w="2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521" w:type="dxa"/>
            <w:tcBorders>
              <w:tl2br w:val="nil"/>
              <w:tr2bl w:val="nil"/>
            </w:tcBorders>
            <w:noWrap w:val="0"/>
            <w:vAlign w:val="center"/>
          </w:tcPr>
          <w:p>
            <w:pPr>
              <w:jc w:val="center"/>
              <w:rPr>
                <w:rFonts w:hint="eastAsia" w:ascii="宋体" w:hAnsi="宋体"/>
                <w:color w:val="auto"/>
                <w:szCs w:val="21"/>
              </w:rPr>
            </w:pPr>
            <w:r>
              <w:rPr>
                <w:rFonts w:hint="eastAsia" w:ascii="宋体" w:hAnsi="宋体"/>
                <w:color w:val="auto"/>
                <w:szCs w:val="21"/>
              </w:rPr>
              <w:t>项目内容</w:t>
            </w:r>
          </w:p>
        </w:tc>
        <w:tc>
          <w:tcPr>
            <w:tcW w:w="1988" w:type="dxa"/>
            <w:tcBorders>
              <w:tl2br w:val="nil"/>
              <w:tr2bl w:val="nil"/>
            </w:tcBorders>
            <w:noWrap w:val="0"/>
            <w:vAlign w:val="center"/>
          </w:tcPr>
          <w:p>
            <w:pPr>
              <w:jc w:val="center"/>
              <w:rPr>
                <w:rFonts w:hint="eastAsia" w:ascii="宋体" w:hAnsi="宋体"/>
                <w:color w:val="auto"/>
                <w:szCs w:val="21"/>
              </w:rPr>
            </w:pPr>
            <w:r>
              <w:rPr>
                <w:rFonts w:hint="eastAsia" w:ascii="宋体" w:hAnsi="宋体"/>
                <w:color w:val="auto"/>
                <w:szCs w:val="21"/>
              </w:rPr>
              <w:t>月报价/金额(元)</w:t>
            </w:r>
          </w:p>
        </w:tc>
        <w:tc>
          <w:tcPr>
            <w:tcW w:w="2554" w:type="dxa"/>
            <w:tcBorders>
              <w:tl2br w:val="nil"/>
              <w:tr2bl w:val="nil"/>
            </w:tcBorders>
            <w:noWrap w:val="0"/>
            <w:vAlign w:val="center"/>
          </w:tcPr>
          <w:p>
            <w:pPr>
              <w:jc w:val="center"/>
              <w:rPr>
                <w:rFonts w:hint="eastAsia" w:ascii="宋体" w:hAnsi="宋体"/>
                <w:color w:val="auto"/>
                <w:szCs w:val="21"/>
              </w:rPr>
            </w:pPr>
            <w:r>
              <w:rPr>
                <w:rFonts w:hint="eastAsia" w:ascii="宋体" w:hAnsi="宋体"/>
                <w:color w:val="auto"/>
                <w:szCs w:val="21"/>
              </w:rPr>
              <w:t>计算依据（公式及过程）</w:t>
            </w:r>
          </w:p>
        </w:tc>
        <w:tc>
          <w:tcPr>
            <w:tcW w:w="2974" w:type="dxa"/>
            <w:tcBorders>
              <w:tl2br w:val="nil"/>
              <w:tr2bl w:val="nil"/>
            </w:tcBorders>
            <w:noWrap w:val="0"/>
            <w:vAlign w:val="center"/>
          </w:tcPr>
          <w:p>
            <w:pPr>
              <w:jc w:val="center"/>
              <w:rPr>
                <w:rFonts w:hint="eastAsia" w:ascii="宋体" w:hAnsi="宋体"/>
                <w:color w:val="auto"/>
                <w:szCs w:val="21"/>
              </w:rPr>
            </w:pPr>
            <w:r>
              <w:rPr>
                <w:rFonts w:hint="eastAsia" w:ascii="宋体" w:hAnsi="宋体"/>
                <w:color w:val="auto"/>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rPr>
              <w:t xml:space="preserve">一、人工费 </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rPr>
              <w:t>1、工人工资</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widowControl/>
              <w:jc w:val="left"/>
              <w:textAlignment w:val="center"/>
              <w:rPr>
                <w:rFonts w:hint="eastAsia" w:ascii="宋体" w:hAnsi="宋体"/>
                <w:color w:val="auto"/>
                <w:sz w:val="19"/>
              </w:rPr>
            </w:pPr>
            <w:r>
              <w:rPr>
                <w:rFonts w:hint="eastAsia" w:ascii="宋体" w:eastAsia="宋体" w:cs="宋体"/>
                <w:b w:val="0"/>
                <w:color w:val="auto"/>
                <w:szCs w:val="21"/>
                <w:lang w:val="en-US" w:eastAsia="zh-CN" w:bidi="ar"/>
              </w:rPr>
              <w:t>（1）项目负责人</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widowControl/>
              <w:jc w:val="left"/>
              <w:textAlignment w:val="center"/>
              <w:rPr>
                <w:rFonts w:hint="eastAsia" w:ascii="宋体" w:hAnsi="宋体"/>
                <w:color w:val="auto"/>
                <w:sz w:val="19"/>
              </w:rPr>
            </w:pPr>
            <w:r>
              <w:rPr>
                <w:rFonts w:hint="eastAsia" w:ascii="宋体" w:eastAsia="宋体" w:cs="宋体"/>
                <w:b w:val="0"/>
                <w:color w:val="auto"/>
                <w:szCs w:val="21"/>
                <w:lang w:val="en-US" w:eastAsia="zh-CN" w:bidi="ar"/>
              </w:rPr>
              <w:t>（2）维修工</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widowControl/>
              <w:jc w:val="left"/>
              <w:textAlignment w:val="center"/>
              <w:rPr>
                <w:rFonts w:hint="eastAsia" w:ascii="宋体" w:hAnsi="宋体"/>
                <w:color w:val="auto"/>
                <w:sz w:val="19"/>
              </w:rPr>
            </w:pPr>
            <w:r>
              <w:rPr>
                <w:rFonts w:hint="eastAsia" w:ascii="宋体" w:eastAsia="宋体" w:cs="宋体"/>
                <w:b w:val="0"/>
                <w:color w:val="auto"/>
                <w:szCs w:val="21"/>
                <w:lang w:val="en-US" w:eastAsia="zh-CN" w:bidi="ar"/>
              </w:rPr>
              <w:t>（3）驾驶员</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exact"/>
        </w:trPr>
        <w:tc>
          <w:tcPr>
            <w:tcW w:w="2521" w:type="dxa"/>
            <w:tcBorders>
              <w:tl2br w:val="nil"/>
              <w:tr2bl w:val="nil"/>
            </w:tcBorders>
            <w:noWrap w:val="0"/>
            <w:vAlign w:val="center"/>
          </w:tcPr>
          <w:p>
            <w:pPr>
              <w:widowControl/>
              <w:jc w:val="left"/>
              <w:textAlignment w:val="center"/>
              <w:rPr>
                <w:rFonts w:hint="eastAsia" w:ascii="宋体" w:hAnsi="宋体"/>
                <w:color w:val="auto"/>
                <w:sz w:val="19"/>
                <w:lang w:val="en-US" w:eastAsia="zh-CN"/>
              </w:rPr>
            </w:pPr>
            <w:r>
              <w:rPr>
                <w:rFonts w:hint="eastAsia" w:ascii="宋体" w:eastAsia="宋体" w:cs="宋体"/>
                <w:b w:val="0"/>
                <w:color w:val="auto"/>
                <w:szCs w:val="21"/>
                <w:lang w:val="en-US" w:eastAsia="zh-CN" w:bidi="ar"/>
              </w:rPr>
              <w:t>（4）保洁员</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lang w:val="en-US" w:eastAsia="zh-CN"/>
              </w:rPr>
              <w:t xml:space="preserve">2、人员社会保险 </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eastAsia="宋体"/>
                <w:color w:val="auto"/>
                <w:sz w:val="19"/>
                <w:lang w:val="en-US" w:eastAsia="zh-CN"/>
              </w:rPr>
            </w:pPr>
            <w:r>
              <w:rPr>
                <w:rFonts w:hint="eastAsia" w:ascii="宋体" w:hAnsi="宋体"/>
                <w:color w:val="auto"/>
                <w:sz w:val="19"/>
                <w:lang w:val="en-US" w:eastAsia="zh-CN"/>
              </w:rPr>
              <w:t>3、人身意外保险</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keepNext w:val="0"/>
              <w:keepLines w:val="0"/>
              <w:widowControl/>
              <w:suppressLineNumbers w:val="0"/>
              <w:jc w:val="left"/>
              <w:textAlignment w:val="center"/>
              <w:rPr>
                <w:rFonts w:hint="eastAsia" w:ascii="宋体" w:hAnsi="宋体"/>
                <w:color w:val="auto"/>
                <w:sz w:val="19"/>
              </w:rPr>
            </w:pPr>
            <w:r>
              <w:rPr>
                <w:rFonts w:hint="eastAsia" w:ascii="宋体" w:hAnsi="宋体" w:eastAsia="宋体" w:cs="宋体"/>
                <w:i w:val="0"/>
                <w:color w:val="auto"/>
                <w:kern w:val="0"/>
                <w:sz w:val="21"/>
                <w:szCs w:val="21"/>
                <w:u w:val="none"/>
                <w:lang w:val="en-US" w:eastAsia="zh-CN" w:bidi="ar"/>
              </w:rPr>
              <w:t>二、其他</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（1）法定节假日补贴     </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（2）高温补贴</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（3）特殊岗位津贴</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521" w:type="dxa"/>
            <w:tcBorders>
              <w:tl2br w:val="nil"/>
              <w:tr2bl w:val="nil"/>
            </w:tcBorders>
            <w:noWrap w:val="0"/>
            <w:vAlign w:val="center"/>
          </w:tcPr>
          <w:p>
            <w:pPr>
              <w:autoSpaceDE w:val="0"/>
              <w:autoSpaceDN w:val="0"/>
              <w:spacing w:line="211" w:lineRule="exact"/>
              <w:jc w:val="left"/>
              <w:rPr>
                <w:rFonts w:hint="eastAsia" w:ascii="宋体" w:hAnsi="宋体"/>
                <w:color w:val="auto"/>
                <w:sz w:val="19"/>
              </w:rPr>
            </w:pPr>
            <w:r>
              <w:rPr>
                <w:rFonts w:hint="eastAsia" w:ascii="宋体" w:hAnsi="宋体"/>
                <w:color w:val="auto"/>
                <w:sz w:val="19"/>
                <w:lang w:eastAsia="zh-CN"/>
              </w:rPr>
              <w:t>三</w:t>
            </w:r>
            <w:r>
              <w:rPr>
                <w:rFonts w:hint="eastAsia" w:ascii="宋体" w:hAnsi="宋体"/>
                <w:color w:val="auto"/>
                <w:sz w:val="19"/>
              </w:rPr>
              <w:t>、</w:t>
            </w:r>
            <w:r>
              <w:rPr>
                <w:rFonts w:ascii="宋体" w:hAnsi="宋体"/>
                <w:color w:val="auto"/>
                <w:sz w:val="19"/>
              </w:rPr>
              <w:t>GPS设备费、流量费等全部费用（如有）</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lang w:eastAsia="zh-CN"/>
              </w:rPr>
              <w:t>四</w:t>
            </w:r>
            <w:r>
              <w:rPr>
                <w:rFonts w:hint="eastAsia" w:ascii="宋体" w:hAnsi="宋体"/>
                <w:color w:val="auto"/>
                <w:sz w:val="19"/>
              </w:rPr>
              <w:t xml:space="preserve">、设备耗损费 </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1、安全生产设备</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2、反光衣、反光袖套反光袖套、工作服装、手套、大、小扫帚、方锹、畚箕、垃圾袋等</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五、作业车辆及损耗费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1、车辆折旧</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（1）吸粪车</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2、车辆维修费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3、车辆规费及保险</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4、油料费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5、水费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keepNext w:val="0"/>
              <w:keepLines w:val="0"/>
              <w:widowControl/>
              <w:suppressLineNumbers w:val="0"/>
              <w:jc w:val="left"/>
              <w:textAlignment w:val="center"/>
              <w:rPr>
                <w:rFonts w:hint="eastAsia" w:ascii="宋体" w:hAnsi="宋体"/>
                <w:color w:val="auto"/>
                <w:sz w:val="19"/>
                <w:szCs w:val="21"/>
              </w:rPr>
            </w:pPr>
            <w:r>
              <w:rPr>
                <w:rFonts w:hint="eastAsia" w:ascii="宋体" w:hAnsi="宋体" w:eastAsia="宋体" w:cs="宋体"/>
                <w:i w:val="0"/>
                <w:color w:val="auto"/>
                <w:kern w:val="0"/>
                <w:sz w:val="21"/>
                <w:szCs w:val="21"/>
                <w:u w:val="none"/>
                <w:lang w:val="en-US" w:eastAsia="zh-CN" w:bidi="ar"/>
              </w:rPr>
              <w:t>六、办公月费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1、水电费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2、电话费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3、办公用品</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4、业务开支</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5、租赁费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6、电脑、空调等折旧</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七、不可预见费及其他经费（含维修费用）</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八、利润</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九、税金</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szCs w:val="21"/>
              </w:rPr>
              <w:t>月报价合计</w:t>
            </w:r>
            <w:r>
              <w:rPr>
                <w:rFonts w:hint="eastAsia" w:ascii="宋体" w:hAnsi="宋体"/>
                <w:color w:val="auto"/>
                <w:sz w:val="19"/>
              </w:rPr>
              <w:t>(</w:t>
            </w:r>
            <w:r>
              <w:rPr>
                <w:rFonts w:hint="eastAsia" w:ascii="宋体" w:hAnsi="宋体"/>
                <w:color w:val="auto"/>
                <w:sz w:val="19"/>
                <w:szCs w:val="21"/>
              </w:rPr>
              <w:t>人民币/</w:t>
            </w:r>
            <w:r>
              <w:rPr>
                <w:rFonts w:hint="eastAsia" w:ascii="宋体" w:hAnsi="宋体"/>
                <w:color w:val="auto"/>
                <w:sz w:val="19"/>
              </w:rPr>
              <w:t>元)：</w:t>
            </w:r>
          </w:p>
        </w:tc>
        <w:tc>
          <w:tcPr>
            <w:tcW w:w="4542" w:type="dxa"/>
            <w:gridSpan w:val="2"/>
            <w:tcBorders>
              <w:tl2br w:val="nil"/>
              <w:tr2bl w:val="nil"/>
            </w:tcBorders>
            <w:noWrap w:val="0"/>
            <w:vAlign w:val="center"/>
          </w:tcPr>
          <w:p>
            <w:pPr>
              <w:rPr>
                <w:rFonts w:hint="eastAsia" w:ascii="宋体" w:hAnsi="宋体"/>
                <w:color w:val="auto"/>
                <w:sz w:val="19"/>
                <w:szCs w:val="21"/>
              </w:rPr>
            </w:pPr>
            <w:r>
              <w:rPr>
                <w:rFonts w:hint="eastAsia" w:ascii="宋体" w:hAnsi="宋体"/>
                <w:color w:val="auto"/>
                <w:sz w:val="19"/>
                <w:szCs w:val="21"/>
              </w:rPr>
              <w:t>大写:</w:t>
            </w:r>
          </w:p>
          <w:p>
            <w:pPr>
              <w:rPr>
                <w:rFonts w:hint="eastAsia" w:ascii="宋体" w:hAnsi="宋体"/>
                <w:color w:val="auto"/>
                <w:sz w:val="19"/>
                <w:szCs w:val="21"/>
              </w:rPr>
            </w:pPr>
            <w:r>
              <w:rPr>
                <w:rFonts w:hint="eastAsia" w:ascii="宋体" w:hAnsi="宋体"/>
                <w:color w:val="auto"/>
                <w:sz w:val="19"/>
                <w:szCs w:val="21"/>
              </w:rPr>
              <w:t>小写：</w:t>
            </w:r>
          </w:p>
        </w:tc>
        <w:tc>
          <w:tcPr>
            <w:tcW w:w="2974" w:type="dxa"/>
            <w:tcBorders>
              <w:tl2br w:val="nil"/>
              <w:tr2bl w:val="nil"/>
            </w:tcBorders>
            <w:noWrap w:val="0"/>
            <w:vAlign w:val="center"/>
          </w:tcPr>
          <w:p>
            <w:pP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2521" w:type="dxa"/>
            <w:tcBorders>
              <w:tl2br w:val="nil"/>
              <w:tr2bl w:val="nil"/>
            </w:tcBorders>
            <w:noWrap w:val="0"/>
            <w:vAlign w:val="center"/>
          </w:tcPr>
          <w:p>
            <w:pPr>
              <w:jc w:val="left"/>
              <w:rPr>
                <w:rFonts w:hint="eastAsia" w:ascii="宋体" w:hAnsi="宋体"/>
                <w:color w:val="auto"/>
                <w:sz w:val="19"/>
              </w:rPr>
            </w:pPr>
            <w:r>
              <w:rPr>
                <w:rFonts w:hint="eastAsia" w:ascii="宋体" w:hAnsi="宋体"/>
                <w:color w:val="auto"/>
                <w:sz w:val="19"/>
              </w:rPr>
              <w:t>年度总价 (</w:t>
            </w:r>
            <w:r>
              <w:rPr>
                <w:rFonts w:hint="eastAsia" w:ascii="宋体" w:hAnsi="宋体"/>
                <w:color w:val="auto"/>
                <w:sz w:val="19"/>
                <w:szCs w:val="21"/>
              </w:rPr>
              <w:t>人民币/</w:t>
            </w:r>
            <w:r>
              <w:rPr>
                <w:rFonts w:hint="eastAsia" w:ascii="宋体" w:hAnsi="宋体"/>
                <w:color w:val="auto"/>
                <w:sz w:val="19"/>
              </w:rPr>
              <w:t>元)：</w:t>
            </w:r>
          </w:p>
          <w:p>
            <w:pPr>
              <w:jc w:val="left"/>
              <w:rPr>
                <w:rFonts w:hint="eastAsia" w:ascii="宋体" w:hAnsi="宋体"/>
                <w:color w:val="auto"/>
                <w:sz w:val="19"/>
                <w:szCs w:val="21"/>
              </w:rPr>
            </w:pPr>
            <w:r>
              <w:rPr>
                <w:rFonts w:hint="eastAsia" w:ascii="宋体" w:hAnsi="宋体"/>
                <w:color w:val="auto"/>
                <w:sz w:val="19"/>
              </w:rPr>
              <w:t>以上月报价×12个月</w:t>
            </w:r>
          </w:p>
        </w:tc>
        <w:tc>
          <w:tcPr>
            <w:tcW w:w="4542" w:type="dxa"/>
            <w:gridSpan w:val="2"/>
            <w:tcBorders>
              <w:tl2br w:val="nil"/>
              <w:tr2bl w:val="nil"/>
            </w:tcBorders>
            <w:noWrap w:val="0"/>
            <w:vAlign w:val="center"/>
          </w:tcPr>
          <w:p>
            <w:pPr>
              <w:rPr>
                <w:rFonts w:hint="eastAsia" w:ascii="宋体" w:hAnsi="宋体"/>
                <w:color w:val="auto"/>
                <w:sz w:val="19"/>
                <w:szCs w:val="21"/>
              </w:rPr>
            </w:pPr>
            <w:r>
              <w:rPr>
                <w:rFonts w:hint="eastAsia" w:ascii="宋体" w:hAnsi="宋体"/>
                <w:color w:val="auto"/>
                <w:sz w:val="19"/>
                <w:szCs w:val="21"/>
              </w:rPr>
              <w:t>大写:</w:t>
            </w:r>
          </w:p>
          <w:p>
            <w:pPr>
              <w:rPr>
                <w:rFonts w:hint="eastAsia" w:ascii="宋体" w:hAnsi="宋体"/>
                <w:color w:val="auto"/>
                <w:sz w:val="19"/>
                <w:szCs w:val="21"/>
              </w:rPr>
            </w:pPr>
            <w:r>
              <w:rPr>
                <w:rFonts w:hint="eastAsia" w:ascii="宋体" w:hAnsi="宋体"/>
                <w:color w:val="auto"/>
                <w:sz w:val="19"/>
                <w:szCs w:val="21"/>
              </w:rPr>
              <w:t>小写：</w:t>
            </w:r>
          </w:p>
        </w:tc>
        <w:tc>
          <w:tcPr>
            <w:tcW w:w="2974" w:type="dxa"/>
            <w:tcBorders>
              <w:tl2br w:val="nil"/>
              <w:tr2bl w:val="nil"/>
            </w:tcBorders>
            <w:noWrap w:val="0"/>
            <w:vAlign w:val="center"/>
          </w:tcPr>
          <w:p>
            <w:pPr>
              <w:rPr>
                <w:rFonts w:hint="eastAsia" w:ascii="宋体" w:hAnsi="宋体"/>
                <w:color w:val="auto"/>
                <w:sz w:val="19"/>
                <w:szCs w:val="21"/>
              </w:rPr>
            </w:pPr>
          </w:p>
        </w:tc>
      </w:tr>
    </w:tbl>
    <w:p>
      <w:pPr>
        <w:pStyle w:val="2"/>
        <w:rPr>
          <w:rFonts w:hint="eastAsia"/>
          <w:color w:val="auto"/>
        </w:rPr>
      </w:pPr>
    </w:p>
    <w:p>
      <w:pPr>
        <w:spacing w:line="38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说明：</w:t>
      </w:r>
    </w:p>
    <w:p>
      <w:pPr>
        <w:numPr>
          <w:ilvl w:val="0"/>
          <w:numId w:val="0"/>
        </w:numPr>
        <w:spacing w:line="380" w:lineRule="exact"/>
        <w:ind w:left="400" w:leftChars="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1、</w:t>
      </w:r>
      <w:r>
        <w:rPr>
          <w:rFonts w:hint="eastAsia" w:ascii="新宋体" w:hAnsi="新宋体" w:eastAsia="新宋体" w:cs="新宋体"/>
          <w:color w:val="auto"/>
          <w:sz w:val="22"/>
          <w:szCs w:val="22"/>
        </w:rPr>
        <w:t>投标分项报价表内总计价应与“开标一览表”</w:t>
      </w:r>
      <w:r>
        <w:rPr>
          <w:rFonts w:hint="eastAsia" w:ascii="新宋体" w:hAnsi="新宋体" w:eastAsia="新宋体" w:cs="新宋体"/>
          <w:color w:val="auto"/>
          <w:sz w:val="22"/>
          <w:szCs w:val="22"/>
          <w:lang w:eastAsia="zh-CN"/>
        </w:rPr>
        <w:t>对应“</w:t>
      </w:r>
      <w:r>
        <w:rPr>
          <w:rFonts w:hint="eastAsia" w:ascii="新宋体" w:hAnsi="新宋体" w:eastAsia="新宋体" w:cs="新宋体"/>
          <w:b/>
          <w:bCs/>
          <w:color w:val="auto"/>
          <w:sz w:val="22"/>
          <w:szCs w:val="22"/>
          <w:lang w:eastAsia="zh-CN"/>
        </w:rPr>
        <w:t>公厕保洁及维修</w:t>
      </w:r>
      <w:r>
        <w:rPr>
          <w:rFonts w:hint="eastAsia" w:ascii="新宋体" w:hAnsi="新宋体" w:eastAsia="新宋体" w:cs="新宋体"/>
          <w:color w:val="auto"/>
          <w:sz w:val="22"/>
          <w:szCs w:val="22"/>
          <w:lang w:eastAsia="zh-CN"/>
        </w:rPr>
        <w:t>”报价</w:t>
      </w:r>
      <w:r>
        <w:rPr>
          <w:rFonts w:hint="eastAsia" w:ascii="新宋体" w:hAnsi="新宋体" w:eastAsia="新宋体" w:cs="新宋体"/>
          <w:color w:val="auto"/>
          <w:sz w:val="22"/>
          <w:szCs w:val="22"/>
        </w:rPr>
        <w:t>相一致。</w:t>
      </w:r>
    </w:p>
    <w:p>
      <w:pPr>
        <w:numPr>
          <w:ilvl w:val="0"/>
          <w:numId w:val="0"/>
        </w:numPr>
        <w:spacing w:line="380" w:lineRule="exact"/>
        <w:ind w:left="400" w:leftChars="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不提供此表的报价，视为没有实质性响应采购文件要求。</w:t>
      </w:r>
    </w:p>
    <w:p>
      <w:pPr>
        <w:numPr>
          <w:ilvl w:val="0"/>
          <w:numId w:val="0"/>
        </w:numPr>
        <w:spacing w:line="380" w:lineRule="exact"/>
        <w:ind w:left="400" w:leftChars="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rPr>
        <w:t>本表可在不改变格式的情况下根据具体需要自行增减。</w:t>
      </w:r>
    </w:p>
    <w:p>
      <w:pPr>
        <w:numPr>
          <w:ilvl w:val="0"/>
          <w:numId w:val="0"/>
        </w:numPr>
        <w:spacing w:line="380" w:lineRule="exact"/>
        <w:ind w:left="400" w:leftChars="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4、</w:t>
      </w:r>
      <w:r>
        <w:rPr>
          <w:rFonts w:hint="eastAsia" w:ascii="新宋体" w:hAnsi="新宋体" w:eastAsia="新宋体" w:cs="新宋体"/>
          <w:color w:val="auto"/>
          <w:sz w:val="22"/>
          <w:szCs w:val="22"/>
        </w:rPr>
        <w:t>各项费用如已包含在其它费用中请注明“含”，若免费请注明“免”, 若没有请注明“无”。</w:t>
      </w:r>
    </w:p>
    <w:p>
      <w:pPr>
        <w:spacing w:line="38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投标人全称（盖章）：</w:t>
      </w:r>
    </w:p>
    <w:p>
      <w:pPr>
        <w:spacing w:line="38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投标人代表（签字或盖章）：</w:t>
      </w:r>
    </w:p>
    <w:p>
      <w:pPr>
        <w:spacing w:before="120" w:beforeLines="50" w:after="120" w:afterLines="50"/>
        <w:rPr>
          <w:rFonts w:hint="eastAsia" w:ascii="新宋体" w:hAnsi="新宋体" w:eastAsia="新宋体" w:cs="新宋体"/>
          <w:color w:val="auto"/>
          <w:sz w:val="21"/>
          <w:szCs w:val="21"/>
        </w:rPr>
      </w:pPr>
      <w:r>
        <w:rPr>
          <w:rFonts w:hint="eastAsia" w:ascii="新宋体" w:hAnsi="新宋体" w:eastAsia="新宋体" w:cs="新宋体"/>
          <w:color w:val="auto"/>
          <w:sz w:val="22"/>
          <w:szCs w:val="22"/>
        </w:rPr>
        <w:t>日 期：  年  月  日</w:t>
      </w:r>
    </w:p>
    <w:p>
      <w:pPr>
        <w:rPr>
          <w:rFonts w:hint="eastAsia"/>
          <w:color w:val="auto"/>
        </w:rPr>
      </w:pPr>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22"/>
          <w:szCs w:val="22"/>
        </w:rPr>
      </w:pPr>
    </w:p>
    <w:p>
      <w:pPr>
        <w:rPr>
          <w:rFonts w:hint="eastAsia" w:ascii="新宋体" w:hAnsi="新宋体" w:eastAsia="新宋体" w:cs="新宋体"/>
          <w:color w:val="auto"/>
          <w:sz w:val="22"/>
          <w:szCs w:val="22"/>
        </w:rPr>
      </w:pPr>
    </w:p>
    <w:p>
      <w:pPr>
        <w:pStyle w:val="2"/>
        <w:rPr>
          <w:rFonts w:hint="eastAsia" w:ascii="新宋体" w:hAnsi="新宋体" w:eastAsia="新宋体" w:cs="新宋体"/>
          <w:color w:val="auto"/>
          <w:sz w:val="22"/>
          <w:szCs w:val="22"/>
        </w:rPr>
      </w:pPr>
    </w:p>
    <w:p>
      <w:pPr>
        <w:rPr>
          <w:rFonts w:hint="eastAsia" w:ascii="新宋体" w:hAnsi="新宋体" w:eastAsia="新宋体" w:cs="新宋体"/>
          <w:color w:val="auto"/>
          <w:sz w:val="22"/>
          <w:szCs w:val="22"/>
        </w:rPr>
      </w:pPr>
    </w:p>
    <w:p>
      <w:pPr>
        <w:pStyle w:val="2"/>
        <w:rPr>
          <w:rFonts w:hint="eastAsia" w:ascii="新宋体" w:hAnsi="新宋体" w:eastAsia="新宋体" w:cs="新宋体"/>
          <w:color w:val="auto"/>
          <w:sz w:val="22"/>
          <w:szCs w:val="22"/>
        </w:rPr>
      </w:pPr>
    </w:p>
    <w:p>
      <w:pPr>
        <w:rPr>
          <w:rFonts w:hint="eastAsia" w:ascii="新宋体" w:hAnsi="新宋体" w:eastAsia="新宋体" w:cs="新宋体"/>
          <w:color w:val="auto"/>
          <w:sz w:val="22"/>
          <w:szCs w:val="22"/>
        </w:rPr>
      </w:pPr>
    </w:p>
    <w:p>
      <w:pPr>
        <w:pStyle w:val="2"/>
        <w:jc w:val="both"/>
        <w:rPr>
          <w:rFonts w:hint="eastAsia"/>
          <w:color w:val="auto"/>
        </w:rPr>
      </w:pPr>
    </w:p>
    <w:p>
      <w:pPr>
        <w:rPr>
          <w:rFonts w:hint="eastAsia"/>
          <w:color w:val="auto"/>
        </w:rPr>
      </w:pPr>
    </w:p>
    <w:p>
      <w:pPr>
        <w:pStyle w:val="2"/>
        <w:rPr>
          <w:rFonts w:hint="eastAsia"/>
          <w:color w:val="auto"/>
        </w:rPr>
      </w:pPr>
    </w:p>
    <w:p>
      <w:pPr>
        <w:spacing w:line="380" w:lineRule="exact"/>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lang w:eastAsia="zh-CN"/>
        </w:rPr>
        <w:t>（垃圾分类）</w:t>
      </w:r>
      <w:r>
        <w:rPr>
          <w:rFonts w:hint="eastAsia" w:ascii="新宋体" w:hAnsi="新宋体" w:eastAsia="新宋体" w:cs="新宋体"/>
          <w:b/>
          <w:bCs/>
          <w:color w:val="auto"/>
          <w:sz w:val="28"/>
          <w:szCs w:val="28"/>
        </w:rPr>
        <w:t>投标分项报价表</w:t>
      </w:r>
      <w:r>
        <w:rPr>
          <w:rFonts w:hint="eastAsia" w:ascii="新宋体" w:hAnsi="新宋体" w:eastAsia="新宋体" w:cs="新宋体"/>
          <w:b/>
          <w:bCs/>
          <w:color w:val="auto"/>
          <w:sz w:val="28"/>
          <w:szCs w:val="28"/>
          <w:lang w:val="en-US" w:eastAsia="zh-CN"/>
        </w:rPr>
        <w:t>3</w:t>
      </w:r>
    </w:p>
    <w:p>
      <w:pPr>
        <w:spacing w:line="380" w:lineRule="exact"/>
        <w:rPr>
          <w:rFonts w:hint="eastAsia" w:ascii="新宋体" w:hAnsi="新宋体" w:eastAsia="新宋体" w:cs="新宋体"/>
          <w:b/>
          <w:color w:val="auto"/>
          <w:sz w:val="22"/>
        </w:rPr>
      </w:pPr>
      <w:r>
        <w:rPr>
          <w:rFonts w:hint="eastAsia" w:ascii="新宋体" w:hAnsi="新宋体" w:eastAsia="新宋体" w:cs="新宋体"/>
          <w:b/>
          <w:color w:val="auto"/>
          <w:sz w:val="22"/>
        </w:rPr>
        <w:t xml:space="preserve">项目名称： </w:t>
      </w:r>
      <w:r>
        <w:rPr>
          <w:rFonts w:hint="eastAsia" w:ascii="新宋体" w:hAnsi="新宋体" w:eastAsia="新宋体" w:cs="新宋体"/>
          <w:color w:val="auto"/>
          <w:sz w:val="22"/>
        </w:rPr>
        <w:t xml:space="preserve">       </w:t>
      </w:r>
      <w:r>
        <w:rPr>
          <w:rFonts w:hint="eastAsia" w:ascii="新宋体" w:hAnsi="新宋体" w:eastAsia="新宋体" w:cs="新宋体"/>
          <w:b/>
          <w:color w:val="auto"/>
          <w:sz w:val="22"/>
        </w:rPr>
        <w:t xml:space="preserve">                             项目编号：</w:t>
      </w:r>
    </w:p>
    <w:tbl>
      <w:tblPr>
        <w:tblStyle w:val="56"/>
        <w:tblW w:w="100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1988"/>
        <w:gridCol w:w="2554"/>
        <w:gridCol w:w="2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521" w:type="dxa"/>
            <w:tcBorders>
              <w:tl2br w:val="nil"/>
              <w:tr2bl w:val="nil"/>
            </w:tcBorders>
            <w:noWrap w:val="0"/>
            <w:vAlign w:val="center"/>
          </w:tcPr>
          <w:p>
            <w:pPr>
              <w:jc w:val="center"/>
              <w:rPr>
                <w:rFonts w:hint="eastAsia" w:ascii="宋体" w:hAnsi="宋体"/>
                <w:color w:val="auto"/>
                <w:szCs w:val="21"/>
              </w:rPr>
            </w:pPr>
            <w:r>
              <w:rPr>
                <w:rFonts w:hint="eastAsia" w:ascii="宋体" w:hAnsi="宋体"/>
                <w:color w:val="auto"/>
                <w:szCs w:val="21"/>
              </w:rPr>
              <w:t>项目内容</w:t>
            </w:r>
          </w:p>
        </w:tc>
        <w:tc>
          <w:tcPr>
            <w:tcW w:w="1988" w:type="dxa"/>
            <w:tcBorders>
              <w:tl2br w:val="nil"/>
              <w:tr2bl w:val="nil"/>
            </w:tcBorders>
            <w:noWrap w:val="0"/>
            <w:vAlign w:val="center"/>
          </w:tcPr>
          <w:p>
            <w:pPr>
              <w:jc w:val="center"/>
              <w:rPr>
                <w:rFonts w:hint="eastAsia" w:ascii="宋体" w:hAnsi="宋体"/>
                <w:color w:val="auto"/>
                <w:szCs w:val="21"/>
              </w:rPr>
            </w:pPr>
            <w:r>
              <w:rPr>
                <w:rFonts w:hint="eastAsia" w:ascii="宋体" w:hAnsi="宋体"/>
                <w:color w:val="auto"/>
                <w:szCs w:val="21"/>
              </w:rPr>
              <w:t>月报价/金额(元)</w:t>
            </w:r>
          </w:p>
        </w:tc>
        <w:tc>
          <w:tcPr>
            <w:tcW w:w="2554" w:type="dxa"/>
            <w:tcBorders>
              <w:tl2br w:val="nil"/>
              <w:tr2bl w:val="nil"/>
            </w:tcBorders>
            <w:noWrap w:val="0"/>
            <w:vAlign w:val="center"/>
          </w:tcPr>
          <w:p>
            <w:pPr>
              <w:jc w:val="center"/>
              <w:rPr>
                <w:rFonts w:hint="eastAsia" w:ascii="宋体" w:hAnsi="宋体"/>
                <w:color w:val="auto"/>
                <w:szCs w:val="21"/>
              </w:rPr>
            </w:pPr>
            <w:r>
              <w:rPr>
                <w:rFonts w:hint="eastAsia" w:ascii="宋体" w:hAnsi="宋体"/>
                <w:color w:val="auto"/>
                <w:szCs w:val="21"/>
              </w:rPr>
              <w:t>计算依据（公式及过程）</w:t>
            </w:r>
          </w:p>
        </w:tc>
        <w:tc>
          <w:tcPr>
            <w:tcW w:w="2974" w:type="dxa"/>
            <w:tcBorders>
              <w:tl2br w:val="nil"/>
              <w:tr2bl w:val="nil"/>
            </w:tcBorders>
            <w:noWrap w:val="0"/>
            <w:vAlign w:val="center"/>
          </w:tcPr>
          <w:p>
            <w:pPr>
              <w:jc w:val="center"/>
              <w:rPr>
                <w:rFonts w:hint="eastAsia" w:ascii="宋体" w:hAnsi="宋体"/>
                <w:color w:val="auto"/>
                <w:szCs w:val="21"/>
              </w:rPr>
            </w:pPr>
            <w:r>
              <w:rPr>
                <w:rFonts w:hint="eastAsia" w:ascii="宋体" w:hAnsi="宋体"/>
                <w:color w:val="auto"/>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rPr>
              <w:t xml:space="preserve">一、人工费 </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rPr>
              <w:t>1、工人工资</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widowControl/>
              <w:jc w:val="left"/>
              <w:textAlignment w:val="center"/>
              <w:rPr>
                <w:rFonts w:hint="eastAsia" w:ascii="宋体" w:hAnsi="宋体"/>
                <w:color w:val="auto"/>
                <w:sz w:val="19"/>
              </w:rPr>
            </w:pPr>
            <w:r>
              <w:rPr>
                <w:rFonts w:hint="eastAsia" w:ascii="宋体" w:eastAsia="宋体" w:cs="宋体"/>
                <w:b w:val="0"/>
                <w:color w:val="auto"/>
                <w:szCs w:val="21"/>
                <w:lang w:val="en-US" w:eastAsia="zh-CN" w:bidi="ar"/>
              </w:rPr>
              <w:t>（1）管理员</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2521" w:type="dxa"/>
            <w:tcBorders>
              <w:tl2br w:val="nil"/>
              <w:tr2bl w:val="nil"/>
            </w:tcBorders>
            <w:noWrap w:val="0"/>
            <w:vAlign w:val="center"/>
          </w:tcPr>
          <w:p>
            <w:pPr>
              <w:widowControl/>
              <w:jc w:val="left"/>
              <w:textAlignment w:val="center"/>
              <w:rPr>
                <w:rFonts w:hint="eastAsia" w:ascii="宋体" w:hAnsi="宋体"/>
                <w:color w:val="auto"/>
                <w:sz w:val="19"/>
              </w:rPr>
            </w:pPr>
            <w:r>
              <w:rPr>
                <w:rFonts w:hint="eastAsia" w:ascii="宋体" w:eastAsia="宋体" w:cs="宋体"/>
                <w:b w:val="0"/>
                <w:color w:val="auto"/>
                <w:szCs w:val="21"/>
                <w:lang w:val="en-US" w:eastAsia="zh-CN" w:bidi="ar"/>
              </w:rPr>
              <w:t>（</w:t>
            </w:r>
            <w:r>
              <w:rPr>
                <w:rFonts w:hint="eastAsia" w:ascii="宋体" w:hAnsi="宋体"/>
                <w:color w:val="auto"/>
                <w:sz w:val="19"/>
                <w:lang w:val="en-US" w:eastAsia="zh-CN"/>
              </w:rPr>
              <w:t>2）垃圾分类收集、清运人员</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lang w:val="en-US" w:eastAsia="zh-CN"/>
              </w:rPr>
              <w:t xml:space="preserve">2、人员社会保险 </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eastAsia="宋体"/>
                <w:color w:val="auto"/>
                <w:sz w:val="19"/>
                <w:lang w:val="en-US" w:eastAsia="zh-CN"/>
              </w:rPr>
            </w:pPr>
            <w:r>
              <w:rPr>
                <w:rFonts w:hint="eastAsia" w:ascii="宋体" w:hAnsi="宋体"/>
                <w:color w:val="auto"/>
                <w:sz w:val="19"/>
                <w:lang w:val="en-US" w:eastAsia="zh-CN"/>
              </w:rPr>
              <w:t>3、人身意外保险</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keepNext w:val="0"/>
              <w:keepLines w:val="0"/>
              <w:widowControl/>
              <w:suppressLineNumbers w:val="0"/>
              <w:jc w:val="left"/>
              <w:textAlignment w:val="center"/>
              <w:rPr>
                <w:rFonts w:hint="eastAsia" w:ascii="宋体" w:hAnsi="宋体"/>
                <w:color w:val="auto"/>
                <w:sz w:val="19"/>
              </w:rPr>
            </w:pPr>
            <w:r>
              <w:rPr>
                <w:rFonts w:hint="eastAsia" w:ascii="宋体" w:hAnsi="宋体" w:eastAsia="宋体" w:cs="宋体"/>
                <w:i w:val="0"/>
                <w:color w:val="auto"/>
                <w:kern w:val="0"/>
                <w:sz w:val="21"/>
                <w:szCs w:val="21"/>
                <w:u w:val="none"/>
                <w:lang w:val="en-US" w:eastAsia="zh-CN" w:bidi="ar"/>
              </w:rPr>
              <w:t>二、其他</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（1）法定节假日补贴     </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（2）高温补贴</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（3）特殊岗位津贴</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521" w:type="dxa"/>
            <w:tcBorders>
              <w:tl2br w:val="nil"/>
              <w:tr2bl w:val="nil"/>
            </w:tcBorders>
            <w:noWrap w:val="0"/>
            <w:vAlign w:val="center"/>
          </w:tcPr>
          <w:p>
            <w:pPr>
              <w:autoSpaceDE w:val="0"/>
              <w:autoSpaceDN w:val="0"/>
              <w:spacing w:line="211" w:lineRule="exact"/>
              <w:jc w:val="left"/>
              <w:rPr>
                <w:rFonts w:hint="eastAsia" w:ascii="宋体" w:hAnsi="宋体"/>
                <w:color w:val="auto"/>
                <w:sz w:val="19"/>
              </w:rPr>
            </w:pPr>
            <w:r>
              <w:rPr>
                <w:rFonts w:hint="eastAsia" w:ascii="宋体" w:hAnsi="宋体"/>
                <w:color w:val="auto"/>
                <w:sz w:val="19"/>
                <w:lang w:eastAsia="zh-CN"/>
              </w:rPr>
              <w:t>三</w:t>
            </w:r>
            <w:r>
              <w:rPr>
                <w:rFonts w:hint="eastAsia" w:ascii="宋体" w:hAnsi="宋体"/>
                <w:color w:val="auto"/>
                <w:sz w:val="19"/>
              </w:rPr>
              <w:t>、</w:t>
            </w:r>
            <w:r>
              <w:rPr>
                <w:rFonts w:ascii="宋体" w:hAnsi="宋体"/>
                <w:color w:val="auto"/>
                <w:sz w:val="19"/>
              </w:rPr>
              <w:t>GPS设备费、流量费等全部费用（如有）</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lang w:eastAsia="zh-CN"/>
              </w:rPr>
              <w:t>四</w:t>
            </w:r>
            <w:r>
              <w:rPr>
                <w:rFonts w:hint="eastAsia" w:ascii="宋体" w:hAnsi="宋体"/>
                <w:color w:val="auto"/>
                <w:sz w:val="19"/>
              </w:rPr>
              <w:t xml:space="preserve">、设备耗损费 </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1、安全生产设备</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2、反光衣、反光袖套反光袖套、工作服装、手套、大、小扫帚、方锹、畚箕、垃圾袋等</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五、作业车辆及损耗费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1、车辆折旧</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（1）电动桶装收集车（车厢容积6个及以上240L垃圾桶）</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keepNext w:val="0"/>
              <w:keepLines w:val="0"/>
              <w:widowControl/>
              <w:suppressLineNumbers w:val="0"/>
              <w:jc w:val="left"/>
              <w:textAlignment w:val="center"/>
              <w:rPr>
                <w:rFonts w:hint="eastAsia" w:ascii="宋体" w:hAnsi="宋体"/>
                <w:color w:val="auto"/>
                <w:sz w:val="19"/>
                <w:szCs w:val="21"/>
              </w:rPr>
            </w:pPr>
            <w:r>
              <w:rPr>
                <w:rFonts w:hint="eastAsia" w:ascii="宋体" w:hAnsi="宋体" w:eastAsia="宋体" w:cs="宋体"/>
                <w:i w:val="0"/>
                <w:color w:val="auto"/>
                <w:kern w:val="0"/>
                <w:sz w:val="21"/>
                <w:szCs w:val="21"/>
                <w:u w:val="none"/>
                <w:lang w:val="en-US" w:eastAsia="zh-CN" w:bidi="ar"/>
              </w:rPr>
              <w:t>六、办公月费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1、水电费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2、电话费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3、办公用品</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4、业务开支</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5、租赁费</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 xml:space="preserve"> 6、电脑、空调等折旧</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七、不可预见费及其他经费（含维修费用）</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八、利润</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2521" w:type="dxa"/>
            <w:tcBorders>
              <w:tl2br w:val="nil"/>
              <w:tr2bl w:val="nil"/>
            </w:tcBorders>
            <w:noWrap w:val="0"/>
            <w:vAlign w:val="center"/>
          </w:tcPr>
          <w:p>
            <w:pPr>
              <w:jc w:val="left"/>
              <w:rPr>
                <w:rFonts w:hint="eastAsia" w:ascii="宋体" w:hAnsi="宋体"/>
                <w:color w:val="auto"/>
                <w:sz w:val="19"/>
                <w:lang w:val="en-US" w:eastAsia="zh-CN"/>
              </w:rPr>
            </w:pPr>
            <w:r>
              <w:rPr>
                <w:rFonts w:hint="eastAsia" w:ascii="宋体" w:hAnsi="宋体"/>
                <w:color w:val="auto"/>
                <w:sz w:val="19"/>
                <w:lang w:val="en-US" w:eastAsia="zh-CN"/>
              </w:rPr>
              <w:t>九、税金</w:t>
            </w:r>
          </w:p>
        </w:tc>
        <w:tc>
          <w:tcPr>
            <w:tcW w:w="1988" w:type="dxa"/>
            <w:tcBorders>
              <w:tl2br w:val="nil"/>
              <w:tr2bl w:val="nil"/>
            </w:tcBorders>
            <w:noWrap w:val="0"/>
            <w:vAlign w:val="center"/>
          </w:tcPr>
          <w:p>
            <w:pPr>
              <w:jc w:val="center"/>
              <w:rPr>
                <w:rFonts w:hint="eastAsia" w:ascii="宋体" w:hAnsi="宋体"/>
                <w:color w:val="auto"/>
                <w:sz w:val="19"/>
                <w:szCs w:val="21"/>
              </w:rPr>
            </w:pPr>
          </w:p>
        </w:tc>
        <w:tc>
          <w:tcPr>
            <w:tcW w:w="2554" w:type="dxa"/>
            <w:tcBorders>
              <w:tl2br w:val="nil"/>
              <w:tr2bl w:val="nil"/>
            </w:tcBorders>
            <w:noWrap w:val="0"/>
            <w:vAlign w:val="center"/>
          </w:tcPr>
          <w:p>
            <w:pPr>
              <w:jc w:val="center"/>
              <w:rPr>
                <w:rFonts w:hint="eastAsia" w:ascii="宋体" w:hAnsi="宋体"/>
                <w:color w:val="auto"/>
                <w:sz w:val="19"/>
                <w:szCs w:val="21"/>
              </w:rPr>
            </w:pPr>
          </w:p>
        </w:tc>
        <w:tc>
          <w:tcPr>
            <w:tcW w:w="2974" w:type="dxa"/>
            <w:tcBorders>
              <w:tl2br w:val="nil"/>
              <w:tr2bl w:val="nil"/>
            </w:tcBorders>
            <w:noWrap w:val="0"/>
            <w:vAlign w:val="center"/>
          </w:tcPr>
          <w:p>
            <w:pPr>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2521" w:type="dxa"/>
            <w:tcBorders>
              <w:tl2br w:val="nil"/>
              <w:tr2bl w:val="nil"/>
            </w:tcBorders>
            <w:noWrap w:val="0"/>
            <w:vAlign w:val="center"/>
          </w:tcPr>
          <w:p>
            <w:pPr>
              <w:jc w:val="left"/>
              <w:rPr>
                <w:rFonts w:hint="eastAsia" w:ascii="宋体" w:hAnsi="宋体"/>
                <w:color w:val="auto"/>
                <w:sz w:val="19"/>
                <w:szCs w:val="21"/>
              </w:rPr>
            </w:pPr>
            <w:r>
              <w:rPr>
                <w:rFonts w:hint="eastAsia" w:ascii="宋体" w:hAnsi="宋体"/>
                <w:color w:val="auto"/>
                <w:sz w:val="19"/>
                <w:szCs w:val="21"/>
              </w:rPr>
              <w:t>月报价合计</w:t>
            </w:r>
            <w:r>
              <w:rPr>
                <w:rFonts w:hint="eastAsia" w:ascii="宋体" w:hAnsi="宋体"/>
                <w:color w:val="auto"/>
                <w:sz w:val="19"/>
              </w:rPr>
              <w:t>(</w:t>
            </w:r>
            <w:r>
              <w:rPr>
                <w:rFonts w:hint="eastAsia" w:ascii="宋体" w:hAnsi="宋体"/>
                <w:color w:val="auto"/>
                <w:sz w:val="19"/>
                <w:szCs w:val="21"/>
              </w:rPr>
              <w:t>人民币/</w:t>
            </w:r>
            <w:r>
              <w:rPr>
                <w:rFonts w:hint="eastAsia" w:ascii="宋体" w:hAnsi="宋体"/>
                <w:color w:val="auto"/>
                <w:sz w:val="19"/>
              </w:rPr>
              <w:t>元)：</w:t>
            </w:r>
          </w:p>
        </w:tc>
        <w:tc>
          <w:tcPr>
            <w:tcW w:w="4542" w:type="dxa"/>
            <w:gridSpan w:val="2"/>
            <w:tcBorders>
              <w:tl2br w:val="nil"/>
              <w:tr2bl w:val="nil"/>
            </w:tcBorders>
            <w:noWrap w:val="0"/>
            <w:vAlign w:val="center"/>
          </w:tcPr>
          <w:p>
            <w:pPr>
              <w:rPr>
                <w:rFonts w:hint="eastAsia" w:ascii="宋体" w:hAnsi="宋体"/>
                <w:color w:val="auto"/>
                <w:sz w:val="19"/>
                <w:szCs w:val="21"/>
              </w:rPr>
            </w:pPr>
            <w:r>
              <w:rPr>
                <w:rFonts w:hint="eastAsia" w:ascii="宋体" w:hAnsi="宋体"/>
                <w:color w:val="auto"/>
                <w:sz w:val="19"/>
                <w:szCs w:val="21"/>
              </w:rPr>
              <w:t>大写:</w:t>
            </w:r>
          </w:p>
          <w:p>
            <w:pPr>
              <w:rPr>
                <w:rFonts w:hint="eastAsia" w:ascii="宋体" w:hAnsi="宋体"/>
                <w:color w:val="auto"/>
                <w:sz w:val="19"/>
                <w:szCs w:val="21"/>
              </w:rPr>
            </w:pPr>
            <w:r>
              <w:rPr>
                <w:rFonts w:hint="eastAsia" w:ascii="宋体" w:hAnsi="宋体"/>
                <w:color w:val="auto"/>
                <w:sz w:val="19"/>
                <w:szCs w:val="21"/>
              </w:rPr>
              <w:t>小写：</w:t>
            </w:r>
          </w:p>
        </w:tc>
        <w:tc>
          <w:tcPr>
            <w:tcW w:w="2974" w:type="dxa"/>
            <w:tcBorders>
              <w:tl2br w:val="nil"/>
              <w:tr2bl w:val="nil"/>
            </w:tcBorders>
            <w:noWrap w:val="0"/>
            <w:vAlign w:val="center"/>
          </w:tcPr>
          <w:p>
            <w:pP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2521" w:type="dxa"/>
            <w:tcBorders>
              <w:tl2br w:val="nil"/>
              <w:tr2bl w:val="nil"/>
            </w:tcBorders>
            <w:noWrap w:val="0"/>
            <w:vAlign w:val="center"/>
          </w:tcPr>
          <w:p>
            <w:pPr>
              <w:jc w:val="left"/>
              <w:rPr>
                <w:rFonts w:hint="eastAsia" w:ascii="宋体" w:hAnsi="宋体"/>
                <w:color w:val="auto"/>
                <w:sz w:val="19"/>
              </w:rPr>
            </w:pPr>
            <w:r>
              <w:rPr>
                <w:rFonts w:hint="eastAsia" w:ascii="宋体" w:hAnsi="宋体"/>
                <w:color w:val="auto"/>
                <w:sz w:val="19"/>
              </w:rPr>
              <w:t>年度总价 (</w:t>
            </w:r>
            <w:r>
              <w:rPr>
                <w:rFonts w:hint="eastAsia" w:ascii="宋体" w:hAnsi="宋体"/>
                <w:color w:val="auto"/>
                <w:sz w:val="19"/>
                <w:szCs w:val="21"/>
              </w:rPr>
              <w:t>人民币/</w:t>
            </w:r>
            <w:r>
              <w:rPr>
                <w:rFonts w:hint="eastAsia" w:ascii="宋体" w:hAnsi="宋体"/>
                <w:color w:val="auto"/>
                <w:sz w:val="19"/>
              </w:rPr>
              <w:t>元)：</w:t>
            </w:r>
          </w:p>
          <w:p>
            <w:pPr>
              <w:jc w:val="left"/>
              <w:rPr>
                <w:rFonts w:hint="eastAsia" w:ascii="宋体" w:hAnsi="宋体"/>
                <w:color w:val="auto"/>
                <w:sz w:val="19"/>
                <w:szCs w:val="21"/>
              </w:rPr>
            </w:pPr>
            <w:r>
              <w:rPr>
                <w:rFonts w:hint="eastAsia" w:ascii="宋体" w:hAnsi="宋体"/>
                <w:color w:val="auto"/>
                <w:sz w:val="19"/>
              </w:rPr>
              <w:t>以上月报价×12个月</w:t>
            </w:r>
          </w:p>
        </w:tc>
        <w:tc>
          <w:tcPr>
            <w:tcW w:w="4542" w:type="dxa"/>
            <w:gridSpan w:val="2"/>
            <w:tcBorders>
              <w:tl2br w:val="nil"/>
              <w:tr2bl w:val="nil"/>
            </w:tcBorders>
            <w:noWrap w:val="0"/>
            <w:vAlign w:val="center"/>
          </w:tcPr>
          <w:p>
            <w:pPr>
              <w:rPr>
                <w:rFonts w:hint="eastAsia" w:ascii="宋体" w:hAnsi="宋体"/>
                <w:color w:val="auto"/>
                <w:sz w:val="19"/>
                <w:szCs w:val="21"/>
              </w:rPr>
            </w:pPr>
            <w:r>
              <w:rPr>
                <w:rFonts w:hint="eastAsia" w:ascii="宋体" w:hAnsi="宋体"/>
                <w:color w:val="auto"/>
                <w:sz w:val="19"/>
                <w:szCs w:val="21"/>
              </w:rPr>
              <w:t>大写:</w:t>
            </w:r>
          </w:p>
          <w:p>
            <w:pPr>
              <w:rPr>
                <w:rFonts w:hint="eastAsia" w:ascii="宋体" w:hAnsi="宋体"/>
                <w:color w:val="auto"/>
                <w:sz w:val="19"/>
                <w:szCs w:val="21"/>
              </w:rPr>
            </w:pPr>
            <w:r>
              <w:rPr>
                <w:rFonts w:hint="eastAsia" w:ascii="宋体" w:hAnsi="宋体"/>
                <w:color w:val="auto"/>
                <w:sz w:val="19"/>
                <w:szCs w:val="21"/>
              </w:rPr>
              <w:t>小写：</w:t>
            </w:r>
          </w:p>
        </w:tc>
        <w:tc>
          <w:tcPr>
            <w:tcW w:w="2974" w:type="dxa"/>
            <w:tcBorders>
              <w:tl2br w:val="nil"/>
              <w:tr2bl w:val="nil"/>
            </w:tcBorders>
            <w:noWrap w:val="0"/>
            <w:vAlign w:val="center"/>
          </w:tcPr>
          <w:p>
            <w:pPr>
              <w:rPr>
                <w:rFonts w:hint="eastAsia" w:ascii="宋体" w:hAnsi="宋体"/>
                <w:color w:val="auto"/>
                <w:sz w:val="19"/>
                <w:szCs w:val="21"/>
              </w:rPr>
            </w:pPr>
          </w:p>
        </w:tc>
      </w:tr>
    </w:tbl>
    <w:p>
      <w:pPr>
        <w:pStyle w:val="2"/>
        <w:rPr>
          <w:rFonts w:hint="eastAsia"/>
          <w:color w:val="auto"/>
        </w:rPr>
      </w:pPr>
    </w:p>
    <w:p>
      <w:pPr>
        <w:spacing w:line="38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说明：</w:t>
      </w:r>
    </w:p>
    <w:p>
      <w:pPr>
        <w:numPr>
          <w:ilvl w:val="0"/>
          <w:numId w:val="0"/>
        </w:numPr>
        <w:spacing w:line="380" w:lineRule="exact"/>
        <w:ind w:left="400" w:leftChars="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1、</w:t>
      </w:r>
      <w:r>
        <w:rPr>
          <w:rFonts w:hint="eastAsia" w:ascii="新宋体" w:hAnsi="新宋体" w:eastAsia="新宋体" w:cs="新宋体"/>
          <w:color w:val="auto"/>
          <w:sz w:val="22"/>
          <w:szCs w:val="22"/>
        </w:rPr>
        <w:t>投标分项报价表内总计价应与“开标一览表”</w:t>
      </w:r>
      <w:r>
        <w:rPr>
          <w:rFonts w:hint="eastAsia" w:ascii="新宋体" w:hAnsi="新宋体" w:eastAsia="新宋体" w:cs="新宋体"/>
          <w:color w:val="auto"/>
          <w:sz w:val="22"/>
          <w:szCs w:val="22"/>
          <w:lang w:eastAsia="zh-CN"/>
        </w:rPr>
        <w:t>对应“</w:t>
      </w:r>
      <w:r>
        <w:rPr>
          <w:rFonts w:hint="eastAsia" w:ascii="新宋体" w:hAnsi="新宋体" w:eastAsia="新宋体" w:cs="新宋体"/>
          <w:b/>
          <w:bCs/>
          <w:color w:val="auto"/>
          <w:sz w:val="22"/>
          <w:szCs w:val="22"/>
          <w:lang w:eastAsia="zh-CN"/>
        </w:rPr>
        <w:t>垃圾分类</w:t>
      </w:r>
      <w:r>
        <w:rPr>
          <w:rFonts w:hint="eastAsia" w:ascii="新宋体" w:hAnsi="新宋体" w:eastAsia="新宋体" w:cs="新宋体"/>
          <w:color w:val="auto"/>
          <w:sz w:val="22"/>
          <w:szCs w:val="22"/>
          <w:lang w:eastAsia="zh-CN"/>
        </w:rPr>
        <w:t>”报价</w:t>
      </w:r>
      <w:r>
        <w:rPr>
          <w:rFonts w:hint="eastAsia" w:ascii="新宋体" w:hAnsi="新宋体" w:eastAsia="新宋体" w:cs="新宋体"/>
          <w:color w:val="auto"/>
          <w:sz w:val="22"/>
          <w:szCs w:val="22"/>
        </w:rPr>
        <w:t>相一致。</w:t>
      </w:r>
    </w:p>
    <w:p>
      <w:pPr>
        <w:numPr>
          <w:ilvl w:val="0"/>
          <w:numId w:val="0"/>
        </w:numPr>
        <w:spacing w:line="380" w:lineRule="exact"/>
        <w:ind w:left="400" w:leftChars="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不提供此表的报价，视为没有实质性响应采购文件要求。</w:t>
      </w:r>
    </w:p>
    <w:p>
      <w:pPr>
        <w:numPr>
          <w:ilvl w:val="0"/>
          <w:numId w:val="0"/>
        </w:numPr>
        <w:spacing w:line="380" w:lineRule="exact"/>
        <w:ind w:left="400" w:leftChars="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rPr>
        <w:t>本表可在不改变格式的情况下根据具体需要自行增减。</w:t>
      </w:r>
    </w:p>
    <w:p>
      <w:pPr>
        <w:numPr>
          <w:ilvl w:val="0"/>
          <w:numId w:val="0"/>
        </w:numPr>
        <w:spacing w:line="380" w:lineRule="exact"/>
        <w:ind w:left="400" w:leftChars="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4、</w:t>
      </w:r>
      <w:r>
        <w:rPr>
          <w:rFonts w:hint="eastAsia" w:ascii="新宋体" w:hAnsi="新宋体" w:eastAsia="新宋体" w:cs="新宋体"/>
          <w:color w:val="auto"/>
          <w:sz w:val="22"/>
          <w:szCs w:val="22"/>
        </w:rPr>
        <w:t>各项费用如已包含在其它费用中请注明“含”，若免费请注明“免”, 若没有请注明“无”。</w:t>
      </w:r>
    </w:p>
    <w:p>
      <w:pPr>
        <w:spacing w:line="38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投标人全称（盖章）：</w:t>
      </w:r>
    </w:p>
    <w:p>
      <w:pPr>
        <w:spacing w:line="380" w:lineRule="exac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投标人代表（签字或盖章）：</w:t>
      </w:r>
    </w:p>
    <w:p>
      <w:pPr>
        <w:spacing w:before="120" w:beforeLines="50" w:after="120" w:afterLines="50"/>
        <w:rPr>
          <w:rFonts w:hint="eastAsia" w:ascii="新宋体" w:hAnsi="新宋体" w:eastAsia="新宋体" w:cs="新宋体"/>
          <w:color w:val="auto"/>
          <w:sz w:val="21"/>
          <w:szCs w:val="21"/>
        </w:rPr>
      </w:pPr>
      <w:r>
        <w:rPr>
          <w:rFonts w:hint="eastAsia" w:ascii="新宋体" w:hAnsi="新宋体" w:eastAsia="新宋体" w:cs="新宋体"/>
          <w:color w:val="auto"/>
          <w:sz w:val="22"/>
          <w:szCs w:val="22"/>
        </w:rPr>
        <w:t>日 期：  年  月  日</w:t>
      </w:r>
    </w:p>
    <w:p>
      <w:pPr>
        <w:rPr>
          <w:rFonts w:hint="eastAsia"/>
          <w:color w:val="auto"/>
        </w:rPr>
      </w:pPr>
    </w:p>
    <w:p>
      <w:pPr>
        <w:pStyle w:val="2"/>
        <w:rPr>
          <w:rFonts w:hint="eastAsia"/>
          <w:color w:val="auto"/>
        </w:rPr>
      </w:pPr>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36"/>
          <w:szCs w:val="36"/>
        </w:rPr>
      </w:pPr>
    </w:p>
    <w:p>
      <w:pPr>
        <w:pStyle w:val="4"/>
        <w:rPr>
          <w:rFonts w:hint="eastAsia" w:ascii="新宋体" w:hAnsi="新宋体" w:eastAsia="新宋体" w:cs="新宋体"/>
          <w:color w:val="auto"/>
          <w:sz w:val="18"/>
          <w:szCs w:val="18"/>
        </w:rPr>
      </w:pPr>
    </w:p>
    <w:p>
      <w:pPr>
        <w:pStyle w:val="4"/>
        <w:rPr>
          <w:rFonts w:hint="eastAsia" w:ascii="新宋体" w:hAnsi="新宋体" w:eastAsia="新宋体" w:cs="新宋体"/>
          <w:color w:val="auto"/>
          <w:sz w:val="36"/>
          <w:szCs w:val="36"/>
        </w:rPr>
      </w:pPr>
    </w:p>
    <w:p>
      <w:pPr>
        <w:rPr>
          <w:rFonts w:hint="eastAsia"/>
          <w:color w:val="auto"/>
          <w:sz w:val="11"/>
          <w:szCs w:val="11"/>
        </w:rPr>
      </w:pPr>
    </w:p>
    <w:p>
      <w:pPr>
        <w:pStyle w:val="2"/>
        <w:rPr>
          <w:rFonts w:hint="eastAsia"/>
          <w:color w:val="auto"/>
          <w:sz w:val="11"/>
          <w:szCs w:val="11"/>
        </w:rPr>
      </w:pPr>
    </w:p>
    <w:p>
      <w:pPr>
        <w:rPr>
          <w:rFonts w:hint="eastAsia"/>
          <w:color w:val="auto"/>
          <w:sz w:val="11"/>
          <w:szCs w:val="11"/>
        </w:rPr>
      </w:pPr>
    </w:p>
    <w:p>
      <w:pPr>
        <w:pStyle w:val="2"/>
        <w:rPr>
          <w:rFonts w:hint="eastAsia"/>
          <w:color w:val="auto"/>
          <w:sz w:val="11"/>
          <w:szCs w:val="11"/>
        </w:rPr>
      </w:pPr>
    </w:p>
    <w:p>
      <w:pPr>
        <w:rPr>
          <w:rFonts w:hint="eastAsia"/>
          <w:color w:val="auto"/>
          <w:sz w:val="11"/>
          <w:szCs w:val="11"/>
        </w:rPr>
      </w:pPr>
    </w:p>
    <w:p>
      <w:pPr>
        <w:pStyle w:val="2"/>
        <w:rPr>
          <w:rFonts w:hint="eastAsia"/>
          <w:color w:val="auto"/>
          <w:sz w:val="11"/>
          <w:szCs w:val="11"/>
        </w:rPr>
      </w:pPr>
    </w:p>
    <w:p>
      <w:pPr>
        <w:rPr>
          <w:rFonts w:hint="eastAsia"/>
          <w:color w:val="auto"/>
          <w:sz w:val="11"/>
          <w:szCs w:val="11"/>
        </w:rPr>
      </w:pPr>
    </w:p>
    <w:p>
      <w:pPr>
        <w:pStyle w:val="2"/>
        <w:rPr>
          <w:rFonts w:hint="eastAsia"/>
          <w:color w:val="auto"/>
          <w:sz w:val="11"/>
          <w:szCs w:val="11"/>
        </w:rPr>
      </w:pPr>
    </w:p>
    <w:p>
      <w:pPr>
        <w:rPr>
          <w:rFonts w:hint="eastAsia"/>
          <w:color w:val="auto"/>
          <w:sz w:val="11"/>
          <w:szCs w:val="11"/>
        </w:rPr>
      </w:pPr>
    </w:p>
    <w:p>
      <w:pPr>
        <w:pStyle w:val="2"/>
        <w:rPr>
          <w:rFonts w:hint="eastAsia"/>
          <w:color w:val="auto"/>
          <w:sz w:val="11"/>
          <w:szCs w:val="11"/>
        </w:rPr>
      </w:pPr>
    </w:p>
    <w:p>
      <w:pPr>
        <w:rPr>
          <w:rFonts w:hint="eastAsia"/>
          <w:color w:val="auto"/>
          <w:sz w:val="11"/>
          <w:szCs w:val="11"/>
        </w:rPr>
      </w:pPr>
    </w:p>
    <w:p>
      <w:pPr>
        <w:pStyle w:val="2"/>
        <w:rPr>
          <w:rFonts w:hint="eastAsia"/>
          <w:color w:val="auto"/>
          <w:sz w:val="11"/>
          <w:szCs w:val="11"/>
        </w:rPr>
      </w:pPr>
    </w:p>
    <w:p>
      <w:pPr>
        <w:rPr>
          <w:rFonts w:hint="eastAsia"/>
          <w:color w:val="auto"/>
          <w:sz w:val="11"/>
          <w:szCs w:val="11"/>
        </w:rPr>
      </w:pPr>
    </w:p>
    <w:p>
      <w:pPr>
        <w:pStyle w:val="2"/>
        <w:rPr>
          <w:rFonts w:hint="eastAsia"/>
          <w:color w:val="auto"/>
        </w:rPr>
      </w:pPr>
    </w:p>
    <w:p>
      <w:pPr>
        <w:pStyle w:val="4"/>
        <w:rPr>
          <w:rFonts w:hint="eastAsia" w:ascii="新宋体" w:hAnsi="新宋体" w:eastAsia="新宋体" w:cs="新宋体"/>
          <w:color w:val="auto"/>
          <w:sz w:val="36"/>
          <w:szCs w:val="36"/>
        </w:rPr>
      </w:pPr>
      <w:r>
        <w:rPr>
          <w:rFonts w:hint="eastAsia" w:ascii="新宋体" w:hAnsi="新宋体" w:eastAsia="新宋体" w:cs="新宋体"/>
          <w:color w:val="auto"/>
          <w:sz w:val="36"/>
          <w:szCs w:val="36"/>
        </w:rPr>
        <w:t>第五部分   采购内容及要求</w:t>
      </w:r>
      <w:bookmarkEnd w:id="136"/>
      <w:bookmarkEnd w:id="137"/>
    </w:p>
    <w:p>
      <w:pPr>
        <w:pStyle w:val="25"/>
        <w:spacing w:line="360" w:lineRule="exact"/>
        <w:ind w:left="287" w:hanging="316" w:hangingChars="143"/>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一、说明</w:t>
      </w:r>
    </w:p>
    <w:p>
      <w:pPr>
        <w:spacing w:line="360" w:lineRule="auto"/>
        <w:ind w:left="300" w:hanging="330" w:hangingChars="15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1、为了适应市场经济的</w:t>
      </w:r>
      <w:r>
        <w:rPr>
          <w:rFonts w:hint="eastAsia" w:ascii="新宋体" w:hAnsi="新宋体" w:eastAsia="新宋体" w:cs="新宋体"/>
          <w:color w:val="auto"/>
          <w:sz w:val="22"/>
          <w:szCs w:val="22"/>
          <w:lang w:eastAsia="zh-CN"/>
        </w:rPr>
        <w:t>城镇</w:t>
      </w:r>
      <w:r>
        <w:rPr>
          <w:rFonts w:hint="eastAsia" w:ascii="新宋体" w:hAnsi="新宋体" w:eastAsia="新宋体" w:cs="新宋体"/>
          <w:color w:val="auto"/>
          <w:sz w:val="22"/>
          <w:szCs w:val="22"/>
        </w:rPr>
        <w:t>道路保洁管理机制，加快推进</w:t>
      </w:r>
      <w:r>
        <w:rPr>
          <w:rFonts w:hint="eastAsia" w:ascii="新宋体" w:hAnsi="新宋体" w:eastAsia="新宋体" w:cs="新宋体"/>
          <w:color w:val="auto"/>
          <w:sz w:val="22"/>
          <w:szCs w:val="22"/>
          <w:lang w:eastAsia="zh-CN"/>
        </w:rPr>
        <w:t>城镇</w:t>
      </w:r>
      <w:r>
        <w:rPr>
          <w:rFonts w:hint="eastAsia" w:ascii="新宋体" w:hAnsi="新宋体" w:eastAsia="新宋体" w:cs="新宋体"/>
          <w:color w:val="auto"/>
          <w:sz w:val="22"/>
          <w:szCs w:val="22"/>
        </w:rPr>
        <w:t>道路管理市场化的进程，本项目进行公开招标。</w:t>
      </w:r>
    </w:p>
    <w:p>
      <w:pPr>
        <w:spacing w:line="360" w:lineRule="auto"/>
        <w:ind w:left="300" w:hanging="330" w:hangingChars="15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  投标人在投标文中承诺投入的清扫保洁人员及清扫保洁专用车辆必须只用所投标段，未经采购人</w:t>
      </w:r>
    </w:p>
    <w:p>
      <w:pPr>
        <w:spacing w:line="360" w:lineRule="auto"/>
        <w:ind w:left="328" w:leftChars="156"/>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同意不得自行变更或另用他处。</w:t>
      </w:r>
    </w:p>
    <w:p>
      <w:pPr>
        <w:spacing w:line="360" w:lineRule="auto"/>
        <w:ind w:left="300" w:hanging="330" w:hangingChars="15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3、投标人应对本项目的道路情况情进行测算，并结合本项目的实际需求情况投入相应的保洁机械机</w:t>
      </w:r>
    </w:p>
    <w:p>
      <w:pPr>
        <w:spacing w:line="360" w:lineRule="auto"/>
        <w:ind w:left="328" w:leftChars="156"/>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具数量。在保证本项目道路清扫保洁服务质量要求的前提下，本项目投入配备人员由投标单位按</w:t>
      </w:r>
    </w:p>
    <w:p>
      <w:pPr>
        <w:spacing w:line="360" w:lineRule="auto"/>
        <w:ind w:left="328" w:leftChars="156"/>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照项目的实际情况自行科学、合理测算，须列入投标文件中并作出具体的说明。</w:t>
      </w:r>
    </w:p>
    <w:p>
      <w:pPr>
        <w:pStyle w:val="25"/>
        <w:spacing w:line="360" w:lineRule="auto"/>
        <w:ind w:left="287" w:hanging="316" w:hangingChars="143"/>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二、招标内容</w:t>
      </w:r>
    </w:p>
    <w:p>
      <w:pPr>
        <w:tabs>
          <w:tab w:val="left" w:pos="720"/>
        </w:tabs>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1、山福镇集镇中心道路、主要道路及轻工业园区道路清扫服务等。</w:t>
      </w:r>
    </w:p>
    <w:p>
      <w:pPr>
        <w:tabs>
          <w:tab w:val="left" w:pos="720"/>
        </w:tabs>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1.1</w:t>
      </w:r>
      <w:r>
        <w:rPr>
          <w:rFonts w:hint="eastAsia" w:ascii="新宋体" w:hAnsi="新宋体" w:eastAsia="新宋体" w:cs="新宋体"/>
          <w:b/>
          <w:color w:val="auto"/>
          <w:sz w:val="22"/>
          <w:szCs w:val="22"/>
          <w:u w:val="single"/>
        </w:rPr>
        <w:t>▲本次招标</w:t>
      </w:r>
      <w:r>
        <w:rPr>
          <w:rFonts w:hint="eastAsia" w:ascii="新宋体" w:hAnsi="新宋体" w:eastAsia="新宋体" w:cs="新宋体"/>
          <w:b/>
          <w:color w:val="auto"/>
          <w:sz w:val="22"/>
          <w:szCs w:val="22"/>
          <w:u w:val="single"/>
          <w:lang w:eastAsia="zh-CN"/>
        </w:rPr>
        <w:t>服务期一</w:t>
      </w:r>
      <w:r>
        <w:rPr>
          <w:rFonts w:hint="eastAsia" w:ascii="新宋体" w:hAnsi="新宋体" w:eastAsia="新宋体" w:cs="新宋体"/>
          <w:b/>
          <w:color w:val="auto"/>
          <w:sz w:val="22"/>
          <w:szCs w:val="22"/>
          <w:u w:val="single"/>
        </w:rPr>
        <w:t>年。</w:t>
      </w:r>
    </w:p>
    <w:p>
      <w:pPr>
        <w:pStyle w:val="25"/>
        <w:spacing w:line="360" w:lineRule="exact"/>
        <w:ind w:left="0" w:firstLine="0" w:firstLineChars="0"/>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2、道路基本情况描述：</w:t>
      </w:r>
    </w:p>
    <w:p>
      <w:pPr>
        <w:pStyle w:val="25"/>
        <w:spacing w:line="360" w:lineRule="exact"/>
        <w:ind w:left="0" w:firstLine="0" w:firstLineChars="0"/>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lang w:val="en-US" w:eastAsia="zh-CN"/>
        </w:rPr>
        <w:t>2.1</w:t>
      </w:r>
      <w:r>
        <w:rPr>
          <w:rFonts w:hint="eastAsia" w:ascii="新宋体" w:hAnsi="新宋体" w:eastAsia="新宋体" w:cs="新宋体"/>
          <w:b/>
          <w:color w:val="auto"/>
          <w:sz w:val="22"/>
          <w:szCs w:val="22"/>
        </w:rPr>
        <w:t>山福镇清洁道路面积统计表</w:t>
      </w:r>
    </w:p>
    <w:tbl>
      <w:tblPr>
        <w:tblStyle w:val="56"/>
        <w:tblW w:w="9597" w:type="dxa"/>
        <w:tblInd w:w="99" w:type="dxa"/>
        <w:tblLayout w:type="fixed"/>
        <w:tblCellMar>
          <w:top w:w="0" w:type="dxa"/>
          <w:left w:w="108" w:type="dxa"/>
          <w:bottom w:w="0" w:type="dxa"/>
          <w:right w:w="108" w:type="dxa"/>
        </w:tblCellMar>
      </w:tblPr>
      <w:tblGrid>
        <w:gridCol w:w="700"/>
        <w:gridCol w:w="1140"/>
        <w:gridCol w:w="3651"/>
        <w:gridCol w:w="1158"/>
        <w:gridCol w:w="1221"/>
        <w:gridCol w:w="1727"/>
      </w:tblGrid>
      <w:tr>
        <w:tblPrEx>
          <w:tblCellMar>
            <w:top w:w="0" w:type="dxa"/>
            <w:left w:w="108" w:type="dxa"/>
            <w:bottom w:w="0" w:type="dxa"/>
            <w:right w:w="108" w:type="dxa"/>
          </w:tblCellMar>
        </w:tblPrEx>
        <w:trPr>
          <w:trHeight w:val="78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序号</w:t>
            </w:r>
          </w:p>
        </w:tc>
        <w:tc>
          <w:tcPr>
            <w:tcW w:w="1140" w:type="dxa"/>
            <w:tcBorders>
              <w:top w:val="single" w:color="auto" w:sz="4" w:space="0"/>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网格</w:t>
            </w:r>
          </w:p>
        </w:tc>
        <w:tc>
          <w:tcPr>
            <w:tcW w:w="3651" w:type="dxa"/>
            <w:tcBorders>
              <w:top w:val="single" w:color="auto" w:sz="4" w:space="0"/>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道路名称</w:t>
            </w:r>
          </w:p>
        </w:tc>
        <w:tc>
          <w:tcPr>
            <w:tcW w:w="1158" w:type="dxa"/>
            <w:tcBorders>
              <w:top w:val="single" w:color="auto" w:sz="4" w:space="0"/>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宽（m）</w:t>
            </w:r>
          </w:p>
        </w:tc>
        <w:tc>
          <w:tcPr>
            <w:tcW w:w="1221" w:type="dxa"/>
            <w:tcBorders>
              <w:top w:val="single" w:color="auto" w:sz="4" w:space="0"/>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长（m）</w:t>
            </w:r>
          </w:p>
        </w:tc>
        <w:tc>
          <w:tcPr>
            <w:tcW w:w="1727" w:type="dxa"/>
            <w:tcBorders>
              <w:top w:val="single" w:color="auto" w:sz="4" w:space="0"/>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面积（㎡）</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w:t>
            </w:r>
          </w:p>
        </w:tc>
        <w:tc>
          <w:tcPr>
            <w:tcW w:w="1140"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江南</w:t>
            </w: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经一路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16</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540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8640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经二路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16</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440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7040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市政路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16</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504</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8064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纬一路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16</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550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8800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纬二路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16</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507</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8112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江滨路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16</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490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7040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江南西路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24</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500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12000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江南东路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24</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1000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24000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9</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江南中路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24</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250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6000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10</w:t>
            </w:r>
          </w:p>
        </w:tc>
        <w:tc>
          <w:tcPr>
            <w:tcW w:w="1140"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临江</w:t>
            </w: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临江东街</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25</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1155</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28875</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11</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临江西街</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23</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750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17250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12</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壬黄线</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20</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1950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39000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13</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站前路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15</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530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7950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14</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望州路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15</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900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13500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15</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横滨路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12</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300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3600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16</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金岙路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12</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1500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18000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17</w:t>
            </w:r>
          </w:p>
        </w:tc>
        <w:tc>
          <w:tcPr>
            <w:tcW w:w="1140"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驿头</w:t>
            </w: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驿头路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20</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820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16400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18</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驿山路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15</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400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6000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19</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中加路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350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1750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20</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驿阳路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12</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450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5400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21</w:t>
            </w:r>
          </w:p>
        </w:tc>
        <w:tc>
          <w:tcPr>
            <w:tcW w:w="1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金山路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10</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680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6800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22</w:t>
            </w:r>
          </w:p>
        </w:tc>
        <w:tc>
          <w:tcPr>
            <w:tcW w:w="1140" w:type="dxa"/>
            <w:vMerge w:val="restart"/>
            <w:tcBorders>
              <w:top w:val="nil"/>
              <w:left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双潮</w:t>
            </w:r>
          </w:p>
          <w:p>
            <w:pPr>
              <w:widowControl/>
              <w:jc w:val="center"/>
              <w:rPr>
                <w:rFonts w:hint="eastAsia" w:ascii="新宋体" w:hAnsi="新宋体" w:eastAsia="新宋体" w:cs="新宋体"/>
                <w:color w:val="auto"/>
                <w:kern w:val="0"/>
                <w:sz w:val="22"/>
                <w:szCs w:val="22"/>
                <w:lang w:val="en-US" w:eastAsia="zh-CN" w:bidi="ar-SA"/>
              </w:rPr>
            </w:pPr>
            <w:r>
              <w:rPr>
                <w:rFonts w:hint="eastAsia" w:ascii="新宋体" w:hAnsi="新宋体" w:eastAsia="新宋体" w:cs="新宋体"/>
                <w:color w:val="auto"/>
                <w:kern w:val="0"/>
                <w:sz w:val="22"/>
                <w:szCs w:val="22"/>
              </w:rPr>
              <w:t>　</w:t>
            </w: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双潮路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17</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538</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9146</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23</w:t>
            </w:r>
          </w:p>
        </w:tc>
        <w:tc>
          <w:tcPr>
            <w:tcW w:w="1140" w:type="dxa"/>
            <w:vMerge w:val="continue"/>
            <w:tcBorders>
              <w:left w:val="single" w:color="auto"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朝阳路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19</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410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7790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24</w:t>
            </w:r>
          </w:p>
        </w:tc>
        <w:tc>
          <w:tcPr>
            <w:tcW w:w="1140" w:type="dxa"/>
            <w:vMerge w:val="continue"/>
            <w:tcBorders>
              <w:left w:val="single" w:color="auto"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潮埠路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19</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458</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8702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25</w:t>
            </w:r>
          </w:p>
        </w:tc>
        <w:tc>
          <w:tcPr>
            <w:tcW w:w="1140" w:type="dxa"/>
            <w:vMerge w:val="continue"/>
            <w:tcBorders>
              <w:left w:val="single" w:color="auto"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溪南路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10</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1885</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18850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26</w:t>
            </w:r>
          </w:p>
        </w:tc>
        <w:tc>
          <w:tcPr>
            <w:tcW w:w="1140" w:type="dxa"/>
            <w:vMerge w:val="continue"/>
            <w:tcBorders>
              <w:left w:val="single" w:color="auto"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溪北路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15</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1818</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27270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27</w:t>
            </w:r>
          </w:p>
        </w:tc>
        <w:tc>
          <w:tcPr>
            <w:tcW w:w="1140" w:type="dxa"/>
            <w:vMerge w:val="continue"/>
            <w:tcBorders>
              <w:left w:val="single" w:color="auto" w:sz="4" w:space="0"/>
              <w:right w:val="single" w:color="auto" w:sz="4" w:space="0"/>
            </w:tcBorders>
            <w:noWrap w:val="0"/>
            <w:vAlign w:val="center"/>
          </w:tcPr>
          <w:p>
            <w:pPr>
              <w:widowControl/>
              <w:jc w:val="left"/>
              <w:rPr>
                <w:rFonts w:hint="eastAsia" w:ascii="新宋体" w:hAnsi="新宋体" w:eastAsia="新宋体" w:cs="新宋体"/>
                <w:color w:val="auto"/>
                <w:kern w:val="0"/>
                <w:sz w:val="22"/>
                <w:szCs w:val="22"/>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潮冯路</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10</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600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6000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lang w:val="en-US" w:eastAsia="zh-CN" w:bidi="ar-SA"/>
              </w:rPr>
            </w:pPr>
            <w:r>
              <w:rPr>
                <w:rFonts w:hint="eastAsia" w:ascii="新宋体" w:hAnsi="新宋体" w:eastAsia="新宋体" w:cs="新宋体"/>
                <w:color w:val="auto"/>
                <w:kern w:val="0"/>
                <w:sz w:val="22"/>
                <w:szCs w:val="22"/>
              </w:rPr>
              <w:t>28</w:t>
            </w:r>
          </w:p>
        </w:tc>
        <w:tc>
          <w:tcPr>
            <w:tcW w:w="1140"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新宋体" w:hAnsi="新宋体" w:eastAsia="新宋体" w:cs="新宋体"/>
                <w:color w:val="auto"/>
                <w:kern w:val="0"/>
                <w:sz w:val="22"/>
                <w:szCs w:val="22"/>
                <w:lang w:val="en-US" w:eastAsia="zh-CN" w:bidi="ar-SA"/>
              </w:rPr>
            </w:pP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lang w:val="en-US" w:eastAsia="zh-CN" w:bidi="ar-SA"/>
              </w:rPr>
            </w:pPr>
            <w:r>
              <w:rPr>
                <w:rFonts w:hint="eastAsia" w:ascii="新宋体" w:hAnsi="新宋体" w:eastAsia="新宋体" w:cs="新宋体"/>
                <w:color w:val="auto"/>
                <w:kern w:val="0"/>
                <w:sz w:val="22"/>
                <w:szCs w:val="22"/>
              </w:rPr>
              <w:t>G330</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lang w:val="en-US" w:eastAsia="zh-CN" w:bidi="ar-SA"/>
              </w:rPr>
            </w:pPr>
            <w:r>
              <w:rPr>
                <w:rFonts w:hint="eastAsia" w:ascii="新宋体" w:hAnsi="新宋体" w:eastAsia="新宋体" w:cs="新宋体"/>
                <w:color w:val="auto"/>
                <w:kern w:val="0"/>
                <w:sz w:val="22"/>
                <w:szCs w:val="22"/>
              </w:rPr>
              <w:t>15</w:t>
            </w: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lang w:val="en-US" w:eastAsia="zh-CN" w:bidi="ar-SA"/>
              </w:rPr>
            </w:pPr>
            <w:r>
              <w:rPr>
                <w:rFonts w:hint="eastAsia" w:ascii="新宋体" w:hAnsi="新宋体" w:eastAsia="新宋体" w:cs="新宋体"/>
                <w:color w:val="auto"/>
                <w:kern w:val="0"/>
                <w:sz w:val="22"/>
                <w:szCs w:val="22"/>
              </w:rPr>
              <w:t>20100</w:t>
            </w: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lang w:val="en-US" w:eastAsia="zh-CN" w:bidi="ar-SA"/>
              </w:rPr>
            </w:pPr>
            <w:r>
              <w:rPr>
                <w:rFonts w:hint="eastAsia" w:ascii="新宋体" w:hAnsi="新宋体" w:eastAsia="新宋体" w:cs="新宋体"/>
                <w:color w:val="auto"/>
                <w:kern w:val="0"/>
                <w:sz w:val="22"/>
                <w:szCs w:val="22"/>
              </w:rPr>
              <w:t>301500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hint="default" w:ascii="新宋体" w:hAnsi="新宋体" w:eastAsia="新宋体" w:cs="新宋体"/>
                <w:color w:val="auto"/>
                <w:kern w:val="0"/>
                <w:sz w:val="22"/>
                <w:szCs w:val="22"/>
                <w:lang w:val="en-US" w:eastAsia="zh-CN"/>
              </w:rPr>
            </w:pPr>
            <w:r>
              <w:rPr>
                <w:rFonts w:hint="eastAsia" w:ascii="新宋体" w:hAnsi="新宋体" w:eastAsia="新宋体" w:cs="新宋体"/>
                <w:color w:val="auto"/>
                <w:kern w:val="0"/>
                <w:sz w:val="22"/>
                <w:szCs w:val="22"/>
                <w:lang w:val="en-US" w:eastAsia="zh-CN"/>
              </w:rPr>
              <w:t>29</w:t>
            </w:r>
          </w:p>
        </w:tc>
        <w:tc>
          <w:tcPr>
            <w:tcW w:w="1140"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lang w:eastAsia="zh-CN"/>
              </w:rPr>
            </w:pPr>
            <w:r>
              <w:rPr>
                <w:rFonts w:hint="eastAsia" w:ascii="新宋体" w:hAnsi="新宋体" w:eastAsia="新宋体" w:cs="新宋体"/>
                <w:color w:val="auto"/>
                <w:kern w:val="0"/>
                <w:sz w:val="22"/>
                <w:szCs w:val="22"/>
                <w:lang w:eastAsia="zh-CN"/>
              </w:rPr>
              <w:t>山福</w:t>
            </w:r>
          </w:p>
        </w:tc>
        <w:tc>
          <w:tcPr>
            <w:tcW w:w="365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lang w:eastAsia="zh-CN"/>
              </w:rPr>
            </w:pPr>
            <w:r>
              <w:rPr>
                <w:rFonts w:hint="eastAsia" w:ascii="新宋体" w:hAnsi="新宋体" w:eastAsia="新宋体" w:cs="新宋体"/>
                <w:color w:val="auto"/>
                <w:kern w:val="0"/>
                <w:sz w:val="22"/>
                <w:szCs w:val="22"/>
                <w:lang w:eastAsia="zh-CN"/>
              </w:rPr>
              <w:t>沿江大道</w:t>
            </w:r>
          </w:p>
        </w:tc>
        <w:tc>
          <w:tcPr>
            <w:tcW w:w="1158"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p>
        </w:tc>
        <w:tc>
          <w:tcPr>
            <w:tcW w:w="1221"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p>
        </w:tc>
        <w:tc>
          <w:tcPr>
            <w:tcW w:w="1727" w:type="dxa"/>
            <w:tcBorders>
              <w:top w:val="nil"/>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auto"/>
                <w:kern w:val="0"/>
                <w:sz w:val="22"/>
                <w:szCs w:val="22"/>
              </w:rPr>
            </w:pPr>
          </w:p>
        </w:tc>
      </w:tr>
    </w:tbl>
    <w:p>
      <w:pPr>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2.</w:t>
      </w:r>
      <w:r>
        <w:rPr>
          <w:rFonts w:hint="eastAsia" w:ascii="新宋体" w:hAnsi="新宋体" w:eastAsia="新宋体" w:cs="新宋体"/>
          <w:b/>
          <w:color w:val="auto"/>
          <w:sz w:val="22"/>
          <w:szCs w:val="22"/>
          <w:lang w:val="en-US" w:eastAsia="zh-CN"/>
        </w:rPr>
        <w:t>2</w:t>
      </w:r>
      <w:r>
        <w:rPr>
          <w:rFonts w:hint="eastAsia" w:ascii="新宋体" w:hAnsi="新宋体" w:eastAsia="新宋体" w:cs="新宋体"/>
          <w:b/>
          <w:color w:val="auto"/>
          <w:sz w:val="22"/>
          <w:szCs w:val="22"/>
        </w:rPr>
        <w:t xml:space="preserve"> 河道保洁面积统计表</w:t>
      </w:r>
    </w:p>
    <w:tbl>
      <w:tblPr>
        <w:tblStyle w:val="56"/>
        <w:tblW w:w="0" w:type="auto"/>
        <w:tblInd w:w="0" w:type="dxa"/>
        <w:tblLayout w:type="fixed"/>
        <w:tblCellMar>
          <w:top w:w="15" w:type="dxa"/>
          <w:left w:w="15" w:type="dxa"/>
          <w:bottom w:w="15" w:type="dxa"/>
          <w:right w:w="15" w:type="dxa"/>
        </w:tblCellMar>
      </w:tblPr>
      <w:tblGrid>
        <w:gridCol w:w="2614"/>
        <w:gridCol w:w="2894"/>
        <w:gridCol w:w="2389"/>
        <w:gridCol w:w="1695"/>
      </w:tblGrid>
      <w:tr>
        <w:tblPrEx>
          <w:tblCellMar>
            <w:top w:w="15" w:type="dxa"/>
            <w:left w:w="15" w:type="dxa"/>
            <w:bottom w:w="15" w:type="dxa"/>
            <w:right w:w="15" w:type="dxa"/>
          </w:tblCellMar>
        </w:tblPrEx>
        <w:trPr>
          <w:trHeight w:val="218"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bCs w:val="0"/>
                <w:color w:val="auto"/>
                <w:sz w:val="22"/>
                <w:szCs w:val="22"/>
              </w:rPr>
            </w:pPr>
            <w:r>
              <w:rPr>
                <w:rFonts w:hint="eastAsia" w:ascii="新宋体" w:hAnsi="新宋体" w:eastAsia="新宋体" w:cs="新宋体"/>
                <w:b/>
                <w:bCs w:val="0"/>
                <w:color w:val="auto"/>
                <w:kern w:val="0"/>
                <w:sz w:val="22"/>
                <w:szCs w:val="22"/>
              </w:rPr>
              <w:t>河段名</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bCs w:val="0"/>
                <w:color w:val="auto"/>
                <w:sz w:val="22"/>
                <w:szCs w:val="22"/>
              </w:rPr>
            </w:pPr>
            <w:r>
              <w:rPr>
                <w:rFonts w:hint="eastAsia" w:ascii="新宋体" w:hAnsi="新宋体" w:eastAsia="新宋体" w:cs="新宋体"/>
                <w:b/>
                <w:bCs w:val="0"/>
                <w:color w:val="auto"/>
                <w:kern w:val="0"/>
                <w:sz w:val="22"/>
                <w:szCs w:val="22"/>
              </w:rPr>
              <w:t>起点</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bCs w:val="0"/>
                <w:color w:val="auto"/>
                <w:sz w:val="22"/>
                <w:szCs w:val="22"/>
              </w:rPr>
            </w:pPr>
            <w:r>
              <w:rPr>
                <w:rFonts w:hint="eastAsia" w:ascii="新宋体" w:hAnsi="新宋体" w:eastAsia="新宋体" w:cs="新宋体"/>
                <w:b/>
                <w:bCs w:val="0"/>
                <w:color w:val="auto"/>
                <w:kern w:val="0"/>
                <w:sz w:val="22"/>
                <w:szCs w:val="22"/>
              </w:rPr>
              <w:t>终点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bCs w:val="0"/>
                <w:color w:val="auto"/>
                <w:sz w:val="22"/>
                <w:szCs w:val="22"/>
              </w:rPr>
            </w:pPr>
            <w:r>
              <w:rPr>
                <w:rFonts w:hint="eastAsia" w:ascii="新宋体" w:hAnsi="新宋体" w:eastAsia="新宋体" w:cs="新宋体"/>
                <w:b/>
                <w:bCs w:val="0"/>
                <w:color w:val="auto"/>
                <w:kern w:val="0"/>
                <w:sz w:val="22"/>
                <w:szCs w:val="22"/>
              </w:rPr>
              <w:t>河长（KM）</w:t>
            </w:r>
          </w:p>
        </w:tc>
      </w:tr>
      <w:tr>
        <w:tblPrEx>
          <w:tblCellMar>
            <w:top w:w="15" w:type="dxa"/>
            <w:left w:w="15" w:type="dxa"/>
            <w:bottom w:w="15" w:type="dxa"/>
            <w:right w:w="15" w:type="dxa"/>
          </w:tblCellMar>
        </w:tblPrEx>
        <w:trPr>
          <w:trHeight w:val="376"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荫溪（西龙溪）</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茅垟村</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瓯江汇合口</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2.89</w:t>
            </w:r>
          </w:p>
        </w:tc>
      </w:tr>
      <w:tr>
        <w:tblPrEx>
          <w:tblCellMar>
            <w:top w:w="15" w:type="dxa"/>
            <w:left w:w="15" w:type="dxa"/>
            <w:bottom w:w="15" w:type="dxa"/>
            <w:right w:w="15" w:type="dxa"/>
          </w:tblCellMar>
        </w:tblPrEx>
        <w:trPr>
          <w:trHeight w:val="376"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横山河（临江中心河）</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金  岙</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瓯江汇合口</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3.2</w:t>
            </w:r>
          </w:p>
        </w:tc>
      </w:tr>
      <w:tr>
        <w:tblPrEx>
          <w:tblCellMar>
            <w:top w:w="15" w:type="dxa"/>
            <w:left w:w="15" w:type="dxa"/>
            <w:bottom w:w="15" w:type="dxa"/>
            <w:right w:w="15" w:type="dxa"/>
          </w:tblCellMar>
        </w:tblPrEx>
        <w:trPr>
          <w:trHeight w:val="376"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小旦河</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小  旦</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瓯江汇合口</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1.1</w:t>
            </w:r>
          </w:p>
        </w:tc>
      </w:tr>
      <w:tr>
        <w:tblPrEx>
          <w:tblCellMar>
            <w:top w:w="15" w:type="dxa"/>
            <w:left w:w="15" w:type="dxa"/>
            <w:bottom w:w="15" w:type="dxa"/>
            <w:right w:w="15" w:type="dxa"/>
          </w:tblCellMar>
        </w:tblPrEx>
        <w:trPr>
          <w:trHeight w:val="376"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驿头河</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驿  头</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瓯江汇合口</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2.3</w:t>
            </w:r>
          </w:p>
        </w:tc>
      </w:tr>
      <w:tr>
        <w:tblPrEx>
          <w:tblCellMar>
            <w:top w:w="15" w:type="dxa"/>
            <w:left w:w="15" w:type="dxa"/>
            <w:bottom w:w="15" w:type="dxa"/>
            <w:right w:w="15" w:type="dxa"/>
          </w:tblCellMar>
        </w:tblPrEx>
        <w:trPr>
          <w:trHeight w:val="376"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下垄河（选岙）</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选  岙</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瓯江汇合口</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1.1</w:t>
            </w:r>
          </w:p>
        </w:tc>
      </w:tr>
      <w:tr>
        <w:tblPrEx>
          <w:tblCellMar>
            <w:top w:w="15" w:type="dxa"/>
            <w:left w:w="15" w:type="dxa"/>
            <w:bottom w:w="15" w:type="dxa"/>
            <w:right w:w="15" w:type="dxa"/>
          </w:tblCellMar>
        </w:tblPrEx>
        <w:trPr>
          <w:trHeight w:val="376"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荫溪（西龙溪）</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茅垟村</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瓯江汇合口</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2.89</w:t>
            </w:r>
          </w:p>
        </w:tc>
      </w:tr>
      <w:tr>
        <w:tblPrEx>
          <w:tblCellMar>
            <w:top w:w="15" w:type="dxa"/>
            <w:left w:w="15" w:type="dxa"/>
            <w:bottom w:w="15" w:type="dxa"/>
            <w:right w:w="15" w:type="dxa"/>
          </w:tblCellMar>
        </w:tblPrEx>
        <w:trPr>
          <w:trHeight w:val="376"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kern w:val="2"/>
                <w:sz w:val="22"/>
                <w:szCs w:val="22"/>
                <w:lang w:val="en-US" w:eastAsia="zh-CN" w:bidi="ar-SA"/>
              </w:rPr>
            </w:pPr>
            <w:r>
              <w:rPr>
                <w:rFonts w:hint="eastAsia" w:ascii="新宋体" w:hAnsi="新宋体" w:eastAsia="新宋体" w:cs="新宋体"/>
                <w:b w:val="0"/>
                <w:bCs/>
                <w:color w:val="auto"/>
                <w:kern w:val="0"/>
                <w:sz w:val="22"/>
                <w:szCs w:val="22"/>
              </w:rPr>
              <w:t>临江外垟河</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kern w:val="2"/>
                <w:sz w:val="22"/>
                <w:szCs w:val="22"/>
                <w:lang w:val="en-US" w:eastAsia="zh-CN" w:bidi="ar-SA"/>
              </w:rPr>
            </w:pPr>
            <w:r>
              <w:rPr>
                <w:rFonts w:hint="eastAsia" w:ascii="新宋体" w:hAnsi="新宋体" w:eastAsia="新宋体" w:cs="新宋体"/>
                <w:b w:val="0"/>
                <w:bCs/>
                <w:color w:val="auto"/>
                <w:kern w:val="0"/>
                <w:sz w:val="22"/>
                <w:szCs w:val="22"/>
              </w:rPr>
              <w:t>前  盈</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kern w:val="2"/>
                <w:sz w:val="22"/>
                <w:szCs w:val="22"/>
                <w:lang w:val="en-US" w:eastAsia="zh-CN" w:bidi="ar-SA"/>
              </w:rPr>
            </w:pPr>
            <w:r>
              <w:rPr>
                <w:rFonts w:hint="eastAsia" w:ascii="新宋体" w:hAnsi="新宋体" w:eastAsia="新宋体" w:cs="新宋体"/>
                <w:b w:val="0"/>
                <w:bCs/>
                <w:color w:val="auto"/>
                <w:kern w:val="0"/>
                <w:sz w:val="22"/>
                <w:szCs w:val="22"/>
              </w:rPr>
              <w:t>后支瓯江口</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kern w:val="2"/>
                <w:sz w:val="22"/>
                <w:szCs w:val="22"/>
                <w:lang w:val="en-US" w:eastAsia="zh-CN" w:bidi="ar-SA"/>
              </w:rPr>
            </w:pPr>
            <w:r>
              <w:rPr>
                <w:rFonts w:hint="eastAsia" w:ascii="新宋体" w:hAnsi="新宋体" w:eastAsia="新宋体" w:cs="新宋体"/>
                <w:b w:val="0"/>
                <w:bCs/>
                <w:color w:val="auto"/>
                <w:kern w:val="0"/>
                <w:sz w:val="22"/>
                <w:szCs w:val="22"/>
              </w:rPr>
              <w:t>1.1</w:t>
            </w:r>
          </w:p>
        </w:tc>
      </w:tr>
      <w:tr>
        <w:tblPrEx>
          <w:tblCellMar>
            <w:top w:w="15" w:type="dxa"/>
            <w:left w:w="15" w:type="dxa"/>
            <w:bottom w:w="15" w:type="dxa"/>
            <w:right w:w="15" w:type="dxa"/>
          </w:tblCellMar>
        </w:tblPrEx>
        <w:trPr>
          <w:trHeight w:val="376"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郑大垟河</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郑大垟村</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瓯江汇合口</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0.7</w:t>
            </w:r>
          </w:p>
        </w:tc>
      </w:tr>
      <w:tr>
        <w:tblPrEx>
          <w:tblCellMar>
            <w:top w:w="15" w:type="dxa"/>
            <w:left w:w="15" w:type="dxa"/>
            <w:bottom w:w="15" w:type="dxa"/>
            <w:right w:w="15" w:type="dxa"/>
          </w:tblCellMar>
        </w:tblPrEx>
        <w:trPr>
          <w:trHeight w:val="376"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庄岩溪</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庄岩村后山</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瓯江汇合口</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0.95</w:t>
            </w:r>
          </w:p>
        </w:tc>
      </w:tr>
      <w:tr>
        <w:tblPrEx>
          <w:tblCellMar>
            <w:top w:w="15" w:type="dxa"/>
            <w:left w:w="15" w:type="dxa"/>
            <w:bottom w:w="15" w:type="dxa"/>
            <w:right w:w="15" w:type="dxa"/>
          </w:tblCellMar>
        </w:tblPrEx>
        <w:trPr>
          <w:trHeight w:val="376"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江南溪</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江南上村后山</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瓯江汇合口</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1.5</w:t>
            </w:r>
          </w:p>
        </w:tc>
      </w:tr>
      <w:tr>
        <w:tblPrEx>
          <w:tblCellMar>
            <w:top w:w="15" w:type="dxa"/>
            <w:left w:w="15" w:type="dxa"/>
            <w:bottom w:w="15" w:type="dxa"/>
            <w:right w:w="15" w:type="dxa"/>
          </w:tblCellMar>
        </w:tblPrEx>
        <w:trPr>
          <w:trHeight w:val="376"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双  溪</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双溪村后山</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瓯江汇合口</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0.292</w:t>
            </w:r>
          </w:p>
        </w:tc>
      </w:tr>
      <w:tr>
        <w:tblPrEx>
          <w:tblCellMar>
            <w:top w:w="15" w:type="dxa"/>
            <w:left w:w="15" w:type="dxa"/>
            <w:bottom w:w="15" w:type="dxa"/>
            <w:right w:w="15" w:type="dxa"/>
          </w:tblCellMar>
        </w:tblPrEx>
        <w:trPr>
          <w:trHeight w:val="376"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渡船头溪</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渡船头村后山</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瓯江汇合口</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sz w:val="22"/>
                <w:szCs w:val="22"/>
              </w:rPr>
            </w:pPr>
            <w:r>
              <w:rPr>
                <w:rFonts w:hint="eastAsia" w:ascii="新宋体" w:hAnsi="新宋体" w:eastAsia="新宋体" w:cs="新宋体"/>
                <w:b w:val="0"/>
                <w:bCs/>
                <w:color w:val="auto"/>
                <w:kern w:val="0"/>
                <w:sz w:val="22"/>
                <w:szCs w:val="22"/>
              </w:rPr>
              <w:t>1.3</w:t>
            </w:r>
          </w:p>
        </w:tc>
      </w:tr>
      <w:tr>
        <w:tblPrEx>
          <w:tblCellMar>
            <w:top w:w="15" w:type="dxa"/>
            <w:left w:w="15" w:type="dxa"/>
            <w:bottom w:w="15" w:type="dxa"/>
            <w:right w:w="15" w:type="dxa"/>
          </w:tblCellMar>
        </w:tblPrEx>
        <w:trPr>
          <w:trHeight w:val="376"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kern w:val="0"/>
                <w:sz w:val="22"/>
                <w:szCs w:val="22"/>
              </w:rPr>
            </w:pPr>
            <w:r>
              <w:rPr>
                <w:rFonts w:hint="eastAsia" w:ascii="新宋体" w:hAnsi="新宋体" w:eastAsia="新宋体" w:cs="新宋体"/>
                <w:b w:val="0"/>
                <w:bCs/>
                <w:color w:val="auto"/>
                <w:kern w:val="0"/>
                <w:sz w:val="22"/>
                <w:szCs w:val="22"/>
              </w:rPr>
              <w:t>东岙溪</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kern w:val="0"/>
                <w:sz w:val="22"/>
                <w:szCs w:val="22"/>
              </w:rPr>
            </w:pPr>
            <w:r>
              <w:rPr>
                <w:rFonts w:hint="eastAsia" w:ascii="新宋体" w:hAnsi="新宋体" w:eastAsia="新宋体" w:cs="新宋体"/>
                <w:b w:val="0"/>
                <w:bCs/>
                <w:color w:val="auto"/>
                <w:kern w:val="0"/>
                <w:sz w:val="22"/>
                <w:szCs w:val="22"/>
              </w:rPr>
              <w:t>东岙村后山</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kern w:val="0"/>
                <w:sz w:val="22"/>
                <w:szCs w:val="22"/>
              </w:rPr>
            </w:pPr>
            <w:r>
              <w:rPr>
                <w:rFonts w:hint="eastAsia" w:ascii="新宋体" w:hAnsi="新宋体" w:eastAsia="新宋体" w:cs="新宋体"/>
                <w:b w:val="0"/>
                <w:bCs/>
                <w:color w:val="auto"/>
                <w:kern w:val="0"/>
                <w:sz w:val="22"/>
                <w:szCs w:val="22"/>
              </w:rPr>
              <w:t>荫溪汇合口</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kern w:val="0"/>
                <w:sz w:val="22"/>
                <w:szCs w:val="22"/>
              </w:rPr>
            </w:pPr>
            <w:r>
              <w:rPr>
                <w:rFonts w:hint="eastAsia" w:ascii="新宋体" w:hAnsi="新宋体" w:eastAsia="新宋体" w:cs="新宋体"/>
                <w:b w:val="0"/>
                <w:bCs/>
                <w:color w:val="auto"/>
                <w:kern w:val="0"/>
                <w:sz w:val="22"/>
                <w:szCs w:val="22"/>
              </w:rPr>
              <w:t>1.6</w:t>
            </w:r>
          </w:p>
        </w:tc>
      </w:tr>
      <w:tr>
        <w:tblPrEx>
          <w:tblCellMar>
            <w:top w:w="15" w:type="dxa"/>
            <w:left w:w="15" w:type="dxa"/>
            <w:bottom w:w="15" w:type="dxa"/>
            <w:right w:w="15" w:type="dxa"/>
          </w:tblCellMar>
        </w:tblPrEx>
        <w:trPr>
          <w:trHeight w:val="376" w:hRule="atLeast"/>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kern w:val="0"/>
                <w:sz w:val="22"/>
                <w:szCs w:val="22"/>
                <w:lang w:eastAsia="zh-CN"/>
              </w:rPr>
            </w:pPr>
            <w:r>
              <w:rPr>
                <w:rFonts w:hint="eastAsia" w:ascii="新宋体" w:hAnsi="新宋体" w:eastAsia="新宋体" w:cs="新宋体"/>
                <w:b w:val="0"/>
                <w:bCs/>
                <w:color w:val="auto"/>
                <w:kern w:val="0"/>
                <w:sz w:val="22"/>
                <w:szCs w:val="22"/>
                <w:lang w:eastAsia="zh-CN"/>
              </w:rPr>
              <w:t>瓯江沿线</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kern w:val="0"/>
                <w:sz w:val="22"/>
                <w:szCs w:val="22"/>
              </w:rPr>
            </w:pP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b w:val="0"/>
                <w:bCs/>
                <w:color w:val="auto"/>
                <w:kern w:val="0"/>
                <w:sz w:val="22"/>
                <w:szCs w:val="22"/>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新宋体" w:hAnsi="新宋体" w:eastAsia="新宋体" w:cs="新宋体"/>
                <w:b w:val="0"/>
                <w:bCs/>
                <w:color w:val="auto"/>
                <w:kern w:val="0"/>
                <w:sz w:val="22"/>
                <w:szCs w:val="22"/>
                <w:lang w:val="en-US" w:eastAsia="zh-CN"/>
              </w:rPr>
            </w:pPr>
            <w:r>
              <w:rPr>
                <w:rFonts w:hint="eastAsia" w:ascii="新宋体" w:hAnsi="新宋体" w:eastAsia="新宋体" w:cs="新宋体"/>
                <w:b w:val="0"/>
                <w:bCs/>
                <w:color w:val="auto"/>
                <w:kern w:val="0"/>
                <w:sz w:val="22"/>
                <w:szCs w:val="22"/>
                <w:lang w:val="en-US" w:eastAsia="zh-CN"/>
              </w:rPr>
              <w:t>22</w:t>
            </w:r>
          </w:p>
        </w:tc>
      </w:tr>
    </w:tbl>
    <w:p>
      <w:pPr>
        <w:pStyle w:val="24"/>
        <w:ind w:left="0" w:leftChars="0" w:firstLine="0" w:firstLineChars="0"/>
        <w:rPr>
          <w:rFonts w:hint="eastAsia" w:ascii="新宋体" w:hAnsi="新宋体" w:eastAsia="新宋体" w:cs="新宋体"/>
          <w:b/>
          <w:color w:val="auto"/>
          <w:sz w:val="22"/>
          <w:szCs w:val="22"/>
          <w:lang w:val="en-US" w:eastAsia="zh-CN"/>
        </w:rPr>
      </w:pPr>
      <w:r>
        <w:rPr>
          <w:rFonts w:hint="eastAsia" w:ascii="新宋体" w:hAnsi="新宋体" w:eastAsia="新宋体" w:cs="新宋体"/>
          <w:b/>
          <w:color w:val="auto"/>
          <w:sz w:val="22"/>
          <w:szCs w:val="22"/>
          <w:lang w:val="en-US" w:eastAsia="zh-CN"/>
        </w:rPr>
        <w:t>2.3公厕保洁统计表</w:t>
      </w:r>
    </w:p>
    <w:tbl>
      <w:tblPr>
        <w:tblStyle w:val="56"/>
        <w:tblW w:w="9589" w:type="dxa"/>
        <w:tblInd w:w="0" w:type="dxa"/>
        <w:tblLayout w:type="fixed"/>
        <w:tblCellMar>
          <w:top w:w="0" w:type="dxa"/>
          <w:left w:w="0" w:type="dxa"/>
          <w:bottom w:w="0" w:type="dxa"/>
          <w:right w:w="0" w:type="dxa"/>
        </w:tblCellMar>
      </w:tblPr>
      <w:tblGrid>
        <w:gridCol w:w="630"/>
        <w:gridCol w:w="1969"/>
        <w:gridCol w:w="1725"/>
        <w:gridCol w:w="1170"/>
        <w:gridCol w:w="2385"/>
        <w:gridCol w:w="1710"/>
      </w:tblGrid>
      <w:tr>
        <w:trPr>
          <w:trHeight w:val="27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center"/>
              <w:rPr>
                <w:rFonts w:hint="eastAsia" w:ascii="新宋体" w:hAnsi="新宋体" w:eastAsia="新宋体" w:cs="新宋体"/>
                <w:b/>
                <w:bCs w:val="0"/>
                <w:color w:val="auto"/>
                <w:kern w:val="0"/>
                <w:sz w:val="22"/>
                <w:szCs w:val="22"/>
              </w:rPr>
            </w:pPr>
            <w:r>
              <w:rPr>
                <w:rFonts w:hint="eastAsia" w:ascii="新宋体" w:hAnsi="新宋体" w:eastAsia="新宋体" w:cs="新宋体"/>
                <w:b/>
                <w:bCs w:val="0"/>
                <w:color w:val="auto"/>
                <w:kern w:val="0"/>
                <w:sz w:val="22"/>
                <w:szCs w:val="22"/>
                <w:lang w:val="en-US" w:eastAsia="zh-CN"/>
              </w:rPr>
              <w:t>序号</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新宋体" w:hAnsi="新宋体" w:eastAsia="新宋体" w:cs="新宋体"/>
                <w:b/>
                <w:bCs w:val="0"/>
                <w:color w:val="auto"/>
                <w:kern w:val="0"/>
                <w:sz w:val="22"/>
                <w:szCs w:val="22"/>
              </w:rPr>
            </w:pPr>
            <w:r>
              <w:rPr>
                <w:rFonts w:hint="eastAsia" w:ascii="新宋体" w:hAnsi="新宋体" w:eastAsia="新宋体" w:cs="新宋体"/>
                <w:b/>
                <w:bCs w:val="0"/>
                <w:color w:val="auto"/>
                <w:kern w:val="0"/>
                <w:sz w:val="22"/>
                <w:szCs w:val="22"/>
                <w:lang w:val="en-US" w:eastAsia="zh-CN"/>
              </w:rPr>
              <w:t>乡镇（街道）</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新宋体" w:hAnsi="新宋体" w:eastAsia="新宋体" w:cs="新宋体"/>
                <w:b/>
                <w:bCs w:val="0"/>
                <w:color w:val="auto"/>
                <w:kern w:val="0"/>
                <w:sz w:val="22"/>
                <w:szCs w:val="22"/>
              </w:rPr>
            </w:pPr>
            <w:r>
              <w:rPr>
                <w:rFonts w:hint="eastAsia" w:ascii="新宋体" w:hAnsi="新宋体" w:eastAsia="新宋体" w:cs="新宋体"/>
                <w:b/>
                <w:bCs w:val="0"/>
                <w:color w:val="auto"/>
                <w:kern w:val="0"/>
                <w:sz w:val="22"/>
                <w:szCs w:val="22"/>
                <w:lang w:val="en-US" w:eastAsia="zh-CN"/>
              </w:rPr>
              <w:t>行政村</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新宋体" w:hAnsi="新宋体" w:eastAsia="新宋体" w:cs="新宋体"/>
                <w:b/>
                <w:bCs w:val="0"/>
                <w:color w:val="auto"/>
                <w:kern w:val="0"/>
                <w:sz w:val="22"/>
                <w:szCs w:val="22"/>
              </w:rPr>
            </w:pPr>
            <w:r>
              <w:rPr>
                <w:rFonts w:hint="eastAsia" w:ascii="新宋体" w:hAnsi="新宋体" w:eastAsia="新宋体" w:cs="新宋体"/>
                <w:b/>
                <w:bCs w:val="0"/>
                <w:color w:val="auto"/>
                <w:kern w:val="0"/>
                <w:sz w:val="22"/>
                <w:szCs w:val="22"/>
                <w:lang w:val="en-US" w:eastAsia="zh-CN"/>
              </w:rPr>
              <w:t>行政人数</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新宋体" w:hAnsi="新宋体" w:eastAsia="新宋体" w:cs="新宋体"/>
                <w:b/>
                <w:bCs w:val="0"/>
                <w:color w:val="auto"/>
                <w:kern w:val="0"/>
                <w:sz w:val="22"/>
                <w:szCs w:val="22"/>
              </w:rPr>
            </w:pPr>
            <w:r>
              <w:rPr>
                <w:rFonts w:hint="eastAsia" w:ascii="新宋体" w:hAnsi="新宋体" w:eastAsia="新宋体" w:cs="新宋体"/>
                <w:b/>
                <w:bCs w:val="0"/>
                <w:color w:val="auto"/>
                <w:kern w:val="0"/>
                <w:sz w:val="22"/>
                <w:szCs w:val="22"/>
                <w:lang w:val="en-US" w:eastAsia="zh-CN"/>
              </w:rPr>
              <w:t>公厕位置</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新宋体" w:hAnsi="新宋体" w:eastAsia="新宋体" w:cs="新宋体"/>
                <w:b/>
                <w:bCs w:val="0"/>
                <w:color w:val="auto"/>
                <w:kern w:val="0"/>
                <w:sz w:val="22"/>
                <w:szCs w:val="22"/>
              </w:rPr>
            </w:pPr>
            <w:r>
              <w:rPr>
                <w:rFonts w:hint="eastAsia" w:ascii="新宋体" w:hAnsi="新宋体" w:eastAsia="新宋体" w:cs="新宋体"/>
                <w:b/>
                <w:bCs w:val="0"/>
                <w:color w:val="auto"/>
                <w:kern w:val="0"/>
                <w:sz w:val="22"/>
                <w:szCs w:val="22"/>
                <w:lang w:val="en-US" w:eastAsia="zh-CN"/>
              </w:rPr>
              <w:t>类别</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沙头村</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451</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沙头村路口</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江南村</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170</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村委会对面</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江南村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501</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江南路口</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江南村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江南中路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江南村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330国道边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二类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6</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江南村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加油站对面山上</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二类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7</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江秀村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274</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330国道旁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8</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江秀村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仙岩路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9</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江秀村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471</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庙边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10</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江秀村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新村火车站边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11</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江秀村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骨灰楼陵园下面</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二类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12</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垟江村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624</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盈仁路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13</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垟江村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前盈路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14</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垟江村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前河路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15</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垟江村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338</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古井巷</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16</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垟江村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后支路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17</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垟江村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老太庙后面</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二类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18</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横山村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594</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后半园</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19</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横山村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上岸路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20</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横山村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临江公园</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21</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金岙村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404</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村委会旁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22</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金岙村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小花朵旁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23</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金岙村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戚伍观旁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24</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金岙村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田边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25</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金岙村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金岙谷路口</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一类（旅游公厕）</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26</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横山村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263</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村委会旁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27</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横山村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西洲桥桥下横山交界处</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二类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28</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西洲村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571</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瓯江五桥旁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29</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西洲村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上村老庙边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30</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横山村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293</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横滨路公厕</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31</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横山村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仁地村1公厕</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32</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横山村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仁地村2公厕</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33</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驿头驿阳村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236</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驿山祖观旁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34</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驿头驿阳村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老人亭对面</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35</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驿头驿阳村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老人活动中心</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36</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驿头驿阳村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198</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驿阳路68弄</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37</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驿头驿阳村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学校旁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38</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驿头驿阳村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三竹垟旁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39</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驿头山根村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468</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滨水公园旁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40</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驿头山根村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老操场旁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41</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驿头山根村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棟上宫旁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42</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驿头山根村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办公楼后面</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43</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驿头山根村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 xml:space="preserve">老村委会下面 </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44</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驿头驿阳村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229</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长廊旁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45</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驿头驿阳村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台河岭旁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46</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双潮村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376</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村委会旁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47</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双潮村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潮埠村公厕</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48</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竹源村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451</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村委会</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49</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竹源村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门前店</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50</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竹源村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学校旁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51</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竹源村</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105</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茅垟村</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52</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双潮村</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142</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下冯村</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53</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西坑村</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122</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黄茅坪村</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54</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潮源村</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166</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利八坑村</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55</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潮源村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214</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东坑村</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56</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潮源村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利八坑村委会旁边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二类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57</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西坑村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276</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烈士陵园</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58</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西坑村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礼堂边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59</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西坑村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纪念馆边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60</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西坑村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门前山</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61</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西坑村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下冯村</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62</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西坑村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红豆杉基地入口处</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一类（旅游公厕）</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63</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下冯山村</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368</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下冯山</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64</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双溪村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512</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双溪村1</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65</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双溪村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双溪村2</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66</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双溪村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双溪村3</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67</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双溪村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双溪村4</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68</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双溪村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双溪村5</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69</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双溪村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双溪村6</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70</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小旦村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668</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老人亭</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71</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小旦村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坳坑路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72</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小旦村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强胜路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73</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夏嘉村</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244</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夏家山桥边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74</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夏嘉村</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172</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**室边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75</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沈渡村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506</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渡船头村1</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76</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沈渡村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渡船头村2</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77</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沈渡村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渡船头村3</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78</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沈渡村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渡船头村4</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79</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沈渡村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渡船头村5</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80</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沈渡村</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297</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自然门岙村</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81</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沈渡村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沈岙村</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82</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沈渡村</w:t>
            </w: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新宋体" w:hAnsi="新宋体" w:eastAsia="新宋体" w:cs="新宋体"/>
                <w:i w:val="0"/>
                <w:color w:val="auto"/>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庙边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83</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双潮村</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376</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繁荣路和富强路交叉口</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三类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84</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山根村</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银盘山公园里面</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二类</w:t>
            </w: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85</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山福镇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双潮村</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w:t>
            </w: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党建公园里面</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u w:val="none"/>
              </w:rPr>
            </w:pPr>
            <w:r>
              <w:rPr>
                <w:rFonts w:hint="eastAsia" w:ascii="新宋体" w:hAnsi="新宋体" w:eastAsia="新宋体" w:cs="新宋体"/>
                <w:i w:val="0"/>
                <w:color w:val="auto"/>
                <w:kern w:val="0"/>
                <w:sz w:val="22"/>
                <w:szCs w:val="22"/>
                <w:u w:val="none"/>
                <w:lang w:val="en-US" w:eastAsia="zh-CN" w:bidi="ar"/>
              </w:rPr>
              <w:t>一类（旅游公厕）</w:t>
            </w:r>
          </w:p>
        </w:tc>
      </w:tr>
    </w:tbl>
    <w:p>
      <w:pPr>
        <w:spacing w:line="400" w:lineRule="exact"/>
        <w:jc w:val="both"/>
        <w:rPr>
          <w:rFonts w:hint="eastAsia" w:ascii="新宋体" w:hAnsi="新宋体" w:eastAsia="新宋体" w:cs="新宋体"/>
          <w:b/>
          <w:color w:val="auto"/>
          <w:sz w:val="22"/>
          <w:szCs w:val="22"/>
        </w:rPr>
      </w:pPr>
      <w:r>
        <w:rPr>
          <w:rFonts w:hint="eastAsia" w:ascii="新宋体" w:hAnsi="新宋体" w:eastAsia="新宋体"/>
          <w:b/>
          <w:color w:val="auto"/>
          <w:sz w:val="22"/>
          <w:szCs w:val="22"/>
          <w:u w:val="single"/>
        </w:rPr>
        <w:t>注：</w:t>
      </w:r>
      <w:r>
        <w:rPr>
          <w:rFonts w:hint="eastAsia" w:ascii="新宋体" w:hAnsi="新宋体" w:eastAsia="新宋体"/>
          <w:b/>
          <w:color w:val="auto"/>
          <w:sz w:val="22"/>
          <w:szCs w:val="22"/>
          <w:u w:val="single"/>
          <w:lang w:val="en-US" w:eastAsia="zh-CN"/>
        </w:rPr>
        <w:t>a、</w:t>
      </w:r>
      <w:r>
        <w:rPr>
          <w:rFonts w:hint="eastAsia" w:ascii="新宋体" w:hAnsi="新宋体" w:eastAsia="新宋体" w:cs="新宋体"/>
          <w:b/>
          <w:color w:val="auto"/>
          <w:sz w:val="22"/>
          <w:szCs w:val="22"/>
          <w:u w:val="single"/>
        </w:rPr>
        <w:t>上述道路市政设施情况统计及道路基本情况描述均仅供参考，招标采购单位不对此进行负责，投标人必须进行实地考察统计，同时自行承担后果及风险</w:t>
      </w:r>
      <w:r>
        <w:rPr>
          <w:rFonts w:hint="eastAsia" w:ascii="新宋体" w:hAnsi="新宋体" w:eastAsia="新宋体" w:cs="新宋体"/>
          <w:b/>
          <w:color w:val="auto"/>
          <w:sz w:val="22"/>
          <w:szCs w:val="22"/>
          <w:u w:val="single"/>
          <w:lang w:eastAsia="zh-CN"/>
        </w:rPr>
        <w:t>，</w:t>
      </w:r>
      <w:r>
        <w:rPr>
          <w:rFonts w:hint="eastAsia" w:ascii="新宋体" w:hAnsi="新宋体" w:eastAsia="新宋体" w:cs="新宋体"/>
          <w:b/>
          <w:color w:val="auto"/>
          <w:sz w:val="22"/>
          <w:szCs w:val="22"/>
          <w:u w:val="single"/>
        </w:rPr>
        <w:t>另保洁范围包括辖区所有的村间道路</w:t>
      </w:r>
      <w:r>
        <w:rPr>
          <w:rFonts w:hint="eastAsia" w:ascii="新宋体" w:hAnsi="新宋体" w:eastAsia="新宋体" w:cs="新宋体"/>
          <w:b/>
          <w:color w:val="auto"/>
          <w:sz w:val="22"/>
          <w:szCs w:val="22"/>
          <w:u w:val="single"/>
          <w:lang w:eastAsia="zh-CN"/>
        </w:rPr>
        <w:t>（不含背街小巷）</w:t>
      </w:r>
      <w:r>
        <w:rPr>
          <w:rFonts w:hint="eastAsia" w:ascii="新宋体" w:hAnsi="新宋体" w:eastAsia="新宋体" w:cs="新宋体"/>
          <w:b/>
          <w:color w:val="auto"/>
          <w:sz w:val="22"/>
          <w:szCs w:val="22"/>
          <w:u w:val="single"/>
        </w:rPr>
        <w:t>，请投标人综合考虑。</w:t>
      </w:r>
    </w:p>
    <w:p>
      <w:pPr>
        <w:spacing w:line="400" w:lineRule="exact"/>
        <w:jc w:val="both"/>
        <w:rPr>
          <w:rFonts w:hint="default" w:ascii="新宋体" w:hAnsi="新宋体" w:eastAsia="新宋体" w:cs="新宋体"/>
          <w:b/>
          <w:color w:val="auto"/>
          <w:sz w:val="22"/>
          <w:szCs w:val="22"/>
          <w:lang w:val="en-US" w:eastAsia="zh-CN"/>
        </w:rPr>
      </w:pPr>
      <w:r>
        <w:rPr>
          <w:rFonts w:hint="eastAsia" w:ascii="新宋体" w:hAnsi="新宋体" w:eastAsia="新宋体"/>
          <w:b/>
          <w:color w:val="auto"/>
          <w:sz w:val="22"/>
          <w:szCs w:val="22"/>
          <w:u w:val="single"/>
          <w:lang w:val="en-US" w:eastAsia="zh-CN"/>
        </w:rPr>
        <w:t>b、</w:t>
      </w:r>
      <w:r>
        <w:rPr>
          <w:rFonts w:hint="eastAsia" w:ascii="新宋体" w:hAnsi="新宋体" w:eastAsia="新宋体"/>
          <w:b/>
          <w:color w:val="auto"/>
          <w:sz w:val="22"/>
          <w:szCs w:val="22"/>
          <w:u w:val="single"/>
        </w:rPr>
        <w:t>上述公厕投标人须自行前往进行实地勘察，同时自行承担报价的后果及风险。其中几座公厕在合同期内可能由于政府规划被拆迁</w:t>
      </w:r>
      <w:r>
        <w:rPr>
          <w:rFonts w:hint="eastAsia" w:ascii="新宋体" w:hAnsi="新宋体" w:eastAsia="新宋体"/>
          <w:b/>
          <w:color w:val="auto"/>
          <w:sz w:val="22"/>
          <w:szCs w:val="22"/>
          <w:u w:val="single"/>
          <w:lang w:eastAsia="zh-CN"/>
        </w:rPr>
        <w:t>或者有新的厕所改造提升增加的</w:t>
      </w:r>
      <w:r>
        <w:rPr>
          <w:rFonts w:hint="eastAsia" w:ascii="新宋体" w:hAnsi="新宋体" w:eastAsia="新宋体"/>
          <w:b/>
          <w:color w:val="auto"/>
          <w:sz w:val="22"/>
          <w:szCs w:val="22"/>
          <w:u w:val="single"/>
        </w:rPr>
        <w:t>，若发生</w:t>
      </w:r>
      <w:r>
        <w:rPr>
          <w:rFonts w:hint="eastAsia" w:ascii="新宋体" w:hAnsi="新宋体" w:eastAsia="新宋体"/>
          <w:b/>
          <w:color w:val="auto"/>
          <w:sz w:val="22"/>
          <w:szCs w:val="22"/>
          <w:u w:val="single"/>
          <w:lang w:eastAsia="zh-CN"/>
        </w:rPr>
        <w:t>减少或增加的</w:t>
      </w:r>
      <w:r>
        <w:rPr>
          <w:rFonts w:hint="eastAsia" w:ascii="新宋体" w:hAnsi="新宋体" w:eastAsia="新宋体"/>
          <w:b/>
          <w:color w:val="auto"/>
          <w:sz w:val="22"/>
          <w:szCs w:val="22"/>
          <w:u w:val="single"/>
        </w:rPr>
        <w:t>，则中标单位应根据实际工作情况对公厕</w:t>
      </w:r>
      <w:r>
        <w:rPr>
          <w:rFonts w:hint="eastAsia" w:ascii="新宋体" w:hAnsi="新宋体" w:eastAsia="新宋体"/>
          <w:b/>
          <w:color w:val="auto"/>
          <w:sz w:val="22"/>
          <w:szCs w:val="22"/>
          <w:u w:val="single"/>
          <w:lang w:eastAsia="zh-CN"/>
        </w:rPr>
        <w:t>保洁费用</w:t>
      </w:r>
      <w:r>
        <w:rPr>
          <w:rFonts w:hint="eastAsia" w:ascii="新宋体" w:hAnsi="新宋体" w:eastAsia="新宋体"/>
          <w:b/>
          <w:color w:val="auto"/>
          <w:sz w:val="22"/>
          <w:szCs w:val="22"/>
          <w:u w:val="single"/>
        </w:rPr>
        <w:t>进行核减</w:t>
      </w:r>
      <w:r>
        <w:rPr>
          <w:rFonts w:hint="eastAsia" w:ascii="新宋体" w:hAnsi="新宋体" w:eastAsia="新宋体"/>
          <w:b/>
          <w:color w:val="auto"/>
          <w:sz w:val="22"/>
          <w:szCs w:val="22"/>
          <w:u w:val="single"/>
          <w:lang w:eastAsia="zh-CN"/>
        </w:rPr>
        <w:t>或核增</w:t>
      </w:r>
      <w:r>
        <w:rPr>
          <w:rFonts w:hint="eastAsia" w:ascii="新宋体" w:hAnsi="新宋体" w:eastAsia="新宋体"/>
          <w:b/>
          <w:color w:val="auto"/>
          <w:sz w:val="22"/>
          <w:szCs w:val="22"/>
          <w:u w:val="single"/>
        </w:rPr>
        <w:t>。（上述情况的核减</w:t>
      </w:r>
      <w:r>
        <w:rPr>
          <w:rFonts w:hint="eastAsia" w:ascii="新宋体" w:hAnsi="新宋体" w:eastAsia="新宋体"/>
          <w:b/>
          <w:color w:val="auto"/>
          <w:sz w:val="22"/>
          <w:szCs w:val="22"/>
          <w:u w:val="single"/>
          <w:lang w:eastAsia="zh-CN"/>
        </w:rPr>
        <w:t>核增单价为</w:t>
      </w:r>
      <w:r>
        <w:rPr>
          <w:rFonts w:hint="eastAsia" w:ascii="新宋体" w:hAnsi="新宋体" w:eastAsia="新宋体"/>
          <w:b/>
          <w:color w:val="auto"/>
          <w:sz w:val="22"/>
          <w:szCs w:val="22"/>
          <w:u w:val="single"/>
        </w:rPr>
        <w:t>：</w:t>
      </w:r>
      <w:r>
        <w:rPr>
          <w:rFonts w:hint="eastAsia" w:ascii="新宋体" w:hAnsi="新宋体" w:eastAsia="新宋体"/>
          <w:b/>
          <w:color w:val="auto"/>
          <w:sz w:val="22"/>
          <w:szCs w:val="22"/>
          <w:u w:val="single"/>
          <w:lang w:eastAsia="zh-CN"/>
        </w:rPr>
        <w:t>公厕保洁单价（年</w:t>
      </w:r>
      <w:r>
        <w:rPr>
          <w:rFonts w:hint="eastAsia" w:ascii="新宋体" w:hAnsi="新宋体" w:eastAsia="新宋体"/>
          <w:b/>
          <w:color w:val="auto"/>
          <w:sz w:val="22"/>
          <w:szCs w:val="22"/>
          <w:u w:val="single"/>
          <w:lang w:val="en-US" w:eastAsia="zh-CN"/>
        </w:rPr>
        <w:t>/座</w:t>
      </w:r>
      <w:r>
        <w:rPr>
          <w:rFonts w:hint="eastAsia" w:ascii="新宋体" w:hAnsi="新宋体" w:eastAsia="新宋体"/>
          <w:b/>
          <w:color w:val="auto"/>
          <w:sz w:val="22"/>
          <w:szCs w:val="22"/>
          <w:u w:val="single"/>
          <w:lang w:eastAsia="zh-CN"/>
        </w:rPr>
        <w:t>）</w:t>
      </w:r>
      <w:r>
        <w:rPr>
          <w:rFonts w:hint="eastAsia" w:ascii="新宋体" w:hAnsi="新宋体" w:eastAsia="新宋体"/>
          <w:b/>
          <w:color w:val="auto"/>
          <w:sz w:val="22"/>
          <w:szCs w:val="22"/>
          <w:u w:val="single"/>
        </w:rPr>
        <w:t>=（</w:t>
      </w:r>
      <w:r>
        <w:rPr>
          <w:rFonts w:hint="eastAsia" w:ascii="新宋体" w:hAnsi="新宋体" w:eastAsia="新宋体"/>
          <w:b/>
          <w:color w:val="auto"/>
          <w:sz w:val="22"/>
          <w:szCs w:val="22"/>
          <w:u w:val="single"/>
          <w:lang w:eastAsia="zh-CN"/>
        </w:rPr>
        <w:t>公厕保洁部分</w:t>
      </w:r>
      <w:r>
        <w:rPr>
          <w:rFonts w:hint="eastAsia" w:ascii="新宋体" w:hAnsi="新宋体" w:eastAsia="新宋体"/>
          <w:b/>
          <w:color w:val="auto"/>
          <w:sz w:val="22"/>
          <w:szCs w:val="22"/>
          <w:u w:val="single"/>
        </w:rPr>
        <w:t>中标价/</w:t>
      </w:r>
      <w:r>
        <w:rPr>
          <w:rFonts w:hint="eastAsia" w:ascii="新宋体" w:hAnsi="新宋体" w:eastAsia="新宋体"/>
          <w:b/>
          <w:color w:val="auto"/>
          <w:sz w:val="22"/>
          <w:szCs w:val="22"/>
          <w:u w:val="single"/>
          <w:lang w:val="en-US" w:eastAsia="zh-CN"/>
        </w:rPr>
        <w:t>85</w:t>
      </w:r>
      <w:r>
        <w:rPr>
          <w:rFonts w:hint="eastAsia" w:ascii="新宋体" w:hAnsi="新宋体" w:eastAsia="新宋体"/>
          <w:b/>
          <w:color w:val="auto"/>
          <w:sz w:val="22"/>
          <w:szCs w:val="22"/>
          <w:u w:val="single"/>
        </w:rPr>
        <w:t>）。</w:t>
      </w:r>
    </w:p>
    <w:p>
      <w:pPr>
        <w:spacing w:line="360" w:lineRule="auto"/>
        <w:ind w:left="550" w:hanging="550" w:hangingChars="250"/>
        <w:rPr>
          <w:rFonts w:hint="eastAsia" w:ascii="新宋体" w:hAnsi="新宋体" w:eastAsia="新宋体" w:cs="新宋体"/>
          <w:color w:val="auto"/>
          <w:sz w:val="22"/>
          <w:szCs w:val="22"/>
        </w:rPr>
      </w:pPr>
    </w:p>
    <w:p>
      <w:pPr>
        <w:spacing w:line="360" w:lineRule="auto"/>
        <w:ind w:left="550" w:hanging="550" w:hangingChars="25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3．道路</w:t>
      </w:r>
      <w:r>
        <w:rPr>
          <w:rFonts w:hint="eastAsia" w:ascii="新宋体" w:hAnsi="新宋体" w:eastAsia="新宋体" w:cs="新宋体"/>
          <w:color w:val="auto"/>
          <w:sz w:val="22"/>
          <w:szCs w:val="22"/>
          <w:lang w:eastAsia="zh-CN"/>
        </w:rPr>
        <w:t>、河道</w:t>
      </w:r>
      <w:r>
        <w:rPr>
          <w:rFonts w:hint="eastAsia" w:ascii="新宋体" w:hAnsi="新宋体" w:eastAsia="新宋体" w:cs="新宋体"/>
          <w:color w:val="auto"/>
          <w:sz w:val="22"/>
          <w:szCs w:val="22"/>
        </w:rPr>
        <w:t>清扫保洁服务内容:</w:t>
      </w:r>
    </w:p>
    <w:p>
      <w:pPr>
        <w:spacing w:line="360" w:lineRule="auto"/>
        <w:rPr>
          <w:rFonts w:hint="eastAsia" w:ascii="宋体" w:hAnsi="宋体" w:cs="黑体"/>
          <w:color w:val="auto"/>
          <w:sz w:val="22"/>
          <w:szCs w:val="22"/>
        </w:rPr>
      </w:pPr>
      <w:r>
        <w:rPr>
          <w:rFonts w:hint="eastAsia" w:ascii="宋体" w:hAnsi="宋体" w:cs="黑体"/>
          <w:color w:val="auto"/>
          <w:sz w:val="22"/>
          <w:szCs w:val="22"/>
          <w:lang w:val="en-US" w:eastAsia="zh-CN"/>
        </w:rPr>
        <w:t>1</w:t>
      </w:r>
      <w:r>
        <w:rPr>
          <w:rFonts w:hint="eastAsia" w:ascii="宋体" w:hAnsi="宋体" w:cs="黑体"/>
          <w:color w:val="auto"/>
          <w:sz w:val="22"/>
          <w:szCs w:val="22"/>
        </w:rPr>
        <w:t>）村道路清扫、清洗、保洁（包括环卫设施清洗保洁）；</w:t>
      </w:r>
      <w:r>
        <w:rPr>
          <w:rFonts w:hint="eastAsia" w:ascii="宋体" w:hAnsi="宋体" w:cs="黑体"/>
          <w:color w:val="auto"/>
          <w:sz w:val="22"/>
          <w:szCs w:val="22"/>
          <w:lang w:val="en-US" w:eastAsia="zh-CN"/>
        </w:rPr>
        <w:t>2</w:t>
      </w:r>
      <w:r>
        <w:rPr>
          <w:rFonts w:hint="eastAsia" w:ascii="宋体" w:hAnsi="宋体" w:cs="黑体"/>
          <w:color w:val="auto"/>
          <w:sz w:val="22"/>
          <w:szCs w:val="22"/>
        </w:rPr>
        <w:t>）村垃圾清运、转运；</w:t>
      </w:r>
      <w:r>
        <w:rPr>
          <w:rFonts w:hint="eastAsia" w:ascii="宋体" w:hAnsi="宋体" w:cs="黑体"/>
          <w:color w:val="auto"/>
          <w:sz w:val="22"/>
          <w:szCs w:val="22"/>
          <w:lang w:val="en-US" w:eastAsia="zh-CN"/>
        </w:rPr>
        <w:t>3</w:t>
      </w:r>
      <w:r>
        <w:rPr>
          <w:rFonts w:hint="eastAsia" w:ascii="宋体" w:hAnsi="宋体" w:cs="黑体"/>
          <w:color w:val="auto"/>
          <w:sz w:val="22"/>
          <w:szCs w:val="22"/>
        </w:rPr>
        <w:t>）村河道岸边、水渠水闸水沟及山边小溪等保洁；</w:t>
      </w:r>
      <w:r>
        <w:rPr>
          <w:rFonts w:hint="eastAsia" w:ascii="宋体" w:hAnsi="宋体" w:cs="黑体"/>
          <w:color w:val="auto"/>
          <w:sz w:val="22"/>
          <w:szCs w:val="22"/>
          <w:lang w:val="en-US" w:eastAsia="zh-CN"/>
        </w:rPr>
        <w:t>4</w:t>
      </w:r>
      <w:r>
        <w:rPr>
          <w:rFonts w:hint="eastAsia" w:ascii="宋体" w:hAnsi="宋体" w:cs="黑体"/>
          <w:color w:val="auto"/>
          <w:sz w:val="22"/>
          <w:szCs w:val="22"/>
        </w:rPr>
        <w:t>）村田间疤点保洁；</w:t>
      </w:r>
      <w:r>
        <w:rPr>
          <w:rFonts w:hint="eastAsia" w:ascii="宋体" w:hAnsi="宋体" w:cs="黑体"/>
          <w:color w:val="auto"/>
          <w:sz w:val="22"/>
          <w:szCs w:val="22"/>
          <w:lang w:val="en-US" w:eastAsia="zh-CN"/>
        </w:rPr>
        <w:t>5</w:t>
      </w:r>
      <w:r>
        <w:rPr>
          <w:rFonts w:hint="eastAsia" w:ascii="宋体" w:hAnsi="宋体" w:cs="黑体"/>
          <w:color w:val="auto"/>
          <w:sz w:val="22"/>
          <w:szCs w:val="22"/>
        </w:rPr>
        <w:t>）村公园绿地、花坛、绿化带等保洁；</w:t>
      </w:r>
      <w:r>
        <w:rPr>
          <w:rFonts w:hint="eastAsia" w:ascii="宋体" w:hAnsi="宋体" w:cs="黑体"/>
          <w:color w:val="auto"/>
          <w:sz w:val="22"/>
          <w:szCs w:val="22"/>
          <w:lang w:val="en-US" w:eastAsia="zh-CN"/>
        </w:rPr>
        <w:t>6</w:t>
      </w:r>
      <w:r>
        <w:rPr>
          <w:rFonts w:hint="eastAsia" w:ascii="宋体" w:hAnsi="宋体" w:cs="黑体"/>
          <w:color w:val="auto"/>
          <w:sz w:val="22"/>
          <w:szCs w:val="22"/>
        </w:rPr>
        <w:t>）村房前屋后、背街小巷、墙面等户外小广告及乱涂写清洁；</w:t>
      </w:r>
      <w:r>
        <w:rPr>
          <w:rFonts w:hint="eastAsia" w:ascii="宋体" w:hAnsi="宋体" w:cs="黑体"/>
          <w:color w:val="auto"/>
          <w:sz w:val="22"/>
          <w:szCs w:val="22"/>
          <w:lang w:val="en-US" w:eastAsia="zh-CN"/>
        </w:rPr>
        <w:t>7</w:t>
      </w:r>
      <w:r>
        <w:rPr>
          <w:rFonts w:hint="eastAsia" w:ascii="宋体" w:hAnsi="宋体" w:cs="黑体"/>
          <w:color w:val="auto"/>
          <w:sz w:val="22"/>
          <w:szCs w:val="22"/>
        </w:rPr>
        <w:t>）村内工业垃圾、临时建筑垃圾、装潢垃圾、渣土、四边区域（公路边、山边、高速边、铁路边）内垃圾、大件垃圾、废弃家具等清运，并</w:t>
      </w:r>
      <w:r>
        <w:rPr>
          <w:rFonts w:hint="eastAsia" w:ascii="宋体" w:hAnsi="宋体" w:cs="黑体"/>
          <w:color w:val="auto"/>
          <w:sz w:val="22"/>
          <w:szCs w:val="22"/>
          <w:lang w:eastAsia="zh-CN"/>
        </w:rPr>
        <w:t>按规定在</w:t>
      </w:r>
      <w:r>
        <w:rPr>
          <w:rFonts w:hint="eastAsia" w:ascii="宋体" w:hAnsi="宋体" w:cs="黑体"/>
          <w:color w:val="auto"/>
          <w:sz w:val="22"/>
          <w:szCs w:val="22"/>
        </w:rPr>
        <w:t>垃圾</w:t>
      </w:r>
      <w:r>
        <w:rPr>
          <w:rFonts w:hint="eastAsia" w:ascii="宋体" w:hAnsi="宋体" w:cs="黑体"/>
          <w:color w:val="auto"/>
          <w:sz w:val="22"/>
          <w:szCs w:val="22"/>
          <w:lang w:eastAsia="zh-CN"/>
        </w:rPr>
        <w:t>中转站</w:t>
      </w:r>
      <w:r>
        <w:rPr>
          <w:rFonts w:hint="eastAsia" w:ascii="宋体" w:hAnsi="宋体" w:cs="黑体"/>
          <w:color w:val="auto"/>
          <w:sz w:val="22"/>
          <w:szCs w:val="22"/>
        </w:rPr>
        <w:t>消纳；</w:t>
      </w:r>
      <w:r>
        <w:rPr>
          <w:rFonts w:hint="eastAsia" w:ascii="宋体" w:hAnsi="宋体" w:cs="黑体"/>
          <w:color w:val="auto"/>
          <w:sz w:val="22"/>
          <w:szCs w:val="22"/>
          <w:lang w:val="en-US" w:eastAsia="zh-CN"/>
        </w:rPr>
        <w:t>8</w:t>
      </w:r>
      <w:r>
        <w:rPr>
          <w:rFonts w:hint="eastAsia" w:ascii="宋体" w:hAnsi="宋体" w:cs="黑体"/>
          <w:color w:val="auto"/>
          <w:sz w:val="22"/>
          <w:szCs w:val="22"/>
        </w:rPr>
        <w:t>）村环卫的数字城管等服务内容；</w:t>
      </w:r>
      <w:r>
        <w:rPr>
          <w:rFonts w:hint="eastAsia" w:ascii="宋体" w:hAnsi="宋体" w:cs="黑体"/>
          <w:color w:val="auto"/>
          <w:sz w:val="22"/>
          <w:szCs w:val="22"/>
          <w:lang w:val="en-US" w:eastAsia="zh-CN"/>
        </w:rPr>
        <w:t>9</w:t>
      </w:r>
      <w:r>
        <w:rPr>
          <w:rFonts w:hint="eastAsia" w:ascii="宋体" w:hAnsi="宋体" w:cs="黑体"/>
          <w:color w:val="auto"/>
          <w:sz w:val="22"/>
          <w:szCs w:val="22"/>
        </w:rPr>
        <w:t xml:space="preserve">) </w:t>
      </w:r>
      <w:r>
        <w:rPr>
          <w:rFonts w:hint="eastAsia" w:ascii="宋体" w:hAnsi="宋体" w:cs="黑体"/>
          <w:color w:val="auto"/>
          <w:sz w:val="22"/>
          <w:szCs w:val="22"/>
          <w:lang w:eastAsia="zh-CN"/>
        </w:rPr>
        <w:t>规定区域</w:t>
      </w:r>
      <w:r>
        <w:rPr>
          <w:rFonts w:hint="eastAsia" w:ascii="宋体" w:hAnsi="宋体" w:cs="黑体"/>
          <w:color w:val="auto"/>
          <w:sz w:val="22"/>
          <w:szCs w:val="22"/>
        </w:rPr>
        <w:t>生活垃圾分类收集（清运）；1</w:t>
      </w:r>
      <w:r>
        <w:rPr>
          <w:rFonts w:hint="eastAsia" w:ascii="宋体" w:hAnsi="宋体" w:cs="黑体"/>
          <w:color w:val="auto"/>
          <w:sz w:val="22"/>
          <w:szCs w:val="22"/>
          <w:lang w:val="en-US" w:eastAsia="zh-CN"/>
        </w:rPr>
        <w:t>0</w:t>
      </w:r>
      <w:r>
        <w:rPr>
          <w:rFonts w:hint="eastAsia" w:ascii="宋体" w:hAnsi="宋体" w:cs="黑体"/>
          <w:color w:val="auto"/>
          <w:sz w:val="22"/>
          <w:szCs w:val="22"/>
        </w:rPr>
        <w:t>）河道</w:t>
      </w:r>
      <w:r>
        <w:rPr>
          <w:rFonts w:hint="eastAsia" w:ascii="宋体" w:hAnsi="宋体" w:cs="黑体"/>
          <w:color w:val="auto"/>
          <w:sz w:val="22"/>
          <w:szCs w:val="22"/>
          <w:lang w:eastAsia="zh-CN"/>
        </w:rPr>
        <w:t>（溪流）</w:t>
      </w:r>
      <w:r>
        <w:rPr>
          <w:rFonts w:hint="eastAsia" w:ascii="宋体" w:hAnsi="宋体" w:cs="黑体"/>
          <w:color w:val="auto"/>
          <w:sz w:val="22"/>
          <w:szCs w:val="22"/>
        </w:rPr>
        <w:t>保洁（具体保洁范围</w:t>
      </w:r>
      <w:r>
        <w:rPr>
          <w:rFonts w:hint="eastAsia" w:ascii="宋体" w:hAnsi="宋体" w:cs="黑体"/>
          <w:color w:val="auto"/>
          <w:sz w:val="22"/>
          <w:szCs w:val="22"/>
          <w:lang w:eastAsia="zh-CN"/>
        </w:rPr>
        <w:t>以实际情况为准</w:t>
      </w:r>
      <w:r>
        <w:rPr>
          <w:rFonts w:hint="eastAsia" w:ascii="宋体" w:hAnsi="宋体" w:cs="黑体"/>
          <w:color w:val="auto"/>
          <w:sz w:val="22"/>
          <w:szCs w:val="22"/>
        </w:rPr>
        <w:t>）；</w:t>
      </w:r>
      <w:r>
        <w:rPr>
          <w:rFonts w:hint="eastAsia" w:ascii="宋体" w:hAnsi="宋体" w:cs="黑体"/>
          <w:color w:val="auto"/>
          <w:sz w:val="22"/>
          <w:szCs w:val="22"/>
          <w:lang w:val="en-US" w:eastAsia="zh-CN"/>
        </w:rPr>
        <w:t>11</w:t>
      </w:r>
      <w:r>
        <w:rPr>
          <w:rFonts w:hint="eastAsia" w:ascii="宋体" w:hAnsi="宋体" w:cs="黑体"/>
          <w:color w:val="auto"/>
          <w:sz w:val="22"/>
          <w:szCs w:val="22"/>
        </w:rPr>
        <w:t>）村（居）卫生保洁相关服务内容；1</w:t>
      </w:r>
      <w:r>
        <w:rPr>
          <w:rFonts w:hint="eastAsia" w:ascii="宋体" w:hAnsi="宋体" w:cs="黑体"/>
          <w:color w:val="auto"/>
          <w:sz w:val="22"/>
          <w:szCs w:val="22"/>
          <w:lang w:val="en-US" w:eastAsia="zh-CN"/>
        </w:rPr>
        <w:t>2</w:t>
      </w:r>
      <w:r>
        <w:rPr>
          <w:rFonts w:hint="eastAsia" w:ascii="宋体" w:hAnsi="宋体" w:cs="黑体"/>
          <w:color w:val="auto"/>
          <w:sz w:val="22"/>
          <w:szCs w:val="22"/>
        </w:rPr>
        <w:t>）</w:t>
      </w:r>
      <w:r>
        <w:rPr>
          <w:rFonts w:hint="eastAsia" w:ascii="宋体" w:hAnsi="宋体" w:cs="黑体"/>
          <w:color w:val="auto"/>
          <w:sz w:val="22"/>
          <w:szCs w:val="22"/>
          <w:lang w:eastAsia="zh-CN"/>
        </w:rPr>
        <w:t>山福镇</w:t>
      </w:r>
      <w:r>
        <w:rPr>
          <w:rFonts w:hint="eastAsia" w:ascii="宋体" w:hAnsi="宋体" w:cs="黑体"/>
          <w:color w:val="auto"/>
          <w:sz w:val="22"/>
          <w:szCs w:val="22"/>
        </w:rPr>
        <w:t>范围内清理河面漂浮物（包括浮萍杂草）、树枝、障碍物及河滩</w:t>
      </w:r>
      <w:r>
        <w:rPr>
          <w:rFonts w:hint="eastAsia" w:ascii="宋体" w:hAnsi="宋体" w:cs="黑体"/>
          <w:color w:val="auto"/>
          <w:sz w:val="22"/>
          <w:szCs w:val="22"/>
          <w:lang w:eastAsia="zh-CN"/>
        </w:rPr>
        <w:t>溪流</w:t>
      </w:r>
      <w:r>
        <w:rPr>
          <w:rFonts w:hint="eastAsia" w:ascii="宋体" w:hAnsi="宋体" w:cs="黑体"/>
          <w:color w:val="auto"/>
          <w:sz w:val="22"/>
          <w:szCs w:val="22"/>
        </w:rPr>
        <w:t>垃圾等相关的保洁服务工作；</w:t>
      </w:r>
      <w:r>
        <w:rPr>
          <w:rFonts w:hint="eastAsia" w:ascii="宋体" w:hAnsi="宋体" w:cs="黑体"/>
          <w:color w:val="auto"/>
          <w:sz w:val="22"/>
          <w:szCs w:val="22"/>
          <w:lang w:val="en-US" w:eastAsia="zh-CN"/>
        </w:rPr>
        <w:t>13</w:t>
      </w:r>
      <w:r>
        <w:rPr>
          <w:rFonts w:hint="eastAsia" w:ascii="宋体" w:hAnsi="宋体" w:cs="黑体"/>
          <w:color w:val="auto"/>
          <w:sz w:val="22"/>
          <w:szCs w:val="22"/>
        </w:rPr>
        <w:t>）因市政建设需要征用、临时占用、拆迁等导致乙方清扫保洁面积减少的，则根据实际投入保洁人员进行结算。</w:t>
      </w:r>
      <w:bookmarkStart w:id="138" w:name="_Hlk497462068"/>
    </w:p>
    <w:bookmarkEnd w:id="138"/>
    <w:p>
      <w:pPr>
        <w:spacing w:line="360" w:lineRule="auto"/>
        <w:ind w:left="550" w:hanging="550" w:hangingChars="25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4</w:t>
      </w:r>
      <w:r>
        <w:rPr>
          <w:rFonts w:hint="eastAsia" w:ascii="新宋体" w:hAnsi="新宋体" w:eastAsia="新宋体" w:cs="新宋体"/>
          <w:color w:val="auto"/>
          <w:sz w:val="22"/>
          <w:szCs w:val="22"/>
        </w:rPr>
        <w:t>．</w:t>
      </w:r>
      <w:r>
        <w:rPr>
          <w:rFonts w:hint="eastAsia" w:ascii="新宋体" w:hAnsi="新宋体" w:eastAsia="新宋体" w:cs="新宋体"/>
          <w:color w:val="auto"/>
          <w:sz w:val="22"/>
          <w:szCs w:val="22"/>
          <w:lang w:eastAsia="zh-CN"/>
        </w:rPr>
        <w:t>公厕保洁及维修</w:t>
      </w:r>
      <w:r>
        <w:rPr>
          <w:rFonts w:hint="eastAsia" w:ascii="新宋体" w:hAnsi="新宋体" w:eastAsia="新宋体" w:cs="新宋体"/>
          <w:color w:val="auto"/>
          <w:sz w:val="22"/>
          <w:szCs w:val="22"/>
        </w:rPr>
        <w:t>内容:</w:t>
      </w:r>
    </w:p>
    <w:p>
      <w:pPr>
        <w:spacing w:line="360" w:lineRule="auto"/>
        <w:rPr>
          <w:rFonts w:hint="eastAsia"/>
          <w:color w:val="auto"/>
          <w:lang w:val="en-US" w:eastAsia="zh-CN"/>
        </w:rPr>
      </w:pPr>
      <w:r>
        <w:rPr>
          <w:rFonts w:hint="eastAsia" w:ascii="宋体" w:hAnsi="宋体" w:cs="黑体"/>
          <w:color w:val="auto"/>
          <w:sz w:val="22"/>
          <w:szCs w:val="22"/>
          <w:lang w:val="en-US" w:eastAsia="zh-CN"/>
        </w:rPr>
        <w:t>1）公厕清扫、清洗、保洁（包括公厕设施清洗保洁）；2）</w:t>
      </w:r>
      <w:r>
        <w:rPr>
          <w:rFonts w:hint="eastAsia" w:ascii="宋体" w:hAnsi="宋体"/>
          <w:color w:val="auto"/>
          <w:sz w:val="22"/>
          <w:szCs w:val="22"/>
        </w:rPr>
        <w:t>公厕内设施、设备、装修等维护管理</w:t>
      </w:r>
      <w:r>
        <w:rPr>
          <w:rFonts w:hint="eastAsia" w:ascii="宋体" w:hAnsi="宋体" w:cs="黑体"/>
          <w:color w:val="auto"/>
          <w:sz w:val="22"/>
          <w:szCs w:val="22"/>
          <w:lang w:val="en-US" w:eastAsia="zh-CN"/>
        </w:rPr>
        <w:t>；</w:t>
      </w:r>
    </w:p>
    <w:p>
      <w:pPr>
        <w:pStyle w:val="25"/>
        <w:spacing w:line="360" w:lineRule="auto"/>
        <w:ind w:left="316" w:hanging="316" w:hangingChars="143"/>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三、投标要求：</w:t>
      </w:r>
    </w:p>
    <w:p>
      <w:pPr>
        <w:pStyle w:val="25"/>
        <w:spacing w:line="400" w:lineRule="exact"/>
        <w:ind w:left="309" w:leftChars="50" w:hanging="204" w:hangingChars="93"/>
        <w:rPr>
          <w:rFonts w:hint="eastAsia" w:ascii="宋体" w:hAnsi="宋体" w:cs="Arial"/>
          <w:color w:val="auto"/>
          <w:sz w:val="22"/>
          <w:szCs w:val="22"/>
        </w:rPr>
      </w:pPr>
      <w:r>
        <w:rPr>
          <w:rFonts w:hint="eastAsia" w:ascii="宋体" w:hAnsi="宋体" w:cs="Arial"/>
          <w:color w:val="auto"/>
          <w:sz w:val="22"/>
          <w:szCs w:val="22"/>
        </w:rPr>
        <w:t>1、按照“人工为主”原则进行道路、河道保洁作业。</w:t>
      </w:r>
    </w:p>
    <w:p>
      <w:pPr>
        <w:pStyle w:val="25"/>
        <w:spacing w:line="400" w:lineRule="exact"/>
        <w:ind w:left="309" w:leftChars="50" w:hanging="204" w:hangingChars="93"/>
        <w:rPr>
          <w:rFonts w:hint="eastAsia" w:ascii="宋体" w:hAnsi="宋体" w:cs="Arial"/>
          <w:color w:val="auto"/>
          <w:sz w:val="22"/>
          <w:szCs w:val="22"/>
        </w:rPr>
      </w:pPr>
      <w:r>
        <w:rPr>
          <w:rFonts w:hint="eastAsia" w:ascii="宋体" w:hAnsi="宋体" w:cs="Arial"/>
          <w:color w:val="auto"/>
          <w:sz w:val="22"/>
          <w:szCs w:val="22"/>
        </w:rPr>
        <w:t>2、中标公司必须建立高效的环卫作业GPS管理平台主要功能包括：</w:t>
      </w:r>
    </w:p>
    <w:p>
      <w:pPr>
        <w:pStyle w:val="25"/>
        <w:numPr>
          <w:ilvl w:val="0"/>
          <w:numId w:val="29"/>
        </w:numPr>
        <w:spacing w:line="400" w:lineRule="exact"/>
        <w:ind w:left="315" w:hanging="315" w:firstLineChars="0"/>
        <w:rPr>
          <w:rFonts w:hint="eastAsia" w:ascii="宋体" w:hAnsi="宋体" w:cs="Arial"/>
          <w:color w:val="auto"/>
          <w:sz w:val="22"/>
          <w:szCs w:val="22"/>
        </w:rPr>
      </w:pPr>
      <w:r>
        <w:rPr>
          <w:rFonts w:hint="eastAsia" w:ascii="宋体" w:hAnsi="宋体" w:cs="Arial"/>
          <w:color w:val="auto"/>
          <w:sz w:val="22"/>
          <w:szCs w:val="22"/>
        </w:rPr>
        <w:t>保洁人员的基本信息（如：身份证或市民卡信息、医疗、社保、工伤、体检情况等信息和资料）；</w:t>
      </w:r>
    </w:p>
    <w:p>
      <w:pPr>
        <w:pStyle w:val="25"/>
        <w:numPr>
          <w:ilvl w:val="0"/>
          <w:numId w:val="29"/>
        </w:numPr>
        <w:spacing w:line="400" w:lineRule="exact"/>
        <w:ind w:left="315" w:hanging="314" w:hangingChars="143"/>
        <w:rPr>
          <w:rFonts w:hint="eastAsia" w:ascii="宋体" w:hAnsi="宋体" w:cs="Arial"/>
          <w:color w:val="auto"/>
          <w:sz w:val="22"/>
          <w:szCs w:val="22"/>
        </w:rPr>
      </w:pPr>
      <w:r>
        <w:rPr>
          <w:rFonts w:hint="eastAsia" w:ascii="宋体" w:hAnsi="宋体" w:cs="Arial"/>
          <w:color w:val="auto"/>
          <w:sz w:val="22"/>
          <w:szCs w:val="22"/>
        </w:rPr>
        <w:t>必须建立保洁人员编码、佩戴定位、显示功能的芯片（定位信息卡），并在保洁作业时必须佩戴整齐，确保终端实时管控；</w:t>
      </w:r>
    </w:p>
    <w:p>
      <w:pPr>
        <w:pStyle w:val="25"/>
        <w:numPr>
          <w:ilvl w:val="0"/>
          <w:numId w:val="29"/>
        </w:numPr>
        <w:spacing w:line="400" w:lineRule="exact"/>
        <w:ind w:left="315" w:hanging="314" w:hangingChars="143"/>
        <w:rPr>
          <w:rFonts w:hint="eastAsia" w:ascii="宋体" w:hAnsi="宋体" w:cs="Arial"/>
          <w:color w:val="auto"/>
          <w:sz w:val="22"/>
          <w:szCs w:val="22"/>
        </w:rPr>
      </w:pPr>
      <w:r>
        <w:rPr>
          <w:rFonts w:hint="eastAsia" w:ascii="宋体" w:hAnsi="宋体" w:cs="Arial"/>
          <w:color w:val="auto"/>
          <w:sz w:val="22"/>
          <w:szCs w:val="22"/>
        </w:rPr>
        <w:t>清扫保洁作业车辆的基本信息（如：车辆型号、购置时间、购置价格、年检时间、下次年检时间、驾驶员信息、核定重量、总质量、已使用的年限等信息和资料）；</w:t>
      </w:r>
    </w:p>
    <w:p>
      <w:pPr>
        <w:pStyle w:val="25"/>
        <w:numPr>
          <w:ilvl w:val="0"/>
          <w:numId w:val="29"/>
        </w:numPr>
        <w:spacing w:line="400" w:lineRule="exact"/>
        <w:ind w:left="315" w:hanging="314" w:hangingChars="143"/>
        <w:rPr>
          <w:rFonts w:hint="eastAsia" w:ascii="宋体" w:hAnsi="宋体" w:cs="Arial"/>
          <w:color w:val="auto"/>
          <w:sz w:val="22"/>
          <w:szCs w:val="22"/>
        </w:rPr>
      </w:pPr>
      <w:r>
        <w:rPr>
          <w:rFonts w:hint="eastAsia" w:ascii="宋体" w:hAnsi="宋体" w:cs="Arial"/>
          <w:color w:val="auto"/>
          <w:sz w:val="22"/>
          <w:szCs w:val="22"/>
        </w:rPr>
        <w:t>清扫保洁作业车辆必须安装智能环卫作业设备, 包括行驶及作业过程记录仪主机（GPS定位、作业状态监管）、高清防水摄像头（作业质量监管、车载视频）、清扫保洁作业必须携带人员定位设备。</w:t>
      </w:r>
    </w:p>
    <w:p>
      <w:pPr>
        <w:pStyle w:val="25"/>
        <w:numPr>
          <w:ilvl w:val="0"/>
          <w:numId w:val="29"/>
        </w:numPr>
        <w:spacing w:line="400" w:lineRule="exact"/>
        <w:ind w:left="315" w:hanging="314" w:hangingChars="143"/>
        <w:rPr>
          <w:rFonts w:hint="eastAsia" w:ascii="宋体" w:hAnsi="宋体" w:cs="Arial"/>
          <w:color w:val="auto"/>
          <w:sz w:val="22"/>
          <w:szCs w:val="22"/>
        </w:rPr>
      </w:pPr>
      <w:r>
        <w:rPr>
          <w:rFonts w:hint="eastAsia" w:ascii="宋体" w:hAnsi="宋体" w:cs="Arial"/>
          <w:color w:val="auto"/>
          <w:sz w:val="22"/>
          <w:szCs w:val="22"/>
        </w:rPr>
        <w:t>中标单位必须在中标后1个月内完成智能基础设施建设，并纳入温州市智慧环卫监管平台和</w:t>
      </w:r>
      <w:r>
        <w:rPr>
          <w:rFonts w:hint="eastAsia" w:ascii="宋体" w:hAnsi="宋体" w:cs="Arial"/>
          <w:color w:val="auto"/>
          <w:sz w:val="22"/>
          <w:szCs w:val="22"/>
          <w:lang w:eastAsia="zh-CN"/>
        </w:rPr>
        <w:t>鹿城区</w:t>
      </w:r>
      <w:r>
        <w:rPr>
          <w:rFonts w:hint="eastAsia" w:ascii="宋体" w:hAnsi="宋体" w:cs="Arial"/>
          <w:color w:val="auto"/>
          <w:sz w:val="22"/>
          <w:szCs w:val="22"/>
        </w:rPr>
        <w:t>智慧城管监管平台。</w:t>
      </w:r>
    </w:p>
    <w:p>
      <w:pPr>
        <w:pStyle w:val="25"/>
        <w:numPr>
          <w:ilvl w:val="0"/>
          <w:numId w:val="29"/>
        </w:numPr>
        <w:spacing w:line="400" w:lineRule="exact"/>
        <w:ind w:left="315" w:hanging="314" w:hangingChars="143"/>
        <w:rPr>
          <w:rFonts w:hint="eastAsia" w:ascii="宋体" w:hAnsi="宋体" w:cs="Arial"/>
          <w:color w:val="auto"/>
          <w:sz w:val="22"/>
          <w:szCs w:val="22"/>
        </w:rPr>
      </w:pPr>
      <w:r>
        <w:rPr>
          <w:rFonts w:hint="eastAsia" w:ascii="宋体" w:hAnsi="宋体" w:cs="Arial"/>
          <w:color w:val="auto"/>
          <w:sz w:val="22"/>
          <w:szCs w:val="22"/>
        </w:rPr>
        <w:t>以上环卫作业智能基础设施（须经采购人认可）建设资金由中标单位出资建设，投标单位在标书制作时应考虑其成本与维护费用。</w:t>
      </w:r>
    </w:p>
    <w:p>
      <w:pPr>
        <w:numPr>
          <w:ilvl w:val="0"/>
          <w:numId w:val="0"/>
        </w:numPr>
        <w:spacing w:line="360" w:lineRule="auto"/>
        <w:ind w:leftChars="0" w:firstLine="221" w:firstLineChars="100"/>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u w:val="single"/>
          <w:lang w:val="en-US" w:eastAsia="zh-CN"/>
        </w:rPr>
        <w:t>3、</w:t>
      </w:r>
      <w:r>
        <w:rPr>
          <w:rFonts w:hint="eastAsia" w:ascii="新宋体" w:hAnsi="新宋体" w:eastAsia="新宋体" w:cs="新宋体"/>
          <w:b/>
          <w:color w:val="auto"/>
          <w:sz w:val="22"/>
          <w:szCs w:val="22"/>
          <w:u w:val="single"/>
        </w:rPr>
        <w:t>拟投入人员</w:t>
      </w:r>
      <w:r>
        <w:rPr>
          <w:rFonts w:hint="eastAsia" w:ascii="新宋体" w:hAnsi="新宋体" w:eastAsia="新宋体" w:cs="新宋体"/>
          <w:b/>
          <w:color w:val="auto"/>
          <w:sz w:val="22"/>
          <w:szCs w:val="22"/>
          <w:u w:val="single"/>
          <w:lang w:eastAsia="zh-CN"/>
        </w:rPr>
        <w:t>以及车辆</w:t>
      </w:r>
      <w:r>
        <w:rPr>
          <w:rFonts w:hint="eastAsia" w:ascii="新宋体" w:hAnsi="新宋体" w:eastAsia="新宋体" w:cs="新宋体"/>
          <w:b/>
          <w:color w:val="auto"/>
          <w:sz w:val="22"/>
          <w:szCs w:val="22"/>
          <w:u w:val="single"/>
        </w:rPr>
        <w:t>要求</w:t>
      </w:r>
    </w:p>
    <w:tbl>
      <w:tblPr>
        <w:tblStyle w:val="56"/>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73"/>
        <w:gridCol w:w="2572"/>
        <w:gridCol w:w="4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35" w:type="dxa"/>
            <w:gridSpan w:val="4"/>
            <w:noWrap w:val="0"/>
            <w:vAlign w:val="center"/>
          </w:tcPr>
          <w:p>
            <w:pPr>
              <w:tabs>
                <w:tab w:val="left" w:pos="3042"/>
              </w:tabs>
              <w:spacing w:line="360" w:lineRule="auto"/>
              <w:jc w:val="center"/>
              <w:rPr>
                <w:rFonts w:hint="eastAsia" w:ascii="新宋体" w:hAnsi="新宋体" w:eastAsia="新宋体" w:cs="新宋体"/>
                <w:b/>
                <w:color w:val="auto"/>
                <w:sz w:val="22"/>
                <w:szCs w:val="22"/>
                <w:lang w:eastAsia="zh-CN"/>
              </w:rPr>
            </w:pPr>
            <w:r>
              <w:rPr>
                <w:rFonts w:hint="eastAsia" w:ascii="新宋体" w:hAnsi="新宋体" w:eastAsia="新宋体" w:cs="新宋体"/>
                <w:b/>
                <w:color w:val="auto"/>
                <w:sz w:val="22"/>
                <w:szCs w:val="22"/>
                <w:lang w:eastAsia="zh-CN"/>
              </w:rPr>
              <w:t>道路、河道清扫保洁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47" w:type="dxa"/>
            <w:noWrap w:val="0"/>
            <w:vAlign w:val="center"/>
          </w:tcPr>
          <w:p>
            <w:pPr>
              <w:spacing w:line="360" w:lineRule="auto"/>
              <w:jc w:val="center"/>
              <w:rPr>
                <w:rFonts w:hint="eastAsia" w:ascii="新宋体" w:hAnsi="新宋体" w:eastAsia="新宋体" w:cs="新宋体"/>
                <w:b/>
                <w:color w:val="auto"/>
                <w:kern w:val="2"/>
                <w:sz w:val="22"/>
                <w:szCs w:val="22"/>
                <w:lang w:val="en-US" w:eastAsia="zh-CN" w:bidi="ar-SA"/>
              </w:rPr>
            </w:pPr>
            <w:r>
              <w:rPr>
                <w:rFonts w:hint="eastAsia" w:ascii="新宋体" w:hAnsi="新宋体" w:eastAsia="新宋体" w:cs="新宋体"/>
                <w:b/>
                <w:color w:val="auto"/>
                <w:sz w:val="22"/>
                <w:szCs w:val="22"/>
              </w:rPr>
              <w:t>序号</w:t>
            </w:r>
          </w:p>
        </w:tc>
        <w:tc>
          <w:tcPr>
            <w:tcW w:w="2573" w:type="dxa"/>
            <w:noWrap w:val="0"/>
            <w:vAlign w:val="center"/>
          </w:tcPr>
          <w:p>
            <w:pPr>
              <w:spacing w:line="360" w:lineRule="auto"/>
              <w:jc w:val="center"/>
              <w:rPr>
                <w:rFonts w:hint="eastAsia" w:ascii="新宋体" w:hAnsi="新宋体" w:eastAsia="新宋体" w:cs="新宋体"/>
                <w:b/>
                <w:color w:val="auto"/>
                <w:kern w:val="2"/>
                <w:sz w:val="22"/>
                <w:szCs w:val="22"/>
                <w:lang w:val="en-US" w:eastAsia="zh-CN" w:bidi="ar-SA"/>
              </w:rPr>
            </w:pPr>
            <w:r>
              <w:rPr>
                <w:rFonts w:hint="eastAsia" w:ascii="新宋体" w:hAnsi="新宋体" w:eastAsia="新宋体" w:cs="新宋体"/>
                <w:b/>
                <w:color w:val="auto"/>
                <w:sz w:val="22"/>
                <w:szCs w:val="22"/>
                <w:lang w:eastAsia="zh-CN"/>
              </w:rPr>
              <w:t>岗位</w:t>
            </w:r>
          </w:p>
        </w:tc>
        <w:tc>
          <w:tcPr>
            <w:tcW w:w="2572" w:type="dxa"/>
            <w:noWrap w:val="0"/>
            <w:vAlign w:val="center"/>
          </w:tcPr>
          <w:p>
            <w:pPr>
              <w:spacing w:line="360" w:lineRule="auto"/>
              <w:jc w:val="center"/>
              <w:rPr>
                <w:rFonts w:hint="eastAsia" w:ascii="新宋体" w:hAnsi="新宋体" w:eastAsia="新宋体" w:cs="新宋体"/>
                <w:b/>
                <w:color w:val="auto"/>
                <w:kern w:val="2"/>
                <w:sz w:val="22"/>
                <w:szCs w:val="22"/>
                <w:lang w:val="en-US" w:eastAsia="zh-CN" w:bidi="ar-SA"/>
              </w:rPr>
            </w:pPr>
            <w:r>
              <w:rPr>
                <w:rFonts w:hint="eastAsia" w:ascii="新宋体" w:hAnsi="新宋体" w:eastAsia="新宋体" w:cs="新宋体"/>
                <w:b/>
                <w:color w:val="auto"/>
                <w:sz w:val="22"/>
                <w:szCs w:val="22"/>
              </w:rPr>
              <w:t>人数</w:t>
            </w:r>
          </w:p>
        </w:tc>
        <w:tc>
          <w:tcPr>
            <w:tcW w:w="4043" w:type="dxa"/>
            <w:noWrap w:val="0"/>
            <w:vAlign w:val="center"/>
          </w:tcPr>
          <w:p>
            <w:pPr>
              <w:spacing w:line="360" w:lineRule="auto"/>
              <w:jc w:val="center"/>
              <w:rPr>
                <w:rFonts w:hint="eastAsia" w:ascii="新宋体" w:hAnsi="新宋体" w:eastAsia="新宋体" w:cs="新宋体"/>
                <w:b/>
                <w:color w:val="auto"/>
                <w:kern w:val="2"/>
                <w:sz w:val="22"/>
                <w:szCs w:val="22"/>
                <w:lang w:val="en-US" w:eastAsia="zh-CN" w:bidi="ar-SA"/>
              </w:rPr>
            </w:pPr>
            <w:r>
              <w:rPr>
                <w:rFonts w:hint="eastAsia" w:ascii="新宋体" w:hAnsi="新宋体" w:eastAsia="新宋体" w:cs="新宋体"/>
                <w:b/>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47"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1</w:t>
            </w:r>
          </w:p>
        </w:tc>
        <w:tc>
          <w:tcPr>
            <w:tcW w:w="2573"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项目负责人</w:t>
            </w:r>
          </w:p>
        </w:tc>
        <w:tc>
          <w:tcPr>
            <w:tcW w:w="2572"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不少于1人</w:t>
            </w:r>
          </w:p>
        </w:tc>
        <w:tc>
          <w:tcPr>
            <w:tcW w:w="4043" w:type="dxa"/>
            <w:vMerge w:val="restart"/>
            <w:noWrap w:val="0"/>
            <w:vAlign w:val="center"/>
          </w:tcPr>
          <w:p>
            <w:pPr>
              <w:numPr>
                <w:ilvl w:val="0"/>
                <w:numId w:val="0"/>
              </w:numPr>
              <w:spacing w:line="240" w:lineRule="auto"/>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1）人员须经甲方确认，且每月报备，服从甲方有权对人员进行的调整；（2）中标供应商须根据采购人要求及道路突发情况24小时待命，组织不少于10人的应急机动队，配置挖掘机、运输车、铲车等（机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noWrap w:val="0"/>
            <w:vAlign w:val="center"/>
          </w:tcPr>
          <w:p>
            <w:pPr>
              <w:spacing w:line="380" w:lineRule="exact"/>
              <w:jc w:val="center"/>
              <w:rPr>
                <w:rFonts w:hint="default" w:ascii="宋体" w:hAnsi="宋体" w:cs="Arial"/>
                <w:color w:val="auto"/>
                <w:sz w:val="22"/>
                <w:szCs w:val="22"/>
                <w:lang w:val="en-US" w:eastAsia="zh-CN"/>
              </w:rPr>
            </w:pPr>
            <w:r>
              <w:rPr>
                <w:rFonts w:hint="eastAsia" w:ascii="宋体" w:hAnsi="宋体" w:cs="Arial"/>
                <w:color w:val="auto"/>
                <w:sz w:val="22"/>
                <w:szCs w:val="22"/>
                <w:lang w:val="en-US" w:eastAsia="zh-CN"/>
              </w:rPr>
              <w:t>2</w:t>
            </w:r>
          </w:p>
        </w:tc>
        <w:tc>
          <w:tcPr>
            <w:tcW w:w="2573"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洗扫一体车司机</w:t>
            </w:r>
          </w:p>
        </w:tc>
        <w:tc>
          <w:tcPr>
            <w:tcW w:w="2572"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不少于1人</w:t>
            </w:r>
          </w:p>
        </w:tc>
        <w:tc>
          <w:tcPr>
            <w:tcW w:w="4043" w:type="dxa"/>
            <w:vMerge w:val="continue"/>
            <w:noWrap w:val="0"/>
            <w:vAlign w:val="center"/>
          </w:tcPr>
          <w:p>
            <w:pPr>
              <w:spacing w:line="380" w:lineRule="exact"/>
              <w:jc w:val="center"/>
              <w:rPr>
                <w:rFonts w:hint="eastAsia" w:ascii="宋体" w:hAnsi="宋体" w:cs="Arial"/>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7"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3</w:t>
            </w:r>
          </w:p>
        </w:tc>
        <w:tc>
          <w:tcPr>
            <w:tcW w:w="2573"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道路保洁（含小广告清理、垃圾分类人员）</w:t>
            </w:r>
          </w:p>
        </w:tc>
        <w:tc>
          <w:tcPr>
            <w:tcW w:w="2572"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不少于32人</w:t>
            </w:r>
          </w:p>
        </w:tc>
        <w:tc>
          <w:tcPr>
            <w:tcW w:w="4043" w:type="dxa"/>
            <w:vMerge w:val="continue"/>
            <w:noWrap w:val="0"/>
            <w:vAlign w:val="center"/>
          </w:tcPr>
          <w:p>
            <w:pPr>
              <w:spacing w:line="380" w:lineRule="exact"/>
              <w:jc w:val="center"/>
              <w:rPr>
                <w:rFonts w:hint="eastAsia" w:ascii="宋体" w:hAnsi="宋体" w:cs="Arial"/>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7"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4</w:t>
            </w:r>
          </w:p>
        </w:tc>
        <w:tc>
          <w:tcPr>
            <w:tcW w:w="2573"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河道保洁</w:t>
            </w:r>
          </w:p>
        </w:tc>
        <w:tc>
          <w:tcPr>
            <w:tcW w:w="2572"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不少于10人</w:t>
            </w:r>
          </w:p>
        </w:tc>
        <w:tc>
          <w:tcPr>
            <w:tcW w:w="4043" w:type="dxa"/>
            <w:vMerge w:val="continue"/>
            <w:noWrap w:val="0"/>
            <w:vAlign w:val="center"/>
          </w:tcPr>
          <w:p>
            <w:pPr>
              <w:spacing w:line="380" w:lineRule="exact"/>
              <w:jc w:val="center"/>
              <w:rPr>
                <w:rFonts w:hint="eastAsia" w:ascii="宋体" w:hAnsi="宋体" w:cs="Arial"/>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7" w:type="dxa"/>
            <w:noWrap w:val="0"/>
            <w:vAlign w:val="center"/>
          </w:tcPr>
          <w:p>
            <w:pPr>
              <w:spacing w:line="380" w:lineRule="exact"/>
              <w:jc w:val="center"/>
              <w:rPr>
                <w:rFonts w:hint="default" w:ascii="宋体" w:hAnsi="宋体" w:cs="Arial"/>
                <w:color w:val="auto"/>
                <w:sz w:val="22"/>
                <w:szCs w:val="22"/>
                <w:lang w:val="en-US" w:eastAsia="zh-CN"/>
              </w:rPr>
            </w:pPr>
            <w:r>
              <w:rPr>
                <w:rFonts w:hint="eastAsia" w:ascii="宋体" w:hAnsi="宋体" w:cs="Arial"/>
                <w:color w:val="auto"/>
                <w:sz w:val="22"/>
                <w:szCs w:val="22"/>
                <w:lang w:val="en-US" w:eastAsia="zh-CN"/>
              </w:rPr>
              <w:t>5</w:t>
            </w:r>
          </w:p>
        </w:tc>
        <w:tc>
          <w:tcPr>
            <w:tcW w:w="2573"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机动队人员</w:t>
            </w:r>
          </w:p>
        </w:tc>
        <w:tc>
          <w:tcPr>
            <w:tcW w:w="2572"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不少于10人</w:t>
            </w:r>
          </w:p>
        </w:tc>
        <w:tc>
          <w:tcPr>
            <w:tcW w:w="4043" w:type="dxa"/>
            <w:vMerge w:val="continue"/>
            <w:noWrap w:val="0"/>
            <w:vAlign w:val="center"/>
          </w:tcPr>
          <w:p>
            <w:pPr>
              <w:spacing w:line="380" w:lineRule="exact"/>
              <w:jc w:val="center"/>
              <w:rPr>
                <w:rFonts w:hint="eastAsia" w:ascii="宋体" w:hAnsi="宋体" w:cs="Arial"/>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7"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5</w:t>
            </w:r>
          </w:p>
        </w:tc>
        <w:tc>
          <w:tcPr>
            <w:tcW w:w="2573"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洗扫一体车</w:t>
            </w:r>
          </w:p>
        </w:tc>
        <w:tc>
          <w:tcPr>
            <w:tcW w:w="2572"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至少配置1辆</w:t>
            </w:r>
          </w:p>
        </w:tc>
        <w:tc>
          <w:tcPr>
            <w:tcW w:w="4043"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荷载质量大于或等于15吨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7" w:type="dxa"/>
            <w:noWrap w:val="0"/>
            <w:vAlign w:val="center"/>
          </w:tcPr>
          <w:p>
            <w:pPr>
              <w:spacing w:line="380" w:lineRule="exact"/>
              <w:jc w:val="center"/>
              <w:rPr>
                <w:rFonts w:hint="eastAsia" w:ascii="宋体" w:hAnsi="宋体" w:eastAsia="宋体" w:cs="Arial"/>
                <w:color w:val="auto"/>
                <w:kern w:val="2"/>
                <w:sz w:val="22"/>
                <w:szCs w:val="22"/>
                <w:lang w:val="en-US" w:eastAsia="zh-CN" w:bidi="ar-SA"/>
              </w:rPr>
            </w:pPr>
            <w:r>
              <w:rPr>
                <w:rFonts w:hint="eastAsia" w:ascii="宋体" w:hAnsi="宋体" w:cs="Arial"/>
                <w:color w:val="auto"/>
                <w:sz w:val="22"/>
                <w:szCs w:val="22"/>
                <w:lang w:val="en-US" w:eastAsia="zh-CN"/>
              </w:rPr>
              <w:t>6</w:t>
            </w:r>
          </w:p>
        </w:tc>
        <w:tc>
          <w:tcPr>
            <w:tcW w:w="2573"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小型高压冲洗车（四轮）</w:t>
            </w:r>
          </w:p>
        </w:tc>
        <w:tc>
          <w:tcPr>
            <w:tcW w:w="2572"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至少配置3辆</w:t>
            </w:r>
          </w:p>
        </w:tc>
        <w:tc>
          <w:tcPr>
            <w:tcW w:w="4043" w:type="dxa"/>
            <w:noWrap w:val="0"/>
            <w:vAlign w:val="center"/>
          </w:tcPr>
          <w:p>
            <w:pPr>
              <w:spacing w:line="380" w:lineRule="exact"/>
              <w:jc w:val="center"/>
              <w:rPr>
                <w:rFonts w:hint="eastAsia" w:ascii="宋体" w:hAnsi="宋体" w:cs="Arial"/>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7" w:type="dxa"/>
            <w:noWrap w:val="0"/>
            <w:vAlign w:val="center"/>
          </w:tcPr>
          <w:p>
            <w:pPr>
              <w:spacing w:line="380" w:lineRule="exact"/>
              <w:jc w:val="center"/>
              <w:rPr>
                <w:rFonts w:hint="eastAsia" w:ascii="宋体" w:hAnsi="宋体" w:eastAsia="宋体" w:cs="Arial"/>
                <w:color w:val="auto"/>
                <w:kern w:val="2"/>
                <w:sz w:val="22"/>
                <w:szCs w:val="22"/>
                <w:lang w:val="en-US" w:eastAsia="zh-CN" w:bidi="ar-SA"/>
              </w:rPr>
            </w:pPr>
            <w:r>
              <w:rPr>
                <w:rFonts w:hint="eastAsia" w:ascii="宋体" w:hAnsi="宋体" w:cs="Arial"/>
                <w:color w:val="auto"/>
                <w:sz w:val="22"/>
                <w:szCs w:val="22"/>
                <w:lang w:val="en-US" w:eastAsia="zh-CN"/>
              </w:rPr>
              <w:t>7</w:t>
            </w:r>
          </w:p>
        </w:tc>
        <w:tc>
          <w:tcPr>
            <w:tcW w:w="2573" w:type="dxa"/>
            <w:noWrap w:val="0"/>
            <w:vAlign w:val="center"/>
          </w:tcPr>
          <w:p>
            <w:pPr>
              <w:tabs>
                <w:tab w:val="left" w:pos="930"/>
              </w:tabs>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rPr>
              <w:t>电动小型快速保洁车</w:t>
            </w:r>
          </w:p>
        </w:tc>
        <w:tc>
          <w:tcPr>
            <w:tcW w:w="2572" w:type="dxa"/>
            <w:noWrap w:val="0"/>
            <w:vAlign w:val="center"/>
          </w:tcPr>
          <w:p>
            <w:pPr>
              <w:spacing w:line="380" w:lineRule="exact"/>
              <w:ind w:left="66" w:leftChars="0" w:hanging="66" w:hangingChars="30"/>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rPr>
              <w:t>至少配置</w:t>
            </w:r>
            <w:r>
              <w:rPr>
                <w:rFonts w:hint="eastAsia" w:ascii="宋体" w:hAnsi="宋体" w:cs="Arial"/>
                <w:color w:val="auto"/>
                <w:sz w:val="22"/>
                <w:szCs w:val="22"/>
                <w:lang w:val="en-US" w:eastAsia="zh-CN"/>
              </w:rPr>
              <w:t>30</w:t>
            </w:r>
            <w:r>
              <w:rPr>
                <w:rFonts w:hint="eastAsia" w:ascii="宋体" w:hAnsi="宋体" w:cs="Arial"/>
                <w:color w:val="auto"/>
                <w:sz w:val="22"/>
                <w:szCs w:val="22"/>
              </w:rPr>
              <w:t>辆</w:t>
            </w:r>
          </w:p>
        </w:tc>
        <w:tc>
          <w:tcPr>
            <w:tcW w:w="4043" w:type="dxa"/>
            <w:noWrap w:val="0"/>
            <w:vAlign w:val="center"/>
          </w:tcPr>
          <w:p>
            <w:pPr>
              <w:spacing w:line="240" w:lineRule="auto"/>
              <w:jc w:val="left"/>
              <w:rPr>
                <w:rFonts w:hint="eastAsia" w:ascii="宋体" w:hAnsi="宋体" w:cs="Arial"/>
                <w:color w:val="auto"/>
                <w:kern w:val="2"/>
                <w:sz w:val="22"/>
                <w:szCs w:val="22"/>
                <w:lang w:val="en-US" w:eastAsia="zh-CN" w:bidi="ar-SA"/>
              </w:rPr>
            </w:pPr>
            <w:r>
              <w:rPr>
                <w:rFonts w:hint="eastAsia" w:ascii="宋体" w:hAnsi="宋体" w:cs="Arial"/>
                <w:color w:val="auto"/>
                <w:sz w:val="22"/>
                <w:szCs w:val="22"/>
              </w:rPr>
              <w:t>最大载重大于150（kg)；前后双刹车设计，安全可靠；设置警示灯和警示标识；杜绝垃圾二次污染；工具箱可放各种清扫保洁工具。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7" w:type="dxa"/>
            <w:noWrap w:val="0"/>
            <w:vAlign w:val="center"/>
          </w:tcPr>
          <w:p>
            <w:pPr>
              <w:spacing w:line="380" w:lineRule="exact"/>
              <w:jc w:val="center"/>
              <w:rPr>
                <w:rFonts w:hint="eastAsia" w:ascii="宋体" w:hAnsi="宋体" w:eastAsia="宋体" w:cs="Arial"/>
                <w:color w:val="auto"/>
                <w:kern w:val="2"/>
                <w:sz w:val="22"/>
                <w:szCs w:val="22"/>
                <w:lang w:val="en-US" w:eastAsia="zh-CN" w:bidi="ar-SA"/>
              </w:rPr>
            </w:pPr>
            <w:r>
              <w:rPr>
                <w:rFonts w:hint="eastAsia" w:ascii="宋体" w:hAnsi="宋体" w:cs="Arial"/>
                <w:color w:val="auto"/>
                <w:sz w:val="22"/>
                <w:szCs w:val="22"/>
                <w:lang w:val="en-US" w:eastAsia="zh-CN"/>
              </w:rPr>
              <w:t>8</w:t>
            </w:r>
          </w:p>
        </w:tc>
        <w:tc>
          <w:tcPr>
            <w:tcW w:w="2573" w:type="dxa"/>
            <w:noWrap w:val="0"/>
            <w:vAlign w:val="center"/>
          </w:tcPr>
          <w:p>
            <w:pPr>
              <w:tabs>
                <w:tab w:val="left" w:pos="930"/>
              </w:tabs>
              <w:spacing w:line="36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rPr>
              <w:t>电瓶船（玻璃钢或不锈钢）</w:t>
            </w:r>
          </w:p>
        </w:tc>
        <w:tc>
          <w:tcPr>
            <w:tcW w:w="2572" w:type="dxa"/>
            <w:noWrap w:val="0"/>
            <w:vAlign w:val="center"/>
          </w:tcPr>
          <w:p>
            <w:pPr>
              <w:spacing w:line="360" w:lineRule="exact"/>
              <w:ind w:left="66" w:leftChars="0" w:hanging="66" w:hangingChars="30"/>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rPr>
              <w:t>至少配置5艘</w:t>
            </w:r>
          </w:p>
        </w:tc>
        <w:tc>
          <w:tcPr>
            <w:tcW w:w="4043" w:type="dxa"/>
            <w:noWrap w:val="0"/>
            <w:vAlign w:val="center"/>
          </w:tcPr>
          <w:p>
            <w:pPr>
              <w:spacing w:line="360" w:lineRule="exact"/>
              <w:jc w:val="center"/>
              <w:rPr>
                <w:rFonts w:hint="eastAsia" w:ascii="宋体" w:hAnsi="宋体" w:cs="Arial"/>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35" w:type="dxa"/>
            <w:gridSpan w:val="4"/>
            <w:noWrap w:val="0"/>
            <w:vAlign w:val="center"/>
          </w:tcPr>
          <w:p>
            <w:pPr>
              <w:spacing w:line="240" w:lineRule="auto"/>
              <w:jc w:val="center"/>
              <w:rPr>
                <w:rFonts w:hint="eastAsia" w:ascii="新宋体" w:hAnsi="新宋体" w:eastAsia="新宋体" w:cs="新宋体"/>
                <w:b/>
                <w:color w:val="auto"/>
                <w:sz w:val="22"/>
                <w:szCs w:val="22"/>
                <w:lang w:eastAsia="zh-CN"/>
              </w:rPr>
            </w:pPr>
            <w:r>
              <w:rPr>
                <w:rFonts w:hint="eastAsia" w:ascii="新宋体" w:hAnsi="新宋体" w:eastAsia="新宋体" w:cs="新宋体"/>
                <w:b/>
                <w:color w:val="auto"/>
                <w:sz w:val="22"/>
                <w:szCs w:val="22"/>
                <w:lang w:eastAsia="zh-CN"/>
              </w:rPr>
              <w:t>公厕保洁及维修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7"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1</w:t>
            </w:r>
          </w:p>
        </w:tc>
        <w:tc>
          <w:tcPr>
            <w:tcW w:w="2573"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项目负责人</w:t>
            </w:r>
          </w:p>
        </w:tc>
        <w:tc>
          <w:tcPr>
            <w:tcW w:w="2572"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不少于1人</w:t>
            </w:r>
          </w:p>
        </w:tc>
        <w:tc>
          <w:tcPr>
            <w:tcW w:w="4043" w:type="dxa"/>
            <w:noWrap w:val="0"/>
            <w:vAlign w:val="center"/>
          </w:tcPr>
          <w:p>
            <w:pPr>
              <w:spacing w:line="240" w:lineRule="auto"/>
              <w:jc w:val="center"/>
              <w:rPr>
                <w:rFonts w:hint="eastAsia" w:ascii="新宋体" w:hAnsi="新宋体" w:eastAsia="新宋体" w:cs="新宋体"/>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7"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2</w:t>
            </w:r>
          </w:p>
        </w:tc>
        <w:tc>
          <w:tcPr>
            <w:tcW w:w="2573"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维修工</w:t>
            </w:r>
          </w:p>
        </w:tc>
        <w:tc>
          <w:tcPr>
            <w:tcW w:w="2572"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不少于1人</w:t>
            </w:r>
          </w:p>
        </w:tc>
        <w:tc>
          <w:tcPr>
            <w:tcW w:w="4043" w:type="dxa"/>
            <w:noWrap w:val="0"/>
            <w:vAlign w:val="center"/>
          </w:tcPr>
          <w:p>
            <w:pPr>
              <w:spacing w:line="240" w:lineRule="auto"/>
              <w:jc w:val="center"/>
              <w:rPr>
                <w:rFonts w:hint="eastAsia" w:ascii="新宋体" w:hAnsi="新宋体" w:eastAsia="新宋体" w:cs="新宋体"/>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7" w:type="dxa"/>
            <w:noWrap w:val="0"/>
            <w:vAlign w:val="center"/>
          </w:tcPr>
          <w:p>
            <w:pPr>
              <w:spacing w:line="380" w:lineRule="exact"/>
              <w:jc w:val="center"/>
              <w:rPr>
                <w:rFonts w:hint="default" w:ascii="宋体" w:hAnsi="宋体" w:cs="Arial"/>
                <w:color w:val="auto"/>
                <w:sz w:val="22"/>
                <w:szCs w:val="22"/>
                <w:lang w:val="en-US" w:eastAsia="zh-CN"/>
              </w:rPr>
            </w:pPr>
            <w:r>
              <w:rPr>
                <w:rFonts w:hint="eastAsia" w:ascii="宋体" w:hAnsi="宋体" w:cs="Arial"/>
                <w:color w:val="auto"/>
                <w:sz w:val="22"/>
                <w:szCs w:val="22"/>
                <w:lang w:val="en-US" w:eastAsia="zh-CN"/>
              </w:rPr>
              <w:t>3</w:t>
            </w:r>
          </w:p>
        </w:tc>
        <w:tc>
          <w:tcPr>
            <w:tcW w:w="2573"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驾驶员</w:t>
            </w:r>
          </w:p>
        </w:tc>
        <w:tc>
          <w:tcPr>
            <w:tcW w:w="2572"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不少于1人</w:t>
            </w:r>
          </w:p>
        </w:tc>
        <w:tc>
          <w:tcPr>
            <w:tcW w:w="4043" w:type="dxa"/>
            <w:noWrap w:val="0"/>
            <w:vAlign w:val="center"/>
          </w:tcPr>
          <w:p>
            <w:pPr>
              <w:spacing w:line="240" w:lineRule="auto"/>
              <w:jc w:val="center"/>
              <w:rPr>
                <w:rFonts w:hint="eastAsia" w:ascii="新宋体" w:hAnsi="新宋体" w:eastAsia="新宋体" w:cs="新宋体"/>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7"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3</w:t>
            </w:r>
          </w:p>
        </w:tc>
        <w:tc>
          <w:tcPr>
            <w:tcW w:w="2573"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保洁员</w:t>
            </w:r>
          </w:p>
        </w:tc>
        <w:tc>
          <w:tcPr>
            <w:tcW w:w="2572"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不少于37人</w:t>
            </w:r>
          </w:p>
        </w:tc>
        <w:tc>
          <w:tcPr>
            <w:tcW w:w="4043" w:type="dxa"/>
            <w:noWrap w:val="0"/>
            <w:vAlign w:val="center"/>
          </w:tcPr>
          <w:p>
            <w:pPr>
              <w:spacing w:line="240" w:lineRule="auto"/>
              <w:jc w:val="center"/>
              <w:rPr>
                <w:rFonts w:hint="eastAsia" w:ascii="新宋体" w:hAnsi="新宋体" w:eastAsia="新宋体" w:cs="新宋体"/>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spacing w:line="380" w:lineRule="exact"/>
              <w:jc w:val="center"/>
              <w:rPr>
                <w:rFonts w:hint="default" w:ascii="宋体" w:hAnsi="宋体" w:cs="Arial"/>
                <w:color w:val="auto"/>
                <w:kern w:val="2"/>
                <w:sz w:val="22"/>
                <w:szCs w:val="22"/>
                <w:lang w:val="en-US" w:eastAsia="zh-CN" w:bidi="ar-SA"/>
              </w:rPr>
            </w:pPr>
            <w:r>
              <w:rPr>
                <w:rFonts w:hint="eastAsia" w:ascii="宋体" w:hAnsi="宋体" w:cs="Arial"/>
                <w:color w:val="auto"/>
                <w:kern w:val="2"/>
                <w:sz w:val="22"/>
                <w:szCs w:val="22"/>
                <w:lang w:val="en-US" w:eastAsia="zh-CN" w:bidi="ar-SA"/>
              </w:rPr>
              <w:t>4</w:t>
            </w:r>
          </w:p>
        </w:tc>
        <w:tc>
          <w:tcPr>
            <w:tcW w:w="2573"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kern w:val="2"/>
                <w:sz w:val="22"/>
                <w:szCs w:val="22"/>
                <w:lang w:val="en-US" w:eastAsia="zh-CN" w:bidi="ar-SA"/>
              </w:rPr>
              <w:t>吸粪车</w:t>
            </w:r>
          </w:p>
        </w:tc>
        <w:tc>
          <w:tcPr>
            <w:tcW w:w="2572" w:type="dxa"/>
            <w:noWrap w:val="0"/>
            <w:vAlign w:val="center"/>
          </w:tcPr>
          <w:p>
            <w:pPr>
              <w:spacing w:line="380" w:lineRule="exact"/>
              <w:jc w:val="center"/>
              <w:rPr>
                <w:rFonts w:hint="eastAsia" w:ascii="宋体" w:hAnsi="宋体" w:cs="Arial"/>
                <w:color w:val="auto"/>
                <w:kern w:val="2"/>
                <w:sz w:val="22"/>
                <w:szCs w:val="22"/>
                <w:lang w:val="en-US" w:eastAsia="zh-CN" w:bidi="ar-SA"/>
              </w:rPr>
            </w:pPr>
            <w:r>
              <w:rPr>
                <w:rFonts w:hint="eastAsia" w:ascii="宋体" w:hAnsi="宋体" w:cs="Arial"/>
                <w:color w:val="auto"/>
                <w:sz w:val="22"/>
                <w:szCs w:val="22"/>
                <w:lang w:val="en-US" w:eastAsia="zh-CN"/>
              </w:rPr>
              <w:t>不少于1辆</w:t>
            </w:r>
          </w:p>
        </w:tc>
        <w:tc>
          <w:tcPr>
            <w:tcW w:w="4043" w:type="dxa"/>
            <w:noWrap w:val="0"/>
            <w:vAlign w:val="center"/>
          </w:tcPr>
          <w:p>
            <w:pPr>
              <w:spacing w:line="240" w:lineRule="auto"/>
              <w:jc w:val="center"/>
              <w:rPr>
                <w:rFonts w:hint="eastAsia" w:ascii="新宋体" w:hAnsi="新宋体" w:eastAsia="新宋体" w:cs="新宋体"/>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0035" w:type="dxa"/>
            <w:gridSpan w:val="4"/>
            <w:noWrap w:val="0"/>
            <w:vAlign w:val="center"/>
          </w:tcPr>
          <w:p>
            <w:pPr>
              <w:spacing w:line="240" w:lineRule="auto"/>
              <w:jc w:val="center"/>
              <w:rPr>
                <w:rFonts w:hint="eastAsia" w:ascii="新宋体" w:hAnsi="新宋体" w:eastAsia="新宋体" w:cs="新宋体"/>
                <w:b/>
                <w:color w:val="auto"/>
                <w:sz w:val="22"/>
                <w:szCs w:val="22"/>
                <w:lang w:eastAsia="zh-CN"/>
              </w:rPr>
            </w:pPr>
            <w:r>
              <w:rPr>
                <w:rFonts w:hint="eastAsia" w:ascii="新宋体" w:hAnsi="新宋体" w:eastAsia="新宋体" w:cs="新宋体"/>
                <w:b/>
                <w:color w:val="auto"/>
                <w:sz w:val="22"/>
                <w:szCs w:val="22"/>
                <w:lang w:eastAsia="zh-CN"/>
              </w:rPr>
              <w:t>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spacing w:line="380" w:lineRule="exact"/>
              <w:jc w:val="center"/>
              <w:rPr>
                <w:rFonts w:hint="default" w:ascii="宋体" w:hAnsi="宋体" w:cs="Arial"/>
                <w:color w:val="auto"/>
                <w:kern w:val="2"/>
                <w:sz w:val="22"/>
                <w:szCs w:val="22"/>
                <w:lang w:val="en-US" w:eastAsia="zh-CN" w:bidi="ar-SA"/>
              </w:rPr>
            </w:pPr>
            <w:r>
              <w:rPr>
                <w:rFonts w:hint="eastAsia" w:ascii="宋体" w:hAnsi="宋体" w:cs="Arial"/>
                <w:color w:val="auto"/>
                <w:kern w:val="2"/>
                <w:sz w:val="22"/>
                <w:szCs w:val="22"/>
                <w:lang w:val="en-US" w:eastAsia="zh-CN" w:bidi="ar-SA"/>
              </w:rPr>
              <w:t>1</w:t>
            </w:r>
          </w:p>
        </w:tc>
        <w:tc>
          <w:tcPr>
            <w:tcW w:w="2573"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管理员</w:t>
            </w:r>
          </w:p>
        </w:tc>
        <w:tc>
          <w:tcPr>
            <w:tcW w:w="2572"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不少于1人</w:t>
            </w:r>
          </w:p>
        </w:tc>
        <w:tc>
          <w:tcPr>
            <w:tcW w:w="4043" w:type="dxa"/>
            <w:noWrap w:val="0"/>
            <w:vAlign w:val="center"/>
          </w:tcPr>
          <w:p>
            <w:pPr>
              <w:spacing w:line="380" w:lineRule="exact"/>
              <w:jc w:val="center"/>
              <w:rPr>
                <w:rFonts w:hint="eastAsia" w:ascii="宋体" w:hAnsi="宋体" w:cs="Arial"/>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spacing w:line="380" w:lineRule="exact"/>
              <w:jc w:val="center"/>
              <w:rPr>
                <w:rFonts w:hint="default" w:ascii="宋体" w:hAnsi="宋体" w:cs="Arial"/>
                <w:color w:val="auto"/>
                <w:kern w:val="2"/>
                <w:sz w:val="22"/>
                <w:szCs w:val="22"/>
                <w:lang w:val="en-US" w:eastAsia="zh-CN" w:bidi="ar-SA"/>
              </w:rPr>
            </w:pPr>
            <w:r>
              <w:rPr>
                <w:rFonts w:hint="eastAsia" w:ascii="宋体" w:hAnsi="宋体" w:cs="Arial"/>
                <w:color w:val="auto"/>
                <w:kern w:val="2"/>
                <w:sz w:val="22"/>
                <w:szCs w:val="22"/>
                <w:lang w:val="en-US" w:eastAsia="zh-CN" w:bidi="ar-SA"/>
              </w:rPr>
              <w:t>2</w:t>
            </w:r>
          </w:p>
        </w:tc>
        <w:tc>
          <w:tcPr>
            <w:tcW w:w="2573"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垃圾分类收集、清运人员</w:t>
            </w:r>
          </w:p>
        </w:tc>
        <w:tc>
          <w:tcPr>
            <w:tcW w:w="2572"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不少于9人</w:t>
            </w:r>
          </w:p>
        </w:tc>
        <w:tc>
          <w:tcPr>
            <w:tcW w:w="4043"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自行配备清运用品、工具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spacing w:line="380" w:lineRule="exact"/>
              <w:jc w:val="center"/>
              <w:rPr>
                <w:rFonts w:hint="default" w:ascii="宋体" w:hAnsi="宋体" w:cs="Arial"/>
                <w:color w:val="auto"/>
                <w:kern w:val="2"/>
                <w:sz w:val="22"/>
                <w:szCs w:val="22"/>
                <w:lang w:val="en-US" w:eastAsia="zh-CN" w:bidi="ar-SA"/>
              </w:rPr>
            </w:pPr>
            <w:r>
              <w:rPr>
                <w:rFonts w:hint="eastAsia" w:ascii="宋体" w:hAnsi="宋体" w:cs="Arial"/>
                <w:color w:val="auto"/>
                <w:kern w:val="2"/>
                <w:sz w:val="22"/>
                <w:szCs w:val="22"/>
                <w:lang w:val="en-US" w:eastAsia="zh-CN" w:bidi="ar-SA"/>
              </w:rPr>
              <w:t>3</w:t>
            </w:r>
          </w:p>
        </w:tc>
        <w:tc>
          <w:tcPr>
            <w:tcW w:w="2573" w:type="dxa"/>
            <w:noWrap w:val="0"/>
            <w:vAlign w:val="center"/>
          </w:tcPr>
          <w:p>
            <w:pPr>
              <w:spacing w:line="240" w:lineRule="auto"/>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电动桶装收集车（车厢容积6个及以上240L垃圾桶）</w:t>
            </w:r>
          </w:p>
        </w:tc>
        <w:tc>
          <w:tcPr>
            <w:tcW w:w="2572"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不少于3辆</w:t>
            </w:r>
          </w:p>
        </w:tc>
        <w:tc>
          <w:tcPr>
            <w:tcW w:w="4043" w:type="dxa"/>
            <w:noWrap w:val="0"/>
            <w:vAlign w:val="center"/>
          </w:tcPr>
          <w:p>
            <w:pPr>
              <w:spacing w:line="380" w:lineRule="exact"/>
              <w:jc w:val="center"/>
              <w:rPr>
                <w:rFonts w:hint="eastAsia" w:ascii="宋体" w:hAnsi="宋体" w:cs="Arial"/>
                <w:color w:val="auto"/>
                <w:sz w:val="22"/>
                <w:szCs w:val="22"/>
                <w:lang w:val="en-US" w:eastAsia="zh-CN"/>
              </w:rPr>
            </w:pPr>
            <w:r>
              <w:rPr>
                <w:rFonts w:hint="eastAsia" w:ascii="宋体" w:hAnsi="宋体" w:cs="Arial"/>
                <w:color w:val="auto"/>
                <w:sz w:val="22"/>
                <w:szCs w:val="22"/>
                <w:lang w:val="en-US" w:eastAsia="zh-CN"/>
              </w:rPr>
              <w:t>垃圾分类收集员使用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35" w:type="dxa"/>
            <w:gridSpan w:val="4"/>
            <w:noWrap w:val="0"/>
            <w:vAlign w:val="center"/>
          </w:tcPr>
          <w:p>
            <w:pPr>
              <w:numPr>
                <w:ilvl w:val="0"/>
                <w:numId w:val="0"/>
              </w:numPr>
              <w:spacing w:line="360" w:lineRule="auto"/>
              <w:jc w:val="center"/>
              <w:rPr>
                <w:rFonts w:hint="eastAsia" w:ascii="新宋体" w:hAnsi="新宋体" w:eastAsia="新宋体" w:cs="新宋体"/>
                <w:b/>
                <w:color w:val="auto"/>
                <w:sz w:val="22"/>
                <w:szCs w:val="22"/>
              </w:rPr>
            </w:pPr>
            <w:r>
              <w:rPr>
                <w:rFonts w:hint="eastAsia" w:ascii="宋体" w:hAnsi="宋体" w:cs="黑体"/>
                <w:b/>
                <w:bCs/>
                <w:color w:val="auto"/>
                <w:sz w:val="22"/>
                <w:szCs w:val="22"/>
                <w:lang w:eastAsia="zh-CN"/>
              </w:rPr>
              <w:t>备注：</w:t>
            </w:r>
            <w:r>
              <w:rPr>
                <w:rFonts w:hint="eastAsia" w:ascii="宋体" w:hAnsi="宋体" w:cs="黑体"/>
                <w:b/>
                <w:bCs/>
                <w:color w:val="auto"/>
                <w:sz w:val="22"/>
                <w:szCs w:val="22"/>
              </w:rPr>
              <w:t>在合同期内，</w:t>
            </w:r>
            <w:r>
              <w:rPr>
                <w:rFonts w:hint="eastAsia" w:ascii="宋体" w:hAnsi="宋体" w:cs="黑体"/>
                <w:b/>
                <w:bCs/>
                <w:color w:val="auto"/>
                <w:sz w:val="22"/>
                <w:szCs w:val="22"/>
                <w:lang w:eastAsia="zh-CN"/>
              </w:rPr>
              <w:t>在保洁范围以外需要应急机动队进行紧急加班结算单价如下：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i w:val="0"/>
                <w:color w:val="auto"/>
                <w:kern w:val="0"/>
                <w:sz w:val="22"/>
                <w:szCs w:val="22"/>
                <w:u w:val="none"/>
                <w:lang w:val="en-US" w:eastAsia="zh-CN" w:bidi="ar"/>
              </w:rPr>
              <w:t>1</w:t>
            </w:r>
          </w:p>
        </w:tc>
        <w:tc>
          <w:tcPr>
            <w:tcW w:w="2573" w:type="dxa"/>
            <w:noWrap w:val="0"/>
            <w:vAlign w:val="center"/>
          </w:tcPr>
          <w:p>
            <w:pPr>
              <w:keepNext w:val="0"/>
              <w:keepLines w:val="0"/>
              <w:suppressLineNumbers w:val="0"/>
              <w:snapToGrid w:val="0"/>
              <w:spacing w:before="0" w:beforeAutospacing="0" w:after="0" w:afterAutospacing="0" w:line="360" w:lineRule="exact"/>
              <w:ind w:left="0" w:leftChars="0" w:right="0" w:rightChars="0"/>
              <w:jc w:val="left"/>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color w:val="auto"/>
                <w:sz w:val="22"/>
                <w:szCs w:val="22"/>
              </w:rPr>
              <w:t>挖掘机</w:t>
            </w:r>
          </w:p>
        </w:tc>
        <w:tc>
          <w:tcPr>
            <w:tcW w:w="6615" w:type="dxa"/>
            <w:gridSpan w:val="2"/>
            <w:noWrap w:val="0"/>
            <w:vAlign w:val="center"/>
          </w:tcPr>
          <w:p>
            <w:pPr>
              <w:spacing w:line="240" w:lineRule="auto"/>
              <w:jc w:val="left"/>
              <w:rPr>
                <w:rFonts w:hint="eastAsia" w:ascii="新宋体" w:hAnsi="新宋体" w:eastAsia="新宋体" w:cs="新宋体"/>
                <w:b w:val="0"/>
                <w:bCs w:val="0"/>
                <w:color w:val="auto"/>
                <w:sz w:val="22"/>
                <w:szCs w:val="22"/>
              </w:rPr>
            </w:pPr>
            <w:r>
              <w:rPr>
                <w:rFonts w:hint="eastAsia" w:ascii="宋体" w:hAnsi="宋体" w:eastAsia="宋体" w:cs="宋体"/>
                <w:b w:val="0"/>
                <w:bCs w:val="0"/>
                <w:i w:val="0"/>
                <w:color w:val="auto"/>
                <w:kern w:val="0"/>
                <w:sz w:val="22"/>
                <w:szCs w:val="22"/>
                <w:u w:val="none"/>
                <w:lang w:val="en-US" w:eastAsia="zh-CN" w:bidi="ar"/>
              </w:rPr>
              <w:t>60型1280元/天、80型1520元/天、120 型1680元/天、200型及以上型号2240元/天、长臂挖机（13米）3520元/天、320型2400元/天、轮胎式挖掘机1520元/天时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i w:val="0"/>
                <w:color w:val="auto"/>
                <w:kern w:val="0"/>
                <w:sz w:val="22"/>
                <w:szCs w:val="22"/>
                <w:u w:val="none"/>
                <w:lang w:val="en-US" w:eastAsia="zh-CN" w:bidi="ar"/>
              </w:rPr>
              <w:t>2</w:t>
            </w:r>
          </w:p>
        </w:tc>
        <w:tc>
          <w:tcPr>
            <w:tcW w:w="2573" w:type="dxa"/>
            <w:noWrap w:val="0"/>
            <w:vAlign w:val="top"/>
          </w:tcPr>
          <w:p>
            <w:pPr>
              <w:keepNext w:val="0"/>
              <w:keepLines w:val="0"/>
              <w:suppressLineNumbers w:val="0"/>
              <w:snapToGrid w:val="0"/>
              <w:spacing w:before="0" w:beforeAutospacing="0" w:after="0" w:afterAutospacing="0" w:line="360" w:lineRule="exact"/>
              <w:ind w:left="0" w:leftChars="0" w:right="0" w:rightChars="0"/>
              <w:jc w:val="left"/>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color w:val="auto"/>
                <w:sz w:val="22"/>
                <w:szCs w:val="22"/>
              </w:rPr>
              <w:t>运输车辆</w:t>
            </w:r>
          </w:p>
        </w:tc>
        <w:tc>
          <w:tcPr>
            <w:tcW w:w="6615" w:type="dxa"/>
            <w:gridSpan w:val="2"/>
            <w:noWrap w:val="0"/>
            <w:vAlign w:val="center"/>
          </w:tcPr>
          <w:p>
            <w:pPr>
              <w:keepNext w:val="0"/>
              <w:keepLines w:val="0"/>
              <w:widowControl/>
              <w:suppressLineNumbers w:val="0"/>
              <w:jc w:val="left"/>
              <w:rPr>
                <w:rFonts w:hint="default" w:ascii="新宋体" w:hAnsi="新宋体" w:eastAsia="新宋体" w:cs="新宋体"/>
                <w:b w:val="0"/>
                <w:bCs w:val="0"/>
                <w:color w:val="auto"/>
                <w:sz w:val="22"/>
                <w:szCs w:val="22"/>
                <w:lang w:val="en-US"/>
              </w:rPr>
            </w:pPr>
            <w:r>
              <w:rPr>
                <w:rFonts w:hint="eastAsia" w:ascii="宋体" w:hAnsi="宋体" w:eastAsia="宋体" w:cs="宋体"/>
                <w:b w:val="0"/>
                <w:bCs w:val="0"/>
                <w:i w:val="0"/>
                <w:color w:val="auto"/>
                <w:kern w:val="0"/>
                <w:sz w:val="22"/>
                <w:szCs w:val="22"/>
                <w:u w:val="none"/>
                <w:lang w:val="en-US" w:eastAsia="zh-CN" w:bidi="ar"/>
              </w:rPr>
              <w:t>5 吨自卸车950/天、运载量6立方的东风车960/天、1. 5吨运输车720元/天、运载量10立方的东风车560元/天、15吨运输车1800元/天、20吨运输车2000元/天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i w:val="0"/>
                <w:color w:val="auto"/>
                <w:kern w:val="0"/>
                <w:sz w:val="22"/>
                <w:szCs w:val="22"/>
                <w:u w:val="none"/>
                <w:lang w:val="en-US" w:eastAsia="zh-CN" w:bidi="ar"/>
              </w:rPr>
              <w:t>3</w:t>
            </w:r>
          </w:p>
        </w:tc>
        <w:tc>
          <w:tcPr>
            <w:tcW w:w="2573" w:type="dxa"/>
            <w:noWrap w:val="0"/>
            <w:vAlign w:val="top"/>
          </w:tcPr>
          <w:p>
            <w:pPr>
              <w:keepNext w:val="0"/>
              <w:keepLines w:val="0"/>
              <w:suppressLineNumbers w:val="0"/>
              <w:snapToGrid w:val="0"/>
              <w:spacing w:before="0" w:beforeAutospacing="0" w:after="0" w:afterAutospacing="0" w:line="360" w:lineRule="exact"/>
              <w:ind w:left="0" w:leftChars="0" w:right="0" w:rightChars="0"/>
              <w:jc w:val="left"/>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color w:val="auto"/>
                <w:sz w:val="22"/>
                <w:szCs w:val="22"/>
              </w:rPr>
              <w:t>铲车</w:t>
            </w:r>
          </w:p>
        </w:tc>
        <w:tc>
          <w:tcPr>
            <w:tcW w:w="6615" w:type="dxa"/>
            <w:gridSpan w:val="2"/>
            <w:noWrap w:val="0"/>
            <w:vAlign w:val="top"/>
          </w:tcPr>
          <w:p>
            <w:pPr>
              <w:spacing w:line="240" w:lineRule="auto"/>
              <w:jc w:val="left"/>
              <w:rPr>
                <w:rFonts w:hint="eastAsia" w:ascii="新宋体" w:hAnsi="新宋体" w:eastAsia="宋体" w:cs="新宋体"/>
                <w:b w:val="0"/>
                <w:bCs w:val="0"/>
                <w:color w:val="auto"/>
                <w:sz w:val="22"/>
                <w:szCs w:val="22"/>
                <w:lang w:eastAsia="zh-CN"/>
              </w:rPr>
            </w:pPr>
            <w:r>
              <w:rPr>
                <w:rFonts w:hint="eastAsia" w:ascii="宋体" w:hAnsi="宋体" w:eastAsia="宋体" w:cs="宋体"/>
                <w:b w:val="0"/>
                <w:bCs w:val="0"/>
                <w:color w:val="auto"/>
                <w:sz w:val="22"/>
                <w:szCs w:val="22"/>
              </w:rPr>
              <w:t>50型</w:t>
            </w:r>
            <w:r>
              <w:rPr>
                <w:rFonts w:hint="eastAsia" w:ascii="宋体" w:hAnsi="宋体" w:eastAsia="宋体" w:cs="宋体"/>
                <w:b w:val="0"/>
                <w:bCs w:val="0"/>
                <w:color w:val="auto"/>
                <w:sz w:val="22"/>
                <w:szCs w:val="22"/>
                <w:lang w:val="en-US" w:eastAsia="zh-CN"/>
              </w:rPr>
              <w:t>1880</w:t>
            </w:r>
            <w:r>
              <w:rPr>
                <w:rFonts w:hint="eastAsia" w:ascii="宋体" w:hAnsi="宋体" w:eastAsia="宋体" w:cs="宋体"/>
                <w:b w:val="0"/>
                <w:bCs w:val="0"/>
                <w:color w:val="auto"/>
                <w:sz w:val="22"/>
                <w:szCs w:val="22"/>
              </w:rPr>
              <w:t>元/</w:t>
            </w:r>
            <w:r>
              <w:rPr>
                <w:rFonts w:hint="eastAsia" w:ascii="宋体" w:hAnsi="宋体" w:eastAsia="宋体" w:cs="宋体"/>
                <w:b w:val="0"/>
                <w:bCs w:val="0"/>
                <w:color w:val="auto"/>
                <w:sz w:val="22"/>
                <w:szCs w:val="22"/>
                <w:lang w:eastAsia="zh-CN"/>
              </w:rPr>
              <w:t>天</w:t>
            </w:r>
            <w:r>
              <w:rPr>
                <w:rFonts w:hint="eastAsia" w:ascii="宋体" w:hAnsi="宋体" w:eastAsia="宋体" w:cs="宋体"/>
                <w:b w:val="0"/>
                <w:bCs w:val="0"/>
                <w:color w:val="auto"/>
                <w:sz w:val="22"/>
                <w:szCs w:val="22"/>
              </w:rPr>
              <w:t>、30型</w:t>
            </w:r>
            <w:r>
              <w:rPr>
                <w:rFonts w:hint="eastAsia" w:ascii="宋体" w:hAnsi="宋体" w:eastAsia="宋体" w:cs="宋体"/>
                <w:b w:val="0"/>
                <w:bCs w:val="0"/>
                <w:color w:val="auto"/>
                <w:sz w:val="22"/>
                <w:szCs w:val="22"/>
                <w:lang w:val="en-US" w:eastAsia="zh-CN"/>
              </w:rPr>
              <w:t>1280</w:t>
            </w:r>
            <w:r>
              <w:rPr>
                <w:rFonts w:hint="eastAsia" w:ascii="宋体" w:hAnsi="宋体" w:eastAsia="宋体" w:cs="宋体"/>
                <w:b w:val="0"/>
                <w:bCs w:val="0"/>
                <w:color w:val="auto"/>
                <w:sz w:val="22"/>
                <w:szCs w:val="22"/>
              </w:rPr>
              <w:t>元/</w:t>
            </w:r>
            <w:r>
              <w:rPr>
                <w:rFonts w:hint="eastAsia" w:ascii="宋体" w:hAnsi="宋体" w:eastAsia="宋体" w:cs="宋体"/>
                <w:b w:val="0"/>
                <w:bCs w:val="0"/>
                <w:color w:val="auto"/>
                <w:sz w:val="22"/>
                <w:szCs w:val="22"/>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i w:val="0"/>
                <w:color w:val="auto"/>
                <w:kern w:val="0"/>
                <w:sz w:val="22"/>
                <w:szCs w:val="22"/>
                <w:u w:val="none"/>
                <w:lang w:val="en-US" w:eastAsia="zh-CN" w:bidi="ar"/>
              </w:rPr>
              <w:t>4</w:t>
            </w:r>
          </w:p>
        </w:tc>
        <w:tc>
          <w:tcPr>
            <w:tcW w:w="2573" w:type="dxa"/>
            <w:noWrap w:val="0"/>
            <w:vAlign w:val="top"/>
          </w:tcPr>
          <w:p>
            <w:pPr>
              <w:keepNext w:val="0"/>
              <w:keepLines w:val="0"/>
              <w:suppressLineNumbers w:val="0"/>
              <w:snapToGrid w:val="0"/>
              <w:spacing w:before="0" w:beforeAutospacing="0" w:after="0" w:afterAutospacing="0" w:line="360" w:lineRule="exact"/>
              <w:ind w:left="0" w:leftChars="0" w:right="0" w:rightChars="0"/>
              <w:jc w:val="left"/>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color w:val="auto"/>
                <w:sz w:val="22"/>
                <w:szCs w:val="22"/>
              </w:rPr>
              <w:t>汽车吊</w:t>
            </w:r>
          </w:p>
        </w:tc>
        <w:tc>
          <w:tcPr>
            <w:tcW w:w="6615" w:type="dxa"/>
            <w:gridSpan w:val="2"/>
            <w:noWrap w:val="0"/>
            <w:vAlign w:val="top"/>
          </w:tcPr>
          <w:p>
            <w:pPr>
              <w:spacing w:line="240" w:lineRule="auto"/>
              <w:jc w:val="left"/>
              <w:rPr>
                <w:rFonts w:hint="eastAsia" w:ascii="新宋体" w:hAnsi="新宋体" w:eastAsia="宋体" w:cs="新宋体"/>
                <w:b w:val="0"/>
                <w:bCs w:val="0"/>
                <w:color w:val="auto"/>
                <w:sz w:val="22"/>
                <w:szCs w:val="22"/>
                <w:lang w:eastAsia="zh-CN"/>
              </w:rPr>
            </w:pPr>
            <w:r>
              <w:rPr>
                <w:rFonts w:hint="eastAsia" w:ascii="宋体" w:hAnsi="宋体" w:eastAsia="宋体" w:cs="宋体"/>
                <w:b w:val="0"/>
                <w:bCs w:val="0"/>
                <w:color w:val="auto"/>
                <w:sz w:val="22"/>
                <w:szCs w:val="22"/>
              </w:rPr>
              <w:t>20T型</w:t>
            </w:r>
            <w:r>
              <w:rPr>
                <w:rFonts w:hint="eastAsia" w:ascii="宋体" w:hAnsi="宋体" w:eastAsia="宋体" w:cs="宋体"/>
                <w:b w:val="0"/>
                <w:bCs w:val="0"/>
                <w:color w:val="auto"/>
                <w:sz w:val="22"/>
                <w:szCs w:val="22"/>
                <w:lang w:val="en-US" w:eastAsia="zh-CN"/>
              </w:rPr>
              <w:t>2080</w:t>
            </w:r>
            <w:r>
              <w:rPr>
                <w:rFonts w:hint="eastAsia" w:ascii="宋体" w:hAnsi="宋体" w:eastAsia="宋体" w:cs="宋体"/>
                <w:b w:val="0"/>
                <w:bCs w:val="0"/>
                <w:color w:val="auto"/>
                <w:sz w:val="22"/>
                <w:szCs w:val="22"/>
              </w:rPr>
              <w:t>元/</w:t>
            </w:r>
            <w:r>
              <w:rPr>
                <w:rFonts w:hint="eastAsia" w:ascii="宋体" w:hAnsi="宋体" w:eastAsia="宋体" w:cs="宋体"/>
                <w:b w:val="0"/>
                <w:bCs w:val="0"/>
                <w:color w:val="auto"/>
                <w:sz w:val="22"/>
                <w:szCs w:val="22"/>
                <w:lang w:eastAsia="zh-CN"/>
              </w:rPr>
              <w:t>天</w:t>
            </w:r>
            <w:r>
              <w:rPr>
                <w:rFonts w:hint="eastAsia" w:ascii="宋体" w:hAnsi="宋体" w:eastAsia="宋体" w:cs="宋体"/>
                <w:b w:val="0"/>
                <w:bCs w:val="0"/>
                <w:color w:val="auto"/>
                <w:sz w:val="22"/>
                <w:szCs w:val="22"/>
              </w:rPr>
              <w:t>、16T型</w:t>
            </w:r>
            <w:r>
              <w:rPr>
                <w:rFonts w:hint="eastAsia" w:ascii="宋体" w:hAnsi="宋体" w:eastAsia="宋体" w:cs="宋体"/>
                <w:b w:val="0"/>
                <w:bCs w:val="0"/>
                <w:color w:val="auto"/>
                <w:sz w:val="22"/>
                <w:szCs w:val="22"/>
                <w:lang w:val="en-US" w:eastAsia="zh-CN"/>
              </w:rPr>
              <w:t>1760</w:t>
            </w:r>
            <w:r>
              <w:rPr>
                <w:rFonts w:hint="eastAsia" w:ascii="宋体" w:hAnsi="宋体" w:eastAsia="宋体" w:cs="宋体"/>
                <w:b w:val="0"/>
                <w:bCs w:val="0"/>
                <w:color w:val="auto"/>
                <w:sz w:val="22"/>
                <w:szCs w:val="22"/>
              </w:rPr>
              <w:t>元/</w:t>
            </w:r>
            <w:r>
              <w:rPr>
                <w:rFonts w:hint="eastAsia" w:ascii="宋体" w:hAnsi="宋体" w:eastAsia="宋体" w:cs="宋体"/>
                <w:b w:val="0"/>
                <w:bCs w:val="0"/>
                <w:color w:val="auto"/>
                <w:sz w:val="22"/>
                <w:szCs w:val="22"/>
                <w:lang w:eastAsia="zh-CN"/>
              </w:rPr>
              <w:t>天</w:t>
            </w:r>
            <w:r>
              <w:rPr>
                <w:rFonts w:hint="eastAsia" w:ascii="宋体" w:hAnsi="宋体" w:eastAsia="宋体" w:cs="宋体"/>
                <w:b w:val="0"/>
                <w:bCs w:val="0"/>
                <w:color w:val="auto"/>
                <w:sz w:val="22"/>
                <w:szCs w:val="22"/>
              </w:rPr>
              <w:t>、12T型</w:t>
            </w:r>
            <w:r>
              <w:rPr>
                <w:rFonts w:hint="eastAsia" w:ascii="宋体" w:hAnsi="宋体" w:eastAsia="宋体" w:cs="宋体"/>
                <w:b w:val="0"/>
                <w:bCs w:val="0"/>
                <w:color w:val="auto"/>
                <w:sz w:val="22"/>
                <w:szCs w:val="22"/>
                <w:lang w:val="en-US" w:eastAsia="zh-CN"/>
              </w:rPr>
              <w:t>1440元</w:t>
            </w:r>
            <w:r>
              <w:rPr>
                <w:rFonts w:hint="eastAsia" w:ascii="宋体" w:hAnsi="宋体" w:eastAsia="宋体" w:cs="宋体"/>
                <w:b w:val="0"/>
                <w:bCs w:val="0"/>
                <w:color w:val="auto"/>
                <w:sz w:val="22"/>
                <w:szCs w:val="22"/>
              </w:rPr>
              <w:t>/</w:t>
            </w:r>
            <w:r>
              <w:rPr>
                <w:rFonts w:hint="eastAsia" w:ascii="宋体" w:hAnsi="宋体" w:eastAsia="宋体" w:cs="宋体"/>
                <w:b w:val="0"/>
                <w:bCs w:val="0"/>
                <w:color w:val="auto"/>
                <w:sz w:val="22"/>
                <w:szCs w:val="22"/>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i w:val="0"/>
                <w:color w:val="auto"/>
                <w:kern w:val="0"/>
                <w:sz w:val="22"/>
                <w:szCs w:val="22"/>
                <w:u w:val="none"/>
                <w:lang w:val="en-US" w:eastAsia="zh-CN" w:bidi="ar"/>
              </w:rPr>
              <w:t>5</w:t>
            </w:r>
          </w:p>
        </w:tc>
        <w:tc>
          <w:tcPr>
            <w:tcW w:w="2573" w:type="dxa"/>
            <w:noWrap w:val="0"/>
            <w:vAlign w:val="top"/>
          </w:tcPr>
          <w:p>
            <w:pPr>
              <w:keepNext w:val="0"/>
              <w:keepLines w:val="0"/>
              <w:suppressLineNumbers w:val="0"/>
              <w:snapToGrid w:val="0"/>
              <w:spacing w:before="0" w:beforeAutospacing="0" w:after="0" w:afterAutospacing="0" w:line="360" w:lineRule="exact"/>
              <w:ind w:left="0" w:leftChars="0" w:right="0" w:rightChars="0"/>
              <w:jc w:val="left"/>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color w:val="auto"/>
                <w:sz w:val="22"/>
                <w:szCs w:val="22"/>
              </w:rPr>
              <w:t>水陆两用挖机</w:t>
            </w:r>
          </w:p>
        </w:tc>
        <w:tc>
          <w:tcPr>
            <w:tcW w:w="6615" w:type="dxa"/>
            <w:gridSpan w:val="2"/>
            <w:noWrap w:val="0"/>
            <w:vAlign w:val="top"/>
          </w:tcPr>
          <w:p>
            <w:pPr>
              <w:spacing w:line="240" w:lineRule="auto"/>
              <w:jc w:val="left"/>
              <w:rPr>
                <w:rFonts w:hint="eastAsia" w:ascii="新宋体" w:hAnsi="新宋体" w:eastAsia="宋体" w:cs="新宋体"/>
                <w:b w:val="0"/>
                <w:bCs w:val="0"/>
                <w:color w:val="auto"/>
                <w:sz w:val="22"/>
                <w:szCs w:val="22"/>
                <w:lang w:eastAsia="zh-CN"/>
              </w:rPr>
            </w:pPr>
            <w:r>
              <w:rPr>
                <w:rFonts w:hint="eastAsia" w:ascii="宋体" w:hAnsi="宋体" w:eastAsia="宋体" w:cs="宋体"/>
                <w:b w:val="0"/>
                <w:bCs w:val="0"/>
                <w:color w:val="auto"/>
                <w:sz w:val="22"/>
                <w:szCs w:val="22"/>
              </w:rPr>
              <w:t>200型号</w:t>
            </w:r>
            <w:r>
              <w:rPr>
                <w:rFonts w:hint="eastAsia" w:ascii="宋体" w:hAnsi="宋体" w:eastAsia="宋体" w:cs="宋体"/>
                <w:b w:val="0"/>
                <w:bCs w:val="0"/>
                <w:color w:val="auto"/>
                <w:sz w:val="22"/>
                <w:szCs w:val="22"/>
                <w:lang w:val="en-US" w:eastAsia="zh-CN"/>
              </w:rPr>
              <w:t>4000</w:t>
            </w:r>
            <w:r>
              <w:rPr>
                <w:rFonts w:hint="eastAsia" w:ascii="宋体" w:hAnsi="宋体" w:eastAsia="宋体" w:cs="宋体"/>
                <w:b w:val="0"/>
                <w:bCs w:val="0"/>
                <w:color w:val="auto"/>
                <w:sz w:val="22"/>
                <w:szCs w:val="22"/>
              </w:rPr>
              <w:t>元/</w:t>
            </w:r>
            <w:r>
              <w:rPr>
                <w:rFonts w:hint="eastAsia" w:ascii="宋体" w:hAnsi="宋体" w:eastAsia="宋体" w:cs="宋体"/>
                <w:b w:val="0"/>
                <w:bCs w:val="0"/>
                <w:color w:val="auto"/>
                <w:sz w:val="22"/>
                <w:szCs w:val="22"/>
                <w:lang w:eastAsia="zh-CN"/>
              </w:rPr>
              <w:t>天</w:t>
            </w:r>
            <w:r>
              <w:rPr>
                <w:rFonts w:hint="eastAsia" w:ascii="宋体" w:hAnsi="宋体" w:eastAsia="宋体" w:cs="宋体"/>
                <w:b w:val="0"/>
                <w:bCs w:val="0"/>
                <w:color w:val="auto"/>
                <w:sz w:val="22"/>
                <w:szCs w:val="22"/>
              </w:rPr>
              <w:t>、75型号</w:t>
            </w:r>
            <w:r>
              <w:rPr>
                <w:rFonts w:hint="eastAsia" w:ascii="宋体" w:hAnsi="宋体" w:eastAsia="宋体" w:cs="宋体"/>
                <w:b w:val="0"/>
                <w:bCs w:val="0"/>
                <w:color w:val="auto"/>
                <w:sz w:val="22"/>
                <w:szCs w:val="22"/>
                <w:lang w:val="en-US" w:eastAsia="zh-CN"/>
              </w:rPr>
              <w:t>2080</w:t>
            </w:r>
            <w:r>
              <w:rPr>
                <w:rFonts w:hint="eastAsia" w:ascii="宋体" w:hAnsi="宋体" w:eastAsia="宋体" w:cs="宋体"/>
                <w:b w:val="0"/>
                <w:bCs w:val="0"/>
                <w:color w:val="auto"/>
                <w:sz w:val="22"/>
                <w:szCs w:val="22"/>
              </w:rPr>
              <w:t>元/</w:t>
            </w:r>
            <w:r>
              <w:rPr>
                <w:rFonts w:hint="eastAsia" w:ascii="宋体" w:hAnsi="宋体" w:eastAsia="宋体" w:cs="宋体"/>
                <w:b w:val="0"/>
                <w:bCs w:val="0"/>
                <w:color w:val="auto"/>
                <w:sz w:val="22"/>
                <w:szCs w:val="22"/>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i w:val="0"/>
                <w:color w:val="auto"/>
                <w:kern w:val="0"/>
                <w:sz w:val="22"/>
                <w:szCs w:val="22"/>
                <w:u w:val="none"/>
                <w:lang w:val="en-US" w:eastAsia="zh-CN" w:bidi="ar"/>
              </w:rPr>
              <w:t>6</w:t>
            </w:r>
          </w:p>
        </w:tc>
        <w:tc>
          <w:tcPr>
            <w:tcW w:w="2573" w:type="dxa"/>
            <w:noWrap w:val="0"/>
            <w:vAlign w:val="top"/>
          </w:tcPr>
          <w:p>
            <w:pPr>
              <w:spacing w:line="240" w:lineRule="auto"/>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人工</w:t>
            </w:r>
          </w:p>
        </w:tc>
        <w:tc>
          <w:tcPr>
            <w:tcW w:w="6615" w:type="dxa"/>
            <w:gridSpan w:val="2"/>
            <w:noWrap w:val="0"/>
            <w:vAlign w:val="top"/>
          </w:tcPr>
          <w:p>
            <w:pPr>
              <w:spacing w:line="240" w:lineRule="auto"/>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男工200元/日、女工200元/日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i w:val="0"/>
                <w:color w:val="auto"/>
                <w:kern w:val="0"/>
                <w:sz w:val="22"/>
                <w:szCs w:val="22"/>
                <w:u w:val="none"/>
                <w:lang w:val="en-US" w:eastAsia="zh-CN" w:bidi="ar"/>
              </w:rPr>
              <w:t>7</w:t>
            </w:r>
          </w:p>
        </w:tc>
        <w:tc>
          <w:tcPr>
            <w:tcW w:w="2573" w:type="dxa"/>
            <w:noWrap w:val="0"/>
            <w:vAlign w:val="top"/>
          </w:tcPr>
          <w:p>
            <w:pPr>
              <w:keepNext w:val="0"/>
              <w:keepLines w:val="0"/>
              <w:suppressLineNumbers w:val="0"/>
              <w:snapToGrid w:val="0"/>
              <w:spacing w:before="0" w:beforeAutospacing="0" w:after="0" w:afterAutospacing="0" w:line="360" w:lineRule="exact"/>
              <w:ind w:left="0" w:leftChars="0" w:right="0" w:rightChars="0"/>
              <w:jc w:val="left"/>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color w:val="auto"/>
                <w:sz w:val="22"/>
                <w:szCs w:val="22"/>
              </w:rPr>
              <w:t>6米的登高车</w:t>
            </w:r>
          </w:p>
        </w:tc>
        <w:tc>
          <w:tcPr>
            <w:tcW w:w="6615" w:type="dxa"/>
            <w:gridSpan w:val="2"/>
            <w:noWrap w:val="0"/>
            <w:vAlign w:val="top"/>
          </w:tcPr>
          <w:p>
            <w:pPr>
              <w:spacing w:line="240" w:lineRule="auto"/>
              <w:jc w:val="left"/>
              <w:rPr>
                <w:rFonts w:hint="eastAsia" w:ascii="新宋体" w:hAnsi="新宋体" w:eastAsia="宋体" w:cs="新宋体"/>
                <w:b w:val="0"/>
                <w:bCs w:val="0"/>
                <w:color w:val="auto"/>
                <w:sz w:val="22"/>
                <w:szCs w:val="22"/>
                <w:lang w:eastAsia="zh-CN"/>
              </w:rPr>
            </w:pPr>
            <w:r>
              <w:rPr>
                <w:rFonts w:hint="eastAsia" w:ascii="宋体" w:hAnsi="宋体" w:eastAsia="宋体" w:cs="宋体"/>
                <w:b w:val="0"/>
                <w:bCs w:val="0"/>
                <w:color w:val="auto"/>
                <w:sz w:val="22"/>
                <w:szCs w:val="22"/>
                <w:lang w:val="en-US" w:eastAsia="zh-CN"/>
              </w:rPr>
              <w:t>960</w:t>
            </w:r>
            <w:r>
              <w:rPr>
                <w:rFonts w:hint="eastAsia" w:ascii="宋体" w:hAnsi="宋体" w:eastAsia="宋体" w:cs="宋体"/>
                <w:b w:val="0"/>
                <w:bCs w:val="0"/>
                <w:color w:val="auto"/>
                <w:sz w:val="22"/>
                <w:szCs w:val="22"/>
              </w:rPr>
              <w:t>元/</w:t>
            </w:r>
            <w:r>
              <w:rPr>
                <w:rFonts w:hint="eastAsia" w:ascii="宋体" w:hAnsi="宋体" w:eastAsia="宋体" w:cs="宋体"/>
                <w:b w:val="0"/>
                <w:bCs w:val="0"/>
                <w:color w:val="auto"/>
                <w:sz w:val="22"/>
                <w:szCs w:val="22"/>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i w:val="0"/>
                <w:color w:val="auto"/>
                <w:kern w:val="0"/>
                <w:sz w:val="22"/>
                <w:szCs w:val="22"/>
                <w:u w:val="none"/>
                <w:lang w:val="en-US" w:eastAsia="zh-CN" w:bidi="ar"/>
              </w:rPr>
              <w:t>8</w:t>
            </w:r>
          </w:p>
        </w:tc>
        <w:tc>
          <w:tcPr>
            <w:tcW w:w="2573" w:type="dxa"/>
            <w:noWrap w:val="0"/>
            <w:vAlign w:val="top"/>
          </w:tcPr>
          <w:p>
            <w:pPr>
              <w:keepNext w:val="0"/>
              <w:keepLines w:val="0"/>
              <w:suppressLineNumbers w:val="0"/>
              <w:snapToGrid w:val="0"/>
              <w:spacing w:before="0" w:beforeAutospacing="0" w:after="0" w:afterAutospacing="0" w:line="360" w:lineRule="exact"/>
              <w:ind w:left="0" w:leftChars="0" w:right="0" w:rightChars="0"/>
              <w:jc w:val="left"/>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color w:val="auto"/>
                <w:sz w:val="22"/>
                <w:szCs w:val="22"/>
              </w:rPr>
              <w:t>15吨的吊车</w:t>
            </w:r>
          </w:p>
        </w:tc>
        <w:tc>
          <w:tcPr>
            <w:tcW w:w="6615" w:type="dxa"/>
            <w:gridSpan w:val="2"/>
            <w:noWrap w:val="0"/>
            <w:vAlign w:val="top"/>
          </w:tcPr>
          <w:p>
            <w:pPr>
              <w:spacing w:line="240" w:lineRule="auto"/>
              <w:jc w:val="left"/>
              <w:rPr>
                <w:rFonts w:hint="eastAsia" w:ascii="新宋体" w:hAnsi="新宋体" w:eastAsia="宋体" w:cs="新宋体"/>
                <w:b w:val="0"/>
                <w:bCs w:val="0"/>
                <w:color w:val="auto"/>
                <w:sz w:val="22"/>
                <w:szCs w:val="22"/>
                <w:lang w:eastAsia="zh-CN"/>
              </w:rPr>
            </w:pPr>
            <w:r>
              <w:rPr>
                <w:rFonts w:hint="eastAsia" w:ascii="宋体" w:hAnsi="宋体" w:eastAsia="宋体" w:cs="宋体"/>
                <w:b w:val="0"/>
                <w:bCs w:val="0"/>
                <w:color w:val="auto"/>
                <w:sz w:val="22"/>
                <w:szCs w:val="22"/>
                <w:lang w:val="en-US" w:eastAsia="zh-CN"/>
              </w:rPr>
              <w:t>1760</w:t>
            </w:r>
            <w:r>
              <w:rPr>
                <w:rFonts w:hint="eastAsia" w:ascii="宋体" w:hAnsi="宋体" w:eastAsia="宋体" w:cs="宋体"/>
                <w:b w:val="0"/>
                <w:bCs w:val="0"/>
                <w:color w:val="auto"/>
                <w:sz w:val="22"/>
                <w:szCs w:val="22"/>
              </w:rPr>
              <w:t>元/</w:t>
            </w:r>
            <w:r>
              <w:rPr>
                <w:rFonts w:hint="eastAsia" w:ascii="宋体" w:hAnsi="宋体" w:eastAsia="宋体" w:cs="宋体"/>
                <w:b w:val="0"/>
                <w:bCs w:val="0"/>
                <w:color w:val="auto"/>
                <w:sz w:val="22"/>
                <w:szCs w:val="22"/>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i w:val="0"/>
                <w:color w:val="auto"/>
                <w:kern w:val="0"/>
                <w:sz w:val="22"/>
                <w:szCs w:val="22"/>
                <w:u w:val="none"/>
                <w:lang w:val="en-US" w:eastAsia="zh-CN" w:bidi="ar"/>
              </w:rPr>
              <w:t>9</w:t>
            </w:r>
          </w:p>
        </w:tc>
        <w:tc>
          <w:tcPr>
            <w:tcW w:w="2573" w:type="dxa"/>
            <w:noWrap w:val="0"/>
            <w:vAlign w:val="top"/>
          </w:tcPr>
          <w:p>
            <w:pPr>
              <w:keepNext w:val="0"/>
              <w:keepLines w:val="0"/>
              <w:suppressLineNumbers w:val="0"/>
              <w:snapToGrid w:val="0"/>
              <w:spacing w:before="0" w:beforeAutospacing="0" w:after="0" w:afterAutospacing="0" w:line="360" w:lineRule="exact"/>
              <w:ind w:left="0" w:leftChars="0" w:right="0" w:rightChars="0"/>
              <w:jc w:val="left"/>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25</w:t>
            </w:r>
            <w:r>
              <w:rPr>
                <w:rFonts w:hint="eastAsia" w:ascii="宋体" w:hAnsi="宋体" w:eastAsia="宋体" w:cs="宋体"/>
                <w:b w:val="0"/>
                <w:bCs w:val="0"/>
                <w:color w:val="auto"/>
                <w:sz w:val="22"/>
                <w:szCs w:val="22"/>
              </w:rPr>
              <w:t>吨的吊车</w:t>
            </w:r>
          </w:p>
        </w:tc>
        <w:tc>
          <w:tcPr>
            <w:tcW w:w="6615" w:type="dxa"/>
            <w:gridSpan w:val="2"/>
            <w:noWrap w:val="0"/>
            <w:vAlign w:val="top"/>
          </w:tcPr>
          <w:p>
            <w:pPr>
              <w:spacing w:line="240" w:lineRule="auto"/>
              <w:jc w:val="left"/>
              <w:rPr>
                <w:rFonts w:hint="eastAsia" w:ascii="新宋体" w:hAnsi="新宋体" w:eastAsia="新宋体" w:cs="新宋体"/>
                <w:b w:val="0"/>
                <w:bCs w:val="0"/>
                <w:color w:val="auto"/>
                <w:sz w:val="22"/>
                <w:szCs w:val="22"/>
              </w:rPr>
            </w:pPr>
            <w:r>
              <w:rPr>
                <w:rFonts w:hint="eastAsia" w:ascii="宋体" w:hAnsi="宋体" w:eastAsia="宋体" w:cs="宋体"/>
                <w:b w:val="0"/>
                <w:bCs w:val="0"/>
                <w:color w:val="auto"/>
                <w:sz w:val="22"/>
                <w:szCs w:val="22"/>
                <w:lang w:val="en-US" w:eastAsia="zh-CN"/>
              </w:rPr>
              <w:t>2560元/天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i w:val="0"/>
                <w:color w:val="auto"/>
                <w:kern w:val="0"/>
                <w:sz w:val="22"/>
                <w:szCs w:val="22"/>
                <w:u w:val="none"/>
                <w:lang w:val="en-US" w:eastAsia="zh-CN" w:bidi="ar"/>
              </w:rPr>
              <w:t>10</w:t>
            </w:r>
          </w:p>
        </w:tc>
        <w:tc>
          <w:tcPr>
            <w:tcW w:w="2573" w:type="dxa"/>
            <w:noWrap w:val="0"/>
            <w:vAlign w:val="top"/>
          </w:tcPr>
          <w:p>
            <w:pPr>
              <w:keepNext w:val="0"/>
              <w:keepLines w:val="0"/>
              <w:suppressLineNumbers w:val="0"/>
              <w:snapToGrid w:val="0"/>
              <w:spacing w:before="0" w:beforeAutospacing="0" w:after="0" w:afterAutospacing="0" w:line="360" w:lineRule="exact"/>
              <w:ind w:left="0" w:leftChars="0" w:right="0" w:rightChars="0"/>
              <w:jc w:val="left"/>
              <w:rPr>
                <w:rFonts w:hint="eastAsia" w:ascii="宋体" w:hAnsi="宋体" w:cs="Arial"/>
                <w:b w:val="0"/>
                <w:bCs w:val="0"/>
                <w:color w:val="auto"/>
                <w:kern w:val="2"/>
                <w:sz w:val="22"/>
                <w:szCs w:val="22"/>
                <w:lang w:val="en-US" w:eastAsia="zh-CN" w:bidi="ar-SA"/>
              </w:rPr>
            </w:pPr>
            <w:r>
              <w:rPr>
                <w:rFonts w:hint="eastAsia" w:ascii="宋体" w:hAnsi="宋体" w:eastAsia="宋体" w:cs="宋体"/>
                <w:b w:val="0"/>
                <w:bCs w:val="0"/>
                <w:color w:val="auto"/>
                <w:sz w:val="22"/>
                <w:szCs w:val="22"/>
              </w:rPr>
              <w:t>50吨的吊车</w:t>
            </w:r>
          </w:p>
        </w:tc>
        <w:tc>
          <w:tcPr>
            <w:tcW w:w="6615" w:type="dxa"/>
            <w:gridSpan w:val="2"/>
            <w:noWrap w:val="0"/>
            <w:vAlign w:val="top"/>
          </w:tcPr>
          <w:p>
            <w:pPr>
              <w:spacing w:line="240" w:lineRule="auto"/>
              <w:jc w:val="left"/>
              <w:rPr>
                <w:rFonts w:hint="eastAsia" w:ascii="新宋体" w:hAnsi="新宋体" w:eastAsia="宋体" w:cs="新宋体"/>
                <w:b w:val="0"/>
                <w:bCs w:val="0"/>
                <w:color w:val="auto"/>
                <w:sz w:val="22"/>
                <w:szCs w:val="22"/>
                <w:lang w:eastAsia="zh-CN"/>
              </w:rPr>
            </w:pPr>
            <w:r>
              <w:rPr>
                <w:rFonts w:hint="eastAsia" w:ascii="宋体" w:hAnsi="宋体" w:eastAsia="宋体" w:cs="宋体"/>
                <w:b w:val="0"/>
                <w:bCs w:val="0"/>
                <w:color w:val="auto"/>
                <w:sz w:val="22"/>
                <w:szCs w:val="22"/>
                <w:lang w:val="en-US" w:eastAsia="zh-CN"/>
              </w:rPr>
              <w:t>3760</w:t>
            </w:r>
            <w:r>
              <w:rPr>
                <w:rFonts w:hint="eastAsia" w:ascii="宋体" w:hAnsi="宋体" w:eastAsia="宋体" w:cs="宋体"/>
                <w:b w:val="0"/>
                <w:bCs w:val="0"/>
                <w:color w:val="auto"/>
                <w:sz w:val="22"/>
                <w:szCs w:val="22"/>
              </w:rPr>
              <w:t>元/</w:t>
            </w:r>
            <w:r>
              <w:rPr>
                <w:rFonts w:hint="eastAsia" w:ascii="宋体" w:hAnsi="宋体" w:eastAsia="宋体" w:cs="宋体"/>
                <w:b w:val="0"/>
                <w:bCs w:val="0"/>
                <w:color w:val="auto"/>
                <w:sz w:val="22"/>
                <w:szCs w:val="22"/>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11</w:t>
            </w:r>
          </w:p>
        </w:tc>
        <w:tc>
          <w:tcPr>
            <w:tcW w:w="2573" w:type="dxa"/>
            <w:noWrap w:val="0"/>
            <w:vAlign w:val="center"/>
          </w:tcPr>
          <w:p>
            <w:pPr>
              <w:keepNext w:val="0"/>
              <w:keepLines w:val="0"/>
              <w:suppressLineNumbers w:val="0"/>
              <w:snapToGrid w:val="0"/>
              <w:spacing w:before="0" w:beforeAutospacing="0" w:after="0" w:afterAutospacing="0" w:line="360" w:lineRule="exact"/>
              <w:ind w:left="0" w:leftChars="0" w:right="0" w:rightChars="0"/>
              <w:jc w:val="lef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拖车</w:t>
            </w:r>
          </w:p>
        </w:tc>
        <w:tc>
          <w:tcPr>
            <w:tcW w:w="6615" w:type="dxa"/>
            <w:gridSpan w:val="2"/>
            <w:noWrap w:val="0"/>
            <w:vAlign w:val="center"/>
          </w:tcPr>
          <w:p>
            <w:pPr>
              <w:spacing w:line="240" w:lineRule="auto"/>
              <w:jc w:val="left"/>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450</w:t>
            </w:r>
            <w:r>
              <w:rPr>
                <w:rFonts w:hint="eastAsia" w:ascii="宋体" w:hAnsi="宋体" w:eastAsia="宋体" w:cs="宋体"/>
                <w:b w:val="0"/>
                <w:bCs w:val="0"/>
                <w:color w:val="auto"/>
                <w:sz w:val="22"/>
                <w:szCs w:val="22"/>
                <w:lang w:eastAsia="zh-CN"/>
              </w:rPr>
              <w:t>元</w:t>
            </w:r>
            <w:r>
              <w:rPr>
                <w:rFonts w:hint="eastAsia" w:ascii="宋体" w:hAnsi="宋体" w:eastAsia="宋体" w:cs="宋体"/>
                <w:b w:val="0"/>
                <w:bCs w:val="0"/>
                <w:color w:val="auto"/>
                <w:sz w:val="22"/>
                <w:szCs w:val="22"/>
                <w:lang w:val="en-US" w:eastAsia="zh-CN"/>
              </w:rPr>
              <w:t>/</w:t>
            </w:r>
            <w:r>
              <w:rPr>
                <w:rFonts w:hint="eastAsia" w:ascii="宋体" w:hAnsi="宋体" w:eastAsia="宋体" w:cs="宋体"/>
                <w:b w:val="0"/>
                <w:bCs w:val="0"/>
                <w:color w:val="auto"/>
                <w:sz w:val="22"/>
                <w:szCs w:val="22"/>
                <w:lang w:eastAsia="zh-CN"/>
              </w:rPr>
              <w:t>来回</w:t>
            </w:r>
          </w:p>
        </w:tc>
      </w:tr>
    </w:tbl>
    <w:p>
      <w:pPr>
        <w:spacing w:line="360" w:lineRule="auto"/>
        <w:ind w:left="425" w:hanging="424" w:hangingChars="193"/>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注：</w:t>
      </w:r>
    </w:p>
    <w:p>
      <w:pPr>
        <w:spacing w:line="360" w:lineRule="auto"/>
        <w:ind w:left="361" w:leftChars="-30" w:hanging="424" w:hangingChars="193"/>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 投标人应对本项目的道路情况情进行测算，并结合本项目的实际需求情况投入相应的保洁机械机具数量。</w:t>
      </w:r>
    </w:p>
    <w:p>
      <w:pPr>
        <w:spacing w:line="360" w:lineRule="auto"/>
        <w:ind w:left="361" w:leftChars="-30" w:hanging="424" w:hangingChars="193"/>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 在专用车辆因意外客观原因修理或不能使用的原因情况下，投标人承诺提供等于或优于已承诺投入的车辆（使用年份、吨位、配置）进行作业。</w:t>
      </w:r>
    </w:p>
    <w:p>
      <w:pPr>
        <w:spacing w:line="360" w:lineRule="auto"/>
        <w:ind w:left="361" w:leftChars="-30" w:hanging="424" w:hangingChars="193"/>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 投标人自有车辆（扫地车）若已在其他清扫保洁服务项目中投入使用，且仍处于合同履行期，则不得作为本项目拟投入清扫保洁车辆进行申报。</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 以上表格仅对车辆提出基本功能要求，投标人须在投标文件技术标中给出详细车辆参数。</w:t>
      </w:r>
    </w:p>
    <w:p>
      <w:pPr>
        <w:tabs>
          <w:tab w:val="left" w:pos="540"/>
        </w:tabs>
        <w:spacing w:line="360" w:lineRule="auto"/>
        <w:rPr>
          <w:rFonts w:hint="eastAsia" w:ascii="新宋体" w:hAnsi="新宋体" w:eastAsia="新宋体" w:cs="新宋体"/>
          <w:b/>
          <w:bCs/>
          <w:color w:val="auto"/>
          <w:sz w:val="22"/>
          <w:szCs w:val="22"/>
        </w:rPr>
      </w:pPr>
      <w:r>
        <w:rPr>
          <w:rFonts w:hint="eastAsia" w:ascii="新宋体" w:hAnsi="新宋体" w:eastAsia="新宋体" w:cs="新宋体"/>
          <w:color w:val="auto"/>
          <w:sz w:val="22"/>
          <w:szCs w:val="22"/>
        </w:rPr>
        <w:t xml:space="preserve">5、 </w:t>
      </w:r>
      <w:r>
        <w:rPr>
          <w:rFonts w:hint="eastAsia" w:ascii="新宋体" w:hAnsi="新宋体" w:eastAsia="新宋体" w:cs="新宋体"/>
          <w:b/>
          <w:bCs/>
          <w:color w:val="auto"/>
          <w:sz w:val="22"/>
          <w:szCs w:val="22"/>
        </w:rPr>
        <w:t>各投标单位应自行了解温州市交警部门对外地牌照车辆的政策规定（包括在温州市区限行的规定），有关风险均自行考虑；</w:t>
      </w:r>
    </w:p>
    <w:p>
      <w:pPr>
        <w:tabs>
          <w:tab w:val="left" w:pos="540"/>
        </w:tabs>
        <w:spacing w:line="360" w:lineRule="auto"/>
        <w:rPr>
          <w:rFonts w:hint="eastAsia" w:ascii="新宋体" w:hAnsi="新宋体" w:eastAsia="新宋体" w:cs="新宋体"/>
          <w:b/>
          <w:bCs/>
          <w:color w:val="auto"/>
          <w:sz w:val="22"/>
          <w:szCs w:val="22"/>
          <w:lang w:val="en-US" w:eastAsia="zh-CN"/>
        </w:rPr>
      </w:pPr>
      <w:r>
        <w:rPr>
          <w:rFonts w:hint="eastAsia" w:ascii="新宋体" w:hAnsi="新宋体" w:eastAsia="新宋体" w:cs="新宋体"/>
          <w:b/>
          <w:bCs/>
          <w:color w:val="auto"/>
          <w:sz w:val="22"/>
          <w:szCs w:val="22"/>
          <w:lang w:val="en-US" w:eastAsia="zh-CN"/>
        </w:rPr>
        <w:t>6、</w:t>
      </w:r>
      <w:r>
        <w:rPr>
          <w:rFonts w:hint="eastAsia" w:ascii="新宋体" w:hAnsi="新宋体" w:eastAsia="新宋体" w:cs="新宋体"/>
          <w:b/>
          <w:bCs/>
          <w:color w:val="auto"/>
          <w:sz w:val="22"/>
          <w:szCs w:val="22"/>
        </w:rPr>
        <w:t>根据</w:t>
      </w:r>
      <w:r>
        <w:rPr>
          <w:rFonts w:hint="eastAsia" w:ascii="新宋体" w:hAnsi="新宋体" w:eastAsia="新宋体" w:cs="新宋体"/>
          <w:b/>
          <w:bCs/>
          <w:color w:val="auto"/>
          <w:sz w:val="22"/>
          <w:szCs w:val="22"/>
          <w:lang w:eastAsia="zh-CN"/>
        </w:rPr>
        <w:t>清扫保洁</w:t>
      </w:r>
      <w:r>
        <w:rPr>
          <w:rFonts w:hint="eastAsia" w:ascii="新宋体" w:hAnsi="新宋体" w:eastAsia="新宋体" w:cs="新宋体"/>
          <w:b/>
          <w:bCs/>
          <w:color w:val="auto"/>
          <w:sz w:val="22"/>
          <w:szCs w:val="22"/>
        </w:rPr>
        <w:t>的效果，采购人有权对</w:t>
      </w:r>
      <w:r>
        <w:rPr>
          <w:rFonts w:hint="eastAsia" w:ascii="新宋体" w:hAnsi="新宋体" w:eastAsia="新宋体" w:cs="新宋体"/>
          <w:b/>
          <w:bCs/>
          <w:color w:val="auto"/>
          <w:sz w:val="22"/>
          <w:szCs w:val="22"/>
          <w:lang w:eastAsia="zh-CN"/>
        </w:rPr>
        <w:t>清扫保洁</w:t>
      </w:r>
      <w:r>
        <w:rPr>
          <w:rFonts w:hint="eastAsia" w:ascii="新宋体" w:hAnsi="新宋体" w:eastAsia="新宋体" w:cs="新宋体"/>
          <w:b/>
          <w:bCs/>
          <w:color w:val="auto"/>
          <w:sz w:val="22"/>
          <w:szCs w:val="22"/>
        </w:rPr>
        <w:t>方案进行调整（包括车辆优化</w:t>
      </w:r>
      <w:r>
        <w:rPr>
          <w:rFonts w:hint="eastAsia" w:ascii="新宋体" w:hAnsi="新宋体" w:eastAsia="新宋体" w:cs="新宋体"/>
          <w:b/>
          <w:bCs/>
          <w:color w:val="auto"/>
          <w:sz w:val="22"/>
          <w:szCs w:val="22"/>
          <w:lang w:eastAsia="zh-CN"/>
        </w:rPr>
        <w:t>、人员调动安排</w:t>
      </w:r>
      <w:r>
        <w:rPr>
          <w:rFonts w:hint="eastAsia" w:ascii="新宋体" w:hAnsi="新宋体" w:eastAsia="新宋体" w:cs="新宋体"/>
          <w:b/>
          <w:bCs/>
          <w:color w:val="auto"/>
          <w:sz w:val="22"/>
          <w:szCs w:val="22"/>
        </w:rPr>
        <w:t>等）</w:t>
      </w:r>
      <w:r>
        <w:rPr>
          <w:rFonts w:hint="eastAsia" w:ascii="新宋体" w:hAnsi="新宋体" w:eastAsia="新宋体" w:cs="新宋体"/>
          <w:b/>
          <w:bCs/>
          <w:color w:val="auto"/>
          <w:sz w:val="22"/>
          <w:szCs w:val="22"/>
          <w:lang w:eastAsia="zh-CN"/>
        </w:rPr>
        <w:t>。</w:t>
      </w:r>
    </w:p>
    <w:p>
      <w:pPr>
        <w:pStyle w:val="25"/>
        <w:spacing w:line="360" w:lineRule="auto"/>
        <w:ind w:left="316" w:hanging="316" w:hangingChars="143"/>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四、服务和质量要求</w:t>
      </w:r>
    </w:p>
    <w:p>
      <w:pPr>
        <w:spacing w:line="360" w:lineRule="auto"/>
        <w:ind w:firstLine="330" w:firstLineChars="15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各投标单位可在保证本项目道路清扫保洁服务质量要求的前提下，参考2006年1月1日执行实施的《浙江省城市环境卫生劳动定额》并结合采购人辖区道路实际情况，确定投入各条道路各工种环卫保洁人员总人数，并给出各条道路</w:t>
      </w:r>
      <w:r>
        <w:rPr>
          <w:rFonts w:hint="eastAsia" w:ascii="新宋体" w:hAnsi="新宋体" w:eastAsia="新宋体" w:cs="新宋体"/>
          <w:color w:val="auto"/>
          <w:sz w:val="22"/>
          <w:szCs w:val="22"/>
          <w:lang w:eastAsia="zh-CN"/>
        </w:rPr>
        <w:t>、河道、垃圾分类、公厕</w:t>
      </w:r>
      <w:r>
        <w:rPr>
          <w:rFonts w:hint="eastAsia" w:ascii="新宋体" w:hAnsi="新宋体" w:eastAsia="新宋体" w:cs="新宋体"/>
          <w:color w:val="auto"/>
          <w:sz w:val="22"/>
          <w:szCs w:val="22"/>
        </w:rPr>
        <w:t>人员测算、方法、计算依据。</w:t>
      </w:r>
    </w:p>
    <w:p>
      <w:pPr>
        <w:spacing w:line="360" w:lineRule="auto"/>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（一）人工道路清扫保洁</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1）承包责任区域内无垃圾废弃物（包括烟头、纸屑、瓜果皮核、包装壳、塑料袋、砖瓦、石子、小广告等各类明显废弃物）；无散、袋装垃圾滞留路面及绿化带；果壳箱定时清洗及时加盖、关门；人行道、步阶、墙跟、树穴无明显杂草、杂物。晴天路面无积水，无蚊蝇孳生，路两旁及隔离护栏下无淤泥，路面基本见本色。</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2）普扫作业要求：（经甲方确认后，可适当调整）</w:t>
      </w:r>
    </w:p>
    <w:p>
      <w:pPr>
        <w:spacing w:line="360" w:lineRule="auto"/>
        <w:ind w:firstLine="663" w:firstLineChars="300"/>
        <w:rPr>
          <w:rFonts w:hint="eastAsia" w:ascii="新宋体" w:hAnsi="新宋体" w:eastAsia="新宋体" w:cs="新宋体"/>
          <w:color w:val="auto"/>
          <w:sz w:val="22"/>
          <w:szCs w:val="22"/>
        </w:rPr>
      </w:pPr>
      <w:r>
        <w:rPr>
          <w:rFonts w:hint="eastAsia" w:ascii="新宋体" w:hAnsi="新宋体" w:eastAsia="新宋体" w:cs="新宋体"/>
          <w:b/>
          <w:color w:val="auto"/>
          <w:sz w:val="22"/>
          <w:szCs w:val="22"/>
          <w:u w:val="single"/>
        </w:rPr>
        <w:t>山福镇集镇中心道路</w:t>
      </w:r>
      <w:r>
        <w:rPr>
          <w:rFonts w:hint="eastAsia" w:ascii="新宋体" w:hAnsi="新宋体" w:eastAsia="新宋体" w:cs="新宋体"/>
          <w:color w:val="auto"/>
          <w:sz w:val="22"/>
          <w:szCs w:val="22"/>
        </w:rPr>
        <w:t xml:space="preserve">全天实行16个小时（5:30-19:30）保洁，确保一日二次以上普扫。第一次普扫即晨扫必须在夏季6：00、冬季6：30以前完成；每二次普扫在下午夏季13：30前完成（夏季高温可以调整为15：30前完成），冬季为14:00前完成。 </w:t>
      </w:r>
    </w:p>
    <w:p>
      <w:pPr>
        <w:spacing w:line="360" w:lineRule="auto"/>
        <w:ind w:firstLine="663" w:firstLineChars="300"/>
        <w:rPr>
          <w:rFonts w:hint="eastAsia" w:ascii="新宋体" w:hAnsi="新宋体" w:eastAsia="新宋体" w:cs="新宋体"/>
          <w:color w:val="auto"/>
          <w:sz w:val="22"/>
          <w:szCs w:val="22"/>
        </w:rPr>
      </w:pPr>
      <w:r>
        <w:rPr>
          <w:rFonts w:hint="eastAsia" w:ascii="新宋体" w:hAnsi="新宋体" w:eastAsia="新宋体" w:cs="新宋体"/>
          <w:b/>
          <w:color w:val="auto"/>
          <w:sz w:val="22"/>
          <w:szCs w:val="22"/>
          <w:u w:val="single"/>
        </w:rPr>
        <w:t>其余道路</w:t>
      </w:r>
      <w:r>
        <w:rPr>
          <w:rFonts w:hint="eastAsia" w:ascii="新宋体" w:hAnsi="新宋体" w:eastAsia="新宋体" w:cs="新宋体"/>
          <w:color w:val="auto"/>
          <w:sz w:val="22"/>
          <w:szCs w:val="22"/>
        </w:rPr>
        <w:t>全天实行12个小时（6:00-18:00），确保一日二次普扫。第一次普扫即晨扫必须在夏季6：30、冬季7：00以前完成；每二次普扫在下午夏季13：30前完成（夏季高温可以调整为15：30前完成），冬季14:00前完成。保洁扫结束后做好巡回保洁工作，交接班不得出现空档，责任区交界处，普扫时段内，要求环卫工人全员出勤。</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w:t>
      </w: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rPr>
        <w:t>）动态保洁要求：做到巡回保洁，达到“七无五净”标准，既无杂物,无瓜皮果壳,无纸屑、烟蒂、塑料袋；无淤泥积土，无污水，无堵塞窨井沟眼，无卫生死角。路面、路牙净，窨井沟眼净，树穴净，边角净，花坛周围净。路面基本见本色，道路路面干净、地面无痰迹，道路侧石无积泥、污迹，晴天无积水，绿化隔离带无垃圾、卫生死角、窨井口畅通，果壳箱、垃圾收集车干净整洁。道路路面废弃物应控制在（果皮、纸屑塑膜、烟蒂、痰迹≤3处/1000㎡）。</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4）道路绿地（含车道绿化隔离带、人行道绿地）保洁应与道路保洁同步，做到绿化带内无杂物、无垃圾。</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5）及时清除道路两侧路灯柱、报刊（信息）亭、电话亭、邮政信箱等</w:t>
      </w:r>
      <w:r>
        <w:rPr>
          <w:rFonts w:hint="eastAsia" w:ascii="新宋体" w:hAnsi="新宋体" w:eastAsia="新宋体" w:cs="新宋体"/>
          <w:color w:val="auto"/>
          <w:sz w:val="22"/>
          <w:szCs w:val="22"/>
          <w:highlight w:val="none"/>
        </w:rPr>
        <w:t>城市家具</w:t>
      </w:r>
      <w:r>
        <w:rPr>
          <w:rFonts w:hint="eastAsia" w:ascii="新宋体" w:hAnsi="新宋体" w:eastAsia="新宋体" w:cs="新宋体"/>
          <w:color w:val="auto"/>
          <w:sz w:val="22"/>
          <w:szCs w:val="22"/>
        </w:rPr>
        <w:t>（不含箱式变电间）小广告（以水洗或其他清洗剂清洗为主，采用颜料涂改需采用原清洗面相似颜料涂盖）。</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6）交通护栏或交通隔离要进行日常保洁，应保持整洁、无污垢。</w:t>
      </w:r>
    </w:p>
    <w:p>
      <w:pPr>
        <w:numPr>
          <w:ilvl w:val="0"/>
          <w:numId w:val="30"/>
        </w:numPr>
        <w:spacing w:line="360" w:lineRule="auto"/>
        <w:ind w:firstLine="330" w:firstLineChars="15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及时清除保洁范围内的建筑废土或建筑垃圾等，必要时需建立应急垃圾堆放点。</w:t>
      </w:r>
    </w:p>
    <w:p>
      <w:pPr>
        <w:widowControl/>
        <w:autoSpaceDE w:val="0"/>
        <w:autoSpaceDN w:val="0"/>
        <w:adjustRightInd w:val="0"/>
        <w:spacing w:line="360" w:lineRule="auto"/>
        <w:textAlignment w:val="bottom"/>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 xml:space="preserve"> </w:t>
      </w:r>
      <w:r>
        <w:rPr>
          <w:rFonts w:hint="eastAsia" w:ascii="新宋体" w:hAnsi="新宋体" w:eastAsia="新宋体" w:cs="新宋体"/>
          <w:b/>
          <w:bCs/>
          <w:color w:val="auto"/>
          <w:sz w:val="22"/>
          <w:szCs w:val="22"/>
          <w:lang w:eastAsia="zh-CN"/>
        </w:rPr>
        <w:t>（二）河道（溪流）保洁要求</w:t>
      </w:r>
    </w:p>
    <w:p>
      <w:pPr>
        <w:widowControl/>
        <w:autoSpaceDE w:val="0"/>
        <w:autoSpaceDN w:val="0"/>
        <w:adjustRightInd w:val="0"/>
        <w:spacing w:line="360" w:lineRule="auto"/>
        <w:ind w:firstLine="440" w:firstLineChars="200"/>
        <w:textAlignment w:val="bottom"/>
        <w:rPr>
          <w:rFonts w:hint="eastAsia" w:ascii="新宋体" w:hAnsi="新宋体" w:eastAsia="新宋体" w:cs="新宋体"/>
          <w:color w:val="auto"/>
          <w:sz w:val="22"/>
        </w:rPr>
      </w:pPr>
      <w:r>
        <w:rPr>
          <w:rFonts w:hint="eastAsia" w:ascii="新宋体" w:hAnsi="新宋体" w:eastAsia="新宋体" w:cs="新宋体"/>
          <w:color w:val="auto"/>
          <w:sz w:val="22"/>
        </w:rPr>
        <w:t>1、河道保洁范围</w:t>
      </w:r>
    </w:p>
    <w:p>
      <w:pPr>
        <w:autoSpaceDE w:val="0"/>
        <w:autoSpaceDN w:val="0"/>
        <w:adjustRightInd w:val="0"/>
        <w:spacing w:line="360" w:lineRule="auto"/>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包括河道，湖泊，小微水体保洁。保洁范围为水体侧向陆域延伸不少于8米（陆域有其它单位保洁的除外，具体保洁范围包括两侧公用绿地区域）。</w:t>
      </w:r>
    </w:p>
    <w:p>
      <w:pPr>
        <w:numPr>
          <w:ilvl w:val="0"/>
          <w:numId w:val="31"/>
        </w:numPr>
        <w:autoSpaceDE w:val="0"/>
        <w:autoSpaceDN w:val="0"/>
        <w:adjustRightInd w:val="0"/>
        <w:spacing w:line="360" w:lineRule="auto"/>
        <w:ind w:leftChars="0"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河道畅通，水面无垃圾、病死动物，无影响水生态的浮萍、水葫芦等水生植物，无阻碍行洪的高杆植物等。</w:t>
      </w:r>
    </w:p>
    <w:p>
      <w:pPr>
        <w:numPr>
          <w:ilvl w:val="0"/>
          <w:numId w:val="0"/>
        </w:numPr>
        <w:autoSpaceDE w:val="0"/>
        <w:autoSpaceDN w:val="0"/>
        <w:adjustRightInd w:val="0"/>
        <w:spacing w:line="360" w:lineRule="auto"/>
        <w:ind w:left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）水域中无漂浮障碍物</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堤岸无垃圾及堆放的杂物。</w:t>
      </w:r>
    </w:p>
    <w:p>
      <w:pPr>
        <w:autoSpaceDE w:val="0"/>
        <w:autoSpaceDN w:val="0"/>
        <w:adjustRightInd w:val="0"/>
        <w:spacing w:line="360" w:lineRule="auto"/>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 xml:space="preserve">  2、船只配备要求</w:t>
      </w:r>
    </w:p>
    <w:p>
      <w:pPr>
        <w:autoSpaceDE w:val="0"/>
        <w:autoSpaceDN w:val="0"/>
        <w:adjustRightInd w:val="0"/>
        <w:spacing w:line="360" w:lineRule="auto"/>
        <w:ind w:firstLine="440" w:firstLineChars="200"/>
        <w:rPr>
          <w:rFonts w:hint="eastAsia" w:ascii="新宋体" w:hAnsi="新宋体" w:eastAsia="新宋体" w:cs="新宋体"/>
          <w:b w:val="0"/>
          <w:bCs/>
          <w:color w:val="auto"/>
          <w:sz w:val="22"/>
          <w:szCs w:val="22"/>
          <w:u w:val="none"/>
        </w:rPr>
      </w:pPr>
      <w:r>
        <w:rPr>
          <w:rFonts w:hint="eastAsia" w:ascii="新宋体" w:hAnsi="新宋体" w:eastAsia="新宋体" w:cs="新宋体"/>
          <w:color w:val="auto"/>
          <w:sz w:val="22"/>
          <w:szCs w:val="22"/>
        </w:rPr>
        <w:t>河道保洁船舶符合航管部门要求，作业器具标识明显，作业行船安全，防止超载、颠覆、进水。安全救生用具配戴齐全，定期实施设施安全检查。</w:t>
      </w:r>
      <w:r>
        <w:rPr>
          <w:rFonts w:hint="eastAsia" w:ascii="新宋体" w:hAnsi="新宋体" w:eastAsia="新宋体" w:cs="新宋体"/>
          <w:b w:val="0"/>
          <w:bCs/>
          <w:color w:val="auto"/>
          <w:sz w:val="22"/>
          <w:szCs w:val="22"/>
          <w:u w:val="none"/>
        </w:rPr>
        <w:t>且产生的材料、油料、维修和保险等一切费用由投标人负责。</w:t>
      </w:r>
    </w:p>
    <w:p>
      <w:p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3、日常保洁的工作要求</w:t>
      </w:r>
    </w:p>
    <w:p>
      <w:pPr>
        <w:autoSpaceDE w:val="0"/>
        <w:autoSpaceDN w:val="0"/>
        <w:adjustRightInd w:val="0"/>
        <w:spacing w:line="360" w:lineRule="auto"/>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巡回保洁每天不少于2次，每天完成一次保洁区域的全覆盖保洁。发现河道</w:t>
      </w:r>
      <w:r>
        <w:rPr>
          <w:rFonts w:hint="eastAsia" w:ascii="新宋体" w:hAnsi="新宋体" w:eastAsia="新宋体" w:cs="新宋体"/>
          <w:color w:val="auto"/>
          <w:sz w:val="22"/>
          <w:szCs w:val="22"/>
          <w:lang w:eastAsia="zh-CN"/>
        </w:rPr>
        <w:t>（溪流）</w:t>
      </w:r>
      <w:r>
        <w:rPr>
          <w:rFonts w:hint="eastAsia" w:ascii="新宋体" w:hAnsi="新宋体" w:eastAsia="新宋体" w:cs="新宋体"/>
          <w:color w:val="auto"/>
          <w:sz w:val="22"/>
          <w:szCs w:val="22"/>
        </w:rPr>
        <w:t>内有妨碍行洪的障碍物、生活垃圾、有害或废弃的漂浮物、阻碍行洪的高杆作物等时，要及时打捞和清运河面，及时清运至指定地点或正规消纳点倾倒，避免造成二次污染。</w:t>
      </w:r>
    </w:p>
    <w:p>
      <w:p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（1）水面保洁</w:t>
      </w:r>
    </w:p>
    <w:p>
      <w:pPr>
        <w:numPr>
          <w:ilvl w:val="0"/>
          <w:numId w:val="32"/>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对漂入乡镇（街道）区内河的漂浮物应及时清理；对大面积爆发的浮萍等应及时清理。</w:t>
      </w:r>
    </w:p>
    <w:p>
      <w:pPr>
        <w:numPr>
          <w:ilvl w:val="0"/>
          <w:numId w:val="32"/>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发现漂浮垃圾</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含黑絮</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时，作业船只应减速慢行，打捞的垃圾及时送入船舱。对不易打捞入船舱的体积较大的漂浮物，可用绳子将其系挂于船尾拖至码头</w:t>
      </w:r>
      <w:r>
        <w:rPr>
          <w:rFonts w:hint="eastAsia" w:ascii="新宋体" w:hAnsi="新宋体" w:eastAsia="新宋体" w:cs="新宋体"/>
          <w:color w:val="auto"/>
          <w:sz w:val="22"/>
          <w:szCs w:val="22"/>
          <w:lang w:eastAsia="zh-CN"/>
        </w:rPr>
        <w:t>或岸边</w:t>
      </w:r>
      <w:r>
        <w:rPr>
          <w:rFonts w:hint="eastAsia" w:ascii="新宋体" w:hAnsi="新宋体" w:eastAsia="新宋体" w:cs="新宋体"/>
          <w:color w:val="auto"/>
          <w:sz w:val="22"/>
          <w:szCs w:val="22"/>
        </w:rPr>
        <w:t>吊运；若无法系挂于船尾，应上报相关部门，并协助打捞。</w:t>
      </w:r>
    </w:p>
    <w:p>
      <w:pPr>
        <w:numPr>
          <w:ilvl w:val="0"/>
          <w:numId w:val="32"/>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保持船舶甲板洁净，及时消杀船舱内垃圾，减少蝇蛆滋生。</w:t>
      </w:r>
    </w:p>
    <w:p>
      <w:pPr>
        <w:numPr>
          <w:ilvl w:val="0"/>
          <w:numId w:val="32"/>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保洁员发现污水直排、偷排以及重大水污染事件，应立即向所属乡镇（街道）相关部门汇报。</w:t>
      </w:r>
    </w:p>
    <w:p>
      <w:pPr>
        <w:numPr>
          <w:ilvl w:val="0"/>
          <w:numId w:val="32"/>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规范作业，保证安全，保洁工作人员每日按时上班，作业必须着救生衣。</w:t>
      </w:r>
    </w:p>
    <w:p>
      <w:p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（2）堤岸保洁</w:t>
      </w:r>
    </w:p>
    <w:p>
      <w:pPr>
        <w:numPr>
          <w:ilvl w:val="0"/>
          <w:numId w:val="33"/>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防汛墙、驳岸、边坡等建（构）筑物的临水侧应定期清洗，清除垃圾。</w:t>
      </w:r>
    </w:p>
    <w:p>
      <w:pPr>
        <w:numPr>
          <w:ilvl w:val="0"/>
          <w:numId w:val="33"/>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对河道</w:t>
      </w:r>
      <w:r>
        <w:rPr>
          <w:rFonts w:hint="eastAsia" w:ascii="新宋体" w:hAnsi="新宋体" w:eastAsia="新宋体" w:cs="新宋体"/>
          <w:color w:val="auto"/>
          <w:sz w:val="22"/>
          <w:szCs w:val="22"/>
          <w:lang w:eastAsia="zh-CN"/>
        </w:rPr>
        <w:t>（溪流）</w:t>
      </w:r>
      <w:r>
        <w:rPr>
          <w:rFonts w:hint="eastAsia" w:ascii="新宋体" w:hAnsi="新宋体" w:eastAsia="新宋体" w:cs="新宋体"/>
          <w:color w:val="auto"/>
          <w:sz w:val="22"/>
          <w:szCs w:val="22"/>
        </w:rPr>
        <w:t>的堤岸、绿地、慢行系统等设施进行保洁，应做到干净整洁、无杂物堆积、无痰迹烟蒂、无青苔、无积水积泥等。</w:t>
      </w:r>
    </w:p>
    <w:p>
      <w:pPr>
        <w:numPr>
          <w:ilvl w:val="0"/>
          <w:numId w:val="33"/>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作业时应保护好堤岸上的其他设施。</w:t>
      </w:r>
    </w:p>
    <w:p>
      <w:p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（3）垃圾处置</w:t>
      </w:r>
    </w:p>
    <w:p>
      <w:pPr>
        <w:numPr>
          <w:ilvl w:val="0"/>
          <w:numId w:val="34"/>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河道水体打捞垃圾不得堆放在堤岸、路边，上岸即清，清理出来的垃圾及其他漂浮物等均由中标供应商负责清运到正规消纳场所。</w:t>
      </w:r>
    </w:p>
    <w:p>
      <w:pPr>
        <w:numPr>
          <w:ilvl w:val="0"/>
          <w:numId w:val="34"/>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生活垃圾、工业垃圾及漂浮物须进行分类，清运至正规消纳场所。</w:t>
      </w:r>
    </w:p>
    <w:p>
      <w:pPr>
        <w:numPr>
          <w:ilvl w:val="0"/>
          <w:numId w:val="34"/>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清运途中应采取密闭措施，防止抛洒、泄漏出现二次污染。</w:t>
      </w:r>
    </w:p>
    <w:p>
      <w:pPr>
        <w:numPr>
          <w:ilvl w:val="0"/>
          <w:numId w:val="34"/>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沿河两侧坎边垃圾必须日产日清，清理完毕。</w:t>
      </w:r>
    </w:p>
    <w:p>
      <w:pPr>
        <w:autoSpaceDE w:val="0"/>
        <w:autoSpaceDN w:val="0"/>
        <w:adjustRightInd w:val="0"/>
        <w:spacing w:line="360" w:lineRule="auto"/>
        <w:ind w:firstLine="220" w:firstLineChars="1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4、特殊情况保洁要求</w:t>
      </w:r>
    </w:p>
    <w:p>
      <w:p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发现河道</w:t>
      </w:r>
      <w:r>
        <w:rPr>
          <w:rFonts w:hint="eastAsia" w:ascii="新宋体" w:hAnsi="新宋体" w:eastAsia="新宋体" w:cs="新宋体"/>
          <w:color w:val="auto"/>
          <w:sz w:val="22"/>
          <w:szCs w:val="22"/>
          <w:lang w:eastAsia="zh-CN"/>
        </w:rPr>
        <w:t>（溪流）</w:t>
      </w:r>
      <w:r>
        <w:rPr>
          <w:rFonts w:hint="eastAsia" w:ascii="新宋体" w:hAnsi="新宋体" w:eastAsia="新宋体" w:cs="新宋体"/>
          <w:color w:val="auto"/>
          <w:sz w:val="22"/>
          <w:szCs w:val="22"/>
        </w:rPr>
        <w:t>内病死动物及病死动物产品，发现河道</w:t>
      </w:r>
      <w:r>
        <w:rPr>
          <w:rFonts w:hint="eastAsia" w:ascii="新宋体" w:hAnsi="新宋体" w:eastAsia="新宋体" w:cs="新宋体"/>
          <w:color w:val="auto"/>
          <w:sz w:val="22"/>
          <w:szCs w:val="22"/>
          <w:lang w:eastAsia="zh-CN"/>
        </w:rPr>
        <w:t>（溪流）</w:t>
      </w:r>
      <w:r>
        <w:rPr>
          <w:rFonts w:hint="eastAsia" w:ascii="新宋体" w:hAnsi="新宋体" w:eastAsia="新宋体" w:cs="新宋体"/>
          <w:color w:val="auto"/>
          <w:sz w:val="22"/>
          <w:szCs w:val="22"/>
        </w:rPr>
        <w:t>内的病死动物及病死动物产品时，河道保洁责任单位及时向采购人、区卫生局、区畜牧兽医局等相关部门报告。</w:t>
      </w:r>
    </w:p>
    <w:p>
      <w:p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5、发生台风、暴雨后</w:t>
      </w:r>
    </w:p>
    <w:p>
      <w:p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台风、暴雨过后，河道</w:t>
      </w:r>
      <w:r>
        <w:rPr>
          <w:rFonts w:hint="eastAsia" w:ascii="新宋体" w:hAnsi="新宋体" w:eastAsia="新宋体" w:cs="新宋体"/>
          <w:color w:val="auto"/>
          <w:sz w:val="22"/>
          <w:szCs w:val="22"/>
          <w:lang w:eastAsia="zh-CN"/>
        </w:rPr>
        <w:t>（溪流）</w:t>
      </w:r>
      <w:r>
        <w:rPr>
          <w:rFonts w:hint="eastAsia" w:ascii="新宋体" w:hAnsi="新宋体" w:eastAsia="新宋体" w:cs="新宋体"/>
          <w:color w:val="auto"/>
          <w:sz w:val="22"/>
          <w:szCs w:val="22"/>
        </w:rPr>
        <w:t>内会产生因暴风雨带来的垃圾，所以发生台风、暴雨后3日内，河道</w:t>
      </w:r>
      <w:r>
        <w:rPr>
          <w:rFonts w:hint="eastAsia" w:ascii="新宋体" w:hAnsi="新宋体" w:eastAsia="新宋体" w:cs="新宋体"/>
          <w:color w:val="auto"/>
          <w:sz w:val="22"/>
          <w:szCs w:val="22"/>
          <w:lang w:eastAsia="zh-CN"/>
        </w:rPr>
        <w:t>（溪流）</w:t>
      </w:r>
      <w:r>
        <w:rPr>
          <w:rFonts w:hint="eastAsia" w:ascii="新宋体" w:hAnsi="新宋体" w:eastAsia="新宋体" w:cs="新宋体"/>
          <w:color w:val="auto"/>
          <w:sz w:val="22"/>
          <w:szCs w:val="22"/>
        </w:rPr>
        <w:t>保洁责任单位应相应加强保洁力度，增加保洁次数，及时清理河道</w:t>
      </w:r>
      <w:r>
        <w:rPr>
          <w:rFonts w:hint="eastAsia" w:ascii="新宋体" w:hAnsi="新宋体" w:eastAsia="新宋体" w:cs="新宋体"/>
          <w:color w:val="auto"/>
          <w:sz w:val="22"/>
          <w:szCs w:val="22"/>
          <w:lang w:eastAsia="zh-CN"/>
        </w:rPr>
        <w:t>（溪流）</w:t>
      </w:r>
      <w:r>
        <w:rPr>
          <w:rFonts w:hint="eastAsia" w:ascii="新宋体" w:hAnsi="新宋体" w:eastAsia="新宋体" w:cs="新宋体"/>
          <w:color w:val="auto"/>
          <w:sz w:val="22"/>
          <w:szCs w:val="22"/>
        </w:rPr>
        <w:t>中的垃圾、废弃漂浮物、杂草、障碍物等，确保河道</w:t>
      </w:r>
      <w:r>
        <w:rPr>
          <w:rFonts w:hint="eastAsia" w:ascii="新宋体" w:hAnsi="新宋体" w:eastAsia="新宋体" w:cs="新宋体"/>
          <w:color w:val="auto"/>
          <w:sz w:val="22"/>
          <w:szCs w:val="22"/>
          <w:lang w:eastAsia="zh-CN"/>
        </w:rPr>
        <w:t>（溪流）</w:t>
      </w:r>
      <w:r>
        <w:rPr>
          <w:rFonts w:hint="eastAsia" w:ascii="新宋体" w:hAnsi="新宋体" w:eastAsia="新宋体" w:cs="新宋体"/>
          <w:color w:val="auto"/>
          <w:sz w:val="22"/>
          <w:szCs w:val="22"/>
        </w:rPr>
        <w:t>的畅通和河面、河岸干净整洁。</w:t>
      </w:r>
    </w:p>
    <w:p>
      <w:p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6、发生突发水污染事件</w:t>
      </w:r>
    </w:p>
    <w:p>
      <w:p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发生突发水污染事件可分为4大类：</w:t>
      </w:r>
    </w:p>
    <w:p>
      <w:pPr>
        <w:numPr>
          <w:ilvl w:val="0"/>
          <w:numId w:val="35"/>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剧毒农药和有毒有害化学物质泄漏事故，如DDT、乐果、氰化钾等；</w:t>
      </w:r>
    </w:p>
    <w:p>
      <w:pPr>
        <w:numPr>
          <w:ilvl w:val="0"/>
          <w:numId w:val="35"/>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溢油事故，如油罐车泄漏、油船触礁等；</w:t>
      </w:r>
    </w:p>
    <w:p>
      <w:pPr>
        <w:numPr>
          <w:ilvl w:val="0"/>
          <w:numId w:val="35"/>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非正常大量排放废水事故，如化工厂废水、矿业废水等；</w:t>
      </w:r>
    </w:p>
    <w:p>
      <w:pPr>
        <w:numPr>
          <w:ilvl w:val="0"/>
          <w:numId w:val="35"/>
        </w:num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放射性污染事故，如放射性废料渗出。</w:t>
      </w:r>
    </w:p>
    <w:p>
      <w:pPr>
        <w:autoSpaceDE w:val="0"/>
        <w:autoSpaceDN w:val="0"/>
        <w:adjustRightInd w:val="0"/>
        <w:spacing w:line="360" w:lineRule="auto"/>
        <w:ind w:firstLine="220" w:firstLineChars="1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发生突发水污染事件时，保洁单位或保洁人员应立即向采购人、当地人民政府、街道办事处以及环保局报告，并积极配合有关部门采取相应措施。</w:t>
      </w:r>
    </w:p>
    <w:p>
      <w:p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7、其它特殊情况</w:t>
      </w:r>
    </w:p>
    <w:p>
      <w:pPr>
        <w:autoSpaceDE w:val="0"/>
        <w:autoSpaceDN w:val="0"/>
        <w:adjustRightIn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发生其它影响河道保洁的情况时，保洁单位或保洁人员应及时向采购人、当地政府报告，各乡镇（街道）应及时通知水利局和环保分局等相关部门，尽快研究对策，并迅速采取处理措施。</w:t>
      </w:r>
    </w:p>
    <w:p>
      <w:pPr>
        <w:autoSpaceDE w:val="0"/>
        <w:autoSpaceDN w:val="0"/>
        <w:adjustRightInd w:val="0"/>
        <w:spacing w:line="360" w:lineRule="auto"/>
        <w:ind w:firstLine="220" w:firstLineChars="100"/>
        <w:rPr>
          <w:rFonts w:hint="eastAsia" w:ascii="新宋体" w:hAnsi="新宋体" w:eastAsia="新宋体" w:cs="新宋体"/>
          <w:b/>
          <w:bCs/>
          <w:color w:val="auto"/>
          <w:sz w:val="22"/>
          <w:szCs w:val="22"/>
        </w:rPr>
      </w:pPr>
      <w:r>
        <w:rPr>
          <w:rFonts w:hint="eastAsia" w:ascii="新宋体" w:hAnsi="新宋体" w:eastAsia="新宋体" w:cs="新宋体"/>
          <w:color w:val="auto"/>
          <w:sz w:val="22"/>
          <w:szCs w:val="22"/>
        </w:rPr>
        <w:t>8、河道保洁其它要求以水利部门要求为准</w:t>
      </w:r>
    </w:p>
    <w:p>
      <w:pPr>
        <w:widowControl/>
        <w:autoSpaceDE w:val="0"/>
        <w:autoSpaceDN w:val="0"/>
        <w:adjustRightInd w:val="0"/>
        <w:spacing w:line="440" w:lineRule="exact"/>
        <w:textAlignment w:val="bottom"/>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w:t>
      </w:r>
      <w:r>
        <w:rPr>
          <w:rFonts w:hint="eastAsia" w:ascii="新宋体" w:hAnsi="新宋体" w:eastAsia="新宋体" w:cs="新宋体"/>
          <w:b/>
          <w:bCs/>
          <w:color w:val="auto"/>
          <w:sz w:val="22"/>
          <w:szCs w:val="22"/>
          <w:lang w:eastAsia="zh-CN"/>
        </w:rPr>
        <w:t>三</w:t>
      </w:r>
      <w:r>
        <w:rPr>
          <w:rFonts w:hint="eastAsia" w:ascii="新宋体" w:hAnsi="新宋体" w:eastAsia="新宋体" w:cs="新宋体"/>
          <w:b/>
          <w:bCs/>
          <w:color w:val="auto"/>
          <w:sz w:val="22"/>
          <w:szCs w:val="22"/>
        </w:rPr>
        <w:t>）环卫设施维护</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1）废物箱（果壳箱、垃圾桶）、垃圾收集车辆、道路机械化清扫（冲洗、洒水）车辆应保持外观整洁，一日一洗。</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2）废物箱（果壳箱、垃圾桶）、垃圾坞等环卫设施应按规定设置，无破损，垃圾无外溢，及时加盖，关门，做到日产日清</w:t>
      </w:r>
      <w:r>
        <w:rPr>
          <w:rFonts w:hint="eastAsia" w:ascii="新宋体" w:hAnsi="新宋体" w:eastAsia="新宋体" w:cs="新宋体"/>
          <w:color w:val="auto"/>
          <w:sz w:val="22"/>
          <w:szCs w:val="22"/>
          <w:lang w:eastAsia="zh-CN"/>
        </w:rPr>
        <w:t>，如出现垃圾圬车钭燃烧垃圾要及时清理</w:t>
      </w:r>
      <w:r>
        <w:rPr>
          <w:rFonts w:hint="eastAsia" w:ascii="新宋体" w:hAnsi="新宋体" w:eastAsia="新宋体" w:cs="新宋体"/>
          <w:color w:val="auto"/>
          <w:sz w:val="22"/>
          <w:szCs w:val="22"/>
        </w:rPr>
        <w:t>。</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3）垃圾实行密闭运输，不得超高运输和吊挂杂物。</w:t>
      </w:r>
    </w:p>
    <w:p>
      <w:pPr>
        <w:widowControl/>
        <w:autoSpaceDE w:val="0"/>
        <w:autoSpaceDN w:val="0"/>
        <w:adjustRightInd w:val="0"/>
        <w:spacing w:line="360" w:lineRule="auto"/>
        <w:textAlignment w:val="bottom"/>
        <w:rPr>
          <w:rFonts w:hint="eastAsia" w:ascii="新宋体" w:hAnsi="新宋体" w:eastAsia="新宋体" w:cs="新宋体"/>
          <w:b/>
          <w:bCs/>
          <w:color w:val="auto"/>
          <w:sz w:val="22"/>
          <w:szCs w:val="22"/>
          <w:lang w:eastAsia="zh-CN"/>
        </w:rPr>
      </w:pPr>
      <w:r>
        <w:rPr>
          <w:rFonts w:hint="eastAsia" w:ascii="新宋体" w:hAnsi="新宋体" w:eastAsia="新宋体" w:cs="新宋体"/>
          <w:b/>
          <w:bCs/>
          <w:color w:val="auto"/>
          <w:sz w:val="22"/>
          <w:szCs w:val="22"/>
          <w:lang w:eastAsia="zh-CN"/>
        </w:rPr>
        <w:t>（四）垃圾收集与清运要求</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 xml:space="preserve">   农村垃圾收集与清运垃圾日产日清，果壳箱垃圾收集每日不少于1次、垃圾桶垃圾收集每日不少于2次。学校、医院、农贸市场、车站等重要区域应实际需要增加收集与清运频次。农村普通村生活垃圾、装修垃圾运送到垃圾堆放指定地点或正规消纳点，本项目中标供应商负责生活垃圾、无主渣土及装修垃圾的清运工作，视普通村实际垃圾产量每日1-2次清运。（垃圾清运点及周边环境保持干净）</w:t>
      </w:r>
    </w:p>
    <w:p>
      <w:pPr>
        <w:widowControl/>
        <w:autoSpaceDE w:val="0"/>
        <w:autoSpaceDN w:val="0"/>
        <w:adjustRightInd w:val="0"/>
        <w:spacing w:line="440" w:lineRule="exact"/>
        <w:textAlignment w:val="bottom"/>
        <w:rPr>
          <w:rFonts w:ascii="宋体"/>
          <w:b/>
          <w:color w:val="auto"/>
          <w:sz w:val="22"/>
        </w:rPr>
      </w:pPr>
      <w:r>
        <w:rPr>
          <w:rFonts w:hint="eastAsia" w:ascii="宋体"/>
          <w:b/>
          <w:color w:val="auto"/>
          <w:sz w:val="22"/>
        </w:rPr>
        <w:t>（</w:t>
      </w:r>
      <w:r>
        <w:rPr>
          <w:rFonts w:hint="eastAsia" w:ascii="宋体"/>
          <w:b/>
          <w:color w:val="auto"/>
          <w:sz w:val="22"/>
          <w:lang w:eastAsia="zh-CN"/>
        </w:rPr>
        <w:t>五</w:t>
      </w:r>
      <w:r>
        <w:rPr>
          <w:rFonts w:hint="eastAsia" w:ascii="宋体"/>
          <w:b/>
          <w:color w:val="auto"/>
          <w:sz w:val="22"/>
        </w:rPr>
        <w:t>）小广告治理</w:t>
      </w:r>
      <w:r>
        <w:rPr>
          <w:rFonts w:hint="eastAsia" w:ascii="宋体" w:hAnsi="宋体" w:cs="黑体"/>
          <w:b/>
          <w:color w:val="auto"/>
          <w:szCs w:val="21"/>
        </w:rPr>
        <w:t>要求</w:t>
      </w:r>
    </w:p>
    <w:p>
      <w:pPr>
        <w:widowControl/>
        <w:autoSpaceDE w:val="0"/>
        <w:autoSpaceDN w:val="0"/>
        <w:adjustRightInd w:val="0"/>
        <w:spacing w:line="440" w:lineRule="exact"/>
        <w:ind w:firstLine="440" w:firstLineChars="200"/>
        <w:textAlignment w:val="bottom"/>
        <w:rPr>
          <w:rFonts w:ascii="宋体"/>
          <w:color w:val="auto"/>
          <w:sz w:val="22"/>
        </w:rPr>
      </w:pPr>
      <w:r>
        <w:rPr>
          <w:rFonts w:hint="eastAsia" w:ascii="新宋体" w:hAnsi="新宋体" w:eastAsia="新宋体" w:cs="新宋体"/>
          <w:color w:val="auto"/>
          <w:sz w:val="22"/>
          <w:szCs w:val="22"/>
        </w:rPr>
        <w:t>1）</w:t>
      </w:r>
      <w:r>
        <w:rPr>
          <w:rFonts w:hint="eastAsia" w:ascii="宋体"/>
          <w:color w:val="auto"/>
          <w:sz w:val="22"/>
        </w:rPr>
        <w:t>中标供应商负责清理及治理所属</w:t>
      </w:r>
      <w:r>
        <w:rPr>
          <w:rFonts w:hint="eastAsia" w:ascii="宋体"/>
          <w:color w:val="auto"/>
          <w:sz w:val="22"/>
          <w:lang w:eastAsia="zh-CN"/>
        </w:rPr>
        <w:t>的景区</w:t>
      </w:r>
      <w:r>
        <w:rPr>
          <w:rFonts w:hint="eastAsia" w:ascii="宋体"/>
          <w:color w:val="auto"/>
          <w:sz w:val="22"/>
        </w:rPr>
        <w:t>道路、</w:t>
      </w:r>
      <w:r>
        <w:rPr>
          <w:rFonts w:hint="eastAsia" w:ascii="宋体"/>
          <w:color w:val="auto"/>
          <w:sz w:val="22"/>
          <w:lang w:eastAsia="zh-CN"/>
        </w:rPr>
        <w:t>村居道路、</w:t>
      </w:r>
      <w:r>
        <w:rPr>
          <w:rFonts w:hint="eastAsia" w:ascii="宋体"/>
          <w:color w:val="auto"/>
          <w:sz w:val="22"/>
        </w:rPr>
        <w:t>公园、广场、道路两侧构筑物、建筑物、道路辅助设施上可见的小广告、非法喷涂广告。保洁人员须随时发现，随时清理干净。并配合执法部门取证打击非法张贴小广告行为。</w:t>
      </w:r>
    </w:p>
    <w:p>
      <w:pPr>
        <w:widowControl/>
        <w:autoSpaceDE w:val="0"/>
        <w:autoSpaceDN w:val="0"/>
        <w:adjustRightInd w:val="0"/>
        <w:spacing w:line="440" w:lineRule="exact"/>
        <w:ind w:firstLine="440" w:firstLineChars="200"/>
        <w:textAlignment w:val="bottom"/>
        <w:rPr>
          <w:rFonts w:ascii="宋体"/>
          <w:color w:val="auto"/>
          <w:sz w:val="22"/>
        </w:rPr>
      </w:pP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w:t>
      </w:r>
      <w:r>
        <w:rPr>
          <w:rFonts w:hint="eastAsia" w:ascii="宋体"/>
          <w:color w:val="auto"/>
          <w:sz w:val="22"/>
        </w:rPr>
        <w:t>清理小广告配备电瓶车，并配备相应的操作工具、材料及每辆车均配备专职工作人员。</w:t>
      </w:r>
    </w:p>
    <w:p>
      <w:pPr>
        <w:widowControl/>
        <w:autoSpaceDE w:val="0"/>
        <w:autoSpaceDN w:val="0"/>
        <w:adjustRightInd w:val="0"/>
        <w:spacing w:line="440" w:lineRule="exact"/>
        <w:ind w:firstLine="440" w:firstLineChars="200"/>
        <w:textAlignment w:val="bottom"/>
        <w:rPr>
          <w:rFonts w:ascii="宋体"/>
          <w:color w:val="auto"/>
          <w:sz w:val="22"/>
        </w:rPr>
      </w:pP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rPr>
        <w:t>）</w:t>
      </w:r>
      <w:r>
        <w:rPr>
          <w:rFonts w:hint="eastAsia" w:ascii="宋体"/>
          <w:color w:val="auto"/>
          <w:sz w:val="22"/>
        </w:rPr>
        <w:t>小广告清理保洁服务的标准</w:t>
      </w:r>
    </w:p>
    <w:p>
      <w:pPr>
        <w:widowControl/>
        <w:autoSpaceDE w:val="0"/>
        <w:autoSpaceDN w:val="0"/>
        <w:adjustRightInd w:val="0"/>
        <w:spacing w:line="440" w:lineRule="exact"/>
        <w:ind w:firstLine="440" w:firstLineChars="200"/>
        <w:textAlignment w:val="bottom"/>
        <w:rPr>
          <w:rFonts w:ascii="宋体"/>
          <w:color w:val="auto"/>
          <w:sz w:val="22"/>
        </w:rPr>
      </w:pPr>
      <w:r>
        <w:rPr>
          <w:rFonts w:hint="eastAsia" w:ascii="宋体"/>
          <w:color w:val="auto"/>
          <w:sz w:val="22"/>
        </w:rPr>
        <w:t>（</w:t>
      </w:r>
      <w:r>
        <w:rPr>
          <w:rFonts w:ascii="宋体"/>
          <w:color w:val="auto"/>
          <w:sz w:val="22"/>
        </w:rPr>
        <w:t>1</w:t>
      </w:r>
      <w:r>
        <w:rPr>
          <w:rFonts w:hint="eastAsia" w:ascii="宋体"/>
          <w:color w:val="auto"/>
          <w:sz w:val="22"/>
        </w:rPr>
        <w:t>）日常保洁要求，实行定</w:t>
      </w:r>
      <w:r>
        <w:rPr>
          <w:rFonts w:hint="eastAsia" w:ascii="宋体"/>
          <w:color w:val="auto"/>
          <w:sz w:val="22"/>
          <w:lang w:eastAsia="zh-CN"/>
        </w:rPr>
        <w:t>岗</w:t>
      </w:r>
      <w:r>
        <w:rPr>
          <w:rFonts w:hint="eastAsia" w:ascii="宋体"/>
          <w:color w:val="auto"/>
          <w:sz w:val="22"/>
        </w:rPr>
        <w:t>、定段、定人、定时、定保洁标准责任到人管理；</w:t>
      </w:r>
    </w:p>
    <w:p>
      <w:pPr>
        <w:widowControl/>
        <w:autoSpaceDE w:val="0"/>
        <w:autoSpaceDN w:val="0"/>
        <w:adjustRightInd w:val="0"/>
        <w:spacing w:line="440" w:lineRule="exact"/>
        <w:ind w:firstLine="440" w:firstLineChars="200"/>
        <w:textAlignment w:val="bottom"/>
        <w:rPr>
          <w:rFonts w:ascii="宋体"/>
          <w:color w:val="auto"/>
          <w:sz w:val="22"/>
        </w:rPr>
      </w:pPr>
      <w:r>
        <w:rPr>
          <w:rFonts w:hint="eastAsia" w:ascii="宋体"/>
          <w:color w:val="auto"/>
          <w:sz w:val="22"/>
        </w:rPr>
        <w:t>（</w:t>
      </w:r>
      <w:r>
        <w:rPr>
          <w:rFonts w:ascii="宋体"/>
          <w:color w:val="auto"/>
          <w:sz w:val="22"/>
        </w:rPr>
        <w:t>2</w:t>
      </w:r>
      <w:r>
        <w:rPr>
          <w:rFonts w:hint="eastAsia" w:ascii="宋体"/>
          <w:color w:val="auto"/>
          <w:sz w:val="22"/>
        </w:rPr>
        <w:t>）清理质量要求，外墙、地面、栏杆、店面卷帘门、空调外机等清理保洁做到“日有日清”，原则上应在每日上午</w:t>
      </w:r>
      <w:r>
        <w:rPr>
          <w:rFonts w:ascii="宋体"/>
          <w:color w:val="auto"/>
          <w:sz w:val="22"/>
        </w:rPr>
        <w:t>9</w:t>
      </w:r>
      <w:r>
        <w:rPr>
          <w:rFonts w:hint="eastAsia" w:ascii="宋体"/>
          <w:color w:val="auto"/>
          <w:sz w:val="22"/>
        </w:rPr>
        <w:t>点以前清除完毕。同一地方的乱张贴或乱涂写存续时间主次干道（桥梁）不能超过</w:t>
      </w:r>
      <w:r>
        <w:rPr>
          <w:rFonts w:ascii="宋体"/>
          <w:color w:val="auto"/>
          <w:sz w:val="22"/>
        </w:rPr>
        <w:t>2</w:t>
      </w:r>
      <w:r>
        <w:rPr>
          <w:rFonts w:hint="eastAsia" w:ascii="宋体"/>
          <w:color w:val="auto"/>
          <w:sz w:val="22"/>
        </w:rPr>
        <w:t>小时，特殊情况不得超过</w:t>
      </w:r>
      <w:r>
        <w:rPr>
          <w:rFonts w:ascii="宋体"/>
          <w:color w:val="auto"/>
          <w:sz w:val="22"/>
        </w:rPr>
        <w:t>1</w:t>
      </w:r>
      <w:r>
        <w:rPr>
          <w:rFonts w:hint="eastAsia" w:ascii="宋体"/>
          <w:color w:val="auto"/>
          <w:sz w:val="22"/>
        </w:rPr>
        <w:t>小时；其它地方不能超过</w:t>
      </w:r>
      <w:r>
        <w:rPr>
          <w:rFonts w:ascii="宋体"/>
          <w:color w:val="auto"/>
          <w:sz w:val="22"/>
        </w:rPr>
        <w:t>3</w:t>
      </w:r>
      <w:r>
        <w:rPr>
          <w:rFonts w:hint="eastAsia" w:ascii="宋体"/>
          <w:color w:val="auto"/>
          <w:sz w:val="22"/>
        </w:rPr>
        <w:t>小时，特殊情况不能超过</w:t>
      </w:r>
      <w:r>
        <w:rPr>
          <w:rFonts w:ascii="宋体"/>
          <w:color w:val="auto"/>
          <w:sz w:val="22"/>
        </w:rPr>
        <w:t>2</w:t>
      </w:r>
      <w:r>
        <w:rPr>
          <w:rFonts w:hint="eastAsia" w:ascii="宋体"/>
          <w:color w:val="auto"/>
          <w:sz w:val="22"/>
        </w:rPr>
        <w:t>小时；</w:t>
      </w:r>
    </w:p>
    <w:p>
      <w:pPr>
        <w:widowControl/>
        <w:autoSpaceDE w:val="0"/>
        <w:autoSpaceDN w:val="0"/>
        <w:adjustRightInd w:val="0"/>
        <w:spacing w:line="440" w:lineRule="exact"/>
        <w:ind w:firstLine="440" w:firstLineChars="200"/>
        <w:textAlignment w:val="bottom"/>
        <w:rPr>
          <w:rFonts w:ascii="宋体"/>
          <w:color w:val="auto"/>
          <w:sz w:val="22"/>
        </w:rPr>
      </w:pPr>
      <w:r>
        <w:rPr>
          <w:rFonts w:hint="eastAsia" w:ascii="宋体"/>
          <w:color w:val="auto"/>
          <w:sz w:val="22"/>
        </w:rPr>
        <w:t>（</w:t>
      </w:r>
      <w:r>
        <w:rPr>
          <w:rFonts w:ascii="宋体"/>
          <w:color w:val="auto"/>
          <w:sz w:val="22"/>
        </w:rPr>
        <w:t>3</w:t>
      </w:r>
      <w:r>
        <w:rPr>
          <w:rFonts w:hint="eastAsia" w:ascii="宋体"/>
          <w:color w:val="auto"/>
          <w:sz w:val="22"/>
        </w:rPr>
        <w:t>）外墙、地面、栏杆、灯箱、电话亭、书报亭清理乱张贴或乱涂写保洁基本上做到“同色覆盖”。选用环保材料、涂料、油漆、清除乱张贴、乱涂写的涂料要用与墙体、地面、栏杆相同或相接近的颜色进行有规则（正方形、长方形等）的覆盖，对花岗岩、大理石等墙面、地面应通过清洗方式进行保洁，不能出现“白癜风”的涂写、覆盖方式；</w:t>
      </w:r>
    </w:p>
    <w:p>
      <w:pPr>
        <w:widowControl/>
        <w:autoSpaceDE w:val="0"/>
        <w:autoSpaceDN w:val="0"/>
        <w:adjustRightInd w:val="0"/>
        <w:spacing w:line="440" w:lineRule="exact"/>
        <w:ind w:firstLine="440" w:firstLineChars="200"/>
        <w:textAlignment w:val="bottom"/>
        <w:rPr>
          <w:rFonts w:ascii="宋体"/>
          <w:color w:val="auto"/>
          <w:sz w:val="22"/>
        </w:rPr>
      </w:pPr>
      <w:r>
        <w:rPr>
          <w:rFonts w:hint="eastAsia" w:ascii="宋体"/>
          <w:color w:val="auto"/>
          <w:sz w:val="22"/>
        </w:rPr>
        <w:t>（</w:t>
      </w:r>
      <w:r>
        <w:rPr>
          <w:rFonts w:ascii="宋体"/>
          <w:color w:val="auto"/>
          <w:sz w:val="22"/>
        </w:rPr>
        <w:t>4</w:t>
      </w:r>
      <w:r>
        <w:rPr>
          <w:rFonts w:hint="eastAsia" w:ascii="宋体"/>
          <w:color w:val="auto"/>
          <w:sz w:val="22"/>
        </w:rPr>
        <w:t>）清除乱张贴乱涂写时注意不得污损周围墙体、地面、桥面，保持整洁；</w:t>
      </w:r>
    </w:p>
    <w:p>
      <w:pPr>
        <w:widowControl/>
        <w:autoSpaceDE w:val="0"/>
        <w:autoSpaceDN w:val="0"/>
        <w:adjustRightInd w:val="0"/>
        <w:spacing w:line="440" w:lineRule="exact"/>
        <w:ind w:firstLine="440" w:firstLineChars="200"/>
        <w:textAlignment w:val="bottom"/>
        <w:rPr>
          <w:rFonts w:ascii="宋体"/>
          <w:color w:val="auto"/>
          <w:sz w:val="22"/>
        </w:rPr>
      </w:pPr>
      <w:r>
        <w:rPr>
          <w:rFonts w:hint="eastAsia" w:ascii="宋体"/>
          <w:color w:val="auto"/>
          <w:sz w:val="22"/>
        </w:rPr>
        <w:t>（</w:t>
      </w:r>
      <w:r>
        <w:rPr>
          <w:rFonts w:ascii="宋体"/>
          <w:color w:val="auto"/>
          <w:sz w:val="22"/>
        </w:rPr>
        <w:t>5</w:t>
      </w:r>
      <w:r>
        <w:rPr>
          <w:rFonts w:hint="eastAsia" w:ascii="宋体"/>
          <w:color w:val="auto"/>
          <w:sz w:val="22"/>
        </w:rPr>
        <w:t>）中标方在对外墙等保洁之前，应向有关建筑物的产权单位先行告知，避免产生不必要的纠纷。</w:t>
      </w:r>
    </w:p>
    <w:p>
      <w:pPr>
        <w:widowControl/>
        <w:autoSpaceDE w:val="0"/>
        <w:autoSpaceDN w:val="0"/>
        <w:adjustRightInd w:val="0"/>
        <w:spacing w:line="360" w:lineRule="auto"/>
        <w:textAlignment w:val="bottom"/>
        <w:rPr>
          <w:rFonts w:hint="eastAsia" w:ascii="宋体"/>
          <w:b/>
          <w:color w:val="auto"/>
          <w:sz w:val="22"/>
        </w:rPr>
      </w:pPr>
      <w:r>
        <w:rPr>
          <w:rFonts w:hint="eastAsia" w:ascii="宋体"/>
          <w:b/>
          <w:color w:val="auto"/>
          <w:sz w:val="22"/>
        </w:rPr>
        <w:t>（</w:t>
      </w:r>
      <w:r>
        <w:rPr>
          <w:rFonts w:hint="eastAsia" w:ascii="宋体"/>
          <w:b/>
          <w:color w:val="auto"/>
          <w:sz w:val="22"/>
          <w:lang w:eastAsia="zh-CN"/>
        </w:rPr>
        <w:t>六</w:t>
      </w:r>
      <w:r>
        <w:rPr>
          <w:rFonts w:hint="eastAsia" w:ascii="宋体"/>
          <w:b/>
          <w:color w:val="auto"/>
          <w:sz w:val="22"/>
        </w:rPr>
        <w:t>）无主的建筑垃圾（含装修垃圾，废弃家具）清理要求</w:t>
      </w:r>
    </w:p>
    <w:p>
      <w:pPr>
        <w:widowControl/>
        <w:autoSpaceDE w:val="0"/>
        <w:autoSpaceDN w:val="0"/>
        <w:adjustRightInd w:val="0"/>
        <w:spacing w:line="360" w:lineRule="auto"/>
        <w:ind w:firstLine="440" w:firstLineChars="200"/>
        <w:textAlignment w:val="bottom"/>
        <w:rPr>
          <w:rFonts w:ascii="宋体"/>
          <w:color w:val="auto"/>
          <w:sz w:val="22"/>
        </w:rPr>
      </w:pPr>
      <w:r>
        <w:rPr>
          <w:rFonts w:hint="eastAsia" w:ascii="新宋体" w:hAnsi="新宋体" w:eastAsia="新宋体" w:cs="新宋体"/>
          <w:color w:val="auto"/>
          <w:sz w:val="22"/>
          <w:szCs w:val="22"/>
        </w:rPr>
        <w:t>1）</w:t>
      </w:r>
      <w:r>
        <w:rPr>
          <w:rFonts w:hint="eastAsia" w:ascii="宋体"/>
          <w:color w:val="auto"/>
          <w:sz w:val="22"/>
        </w:rPr>
        <w:t>中标供应商负责区域内无主建筑垃圾的清理。并按采购人要求将建筑垃圾运至指定建筑垃圾或装修垃圾，废弃家具消纳场进行消纳，不得与生活垃圾混运，混放。</w:t>
      </w:r>
    </w:p>
    <w:p>
      <w:pPr>
        <w:widowControl/>
        <w:autoSpaceDE w:val="0"/>
        <w:autoSpaceDN w:val="0"/>
        <w:adjustRightInd w:val="0"/>
        <w:spacing w:line="360" w:lineRule="auto"/>
        <w:ind w:firstLine="440" w:firstLineChars="200"/>
        <w:textAlignment w:val="bottom"/>
        <w:rPr>
          <w:rFonts w:hint="eastAsia" w:ascii="宋体"/>
          <w:color w:val="auto"/>
          <w:sz w:val="22"/>
        </w:rPr>
      </w:pP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w:t>
      </w:r>
      <w:r>
        <w:rPr>
          <w:rFonts w:hint="eastAsia" w:ascii="宋体"/>
          <w:color w:val="auto"/>
          <w:sz w:val="22"/>
        </w:rPr>
        <w:t>中标供应商有义务对负责区域内的建筑垃圾乱倾倒，乱堆放负有监督义务，如发现有人乱倾倒建筑垃圾须及时上报采购人处理。</w:t>
      </w:r>
    </w:p>
    <w:p>
      <w:pPr>
        <w:widowControl/>
        <w:autoSpaceDE w:val="0"/>
        <w:autoSpaceDN w:val="0"/>
        <w:adjustRightInd w:val="0"/>
        <w:spacing w:line="360" w:lineRule="auto"/>
        <w:textAlignment w:val="bottom"/>
        <w:rPr>
          <w:rFonts w:hint="eastAsia" w:ascii="宋体"/>
          <w:b/>
          <w:color w:val="auto"/>
          <w:sz w:val="22"/>
        </w:rPr>
      </w:pPr>
      <w:r>
        <w:rPr>
          <w:rFonts w:hint="eastAsia" w:ascii="宋体"/>
          <w:b/>
          <w:color w:val="auto"/>
          <w:sz w:val="22"/>
        </w:rPr>
        <w:t>（</w:t>
      </w:r>
      <w:r>
        <w:rPr>
          <w:rFonts w:hint="eastAsia" w:ascii="宋体"/>
          <w:b/>
          <w:color w:val="auto"/>
          <w:sz w:val="22"/>
          <w:lang w:eastAsia="zh-CN"/>
        </w:rPr>
        <w:t>七</w:t>
      </w:r>
      <w:r>
        <w:rPr>
          <w:rFonts w:hint="eastAsia" w:ascii="宋体"/>
          <w:b/>
          <w:color w:val="auto"/>
          <w:sz w:val="22"/>
        </w:rPr>
        <w:t>）垃圾分类要求</w:t>
      </w:r>
    </w:p>
    <w:p>
      <w:pPr>
        <w:spacing w:line="360" w:lineRule="auto"/>
        <w:rPr>
          <w:rFonts w:hint="eastAsia" w:ascii="宋体" w:hAnsi="宋体" w:eastAsia="宋体" w:cs="宋体"/>
          <w:color w:val="auto"/>
          <w:sz w:val="22"/>
          <w:szCs w:val="22"/>
        </w:rPr>
      </w:pP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1）</w:t>
      </w:r>
      <w:r>
        <w:rPr>
          <w:rFonts w:hint="eastAsia" w:ascii="新宋体" w:hAnsi="新宋体" w:eastAsia="新宋体" w:cs="新宋体"/>
          <w:color w:val="auto"/>
          <w:sz w:val="22"/>
          <w:szCs w:val="22"/>
          <w:lang w:eastAsia="zh-CN"/>
        </w:rPr>
        <w:t>垃圾分类：</w:t>
      </w:r>
      <w:r>
        <w:rPr>
          <w:rFonts w:hint="eastAsia" w:ascii="宋体" w:hAnsi="宋体" w:eastAsia="宋体" w:cs="宋体"/>
          <w:color w:val="auto"/>
          <w:sz w:val="22"/>
          <w:szCs w:val="22"/>
          <w:lang w:val="en-US" w:eastAsia="zh-CN"/>
        </w:rPr>
        <w:t>驿头驿阳村、驿头山根村；横山村、垟江村、双潮村，竹源村</w:t>
      </w:r>
      <w:r>
        <w:rPr>
          <w:rFonts w:hint="eastAsia" w:ascii="宋体" w:hAnsi="宋体" w:eastAsia="宋体" w:cs="宋体"/>
          <w:color w:val="auto"/>
          <w:sz w:val="22"/>
          <w:szCs w:val="22"/>
        </w:rPr>
        <w:t>，并按照前端分类、清扫收集、分类运输、分类处置四个环节进行和具体实施。</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 xml:space="preserve"> 2）总体服务要求 </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以扎实推进创建垃圾分类示范小区（村或社区）为工作目标，提高环卫保洁水平和垃圾分类覆盖率，坚持垃圾处理减量化、资源化和无害化，以专业、贴心和全方位的服务，满足采购人的委托目标和要求，保证环卫保洁及垃圾分类处理“0”投诉。</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（2）在充分了解掌握区域环境的情况下，按现代化、无害化标准，编制科学合理和切实可行的全域保洁及垃圾分类实施方案，以及具体的保障措施和工作程序。</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3）按国家卫生城市管理条例及其他有关规定或执行标准，建立并完善各种保洁管理制度和工作流程，明确工作质量标准和人员职责分工，强化设备维护运转及时、准确，保证设备安全和维保质量，确保全域保洁及垃圾分类实施计划的可操作性和实用性。</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（4）为全域保洁和垃圾分类服务提供优良的后勤保障，确保全域保洁及垃圾分类工作有序进行。</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（5）建立各类应急预案（如重大活动、重要时期、灾害性天气、突发事件等），定期或不定期地培训相关作业人员以达到应急要求。</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（6）人员结构合理、分工明确。作业人员要求身体素质好，懂礼貌、善服务，无不良行为记录，重要岗位的管理人员必须政治上可靠，素质上过硬。</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（7） 中标人负责全域保洁及垃圾分类相关的宣传和人员培训。同时负责再生资源回收站点和有害垃圾临时存放点的建设、维护和运行。</w:t>
      </w:r>
    </w:p>
    <w:p>
      <w:pPr>
        <w:spacing w:line="360" w:lineRule="auto"/>
        <w:ind w:firstLine="440" w:firstLineChars="2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3）基本服务要求：</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 xml:space="preserve">（1）每日不少于2次的分类清运（上午8点前、下午2点前），日产日清。 </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2）负责所有分类容器和运输车辆日常运营维护，每日应对垃圾分类设施、容器及其周边进行保洁，做到无污垢、无破损、内部无积水、垃圾或污水不满溢，定期喷洒消毒和灭蚊蝇药物。确保垃圾分类设施、容器干净整洁、完好。分类容器出现破旧、遗失或者数量不足的，必须及时维修、更换或补设。定期对运输车辆进行检修和保养，确保车辆或其他保洁设备（或设施）的正常运行。</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（3）垃圾清运、装卸、运输过程中，避免垃圾和污水外泄、遗撒，中转桶每日清洗保洁，保证桶体无破损和污垢。每天对所有垃圾桶及周边进行冲洗，保持干净整洁。</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（4）开展居民垃圾分类集中培训，为居民讲解垃圾分类知识和操作规范，提升垃圾分类效果。</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（5）完善各项安全生产管理制度，建立健全的台帐管理机制，每月5号定时向采购人提交垃圾分类运营台帐资料和运行报告。</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6）清运人员（分拣员）需全面落实二次分拣工作，对垃圾桶内误丢的垃圾进行正确分类，并对丢垃圾的居民实时督导宜教，提高垃圾分类准确率。中标人每月对分拣员开展不少于一次的培训，每月开展垃圾分拣员的评优工作，做好记录和并上报采购人。</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（7）发现乱堆放问题时，及时向采购人反映情况。</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（8）配合采购人做好区域内的环卫保洁和垃圾分类宣传工作。</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（9）其它垃圾处置费用已包括在合同总价内。</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（10）包括重大活动、重要时期和节假日等期间，做好保洁及垃圾分类工作。</w:t>
      </w:r>
    </w:p>
    <w:p>
      <w:pPr>
        <w:spacing w:line="360" w:lineRule="auto"/>
        <w:ind w:firstLine="440" w:firstLineChars="2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4）相关设施、场地配置要求</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w:t>
      </w:r>
      <w:r>
        <w:rPr>
          <w:rFonts w:hint="eastAsia" w:ascii="新宋体" w:hAnsi="新宋体" w:eastAsia="新宋体" w:cs="新宋体"/>
          <w:b/>
          <w:bCs/>
          <w:color w:val="auto"/>
          <w:sz w:val="22"/>
          <w:szCs w:val="22"/>
          <w:lang w:val="en-US" w:eastAsia="zh-CN"/>
        </w:rPr>
        <w:t>再生资源回收站点和有害垃圾临时存放点：设置不少于1家及以上的再生资源回收站点（面积≥150㎡）和有害垃圾临时存放点（面积≥50㎡），统一标识、统一名称，编制资源回收利用方案，建立健全的再生资源回收数量和处理途径等运行管理各类台账。选址及建设费用，均由投标人自行落实和承担，采购人仅予以协助和配合。</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（2）其余所有设施、设备、工具（垃圾桶除外）等全部由中标人投入使用，费用已包含在合同价中。</w:t>
      </w:r>
    </w:p>
    <w:p>
      <w:pPr>
        <w:spacing w:line="360" w:lineRule="auto"/>
        <w:ind w:firstLine="440" w:firstLineChars="2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5）管理作业标准</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层层落实管理责任制，按行业要求建好台账【包括:人员花名册、员工聘用劳动或劳务合同、车辆及人员保单、人员及车辆管理规章制度、卫生标准管理制度、质量和安全工作制度、日常工作管理责任制度、作息时间制度、突发及应急事件(迎检、自然灾害、110、市民投诉、数字城管、阳光热线等)处置预案等资料或台账】，并登记造册。</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（2）参照行业标准化管理指标或要求，落实保洁时间。</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（3）垃圾分类处理人员应当接受过专业培训，且职业道德良好，身体健康、操控能力强。</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（4）投标人中标后应对垃圾分类人员进行安全教育、上岗培训和定期考核(完善教育、上岗培训和定期考核相关台账)，并承担人员的安全管理、补贴支付、工伤赔偿等工作。</w:t>
      </w:r>
    </w:p>
    <w:p>
      <w:pPr>
        <w:spacing w:line="360" w:lineRule="auto"/>
        <w:ind w:firstLine="440" w:firstLineChars="2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6）宣传活动</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每年开展不少于1次户外大型宣教活动。利用各种载体开展多样化清洁家园和垃圾分类宣传培训活动，进村、社区入户进行清洁家园和垃圾分类宣传和指导；宣传品配备不低于实际居住户数的100%，垃圾分类知晓率达到100%；街道积极借助学校、妇联等组织力量，发动中小学生、妇女等人员参与到清洁家园和垃圾分类宣传工作中来。（街道负责，中标人配合）</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2）全域保洁和垃圾分类制度上墙，并要将清洁家园和垃圾分类工作写入村规民约。村内公共场所显著位置绘有清洁家园和垃圾分类墙画，村内分散设置清洁家园和垃圾分类宣传广告，营造浓厚宣传氛围。（街道负责，中标人配合）</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3）投标人每季度不少于1次对每个小区（村、社区）清洁家园和垃圾分类进行宣传（提供相关宣传品）并开展集中培训，引导农户积极参与街道全域保洁和垃圾分类工作；建立居民宣教培训方案，现场照片和文字记录完善，引导居民积极参与街道全域保洁和垃圾分类工作中去，结合省、市考核要求做好台账。（中标人负责）</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4）分拣员需落实二次分拣工作，对垃圾桶内误丢的垃圾进行正确分类，并对丢垃圾的居民实时督导宣教，提高分类准确率。中标人每月对分拣员开展不少于一次培训，每月开展垃圾分拣员评优制度，做好记录。（中标人负责）</w:t>
      </w:r>
    </w:p>
    <w:p>
      <w:pPr>
        <w:spacing w:line="360" w:lineRule="auto"/>
        <w:ind w:firstLine="440" w:firstLineChars="2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7）采购人提供的设备</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（1）采购人提供的与保洁和垃圾分类有关的设备清单（其余均由投标人提供）:</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2）在村内公共场所设置四垃圾分类桶站（含四垃圾分类桶），城乡按每个小区（村）配置1组四垃圾分类桶站，桶站内每个分类容器容量需达240升，分类容器颜色和标志按省级标准统一配置。分类桶站要求配备雨棚，地面硬化平整，材质坚固耐用、造型美观，具备张贴或发布公益广告（严禁未经采购人允许擅自发布与垃圾分类无关的广告）和垃圾分类宣传标语功能，宣传内容无破损并及时更新（以采购人或政府及有关部门要求为准）。桶站内四垃圾分类桶要求造型新颖美观、防水、材质坚固耐用，便于居民操作，杜绝桶脏、桶破、桶未盖及垃圾满溢等现象发生。（桶站建设由街道负责，中标公司配合并负责维护）</w:t>
      </w:r>
    </w:p>
    <w:p>
      <w:pPr>
        <w:spacing w:line="360" w:lineRule="auto"/>
        <w:ind w:firstLine="220" w:firstLineChars="100"/>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 xml:space="preserve">（3）村每户配置一套二分类户用垃圾分类桶，由采购人根据户数足额配齐。 </w:t>
      </w:r>
    </w:p>
    <w:p>
      <w:pPr>
        <w:spacing w:line="360" w:lineRule="auto"/>
        <w:ind w:firstLine="220" w:firstLineChars="10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 xml:space="preserve">（4）公共场所的二分类公共垃圾桶由采购人根据街道现有情况配备配齐，实施过程根据保洁情况做调整。 </w:t>
      </w:r>
    </w:p>
    <w:p>
      <w:pPr>
        <w:spacing w:line="360" w:lineRule="auto"/>
        <w:rPr>
          <w:rFonts w:hint="eastAsia" w:ascii="新宋体" w:hAnsi="新宋体" w:eastAsia="新宋体" w:cs="新宋体"/>
          <w:b/>
          <w:bCs/>
          <w:color w:val="auto"/>
          <w:sz w:val="22"/>
          <w:szCs w:val="22"/>
          <w:lang w:eastAsia="zh-CN"/>
        </w:rPr>
      </w:pPr>
      <w:r>
        <w:rPr>
          <w:rFonts w:hint="eastAsia" w:ascii="新宋体" w:hAnsi="新宋体" w:eastAsia="新宋体" w:cs="新宋体"/>
          <w:b/>
          <w:bCs/>
          <w:color w:val="auto"/>
          <w:sz w:val="22"/>
          <w:szCs w:val="22"/>
        </w:rPr>
        <w:t>（</w:t>
      </w:r>
      <w:r>
        <w:rPr>
          <w:rFonts w:hint="eastAsia" w:ascii="新宋体" w:hAnsi="新宋体" w:eastAsia="新宋体" w:cs="新宋体"/>
          <w:b/>
          <w:bCs/>
          <w:color w:val="auto"/>
          <w:sz w:val="22"/>
          <w:szCs w:val="22"/>
          <w:lang w:eastAsia="zh-CN"/>
        </w:rPr>
        <w:t>八</w:t>
      </w:r>
      <w:r>
        <w:rPr>
          <w:rFonts w:hint="eastAsia" w:ascii="新宋体" w:hAnsi="新宋体" w:eastAsia="新宋体" w:cs="新宋体"/>
          <w:b/>
          <w:bCs/>
          <w:color w:val="auto"/>
          <w:sz w:val="22"/>
          <w:szCs w:val="22"/>
        </w:rPr>
        <w:t>）</w:t>
      </w:r>
      <w:r>
        <w:rPr>
          <w:rFonts w:hint="eastAsia" w:ascii="新宋体" w:hAnsi="新宋体" w:eastAsia="新宋体" w:cs="新宋体"/>
          <w:b/>
          <w:bCs/>
          <w:color w:val="auto"/>
          <w:sz w:val="22"/>
          <w:szCs w:val="22"/>
          <w:lang w:eastAsia="zh-CN"/>
        </w:rPr>
        <w:t>公厕保洁要求</w:t>
      </w:r>
    </w:p>
    <w:p>
      <w:pPr>
        <w:spacing w:line="360" w:lineRule="auto"/>
        <w:ind w:firstLine="330" w:firstLineChars="150"/>
        <w:rPr>
          <w:rFonts w:hint="eastAsia" w:ascii="宋体" w:eastAsia="宋体"/>
          <w:b w:val="0"/>
          <w:color w:val="auto"/>
          <w:sz w:val="22"/>
        </w:rPr>
      </w:pPr>
      <w:r>
        <w:rPr>
          <w:rFonts w:hint="eastAsia" w:ascii="宋体" w:eastAsia="宋体"/>
          <w:color w:val="auto"/>
          <w:sz w:val="22"/>
          <w:lang w:eastAsia="zh-CN"/>
        </w:rPr>
        <w:t>一</w:t>
      </w:r>
      <w:r>
        <w:rPr>
          <w:rFonts w:hint="eastAsia" w:ascii="宋体" w:eastAsia="宋体"/>
          <w:color w:val="auto"/>
          <w:sz w:val="22"/>
        </w:rPr>
        <w:t>、</w:t>
      </w:r>
      <w:r>
        <w:rPr>
          <w:rFonts w:hint="eastAsia" w:ascii="宋体" w:eastAsia="宋体"/>
          <w:color w:val="auto"/>
          <w:sz w:val="22"/>
          <w:szCs w:val="22"/>
        </w:rPr>
        <w:t>保洁服务</w:t>
      </w:r>
      <w:r>
        <w:rPr>
          <w:rFonts w:ascii="宋体" w:eastAsia="宋体"/>
          <w:color w:val="auto"/>
          <w:sz w:val="22"/>
          <w:szCs w:val="22"/>
        </w:rPr>
        <w:t>内容</w:t>
      </w:r>
    </w:p>
    <w:p>
      <w:pPr>
        <w:spacing w:line="360" w:lineRule="auto"/>
        <w:ind w:firstLine="330" w:firstLineChars="150"/>
        <w:rPr>
          <w:rFonts w:hint="eastAsia" w:ascii="宋体" w:eastAsia="宋体"/>
          <w:b w:val="0"/>
          <w:color w:val="auto"/>
          <w:sz w:val="22"/>
        </w:rPr>
      </w:pPr>
      <w:r>
        <w:rPr>
          <w:rFonts w:hint="eastAsia" w:ascii="宋体" w:eastAsia="宋体"/>
          <w:b w:val="0"/>
          <w:color w:val="auto"/>
          <w:sz w:val="22"/>
        </w:rPr>
        <w:t>1、公厕保洁标准：</w:t>
      </w:r>
    </w:p>
    <w:p>
      <w:pPr>
        <w:spacing w:line="360" w:lineRule="auto"/>
        <w:ind w:firstLine="330" w:firstLineChars="150"/>
        <w:rPr>
          <w:rFonts w:ascii="宋体" w:eastAsia="宋体"/>
          <w:b w:val="0"/>
          <w:color w:val="auto"/>
          <w:sz w:val="22"/>
        </w:rPr>
      </w:pPr>
      <w:r>
        <w:rPr>
          <w:rFonts w:hint="eastAsia" w:ascii="宋体" w:eastAsia="宋体"/>
          <w:b w:val="0"/>
          <w:color w:val="auto"/>
          <w:sz w:val="22"/>
        </w:rPr>
        <w:t>1.1公厕管理应做到“有水、有电、有人管；无味、无垢、无尘、无积水”。</w:t>
      </w:r>
    </w:p>
    <w:p>
      <w:pPr>
        <w:spacing w:line="360" w:lineRule="auto"/>
        <w:ind w:firstLine="330" w:firstLineChars="150"/>
        <w:rPr>
          <w:rFonts w:ascii="宋体" w:eastAsia="宋体"/>
          <w:b w:val="0"/>
          <w:color w:val="auto"/>
          <w:sz w:val="22"/>
        </w:rPr>
      </w:pPr>
      <w:r>
        <w:rPr>
          <w:rFonts w:hint="eastAsia" w:ascii="宋体" w:eastAsia="宋体"/>
          <w:b w:val="0"/>
          <w:color w:val="auto"/>
          <w:sz w:val="22"/>
        </w:rPr>
        <w:t>1.2公厕标识有公厕标志和指向牌；男女厕所标志；文明如厕提醒牌；</w:t>
      </w:r>
    </w:p>
    <w:p>
      <w:pPr>
        <w:spacing w:line="360" w:lineRule="auto"/>
        <w:ind w:firstLine="330" w:firstLineChars="150"/>
        <w:rPr>
          <w:rFonts w:ascii="宋体" w:eastAsia="宋体"/>
          <w:b w:val="0"/>
          <w:color w:val="auto"/>
          <w:sz w:val="22"/>
        </w:rPr>
      </w:pPr>
      <w:r>
        <w:rPr>
          <w:rFonts w:ascii="宋体" w:eastAsia="宋体"/>
          <w:b w:val="0"/>
          <w:color w:val="auto"/>
          <w:sz w:val="22"/>
        </w:rPr>
        <w:t>1.3</w:t>
      </w:r>
      <w:r>
        <w:rPr>
          <w:rFonts w:hint="eastAsia" w:ascii="宋体" w:eastAsia="宋体"/>
          <w:b w:val="0"/>
          <w:color w:val="auto"/>
          <w:sz w:val="22"/>
        </w:rPr>
        <w:t>设备设施定时巡检、维护，保存检查记录，保存期限一年；</w:t>
      </w:r>
    </w:p>
    <w:p>
      <w:pPr>
        <w:spacing w:line="360" w:lineRule="auto"/>
        <w:ind w:firstLine="330" w:firstLineChars="150"/>
        <w:rPr>
          <w:rFonts w:ascii="宋体" w:eastAsia="宋体"/>
          <w:b w:val="0"/>
          <w:color w:val="auto"/>
          <w:sz w:val="22"/>
        </w:rPr>
      </w:pPr>
      <w:r>
        <w:rPr>
          <w:rFonts w:ascii="宋体" w:eastAsia="宋体"/>
          <w:b w:val="0"/>
          <w:color w:val="auto"/>
          <w:sz w:val="22"/>
        </w:rPr>
        <w:t>1.4</w:t>
      </w:r>
      <w:r>
        <w:rPr>
          <w:rFonts w:hint="eastAsia" w:ascii="宋体" w:eastAsia="宋体"/>
          <w:b w:val="0"/>
          <w:color w:val="auto"/>
          <w:sz w:val="22"/>
        </w:rPr>
        <w:t>周边环境整洁；坡道扶手干净无灰尘；入口道路、台阶无积水；</w:t>
      </w:r>
    </w:p>
    <w:p>
      <w:pPr>
        <w:spacing w:line="360" w:lineRule="auto"/>
        <w:ind w:firstLine="330" w:firstLineChars="150"/>
        <w:rPr>
          <w:rFonts w:ascii="宋体" w:eastAsia="宋体"/>
          <w:b w:val="0"/>
          <w:color w:val="auto"/>
          <w:sz w:val="22"/>
        </w:rPr>
      </w:pPr>
      <w:r>
        <w:rPr>
          <w:rFonts w:hint="eastAsia" w:ascii="宋体" w:eastAsia="宋体"/>
          <w:b w:val="0"/>
          <w:color w:val="auto"/>
          <w:sz w:val="22"/>
        </w:rPr>
        <w:t>1.5管理间、工具间整洁有序；垃圾桶及时清理；地面清洁、无积水；</w:t>
      </w:r>
    </w:p>
    <w:p>
      <w:pPr>
        <w:spacing w:line="360" w:lineRule="auto"/>
        <w:ind w:firstLine="330" w:firstLineChars="150"/>
        <w:rPr>
          <w:rFonts w:ascii="宋体" w:eastAsia="宋体"/>
          <w:b w:val="0"/>
          <w:color w:val="auto"/>
          <w:sz w:val="22"/>
        </w:rPr>
      </w:pPr>
      <w:r>
        <w:rPr>
          <w:rFonts w:hint="eastAsia" w:ascii="宋体" w:eastAsia="宋体"/>
          <w:b w:val="0"/>
          <w:color w:val="auto"/>
          <w:sz w:val="22"/>
        </w:rPr>
        <w:t>1.6大、小便器整洁，无水锈、尿垢、粪迹，管道畅通无堵塞、无滴漏；</w:t>
      </w:r>
    </w:p>
    <w:p>
      <w:pPr>
        <w:spacing w:line="360" w:lineRule="auto"/>
        <w:ind w:firstLine="330" w:firstLineChars="150"/>
        <w:rPr>
          <w:rFonts w:ascii="宋体" w:eastAsia="宋体"/>
          <w:b w:val="0"/>
          <w:color w:val="auto"/>
          <w:sz w:val="22"/>
        </w:rPr>
      </w:pPr>
      <w:r>
        <w:rPr>
          <w:rFonts w:hint="eastAsia" w:ascii="宋体" w:eastAsia="宋体"/>
          <w:b w:val="0"/>
          <w:color w:val="auto"/>
          <w:sz w:val="22"/>
        </w:rPr>
        <w:t>1.7墙面、天花板、门窗、隔断板整洁、无乱写乱画、无污迹、无积灰、无蛛网；</w:t>
      </w:r>
    </w:p>
    <w:p>
      <w:pPr>
        <w:spacing w:line="360" w:lineRule="auto"/>
        <w:ind w:firstLine="330" w:firstLineChars="150"/>
        <w:rPr>
          <w:rFonts w:ascii="宋体" w:eastAsia="宋体"/>
          <w:b w:val="0"/>
          <w:color w:val="auto"/>
          <w:sz w:val="22"/>
        </w:rPr>
      </w:pPr>
      <w:r>
        <w:rPr>
          <w:rFonts w:hint="eastAsia" w:ascii="宋体" w:eastAsia="宋体"/>
          <w:b w:val="0"/>
          <w:color w:val="auto"/>
          <w:sz w:val="22"/>
        </w:rPr>
        <w:t>1.8照明灯具、洗手器皿、镜子、挂衣钩、冲水设备、拖把池完好，保持洁净；</w:t>
      </w:r>
    </w:p>
    <w:p>
      <w:pPr>
        <w:spacing w:line="360" w:lineRule="auto"/>
        <w:ind w:firstLine="330" w:firstLineChars="150"/>
        <w:rPr>
          <w:rFonts w:ascii="宋体" w:eastAsia="宋体"/>
          <w:b w:val="0"/>
          <w:color w:val="auto"/>
          <w:sz w:val="22"/>
        </w:rPr>
      </w:pPr>
      <w:r>
        <w:rPr>
          <w:rFonts w:hint="eastAsia" w:ascii="宋体" w:eastAsia="宋体"/>
          <w:b w:val="0"/>
          <w:color w:val="auto"/>
          <w:sz w:val="22"/>
        </w:rPr>
        <w:t>1.9无障碍厕位间扶手应牢固完好。</w:t>
      </w:r>
    </w:p>
    <w:p>
      <w:pPr>
        <w:spacing w:line="360" w:lineRule="auto"/>
        <w:ind w:firstLine="330" w:firstLineChars="150"/>
        <w:rPr>
          <w:rFonts w:ascii="宋体" w:eastAsia="宋体"/>
          <w:b w:val="0"/>
          <w:color w:val="auto"/>
          <w:sz w:val="22"/>
        </w:rPr>
      </w:pPr>
      <w:r>
        <w:rPr>
          <w:rFonts w:hint="eastAsia" w:ascii="宋体" w:eastAsia="宋体"/>
          <w:b w:val="0"/>
          <w:color w:val="auto"/>
          <w:sz w:val="22"/>
        </w:rPr>
        <w:t>2、</w:t>
      </w:r>
      <w:r>
        <w:rPr>
          <w:rFonts w:ascii="宋体" w:eastAsia="宋体"/>
          <w:b w:val="0"/>
          <w:color w:val="auto"/>
          <w:sz w:val="22"/>
        </w:rPr>
        <w:t>厕所管理要求：</w:t>
      </w:r>
    </w:p>
    <w:p>
      <w:pPr>
        <w:spacing w:line="360" w:lineRule="auto"/>
        <w:ind w:firstLine="330" w:firstLineChars="150"/>
        <w:rPr>
          <w:rFonts w:ascii="宋体" w:eastAsia="宋体"/>
          <w:b w:val="0"/>
          <w:color w:val="auto"/>
          <w:sz w:val="22"/>
        </w:rPr>
      </w:pPr>
      <w:r>
        <w:rPr>
          <w:rFonts w:ascii="宋体" w:eastAsia="宋体"/>
          <w:b w:val="0"/>
          <w:color w:val="auto"/>
          <w:sz w:val="22"/>
        </w:rPr>
        <w:t>2.1</w:t>
      </w:r>
      <w:r>
        <w:rPr>
          <w:rFonts w:hint="eastAsia" w:ascii="宋体" w:eastAsia="宋体"/>
          <w:b w:val="0"/>
          <w:color w:val="auto"/>
          <w:sz w:val="22"/>
        </w:rPr>
        <w:t>公厕管理应做到“有水、有电、有人管；无味、无垢、无尘、无积水”。</w:t>
      </w:r>
    </w:p>
    <w:p>
      <w:pPr>
        <w:spacing w:line="360" w:lineRule="auto"/>
        <w:ind w:firstLine="330" w:firstLineChars="150"/>
        <w:rPr>
          <w:rFonts w:ascii="宋体" w:eastAsia="宋体"/>
          <w:b w:val="0"/>
          <w:color w:val="auto"/>
          <w:sz w:val="22"/>
        </w:rPr>
      </w:pPr>
      <w:r>
        <w:rPr>
          <w:rFonts w:hint="eastAsia" w:ascii="宋体" w:eastAsia="宋体"/>
          <w:b w:val="0"/>
          <w:color w:val="auto"/>
          <w:sz w:val="22"/>
        </w:rPr>
        <w:t>2.2公厕</w:t>
      </w:r>
      <w:r>
        <w:rPr>
          <w:rFonts w:ascii="宋体" w:eastAsia="宋体"/>
          <w:b w:val="0"/>
          <w:color w:val="auto"/>
          <w:sz w:val="22"/>
        </w:rPr>
        <w:t>24 小时免费对外开放</w:t>
      </w:r>
      <w:r>
        <w:rPr>
          <w:rFonts w:hint="eastAsia" w:ascii="宋体" w:eastAsia="宋体"/>
          <w:b w:val="0"/>
          <w:color w:val="auto"/>
          <w:sz w:val="22"/>
        </w:rPr>
        <w:t>。</w:t>
      </w:r>
    </w:p>
    <w:p>
      <w:pPr>
        <w:spacing w:line="360" w:lineRule="auto"/>
        <w:ind w:firstLine="330" w:firstLineChars="150"/>
        <w:rPr>
          <w:rFonts w:ascii="宋体" w:eastAsia="宋体"/>
          <w:b w:val="0"/>
          <w:color w:val="auto"/>
          <w:sz w:val="22"/>
        </w:rPr>
      </w:pPr>
      <w:r>
        <w:rPr>
          <w:rFonts w:hint="eastAsia" w:ascii="宋体" w:eastAsia="宋体"/>
          <w:b w:val="0"/>
          <w:color w:val="auto"/>
          <w:sz w:val="22"/>
        </w:rPr>
        <w:t>2.3公厕标识管理要求：</w:t>
      </w:r>
    </w:p>
    <w:p>
      <w:pPr>
        <w:spacing w:line="360" w:lineRule="auto"/>
        <w:ind w:firstLine="330" w:firstLineChars="150"/>
        <w:rPr>
          <w:rFonts w:ascii="宋体" w:eastAsia="宋体"/>
          <w:b w:val="0"/>
          <w:color w:val="auto"/>
          <w:sz w:val="22"/>
        </w:rPr>
      </w:pPr>
      <w:r>
        <w:rPr>
          <w:rFonts w:ascii="宋体" w:eastAsia="宋体"/>
          <w:b w:val="0"/>
          <w:color w:val="auto"/>
          <w:sz w:val="22"/>
        </w:rPr>
        <w:t>2.3.1标识标牌的设置</w:t>
      </w:r>
    </w:p>
    <w:p>
      <w:pPr>
        <w:spacing w:line="360" w:lineRule="auto"/>
        <w:ind w:firstLine="330" w:firstLineChars="150"/>
        <w:rPr>
          <w:rFonts w:ascii="宋体" w:eastAsia="宋体"/>
          <w:b w:val="0"/>
          <w:color w:val="auto"/>
          <w:sz w:val="22"/>
        </w:rPr>
      </w:pPr>
      <w:r>
        <w:rPr>
          <w:rFonts w:hint="eastAsia" w:ascii="宋体" w:eastAsia="宋体"/>
          <w:b w:val="0"/>
          <w:color w:val="auto"/>
          <w:sz w:val="22"/>
        </w:rPr>
        <w:t>厕内、外各标识标牌设置统一、规范，清晰、完整。</w:t>
      </w:r>
    </w:p>
    <w:p>
      <w:pPr>
        <w:spacing w:line="360" w:lineRule="auto"/>
        <w:ind w:firstLine="330" w:firstLineChars="150"/>
        <w:rPr>
          <w:rFonts w:ascii="宋体" w:eastAsia="宋体"/>
          <w:b w:val="0"/>
          <w:color w:val="auto"/>
          <w:sz w:val="22"/>
        </w:rPr>
      </w:pPr>
      <w:r>
        <w:rPr>
          <w:rFonts w:hint="eastAsia" w:ascii="宋体" w:eastAsia="宋体"/>
          <w:b w:val="0"/>
          <w:color w:val="auto"/>
          <w:sz w:val="22"/>
        </w:rPr>
        <w:t>2.3.1.1</w:t>
      </w:r>
      <w:r>
        <w:rPr>
          <w:rFonts w:ascii="宋体" w:eastAsia="宋体"/>
          <w:b w:val="0"/>
          <w:color w:val="auto"/>
          <w:sz w:val="22"/>
        </w:rPr>
        <w:t>厕外公厕标牌应设置在公厕建筑主体显目位置，采用夜间发光字、中英文免费公厕标志，字体、颜色、风格设计应当追求简约、显目。</w:t>
      </w:r>
    </w:p>
    <w:p>
      <w:pPr>
        <w:spacing w:line="360" w:lineRule="auto"/>
        <w:ind w:firstLine="330" w:firstLineChars="150"/>
        <w:rPr>
          <w:rFonts w:ascii="宋体" w:eastAsia="宋体"/>
          <w:b w:val="0"/>
          <w:color w:val="auto"/>
          <w:sz w:val="22"/>
        </w:rPr>
      </w:pPr>
      <w:r>
        <w:rPr>
          <w:rFonts w:hint="eastAsia" w:ascii="宋体" w:eastAsia="宋体"/>
          <w:b w:val="0"/>
          <w:color w:val="auto"/>
          <w:sz w:val="22"/>
        </w:rPr>
        <w:t>2.3.1.</w:t>
      </w:r>
      <w:r>
        <w:rPr>
          <w:rFonts w:ascii="宋体" w:eastAsia="宋体"/>
          <w:b w:val="0"/>
          <w:color w:val="auto"/>
          <w:sz w:val="22"/>
        </w:rPr>
        <w:t>2管理牌应设置在公共厕所入口处醒目合适的位置。</w:t>
      </w:r>
    </w:p>
    <w:p>
      <w:pPr>
        <w:spacing w:line="360" w:lineRule="auto"/>
        <w:ind w:firstLine="330" w:firstLineChars="150"/>
        <w:rPr>
          <w:rFonts w:ascii="宋体" w:eastAsia="宋体"/>
          <w:b w:val="0"/>
          <w:color w:val="auto"/>
          <w:sz w:val="22"/>
        </w:rPr>
      </w:pPr>
      <w:r>
        <w:rPr>
          <w:rFonts w:hint="eastAsia" w:ascii="宋体" w:eastAsia="宋体"/>
          <w:b w:val="0"/>
          <w:color w:val="auto"/>
          <w:sz w:val="22"/>
        </w:rPr>
        <w:t>2.3.1.</w:t>
      </w:r>
      <w:r>
        <w:rPr>
          <w:rFonts w:ascii="宋体" w:eastAsia="宋体"/>
          <w:b w:val="0"/>
          <w:color w:val="auto"/>
          <w:sz w:val="22"/>
        </w:rPr>
        <w:t>3导向牌应设置在距公共厕所 50～200m 的位置的醒目的标志杆上，在每座公共厕所不同的方向设置，不少于 1 块。指示牌的内容应包括公共厕所的图形符号、中英文符号、方向和距离。</w:t>
      </w:r>
    </w:p>
    <w:p>
      <w:pPr>
        <w:spacing w:line="360" w:lineRule="auto"/>
        <w:ind w:firstLine="330" w:firstLineChars="150"/>
        <w:rPr>
          <w:rFonts w:ascii="宋体" w:eastAsia="宋体"/>
          <w:b w:val="0"/>
          <w:color w:val="auto"/>
          <w:sz w:val="22"/>
        </w:rPr>
      </w:pPr>
      <w:r>
        <w:rPr>
          <w:rFonts w:hint="eastAsia" w:ascii="宋体" w:eastAsia="宋体"/>
          <w:b w:val="0"/>
          <w:color w:val="auto"/>
          <w:sz w:val="22"/>
        </w:rPr>
        <w:t>2.3.1.</w:t>
      </w:r>
      <w:r>
        <w:rPr>
          <w:rFonts w:ascii="宋体" w:eastAsia="宋体"/>
          <w:b w:val="0"/>
          <w:color w:val="auto"/>
          <w:sz w:val="22"/>
        </w:rPr>
        <w:t>4公厕内各类标识标牌应设置在醒目位置。</w:t>
      </w:r>
    </w:p>
    <w:p>
      <w:pPr>
        <w:spacing w:line="360" w:lineRule="auto"/>
        <w:ind w:firstLine="330" w:firstLineChars="150"/>
        <w:rPr>
          <w:rFonts w:ascii="宋体" w:eastAsia="宋体"/>
          <w:b w:val="0"/>
          <w:color w:val="auto"/>
          <w:sz w:val="22"/>
        </w:rPr>
      </w:pPr>
      <w:r>
        <w:rPr>
          <w:rFonts w:ascii="宋体" w:eastAsia="宋体"/>
          <w:b w:val="0"/>
          <w:color w:val="auto"/>
          <w:sz w:val="22"/>
        </w:rPr>
        <w:t>2.3.2宣传标语的设置</w:t>
      </w:r>
    </w:p>
    <w:p>
      <w:pPr>
        <w:spacing w:line="360" w:lineRule="auto"/>
        <w:ind w:firstLine="330" w:firstLineChars="150"/>
        <w:rPr>
          <w:rFonts w:ascii="宋体" w:eastAsia="宋体"/>
          <w:b w:val="0"/>
          <w:color w:val="auto"/>
          <w:sz w:val="22"/>
        </w:rPr>
      </w:pPr>
      <w:r>
        <w:rPr>
          <w:rFonts w:ascii="宋体" w:eastAsia="宋体"/>
          <w:b w:val="0"/>
          <w:color w:val="auto"/>
          <w:sz w:val="22"/>
        </w:rPr>
        <w:t>2.3.2.1厕位的隔间及无障碍厕间，适当张贴文明如厕等标语。</w:t>
      </w:r>
    </w:p>
    <w:p>
      <w:pPr>
        <w:spacing w:line="360" w:lineRule="auto"/>
        <w:ind w:firstLine="330" w:firstLineChars="150"/>
        <w:rPr>
          <w:rFonts w:ascii="宋体" w:eastAsia="宋体"/>
          <w:b w:val="0"/>
          <w:color w:val="auto"/>
          <w:sz w:val="22"/>
        </w:rPr>
      </w:pPr>
      <w:r>
        <w:rPr>
          <w:rFonts w:ascii="宋体" w:eastAsia="宋体"/>
          <w:b w:val="0"/>
          <w:color w:val="auto"/>
          <w:sz w:val="22"/>
        </w:rPr>
        <w:t>2.3.2.2洗手台、清洁池适当标注节约用水等标语。</w:t>
      </w:r>
    </w:p>
    <w:p>
      <w:pPr>
        <w:spacing w:line="360" w:lineRule="auto"/>
        <w:ind w:firstLine="330" w:firstLineChars="150"/>
        <w:rPr>
          <w:rFonts w:ascii="宋体" w:eastAsia="宋体"/>
          <w:b w:val="0"/>
          <w:color w:val="auto"/>
          <w:sz w:val="22"/>
        </w:rPr>
      </w:pPr>
      <w:r>
        <w:rPr>
          <w:rFonts w:ascii="宋体" w:eastAsia="宋体"/>
          <w:b w:val="0"/>
          <w:color w:val="auto"/>
          <w:sz w:val="22"/>
        </w:rPr>
        <w:t>2.3.2.3易积水地面应适当标注小心地滑等标语。</w:t>
      </w:r>
    </w:p>
    <w:p>
      <w:pPr>
        <w:spacing w:line="360" w:lineRule="auto"/>
        <w:ind w:firstLine="330" w:firstLineChars="150"/>
        <w:rPr>
          <w:rFonts w:ascii="宋体" w:eastAsia="宋体"/>
          <w:b w:val="0"/>
          <w:color w:val="auto"/>
          <w:sz w:val="22"/>
        </w:rPr>
      </w:pPr>
      <w:r>
        <w:rPr>
          <w:rFonts w:ascii="宋体" w:eastAsia="宋体"/>
          <w:b w:val="0"/>
          <w:color w:val="auto"/>
          <w:sz w:val="22"/>
        </w:rPr>
        <w:t>2.3.2.4可在适当位置添加有关环境卫生、垃圾分类的宣传用语。</w:t>
      </w:r>
    </w:p>
    <w:p>
      <w:pPr>
        <w:spacing w:line="360" w:lineRule="auto"/>
        <w:ind w:firstLine="330" w:firstLineChars="150"/>
        <w:rPr>
          <w:rFonts w:ascii="宋体" w:eastAsia="宋体"/>
          <w:b w:val="0"/>
          <w:color w:val="auto"/>
          <w:sz w:val="22"/>
        </w:rPr>
      </w:pPr>
      <w:r>
        <w:rPr>
          <w:rFonts w:ascii="宋体" w:eastAsia="宋体"/>
          <w:b w:val="0"/>
          <w:color w:val="auto"/>
          <w:sz w:val="22"/>
        </w:rPr>
        <w:t>2.3.2.5厕所内部不得出现任何带有小广告类型的张贴标 语和影响环境整洁的涂鸦广告。</w:t>
      </w:r>
    </w:p>
    <w:p>
      <w:pPr>
        <w:spacing w:line="360" w:lineRule="auto"/>
        <w:ind w:firstLine="330" w:firstLineChars="150"/>
        <w:rPr>
          <w:rFonts w:ascii="宋体" w:eastAsia="宋体"/>
          <w:b w:val="0"/>
          <w:color w:val="auto"/>
          <w:sz w:val="22"/>
        </w:rPr>
      </w:pPr>
      <w:r>
        <w:rPr>
          <w:rFonts w:ascii="宋体" w:eastAsia="宋体"/>
          <w:b w:val="0"/>
          <w:color w:val="auto"/>
          <w:sz w:val="22"/>
        </w:rPr>
        <w:t>2.3.3使用维护</w:t>
      </w:r>
    </w:p>
    <w:p>
      <w:pPr>
        <w:spacing w:line="360" w:lineRule="auto"/>
        <w:ind w:firstLine="330" w:firstLineChars="150"/>
        <w:rPr>
          <w:rFonts w:ascii="宋体" w:eastAsia="宋体"/>
          <w:b w:val="0"/>
          <w:color w:val="auto"/>
          <w:sz w:val="22"/>
        </w:rPr>
      </w:pPr>
      <w:r>
        <w:rPr>
          <w:rFonts w:ascii="宋体" w:eastAsia="宋体"/>
          <w:b w:val="0"/>
          <w:color w:val="auto"/>
          <w:sz w:val="22"/>
        </w:rPr>
        <w:t>2.3.3.1公共厕所标识标牌应保持清洁，无残缺、锈迹、歪斜或脱落。</w:t>
      </w:r>
    </w:p>
    <w:p>
      <w:pPr>
        <w:spacing w:line="360" w:lineRule="auto"/>
        <w:ind w:firstLine="330" w:firstLineChars="150"/>
        <w:rPr>
          <w:rFonts w:hint="eastAsia" w:ascii="宋体" w:eastAsia="宋体"/>
          <w:b w:val="0"/>
          <w:color w:val="auto"/>
          <w:sz w:val="22"/>
        </w:rPr>
      </w:pPr>
      <w:r>
        <w:rPr>
          <w:rFonts w:ascii="宋体" w:eastAsia="宋体"/>
          <w:b w:val="0"/>
          <w:color w:val="auto"/>
          <w:sz w:val="22"/>
        </w:rPr>
        <w:t>2.3.3.2各类指向性标牌应保持指示方向正确。</w:t>
      </w:r>
    </w:p>
    <w:p>
      <w:pPr>
        <w:spacing w:line="360" w:lineRule="auto"/>
        <w:ind w:firstLine="330" w:firstLineChars="150"/>
        <w:rPr>
          <w:rFonts w:ascii="宋体" w:eastAsia="宋体"/>
          <w:b w:val="0"/>
          <w:color w:val="auto"/>
          <w:sz w:val="22"/>
        </w:rPr>
      </w:pPr>
      <w:r>
        <w:rPr>
          <w:rFonts w:hint="eastAsia" w:ascii="宋体" w:eastAsia="宋体"/>
          <w:b w:val="0"/>
          <w:color w:val="auto"/>
          <w:sz w:val="22"/>
        </w:rPr>
        <w:t>2.4设备设施管理要求：</w:t>
      </w:r>
    </w:p>
    <w:p>
      <w:pPr>
        <w:spacing w:line="360" w:lineRule="auto"/>
        <w:ind w:firstLine="330" w:firstLineChars="150"/>
        <w:rPr>
          <w:rFonts w:ascii="宋体" w:eastAsia="宋体"/>
          <w:b w:val="0"/>
          <w:color w:val="auto"/>
          <w:sz w:val="22"/>
        </w:rPr>
      </w:pPr>
      <w:r>
        <w:rPr>
          <w:rFonts w:hint="eastAsia" w:ascii="宋体" w:eastAsia="宋体"/>
          <w:b w:val="0"/>
          <w:color w:val="auto"/>
          <w:sz w:val="22"/>
        </w:rPr>
        <w:t>2.4.1每周定时巡检、维护，保存检查记录，保存期限一年；</w:t>
      </w:r>
    </w:p>
    <w:p>
      <w:pPr>
        <w:spacing w:line="360" w:lineRule="auto"/>
        <w:ind w:firstLine="330" w:firstLineChars="150"/>
        <w:rPr>
          <w:rFonts w:ascii="宋体" w:eastAsia="宋体"/>
          <w:b w:val="0"/>
          <w:color w:val="auto"/>
          <w:sz w:val="22"/>
        </w:rPr>
      </w:pPr>
      <w:r>
        <w:rPr>
          <w:rFonts w:hint="eastAsia" w:ascii="宋体" w:eastAsia="宋体"/>
          <w:b w:val="0"/>
          <w:color w:val="auto"/>
          <w:sz w:val="22"/>
        </w:rPr>
        <w:t>2.4.2设施、标志完好，公厕内采光、照明和通风良好；</w:t>
      </w:r>
    </w:p>
    <w:p>
      <w:pPr>
        <w:spacing w:line="360" w:lineRule="auto"/>
        <w:ind w:firstLine="330" w:firstLineChars="150"/>
        <w:rPr>
          <w:rFonts w:ascii="宋体" w:eastAsia="宋体"/>
          <w:b w:val="0"/>
          <w:color w:val="auto"/>
          <w:sz w:val="22"/>
        </w:rPr>
      </w:pPr>
      <w:r>
        <w:rPr>
          <w:rFonts w:hint="eastAsia" w:ascii="宋体" w:eastAsia="宋体"/>
          <w:b w:val="0"/>
          <w:color w:val="auto"/>
          <w:sz w:val="22"/>
        </w:rPr>
        <w:t>2.4</w:t>
      </w:r>
      <w:r>
        <w:rPr>
          <w:rFonts w:ascii="宋体" w:eastAsia="宋体"/>
          <w:b w:val="0"/>
          <w:color w:val="auto"/>
          <w:sz w:val="22"/>
        </w:rPr>
        <w:t>.3</w:t>
      </w:r>
      <w:r>
        <w:rPr>
          <w:rFonts w:hint="eastAsia" w:ascii="宋体" w:eastAsia="宋体"/>
          <w:b w:val="0"/>
          <w:color w:val="auto"/>
          <w:sz w:val="22"/>
        </w:rPr>
        <w:t>无障碍设施及其他功能性设施安全、完好；</w:t>
      </w:r>
    </w:p>
    <w:p>
      <w:pPr>
        <w:spacing w:line="360" w:lineRule="auto"/>
        <w:ind w:firstLine="330" w:firstLineChars="150"/>
        <w:rPr>
          <w:rFonts w:ascii="宋体" w:eastAsia="宋体"/>
          <w:b w:val="0"/>
          <w:color w:val="auto"/>
          <w:sz w:val="22"/>
        </w:rPr>
      </w:pPr>
      <w:r>
        <w:rPr>
          <w:rFonts w:hint="eastAsia" w:ascii="宋体" w:eastAsia="宋体"/>
          <w:b w:val="0"/>
          <w:color w:val="auto"/>
          <w:sz w:val="22"/>
        </w:rPr>
        <w:t>2.4.4排水排污管道通畅；若</w:t>
      </w:r>
      <w:r>
        <w:rPr>
          <w:rFonts w:ascii="宋体" w:eastAsia="宋体"/>
          <w:b w:val="0"/>
          <w:color w:val="auto"/>
          <w:sz w:val="22"/>
        </w:rPr>
        <w:t>出现堵塞，由中标单位负责疏通。</w:t>
      </w:r>
    </w:p>
    <w:p>
      <w:pPr>
        <w:spacing w:line="360" w:lineRule="auto"/>
        <w:ind w:firstLine="330" w:firstLineChars="150"/>
        <w:rPr>
          <w:rFonts w:ascii="宋体" w:eastAsia="宋体"/>
          <w:b w:val="0"/>
          <w:color w:val="auto"/>
          <w:sz w:val="22"/>
        </w:rPr>
      </w:pPr>
      <w:r>
        <w:rPr>
          <w:rFonts w:hint="eastAsia" w:ascii="宋体" w:eastAsia="宋体"/>
          <w:b w:val="0"/>
          <w:color w:val="auto"/>
          <w:sz w:val="22"/>
        </w:rPr>
        <w:t>2.5厕所卫生管理要求：</w:t>
      </w:r>
    </w:p>
    <w:p>
      <w:pPr>
        <w:spacing w:line="360" w:lineRule="auto"/>
        <w:ind w:firstLine="330" w:firstLineChars="150"/>
        <w:rPr>
          <w:rFonts w:ascii="宋体" w:eastAsia="宋体"/>
          <w:b w:val="0"/>
          <w:color w:val="auto"/>
          <w:sz w:val="22"/>
        </w:rPr>
      </w:pPr>
      <w:r>
        <w:rPr>
          <w:rFonts w:hint="eastAsia" w:ascii="宋体" w:eastAsia="宋体"/>
          <w:b w:val="0"/>
          <w:color w:val="auto"/>
          <w:sz w:val="22"/>
        </w:rPr>
        <w:t>2.5.1外部卫生管理</w:t>
      </w:r>
    </w:p>
    <w:p>
      <w:pPr>
        <w:spacing w:line="360" w:lineRule="auto"/>
        <w:ind w:firstLine="330" w:firstLineChars="150"/>
        <w:rPr>
          <w:rFonts w:ascii="宋体" w:eastAsia="宋体"/>
          <w:b w:val="0"/>
          <w:color w:val="auto"/>
          <w:sz w:val="22"/>
        </w:rPr>
      </w:pPr>
      <w:r>
        <w:rPr>
          <w:rFonts w:ascii="宋体" w:eastAsia="宋体"/>
          <w:b w:val="0"/>
          <w:color w:val="auto"/>
          <w:sz w:val="22"/>
        </w:rPr>
        <w:t>2.5.1.1公共厕所周边环境应整洁有序，无垃圾、粪便、污水、杂草、废土、乱堆乱挂杂物，无黄土裸露，无卫生死角。</w:t>
      </w:r>
    </w:p>
    <w:p>
      <w:pPr>
        <w:spacing w:line="360" w:lineRule="auto"/>
        <w:ind w:firstLine="330" w:firstLineChars="150"/>
        <w:rPr>
          <w:rFonts w:ascii="宋体" w:eastAsia="宋体"/>
          <w:b w:val="0"/>
          <w:color w:val="auto"/>
          <w:sz w:val="22"/>
        </w:rPr>
      </w:pPr>
      <w:r>
        <w:rPr>
          <w:rFonts w:ascii="宋体" w:eastAsia="宋体"/>
          <w:b w:val="0"/>
          <w:color w:val="auto"/>
          <w:sz w:val="22"/>
        </w:rPr>
        <w:t>2.5.1.2无障碍通道、台阶、扶手保持干净整洁，无垃圾、杂物、吊挂，不得有障碍物。</w:t>
      </w:r>
    </w:p>
    <w:p>
      <w:pPr>
        <w:spacing w:line="360" w:lineRule="auto"/>
        <w:ind w:firstLine="330" w:firstLineChars="150"/>
        <w:rPr>
          <w:rFonts w:hint="eastAsia" w:ascii="宋体" w:eastAsia="宋体"/>
          <w:b w:val="0"/>
          <w:color w:val="auto"/>
          <w:sz w:val="22"/>
        </w:rPr>
      </w:pPr>
      <w:r>
        <w:rPr>
          <w:rFonts w:ascii="宋体" w:eastAsia="宋体"/>
          <w:b w:val="0"/>
          <w:color w:val="auto"/>
          <w:sz w:val="22"/>
        </w:rPr>
        <w:t>2.5.1.3化粪池、贮粪池</w:t>
      </w:r>
      <w:r>
        <w:rPr>
          <w:rFonts w:hint="eastAsia" w:ascii="宋体" w:eastAsia="宋体"/>
          <w:b w:val="0"/>
          <w:color w:val="auto"/>
          <w:sz w:val="22"/>
        </w:rPr>
        <w:t>一年</w:t>
      </w:r>
      <w:r>
        <w:rPr>
          <w:rFonts w:ascii="宋体" w:eastAsia="宋体"/>
          <w:b w:val="0"/>
          <w:color w:val="auto"/>
          <w:sz w:val="22"/>
        </w:rPr>
        <w:t>清理不小于</w:t>
      </w:r>
      <w:r>
        <w:rPr>
          <w:rFonts w:hint="eastAsia" w:ascii="宋体" w:eastAsia="宋体"/>
          <w:b w:val="0"/>
          <w:color w:val="auto"/>
          <w:sz w:val="22"/>
        </w:rPr>
        <w:t>2次（由</w:t>
      </w:r>
      <w:r>
        <w:rPr>
          <w:rFonts w:ascii="宋体" w:eastAsia="宋体"/>
          <w:b w:val="0"/>
          <w:color w:val="auto"/>
          <w:sz w:val="22"/>
        </w:rPr>
        <w:t>中标单位负责），周围场地保持整洁、畅通，无垃圾、粪迹、污水，不得有恶臭、蝇蛆。化粪池、贮粪池不得满溢</w:t>
      </w:r>
      <w:r>
        <w:rPr>
          <w:rFonts w:hint="eastAsia" w:ascii="宋体" w:eastAsia="宋体"/>
          <w:b w:val="0"/>
          <w:color w:val="auto"/>
          <w:sz w:val="22"/>
        </w:rPr>
        <w:t>。</w:t>
      </w:r>
    </w:p>
    <w:p>
      <w:pPr>
        <w:spacing w:line="360" w:lineRule="auto"/>
        <w:ind w:firstLine="330" w:firstLineChars="150"/>
        <w:rPr>
          <w:rFonts w:ascii="宋体" w:eastAsia="宋体"/>
          <w:b w:val="0"/>
          <w:color w:val="auto"/>
          <w:sz w:val="22"/>
        </w:rPr>
      </w:pPr>
      <w:r>
        <w:rPr>
          <w:rFonts w:hint="eastAsia" w:ascii="宋体" w:eastAsia="宋体"/>
          <w:b w:val="0"/>
          <w:color w:val="auto"/>
          <w:sz w:val="22"/>
        </w:rPr>
        <w:t>2.5.2内部卫生管理</w:t>
      </w:r>
    </w:p>
    <w:p>
      <w:pPr>
        <w:spacing w:line="360" w:lineRule="auto"/>
        <w:ind w:firstLine="330" w:firstLineChars="150"/>
        <w:rPr>
          <w:rFonts w:ascii="宋体" w:eastAsia="宋体"/>
          <w:b w:val="0"/>
          <w:color w:val="auto"/>
          <w:sz w:val="22"/>
        </w:rPr>
      </w:pPr>
      <w:r>
        <w:rPr>
          <w:rFonts w:ascii="宋体" w:eastAsia="宋体"/>
          <w:b w:val="0"/>
          <w:color w:val="auto"/>
          <w:sz w:val="22"/>
        </w:rPr>
        <w:t>2.5.2.1门窗</w:t>
      </w:r>
    </w:p>
    <w:p>
      <w:pPr>
        <w:spacing w:line="360" w:lineRule="auto"/>
        <w:ind w:firstLine="330" w:firstLineChars="150"/>
        <w:rPr>
          <w:rFonts w:ascii="宋体" w:eastAsia="宋体"/>
          <w:b w:val="0"/>
          <w:color w:val="auto"/>
          <w:sz w:val="22"/>
        </w:rPr>
      </w:pPr>
      <w:r>
        <w:rPr>
          <w:rFonts w:ascii="宋体" w:eastAsia="宋体"/>
          <w:b w:val="0"/>
          <w:color w:val="auto"/>
          <w:sz w:val="22"/>
        </w:rPr>
        <w:t>2.5.2.1.1门正、反面和门把手应洁净，无污迹和吊挂杂物； 门缝及闭门器应无积灰、锈蚀。</w:t>
      </w:r>
    </w:p>
    <w:p>
      <w:pPr>
        <w:spacing w:line="360" w:lineRule="auto"/>
        <w:ind w:firstLine="330" w:firstLineChars="150"/>
        <w:rPr>
          <w:rFonts w:ascii="宋体" w:eastAsia="宋体"/>
          <w:b w:val="0"/>
          <w:color w:val="auto"/>
          <w:sz w:val="22"/>
        </w:rPr>
      </w:pPr>
      <w:r>
        <w:rPr>
          <w:rFonts w:ascii="宋体" w:eastAsia="宋体"/>
          <w:b w:val="0"/>
          <w:color w:val="auto"/>
          <w:sz w:val="22"/>
        </w:rPr>
        <w:t>2.5.2.1.2窗户玻璃干净明亮，窗台、窗框、窗纱、排风扇等处无垃圾、杂物、蛛网、积灰。</w:t>
      </w:r>
    </w:p>
    <w:p>
      <w:pPr>
        <w:spacing w:line="360" w:lineRule="auto"/>
        <w:ind w:firstLine="330" w:firstLineChars="150"/>
        <w:rPr>
          <w:rFonts w:ascii="宋体" w:eastAsia="宋体"/>
          <w:b w:val="0"/>
          <w:color w:val="auto"/>
          <w:sz w:val="22"/>
        </w:rPr>
      </w:pPr>
      <w:r>
        <w:rPr>
          <w:rFonts w:ascii="宋体" w:eastAsia="宋体"/>
          <w:b w:val="0"/>
          <w:color w:val="auto"/>
          <w:sz w:val="22"/>
        </w:rPr>
        <w:t>2.5.2.2地面</w:t>
      </w:r>
    </w:p>
    <w:p>
      <w:pPr>
        <w:spacing w:line="360" w:lineRule="auto"/>
        <w:ind w:firstLine="330" w:firstLineChars="150"/>
        <w:rPr>
          <w:rFonts w:ascii="宋体" w:eastAsia="宋体"/>
          <w:b w:val="0"/>
          <w:color w:val="auto"/>
          <w:sz w:val="22"/>
        </w:rPr>
      </w:pPr>
      <w:r>
        <w:rPr>
          <w:rFonts w:hint="eastAsia" w:ascii="宋体" w:eastAsia="宋体"/>
          <w:b w:val="0"/>
          <w:color w:val="auto"/>
          <w:sz w:val="22"/>
        </w:rPr>
        <w:t>地面洁净，无垃圾、污迹、积水、杂物、烟蒂。地面废弃物符合下表</w:t>
      </w:r>
      <w:r>
        <w:rPr>
          <w:rFonts w:ascii="宋体" w:eastAsia="宋体"/>
          <w:b w:val="0"/>
          <w:color w:val="auto"/>
          <w:sz w:val="22"/>
        </w:rPr>
        <w:t>指标规定。</w:t>
      </w:r>
    </w:p>
    <w:tbl>
      <w:tblPr>
        <w:tblStyle w:val="56"/>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2693"/>
        <w:gridCol w:w="1632"/>
        <w:gridCol w:w="1699"/>
        <w:gridCol w:w="1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36" w:type="dxa"/>
            <w:noWrap w:val="0"/>
            <w:vAlign w:val="top"/>
          </w:tcPr>
          <w:p>
            <w:pPr>
              <w:autoSpaceDE w:val="0"/>
              <w:autoSpaceDN w:val="0"/>
              <w:spacing w:line="360" w:lineRule="auto"/>
              <w:ind w:firstLine="330" w:firstLineChars="150"/>
              <w:rPr>
                <w:rFonts w:ascii="宋体" w:eastAsia="宋体"/>
                <w:b w:val="0"/>
                <w:color w:val="auto"/>
                <w:sz w:val="22"/>
              </w:rPr>
            </w:pPr>
            <w:r>
              <w:rPr>
                <w:rFonts w:hint="eastAsia" w:ascii="宋体" w:eastAsia="宋体"/>
                <w:b w:val="0"/>
                <w:color w:val="auto"/>
                <w:sz w:val="22"/>
              </w:rPr>
              <w:t>序号</w:t>
            </w:r>
          </w:p>
        </w:tc>
        <w:tc>
          <w:tcPr>
            <w:tcW w:w="2693" w:type="dxa"/>
            <w:noWrap w:val="0"/>
            <w:vAlign w:val="top"/>
          </w:tcPr>
          <w:p>
            <w:pPr>
              <w:autoSpaceDE w:val="0"/>
              <w:autoSpaceDN w:val="0"/>
              <w:spacing w:line="360" w:lineRule="auto"/>
              <w:ind w:firstLine="330" w:firstLineChars="150"/>
              <w:rPr>
                <w:rFonts w:ascii="宋体" w:eastAsia="宋体"/>
                <w:b w:val="0"/>
                <w:color w:val="auto"/>
                <w:sz w:val="22"/>
              </w:rPr>
            </w:pPr>
            <w:r>
              <w:rPr>
                <w:rFonts w:hint="eastAsia" w:ascii="宋体" w:eastAsia="宋体"/>
                <w:b w:val="0"/>
                <w:color w:val="auto"/>
                <w:sz w:val="22"/>
              </w:rPr>
              <w:t>卫生指标</w:t>
            </w:r>
          </w:p>
        </w:tc>
        <w:tc>
          <w:tcPr>
            <w:tcW w:w="1632" w:type="dxa"/>
            <w:noWrap w:val="0"/>
            <w:vAlign w:val="top"/>
          </w:tcPr>
          <w:p>
            <w:pPr>
              <w:autoSpaceDE w:val="0"/>
              <w:autoSpaceDN w:val="0"/>
              <w:spacing w:line="360" w:lineRule="auto"/>
              <w:ind w:firstLine="330" w:firstLineChars="150"/>
              <w:rPr>
                <w:rFonts w:ascii="宋体" w:eastAsia="宋体"/>
                <w:b w:val="0"/>
                <w:color w:val="auto"/>
                <w:sz w:val="22"/>
              </w:rPr>
            </w:pPr>
            <w:r>
              <w:rPr>
                <w:rFonts w:hint="eastAsia" w:ascii="宋体" w:eastAsia="宋体"/>
                <w:b w:val="0"/>
                <w:color w:val="auto"/>
                <w:sz w:val="22"/>
              </w:rPr>
              <w:t>一类</w:t>
            </w:r>
          </w:p>
        </w:tc>
        <w:tc>
          <w:tcPr>
            <w:tcW w:w="1699" w:type="dxa"/>
            <w:noWrap w:val="0"/>
            <w:vAlign w:val="top"/>
          </w:tcPr>
          <w:p>
            <w:pPr>
              <w:autoSpaceDE w:val="0"/>
              <w:autoSpaceDN w:val="0"/>
              <w:spacing w:line="360" w:lineRule="auto"/>
              <w:ind w:firstLine="330" w:firstLineChars="150"/>
              <w:rPr>
                <w:rFonts w:ascii="宋体" w:eastAsia="宋体"/>
                <w:b w:val="0"/>
                <w:color w:val="auto"/>
                <w:sz w:val="22"/>
              </w:rPr>
            </w:pPr>
            <w:r>
              <w:rPr>
                <w:rFonts w:hint="eastAsia" w:ascii="宋体" w:eastAsia="宋体"/>
                <w:b w:val="0"/>
                <w:color w:val="auto"/>
                <w:sz w:val="22"/>
              </w:rPr>
              <w:t>二类</w:t>
            </w:r>
          </w:p>
        </w:tc>
        <w:tc>
          <w:tcPr>
            <w:tcW w:w="1632" w:type="dxa"/>
            <w:noWrap w:val="0"/>
            <w:vAlign w:val="top"/>
          </w:tcPr>
          <w:p>
            <w:pPr>
              <w:autoSpaceDE w:val="0"/>
              <w:autoSpaceDN w:val="0"/>
              <w:spacing w:line="360" w:lineRule="auto"/>
              <w:ind w:firstLine="330" w:firstLineChars="150"/>
              <w:rPr>
                <w:rFonts w:ascii="宋体" w:eastAsia="宋体"/>
                <w:b w:val="0"/>
                <w:color w:val="auto"/>
                <w:sz w:val="22"/>
              </w:rPr>
            </w:pPr>
            <w:r>
              <w:rPr>
                <w:rFonts w:hint="eastAsia" w:ascii="宋体" w:eastAsia="宋体"/>
                <w:b w:val="0"/>
                <w:color w:val="auto"/>
                <w:sz w:val="22"/>
              </w:rPr>
              <w:t>三类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36"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1</w:t>
            </w:r>
          </w:p>
        </w:tc>
        <w:tc>
          <w:tcPr>
            <w:tcW w:w="2693"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成蝇(只)</w:t>
            </w:r>
          </w:p>
        </w:tc>
        <w:tc>
          <w:tcPr>
            <w:tcW w:w="1632"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0</w:t>
            </w:r>
          </w:p>
        </w:tc>
        <w:tc>
          <w:tcPr>
            <w:tcW w:w="1699"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3 以下</w:t>
            </w:r>
          </w:p>
        </w:tc>
        <w:tc>
          <w:tcPr>
            <w:tcW w:w="1632"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5 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36"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2</w:t>
            </w:r>
          </w:p>
        </w:tc>
        <w:tc>
          <w:tcPr>
            <w:tcW w:w="2693"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蝇蛆（尾）</w:t>
            </w:r>
          </w:p>
        </w:tc>
        <w:tc>
          <w:tcPr>
            <w:tcW w:w="1632"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0</w:t>
            </w:r>
          </w:p>
        </w:tc>
        <w:tc>
          <w:tcPr>
            <w:tcW w:w="1699"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0</w:t>
            </w:r>
          </w:p>
        </w:tc>
        <w:tc>
          <w:tcPr>
            <w:tcW w:w="1632"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36"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3</w:t>
            </w:r>
          </w:p>
        </w:tc>
        <w:tc>
          <w:tcPr>
            <w:tcW w:w="2693"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臭味强度(级)</w:t>
            </w:r>
          </w:p>
        </w:tc>
        <w:tc>
          <w:tcPr>
            <w:tcW w:w="1632"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&lt;1</w:t>
            </w:r>
          </w:p>
        </w:tc>
        <w:tc>
          <w:tcPr>
            <w:tcW w:w="1699"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≤1</w:t>
            </w:r>
          </w:p>
        </w:tc>
        <w:tc>
          <w:tcPr>
            <w:tcW w:w="1632" w:type="dxa"/>
            <w:noWrap w:val="0"/>
            <w:vAlign w:val="top"/>
          </w:tcPr>
          <w:p>
            <w:pPr>
              <w:autoSpaceDE w:val="0"/>
              <w:autoSpaceDN w:val="0"/>
              <w:spacing w:line="360" w:lineRule="auto"/>
              <w:ind w:firstLine="330" w:firstLineChars="150"/>
              <w:rPr>
                <w:rFonts w:ascii="宋体" w:eastAsia="宋体"/>
                <w:b w:val="0"/>
                <w:color w:val="auto"/>
                <w:sz w:val="22"/>
              </w:rPr>
            </w:pPr>
            <w:r>
              <w:rPr>
                <w:rFonts w:ascii="宋体" w:eastAsia="宋体"/>
                <w:b w:val="0"/>
                <w:color w:val="auto"/>
                <w:sz w:val="22"/>
              </w:rPr>
              <w:t>≤2</w:t>
            </w:r>
          </w:p>
        </w:tc>
      </w:tr>
    </w:tbl>
    <w:p>
      <w:pPr>
        <w:spacing w:line="360" w:lineRule="auto"/>
        <w:ind w:firstLine="330" w:firstLineChars="150"/>
        <w:rPr>
          <w:rFonts w:ascii="宋体" w:eastAsia="宋体"/>
          <w:b w:val="0"/>
          <w:color w:val="auto"/>
          <w:sz w:val="22"/>
        </w:rPr>
      </w:pPr>
      <w:r>
        <w:rPr>
          <w:rFonts w:ascii="宋体" w:eastAsia="宋体"/>
          <w:b w:val="0"/>
          <w:color w:val="auto"/>
          <w:sz w:val="22"/>
        </w:rPr>
        <w:t>2.5.2.3厕位</w:t>
      </w:r>
    </w:p>
    <w:p>
      <w:pPr>
        <w:spacing w:line="360" w:lineRule="auto"/>
        <w:ind w:firstLine="330" w:firstLineChars="150"/>
        <w:rPr>
          <w:rFonts w:ascii="宋体" w:eastAsia="宋体"/>
          <w:b w:val="0"/>
          <w:color w:val="auto"/>
          <w:sz w:val="22"/>
        </w:rPr>
      </w:pPr>
      <w:r>
        <w:rPr>
          <w:rFonts w:ascii="宋体" w:eastAsia="宋体"/>
          <w:b w:val="0"/>
          <w:color w:val="auto"/>
          <w:sz w:val="22"/>
        </w:rPr>
        <w:t>2.5.2.3.1蹲便器、座便器外侧无水锈、粪便、污物；蹲便器、座便器内洁净，无积粪、堵塞。</w:t>
      </w:r>
    </w:p>
    <w:p>
      <w:pPr>
        <w:spacing w:line="360" w:lineRule="auto"/>
        <w:ind w:firstLine="330" w:firstLineChars="150"/>
        <w:rPr>
          <w:rFonts w:ascii="宋体" w:eastAsia="宋体"/>
          <w:b w:val="0"/>
          <w:color w:val="auto"/>
          <w:sz w:val="22"/>
        </w:rPr>
      </w:pPr>
      <w:r>
        <w:rPr>
          <w:rFonts w:ascii="宋体" w:eastAsia="宋体"/>
          <w:b w:val="0"/>
          <w:color w:val="auto"/>
          <w:sz w:val="22"/>
        </w:rPr>
        <w:t>2.5.2.3.2小便器洁净，无垃圾、尿垢、水锈、烟蒂， 管道沟眼应保持畅通。</w:t>
      </w:r>
      <w:r>
        <w:rPr>
          <w:rFonts w:hint="eastAsia" w:ascii="宋体" w:eastAsia="宋体"/>
          <w:b w:val="0"/>
          <w:color w:val="auto"/>
          <w:sz w:val="22"/>
        </w:rPr>
        <w:t>小便器</w:t>
      </w:r>
      <w:r>
        <w:rPr>
          <w:rFonts w:ascii="宋体" w:eastAsia="宋体"/>
          <w:b w:val="0"/>
          <w:color w:val="auto"/>
          <w:sz w:val="22"/>
        </w:rPr>
        <w:t>内需</w:t>
      </w:r>
      <w:r>
        <w:rPr>
          <w:rFonts w:hint="eastAsia" w:ascii="宋体" w:eastAsia="宋体"/>
          <w:b w:val="0"/>
          <w:color w:val="auto"/>
          <w:sz w:val="22"/>
        </w:rPr>
        <w:t>放置</w:t>
      </w:r>
      <w:r>
        <w:rPr>
          <w:rFonts w:ascii="宋体" w:eastAsia="宋体"/>
          <w:b w:val="0"/>
          <w:color w:val="auto"/>
          <w:sz w:val="22"/>
        </w:rPr>
        <w:t>防</w:t>
      </w:r>
      <w:r>
        <w:rPr>
          <w:rFonts w:hint="eastAsia" w:ascii="宋体" w:eastAsia="宋体"/>
          <w:b w:val="0"/>
          <w:color w:val="auto"/>
          <w:sz w:val="22"/>
        </w:rPr>
        <w:t>塞</w:t>
      </w:r>
      <w:r>
        <w:rPr>
          <w:rFonts w:ascii="宋体" w:eastAsia="宋体"/>
          <w:b w:val="0"/>
          <w:color w:val="auto"/>
          <w:sz w:val="22"/>
        </w:rPr>
        <w:t>过滤器</w:t>
      </w:r>
      <w:r>
        <w:rPr>
          <w:rFonts w:hint="eastAsia" w:ascii="宋体" w:eastAsia="宋体"/>
          <w:b w:val="0"/>
          <w:color w:val="auto"/>
          <w:sz w:val="22"/>
        </w:rPr>
        <w:t>和除臭卫生球</w:t>
      </w:r>
    </w:p>
    <w:p>
      <w:pPr>
        <w:spacing w:line="360" w:lineRule="auto"/>
        <w:ind w:firstLine="330" w:firstLineChars="150"/>
        <w:rPr>
          <w:rFonts w:ascii="宋体" w:eastAsia="宋体"/>
          <w:b w:val="0"/>
          <w:color w:val="auto"/>
          <w:sz w:val="22"/>
        </w:rPr>
      </w:pPr>
      <w:r>
        <w:rPr>
          <w:rFonts w:ascii="宋体" w:eastAsia="宋体"/>
          <w:b w:val="0"/>
          <w:color w:val="auto"/>
          <w:sz w:val="22"/>
        </w:rPr>
        <w:t>2.5.2.3.3厕位隔断板洁净，无积灰、污迹、蛛网、乱涂乱画、广告。</w:t>
      </w:r>
    </w:p>
    <w:p>
      <w:pPr>
        <w:spacing w:line="360" w:lineRule="auto"/>
        <w:ind w:firstLine="330" w:firstLineChars="150"/>
        <w:rPr>
          <w:rFonts w:ascii="宋体" w:eastAsia="宋体"/>
          <w:b w:val="0"/>
          <w:color w:val="auto"/>
          <w:sz w:val="22"/>
        </w:rPr>
      </w:pPr>
      <w:r>
        <w:rPr>
          <w:rFonts w:ascii="宋体" w:eastAsia="宋体"/>
          <w:b w:val="0"/>
          <w:color w:val="auto"/>
          <w:sz w:val="22"/>
        </w:rPr>
        <w:t>2.5.2.4其他设施</w:t>
      </w:r>
    </w:p>
    <w:p>
      <w:pPr>
        <w:spacing w:line="360" w:lineRule="auto"/>
        <w:ind w:firstLine="330" w:firstLineChars="150"/>
        <w:rPr>
          <w:rFonts w:ascii="宋体" w:eastAsia="宋体"/>
          <w:b w:val="0"/>
          <w:color w:val="auto"/>
          <w:sz w:val="22"/>
        </w:rPr>
      </w:pPr>
      <w:r>
        <w:rPr>
          <w:rFonts w:ascii="宋体" w:eastAsia="宋体"/>
          <w:b w:val="0"/>
          <w:color w:val="auto"/>
          <w:sz w:val="22"/>
        </w:rPr>
        <w:t>2.5.2.4.1洗手池及台面、拖把池、搁物台、镜子完好，无积灰、污迹、蛛网、水垢、毛发、杂物、积水。</w:t>
      </w:r>
    </w:p>
    <w:p>
      <w:pPr>
        <w:spacing w:line="360" w:lineRule="auto"/>
        <w:ind w:firstLine="330" w:firstLineChars="150"/>
        <w:rPr>
          <w:rFonts w:ascii="宋体" w:eastAsia="宋体"/>
          <w:b w:val="0"/>
          <w:color w:val="auto"/>
          <w:sz w:val="22"/>
        </w:rPr>
      </w:pPr>
      <w:r>
        <w:rPr>
          <w:rFonts w:ascii="宋体" w:eastAsia="宋体"/>
          <w:b w:val="0"/>
          <w:color w:val="auto"/>
          <w:sz w:val="22"/>
        </w:rPr>
        <w:t>2.5.2.4.2洗手液、烘手器、除臭设备、空调、灯具及开关、拖把架、手纸盒等设备洁净、无积灰、污迹，使用标识清晰、无污迹。</w:t>
      </w:r>
    </w:p>
    <w:p>
      <w:pPr>
        <w:spacing w:line="360" w:lineRule="auto"/>
        <w:ind w:firstLine="330" w:firstLineChars="150"/>
        <w:rPr>
          <w:rFonts w:ascii="宋体" w:eastAsia="宋体"/>
          <w:b w:val="0"/>
          <w:color w:val="auto"/>
          <w:sz w:val="22"/>
        </w:rPr>
      </w:pPr>
      <w:r>
        <w:rPr>
          <w:rFonts w:ascii="宋体" w:eastAsia="宋体"/>
          <w:b w:val="0"/>
          <w:color w:val="auto"/>
          <w:sz w:val="22"/>
        </w:rPr>
        <w:t>2.5.2.5废物篓内废弃物不得超过废物篓的平口。</w:t>
      </w:r>
    </w:p>
    <w:p>
      <w:pPr>
        <w:spacing w:line="360" w:lineRule="auto"/>
        <w:ind w:firstLine="330" w:firstLineChars="150"/>
        <w:rPr>
          <w:rFonts w:ascii="宋体" w:eastAsia="宋体"/>
          <w:b w:val="0"/>
          <w:color w:val="auto"/>
          <w:sz w:val="22"/>
        </w:rPr>
      </w:pPr>
      <w:r>
        <w:rPr>
          <w:rFonts w:ascii="宋体" w:eastAsia="宋体"/>
          <w:b w:val="0"/>
          <w:color w:val="auto"/>
          <w:sz w:val="22"/>
        </w:rPr>
        <w:t>2.5.2.5管理房、工具房</w:t>
      </w:r>
    </w:p>
    <w:p>
      <w:pPr>
        <w:spacing w:line="360" w:lineRule="auto"/>
        <w:ind w:firstLine="330" w:firstLineChars="150"/>
        <w:rPr>
          <w:rFonts w:ascii="宋体" w:eastAsia="宋体"/>
          <w:b w:val="0"/>
          <w:color w:val="auto"/>
          <w:sz w:val="22"/>
        </w:rPr>
      </w:pPr>
      <w:r>
        <w:rPr>
          <w:rFonts w:hint="eastAsia" w:ascii="宋体" w:eastAsia="宋体"/>
          <w:b w:val="0"/>
          <w:color w:val="auto"/>
          <w:sz w:val="22"/>
        </w:rPr>
        <w:t>公共厕所管理房、工具房由公厕的保洁员日常维护和管理，</w:t>
      </w:r>
      <w:r>
        <w:rPr>
          <w:rFonts w:ascii="宋体" w:eastAsia="宋体"/>
          <w:b w:val="0"/>
          <w:color w:val="auto"/>
          <w:sz w:val="22"/>
        </w:rPr>
        <w:t xml:space="preserve"> 不应挪作他用，保持室内整洁，不得饲养宠物、不得有其他物品堆积占用和居住无关人员。</w:t>
      </w:r>
    </w:p>
    <w:p>
      <w:pPr>
        <w:spacing w:line="360" w:lineRule="auto"/>
        <w:ind w:firstLine="330" w:firstLineChars="150"/>
        <w:rPr>
          <w:rFonts w:ascii="宋体" w:eastAsia="宋体"/>
          <w:b w:val="0"/>
          <w:color w:val="auto"/>
          <w:sz w:val="22"/>
        </w:rPr>
      </w:pPr>
      <w:r>
        <w:rPr>
          <w:rFonts w:ascii="宋体" w:eastAsia="宋体"/>
          <w:b w:val="0"/>
          <w:color w:val="auto"/>
          <w:sz w:val="22"/>
        </w:rPr>
        <w:t>2.5.2.6内外墙面及屋顶</w:t>
      </w:r>
    </w:p>
    <w:p>
      <w:pPr>
        <w:spacing w:line="360" w:lineRule="auto"/>
        <w:ind w:firstLine="330" w:firstLineChars="150"/>
        <w:rPr>
          <w:rFonts w:ascii="宋体" w:eastAsia="宋体"/>
          <w:b w:val="0"/>
          <w:color w:val="auto"/>
          <w:sz w:val="22"/>
        </w:rPr>
      </w:pPr>
      <w:r>
        <w:rPr>
          <w:rFonts w:ascii="宋体" w:eastAsia="宋体"/>
          <w:b w:val="0"/>
          <w:color w:val="auto"/>
          <w:sz w:val="22"/>
        </w:rPr>
        <w:t>2.5.2.6.1内外墙面和天花板保持洁净，无积灰、污迹、渗漏、蛛网，无乱涂乱画、无张贴，不得安装或吊挂与公厕管理无关的杂物及任何附带商业性质物品。</w:t>
      </w:r>
    </w:p>
    <w:p>
      <w:pPr>
        <w:spacing w:line="360" w:lineRule="auto"/>
        <w:ind w:firstLine="330" w:firstLineChars="150"/>
        <w:rPr>
          <w:rFonts w:ascii="宋体" w:eastAsia="宋体"/>
          <w:b w:val="0"/>
          <w:color w:val="auto"/>
          <w:sz w:val="22"/>
        </w:rPr>
      </w:pPr>
      <w:r>
        <w:rPr>
          <w:rFonts w:ascii="宋体" w:eastAsia="宋体"/>
          <w:b w:val="0"/>
          <w:color w:val="auto"/>
          <w:sz w:val="22"/>
        </w:rPr>
        <w:t>2.5.2.6.2屋顶无垃圾、无杂物并保持雨水管道的畅通，不得设置与公厕管理无关的物品和商业广告牌。</w:t>
      </w:r>
    </w:p>
    <w:p>
      <w:pPr>
        <w:spacing w:line="360" w:lineRule="auto"/>
        <w:ind w:firstLine="330" w:firstLineChars="150"/>
        <w:rPr>
          <w:rFonts w:ascii="宋体" w:eastAsia="宋体"/>
          <w:b w:val="0"/>
          <w:color w:val="auto"/>
          <w:sz w:val="22"/>
        </w:rPr>
      </w:pPr>
      <w:r>
        <w:rPr>
          <w:rFonts w:ascii="宋体" w:eastAsia="宋体"/>
          <w:b w:val="0"/>
          <w:color w:val="auto"/>
          <w:sz w:val="22"/>
        </w:rPr>
        <w:t>2.5.2.7作业和工具放置</w:t>
      </w:r>
    </w:p>
    <w:p>
      <w:pPr>
        <w:spacing w:line="360" w:lineRule="auto"/>
        <w:ind w:firstLine="330" w:firstLineChars="150"/>
        <w:rPr>
          <w:rFonts w:ascii="宋体" w:eastAsia="宋体"/>
          <w:b w:val="0"/>
          <w:color w:val="auto"/>
          <w:sz w:val="22"/>
        </w:rPr>
      </w:pPr>
      <w:r>
        <w:rPr>
          <w:rFonts w:ascii="宋体" w:eastAsia="宋体"/>
          <w:b w:val="0"/>
          <w:color w:val="auto"/>
          <w:sz w:val="22"/>
        </w:rPr>
        <w:t>2.5.2.7.1保洁作业时宜在入口处设置提示牌。雨天和地面拖洗时，设置防滑标志和铺设防滑垫。</w:t>
      </w:r>
    </w:p>
    <w:p>
      <w:pPr>
        <w:spacing w:line="360" w:lineRule="auto"/>
        <w:ind w:firstLine="330" w:firstLineChars="150"/>
        <w:rPr>
          <w:rFonts w:ascii="宋体" w:eastAsia="宋体"/>
          <w:b w:val="0"/>
          <w:color w:val="auto"/>
          <w:sz w:val="22"/>
        </w:rPr>
      </w:pPr>
      <w:r>
        <w:rPr>
          <w:rFonts w:ascii="宋体" w:eastAsia="宋体"/>
          <w:b w:val="0"/>
          <w:color w:val="auto"/>
          <w:sz w:val="22"/>
        </w:rPr>
        <w:t>2.5.2.7.2清洁大、小便洁具的拖把、抹布与清洁其他设施的拖把、抹布区分使用。</w:t>
      </w:r>
    </w:p>
    <w:p>
      <w:pPr>
        <w:spacing w:line="360" w:lineRule="auto"/>
        <w:ind w:firstLine="330" w:firstLineChars="150"/>
        <w:rPr>
          <w:rFonts w:ascii="宋体" w:eastAsia="宋体"/>
          <w:b w:val="0"/>
          <w:color w:val="auto"/>
          <w:sz w:val="22"/>
        </w:rPr>
      </w:pPr>
      <w:r>
        <w:rPr>
          <w:rFonts w:ascii="宋体" w:eastAsia="宋体"/>
          <w:b w:val="0"/>
          <w:color w:val="auto"/>
          <w:sz w:val="22"/>
        </w:rPr>
        <w:t>2.5.2.7.3保洁作业完毕后，将作业工具统一放置在工具间内，摆放整齐，拖把、扫把、抹布晾晒时置于拖把架上。</w:t>
      </w:r>
    </w:p>
    <w:p>
      <w:pPr>
        <w:spacing w:line="360" w:lineRule="auto"/>
        <w:ind w:firstLine="330" w:firstLineChars="150"/>
        <w:rPr>
          <w:rFonts w:ascii="宋体" w:eastAsia="宋体"/>
          <w:b w:val="0"/>
          <w:color w:val="auto"/>
          <w:sz w:val="22"/>
        </w:rPr>
      </w:pPr>
      <w:r>
        <w:rPr>
          <w:rFonts w:ascii="宋体" w:eastAsia="宋体"/>
          <w:b w:val="0"/>
          <w:color w:val="auto"/>
          <w:sz w:val="22"/>
        </w:rPr>
        <w:t>2.5.2.7.4公共厕所内部通道、门口、洗手台不</w:t>
      </w:r>
      <w:r>
        <w:rPr>
          <w:rFonts w:hint="eastAsia" w:ascii="宋体" w:eastAsia="宋体"/>
          <w:b w:val="0"/>
          <w:color w:val="auto"/>
          <w:sz w:val="22"/>
        </w:rPr>
        <w:t>得</w:t>
      </w:r>
      <w:r>
        <w:rPr>
          <w:rFonts w:ascii="宋体" w:eastAsia="宋体"/>
          <w:b w:val="0"/>
          <w:color w:val="auto"/>
          <w:sz w:val="22"/>
        </w:rPr>
        <w:t>放置拖把、水桶、抹布、扫把等作业工具和其他影响视觉观瞻及通行的物品。</w:t>
      </w:r>
    </w:p>
    <w:p>
      <w:pPr>
        <w:spacing w:line="360" w:lineRule="auto"/>
        <w:ind w:firstLine="330" w:firstLineChars="150"/>
        <w:rPr>
          <w:rFonts w:hint="eastAsia" w:ascii="宋体" w:eastAsia="宋体"/>
          <w:color w:val="auto"/>
          <w:sz w:val="22"/>
        </w:rPr>
      </w:pPr>
      <w:r>
        <w:rPr>
          <w:rFonts w:hint="eastAsia" w:ascii="宋体" w:eastAsia="宋体"/>
          <w:color w:val="auto"/>
          <w:sz w:val="22"/>
          <w:lang w:eastAsia="zh-CN"/>
        </w:rPr>
        <w:t>二</w:t>
      </w:r>
      <w:r>
        <w:rPr>
          <w:rFonts w:hint="eastAsia" w:ascii="宋体" w:eastAsia="宋体"/>
          <w:color w:val="auto"/>
          <w:sz w:val="22"/>
        </w:rPr>
        <w:t>、基本要求</w:t>
      </w:r>
    </w:p>
    <w:p>
      <w:pPr>
        <w:spacing w:line="360" w:lineRule="auto"/>
        <w:ind w:firstLine="330" w:firstLineChars="150"/>
        <w:rPr>
          <w:rFonts w:hint="eastAsia" w:ascii="宋体" w:eastAsia="宋体"/>
          <w:b w:val="0"/>
          <w:color w:val="auto"/>
          <w:sz w:val="22"/>
        </w:rPr>
      </w:pPr>
      <w:r>
        <w:rPr>
          <w:rFonts w:hint="eastAsia" w:ascii="宋体" w:eastAsia="宋体"/>
          <w:b w:val="0"/>
          <w:color w:val="auto"/>
          <w:sz w:val="22"/>
        </w:rPr>
        <w:t>1、每个公共厕所面向社会实行免费开放。</w:t>
      </w:r>
    </w:p>
    <w:p>
      <w:pPr>
        <w:spacing w:line="360" w:lineRule="auto"/>
        <w:ind w:firstLine="330" w:firstLineChars="150"/>
        <w:rPr>
          <w:rFonts w:hint="eastAsia" w:ascii="宋体" w:eastAsia="宋体"/>
          <w:b w:val="0"/>
          <w:color w:val="auto"/>
          <w:sz w:val="22"/>
        </w:rPr>
      </w:pPr>
      <w:r>
        <w:rPr>
          <w:rFonts w:hint="eastAsia" w:ascii="宋体" w:eastAsia="宋体"/>
          <w:b w:val="0"/>
          <w:color w:val="auto"/>
          <w:sz w:val="22"/>
        </w:rPr>
        <w:t>2、公厕管理的各项规章制度、服务承诺开放时间和监督电话等应上墙，公厕标牌、男女标识牌、无障碍标志牌等厕所各类标识、标牌设置规范、醒目，保持标牌整洁和完好。</w:t>
      </w:r>
    </w:p>
    <w:p>
      <w:pPr>
        <w:spacing w:line="360" w:lineRule="auto"/>
        <w:ind w:firstLine="330" w:firstLineChars="150"/>
        <w:rPr>
          <w:rFonts w:hint="eastAsia" w:ascii="宋体" w:eastAsia="宋体"/>
          <w:b w:val="0"/>
          <w:color w:val="auto"/>
          <w:sz w:val="22"/>
        </w:rPr>
      </w:pPr>
      <w:r>
        <w:rPr>
          <w:rFonts w:hint="eastAsia" w:ascii="宋体" w:eastAsia="宋体"/>
          <w:b w:val="0"/>
          <w:color w:val="auto"/>
          <w:sz w:val="22"/>
        </w:rPr>
        <w:t>3、规范作业</w:t>
      </w:r>
    </w:p>
    <w:p>
      <w:pPr>
        <w:spacing w:line="360" w:lineRule="auto"/>
        <w:ind w:firstLine="330" w:firstLineChars="150"/>
        <w:rPr>
          <w:rFonts w:ascii="宋体" w:eastAsia="宋体"/>
          <w:b w:val="0"/>
          <w:color w:val="auto"/>
          <w:sz w:val="22"/>
        </w:rPr>
      </w:pPr>
      <w:r>
        <w:rPr>
          <w:rFonts w:hint="eastAsia" w:ascii="宋体" w:eastAsia="宋体"/>
          <w:b w:val="0"/>
          <w:color w:val="auto"/>
          <w:sz w:val="22"/>
        </w:rPr>
        <w:t>（</w:t>
      </w:r>
      <w:r>
        <w:rPr>
          <w:rFonts w:ascii="宋体" w:eastAsia="宋体"/>
          <w:b w:val="0"/>
          <w:color w:val="auto"/>
          <w:sz w:val="22"/>
        </w:rPr>
        <w:t>1</w:t>
      </w:r>
      <w:r>
        <w:rPr>
          <w:rFonts w:hint="eastAsia" w:ascii="宋体" w:eastAsia="宋体"/>
          <w:b w:val="0"/>
          <w:color w:val="auto"/>
          <w:sz w:val="22"/>
        </w:rPr>
        <w:t>）每个公厕保洁管理不小于</w:t>
      </w:r>
      <w:r>
        <w:rPr>
          <w:rFonts w:ascii="宋体" w:eastAsia="宋体"/>
          <w:b w:val="0"/>
          <w:color w:val="auto"/>
          <w:sz w:val="22"/>
        </w:rPr>
        <w:t>8</w:t>
      </w:r>
      <w:r>
        <w:rPr>
          <w:rFonts w:hint="eastAsia" w:ascii="宋体" w:eastAsia="宋体"/>
          <w:b w:val="0"/>
          <w:color w:val="auto"/>
          <w:sz w:val="22"/>
        </w:rPr>
        <w:t>小时/天，开放时间为24小时。</w:t>
      </w:r>
    </w:p>
    <w:p>
      <w:pPr>
        <w:spacing w:line="360" w:lineRule="auto"/>
        <w:ind w:firstLine="330" w:firstLineChars="150"/>
        <w:rPr>
          <w:rFonts w:hint="eastAsia" w:ascii="宋体" w:eastAsia="宋体"/>
          <w:b w:val="0"/>
          <w:color w:val="auto"/>
          <w:sz w:val="22"/>
        </w:rPr>
      </w:pPr>
      <w:r>
        <w:rPr>
          <w:rFonts w:hint="eastAsia" w:ascii="宋体" w:eastAsia="宋体"/>
          <w:b w:val="0"/>
          <w:color w:val="auto"/>
          <w:sz w:val="22"/>
        </w:rPr>
        <w:t>（2）公厕全面</w:t>
      </w:r>
      <w:r>
        <w:rPr>
          <w:rFonts w:ascii="宋体" w:eastAsia="宋体"/>
          <w:b w:val="0"/>
          <w:color w:val="auto"/>
          <w:sz w:val="22"/>
        </w:rPr>
        <w:t>清扫</w:t>
      </w:r>
      <w:r>
        <w:rPr>
          <w:rFonts w:hint="eastAsia" w:ascii="宋体" w:eastAsia="宋体"/>
          <w:b w:val="0"/>
          <w:color w:val="auto"/>
          <w:sz w:val="22"/>
        </w:rPr>
        <w:t>每日上下午不小于一次</w:t>
      </w:r>
      <w:r>
        <w:rPr>
          <w:rFonts w:ascii="宋体" w:eastAsia="宋体"/>
          <w:b w:val="0"/>
          <w:color w:val="auto"/>
          <w:sz w:val="22"/>
        </w:rPr>
        <w:t>。</w:t>
      </w:r>
      <w:r>
        <w:rPr>
          <w:rFonts w:hint="eastAsia" w:ascii="宋体" w:eastAsia="宋体"/>
          <w:b w:val="0"/>
          <w:color w:val="auto"/>
          <w:sz w:val="22"/>
        </w:rPr>
        <w:t>为保持公共</w:t>
      </w:r>
      <w:r>
        <w:rPr>
          <w:rFonts w:ascii="宋体" w:eastAsia="宋体"/>
          <w:b w:val="0"/>
          <w:color w:val="auto"/>
          <w:sz w:val="22"/>
        </w:rPr>
        <w:t>厕所整洁，在全面保洁后进行</w:t>
      </w:r>
      <w:r>
        <w:rPr>
          <w:rFonts w:hint="eastAsia" w:ascii="宋体" w:eastAsia="宋体"/>
          <w:b w:val="0"/>
          <w:color w:val="auto"/>
          <w:sz w:val="22"/>
        </w:rPr>
        <w:t>的巡回</w:t>
      </w:r>
      <w:r>
        <w:rPr>
          <w:rFonts w:ascii="宋体" w:eastAsia="宋体"/>
          <w:b w:val="0"/>
          <w:color w:val="auto"/>
          <w:sz w:val="22"/>
        </w:rPr>
        <w:t>不间断清扫，做到随</w:t>
      </w:r>
      <w:r>
        <w:rPr>
          <w:rFonts w:hint="eastAsia" w:ascii="宋体" w:eastAsia="宋体"/>
          <w:b w:val="0"/>
          <w:color w:val="auto"/>
          <w:sz w:val="22"/>
        </w:rPr>
        <w:t>脏</w:t>
      </w:r>
      <w:r>
        <w:rPr>
          <w:rFonts w:ascii="宋体" w:eastAsia="宋体"/>
          <w:b w:val="0"/>
          <w:color w:val="auto"/>
          <w:sz w:val="22"/>
        </w:rPr>
        <w:t>随扫。巡回保洁时间间隔不得超过 2 小时，并做好巡回保洁记录。</w:t>
      </w:r>
    </w:p>
    <w:p>
      <w:pPr>
        <w:spacing w:line="360" w:lineRule="auto"/>
        <w:ind w:firstLine="330" w:firstLineChars="150"/>
        <w:rPr>
          <w:rFonts w:hint="eastAsia" w:ascii="宋体" w:eastAsia="宋体"/>
          <w:b w:val="0"/>
          <w:color w:val="auto"/>
          <w:sz w:val="22"/>
        </w:rPr>
      </w:pPr>
      <w:r>
        <w:rPr>
          <w:rFonts w:hint="eastAsia" w:ascii="宋体" w:eastAsia="宋体"/>
          <w:b w:val="0"/>
          <w:color w:val="auto"/>
          <w:sz w:val="22"/>
        </w:rPr>
        <w:t>（2）管理、保洁、维修人员应穿着整洁统一的工作服，佩证上岗，文明服务，遵守劳动纪律。工作时间内，不集聚闲聊，工期休息不得超过10分钟；拖把、刷子等保洁工具、除臭液等用品等摆放地落实安全措施；严禁人员擅自向社会进厕人收取各种费用。</w:t>
      </w:r>
    </w:p>
    <w:p>
      <w:pPr>
        <w:spacing w:line="360" w:lineRule="auto"/>
        <w:ind w:firstLine="330" w:firstLineChars="150"/>
        <w:rPr>
          <w:rFonts w:hint="eastAsia" w:ascii="宋体" w:eastAsia="宋体"/>
          <w:b w:val="0"/>
          <w:color w:val="auto"/>
          <w:sz w:val="22"/>
        </w:rPr>
      </w:pPr>
      <w:r>
        <w:rPr>
          <w:rFonts w:hint="eastAsia" w:ascii="宋体" w:eastAsia="宋体"/>
          <w:b w:val="0"/>
          <w:color w:val="auto"/>
          <w:sz w:val="22"/>
        </w:rPr>
        <w:t>（3）厕位内垃圾桶每日清洗一次，桶内垃圾清捡每日不少于二次，套袋每日一换，污染较重时及时更换；垃圾收集袋收运应扎口封闭，</w:t>
      </w:r>
      <w:r>
        <w:rPr>
          <w:rFonts w:ascii="宋体" w:eastAsia="宋体"/>
          <w:b w:val="0"/>
          <w:color w:val="auto"/>
          <w:sz w:val="22"/>
        </w:rPr>
        <w:t>运至</w:t>
      </w:r>
      <w:r>
        <w:rPr>
          <w:rFonts w:hint="eastAsia" w:ascii="宋体" w:eastAsia="宋体"/>
          <w:b w:val="0"/>
          <w:color w:val="auto"/>
          <w:sz w:val="22"/>
        </w:rPr>
        <w:t>附近垃圾</w:t>
      </w:r>
      <w:r>
        <w:rPr>
          <w:rFonts w:ascii="宋体" w:eastAsia="宋体"/>
          <w:b w:val="0"/>
          <w:color w:val="auto"/>
          <w:sz w:val="22"/>
        </w:rPr>
        <w:t>中转站。</w:t>
      </w:r>
    </w:p>
    <w:p>
      <w:pPr>
        <w:spacing w:line="360" w:lineRule="auto"/>
        <w:ind w:firstLine="330" w:firstLineChars="150"/>
        <w:rPr>
          <w:rFonts w:hint="eastAsia" w:ascii="宋体" w:eastAsia="宋体"/>
          <w:b w:val="0"/>
          <w:color w:val="auto"/>
          <w:sz w:val="22"/>
        </w:rPr>
      </w:pPr>
      <w:r>
        <w:rPr>
          <w:rFonts w:hint="eastAsia" w:ascii="宋体" w:eastAsia="宋体"/>
          <w:b w:val="0"/>
          <w:color w:val="auto"/>
          <w:sz w:val="22"/>
        </w:rPr>
        <w:t>（4</w:t>
      </w:r>
      <w:r>
        <w:rPr>
          <w:rFonts w:ascii="宋体" w:eastAsia="宋体"/>
          <w:b w:val="0"/>
          <w:color w:val="auto"/>
          <w:sz w:val="22"/>
        </w:rPr>
        <w:t>）</w:t>
      </w:r>
      <w:r>
        <w:rPr>
          <w:rFonts w:hint="eastAsia" w:ascii="宋体" w:eastAsia="宋体"/>
          <w:b w:val="0"/>
          <w:color w:val="auto"/>
          <w:sz w:val="22"/>
        </w:rPr>
        <w:t>公厕区周边</w:t>
      </w:r>
      <w:r>
        <w:rPr>
          <w:rFonts w:ascii="宋体" w:eastAsia="宋体"/>
          <w:b w:val="0"/>
          <w:color w:val="auto"/>
          <w:sz w:val="22"/>
        </w:rPr>
        <w:t>5</w:t>
      </w:r>
      <w:r>
        <w:rPr>
          <w:rFonts w:hint="eastAsia" w:ascii="宋体" w:eastAsia="宋体"/>
          <w:b w:val="0"/>
          <w:color w:val="auto"/>
          <w:sz w:val="22"/>
        </w:rPr>
        <w:t>米范围都为责任区。</w:t>
      </w:r>
    </w:p>
    <w:p>
      <w:pPr>
        <w:spacing w:line="360" w:lineRule="auto"/>
        <w:ind w:firstLine="358" w:firstLineChars="163"/>
        <w:rPr>
          <w:rFonts w:hint="eastAsia" w:ascii="宋体" w:hAnsi="宋体"/>
          <w:color w:val="auto"/>
          <w:sz w:val="22"/>
          <w:szCs w:val="22"/>
        </w:rPr>
      </w:pPr>
      <w:r>
        <w:rPr>
          <w:rFonts w:hint="eastAsia" w:ascii="宋体" w:hAnsi="宋体"/>
          <w:color w:val="auto"/>
          <w:sz w:val="22"/>
          <w:szCs w:val="22"/>
        </w:rPr>
        <w:t>（</w:t>
      </w:r>
      <w:r>
        <w:rPr>
          <w:rFonts w:hint="eastAsia" w:ascii="宋体" w:hAnsi="宋体"/>
          <w:color w:val="auto"/>
          <w:sz w:val="22"/>
          <w:szCs w:val="22"/>
          <w:lang w:val="en-US" w:eastAsia="zh-CN"/>
        </w:rPr>
        <w:t>5</w:t>
      </w:r>
      <w:r>
        <w:rPr>
          <w:rFonts w:hint="eastAsia" w:ascii="宋体" w:hAnsi="宋体"/>
          <w:color w:val="auto"/>
          <w:sz w:val="22"/>
          <w:szCs w:val="22"/>
        </w:rPr>
        <w:t>）公厕内设施、设备、装修等维护管理：</w:t>
      </w:r>
    </w:p>
    <w:p>
      <w:pPr>
        <w:spacing w:line="360" w:lineRule="auto"/>
        <w:ind w:firstLine="330" w:firstLineChars="150"/>
        <w:rPr>
          <w:rFonts w:hint="eastAsia" w:ascii="宋体" w:eastAsia="宋体"/>
          <w:b w:val="0"/>
          <w:color w:val="auto"/>
          <w:sz w:val="22"/>
        </w:rPr>
      </w:pPr>
      <w:r>
        <w:rPr>
          <w:rFonts w:hint="eastAsia" w:ascii="宋体" w:eastAsia="宋体"/>
          <w:b w:val="0"/>
          <w:color w:val="auto"/>
          <w:sz w:val="22"/>
        </w:rPr>
        <w:t>包括水表内的水管破损、漏水，阀门老化、破损、漏水，水龙头破损、漏水，冲水阀破损、漏水等用水问题由中标供应商负责维修；</w:t>
      </w:r>
    </w:p>
    <w:p>
      <w:pPr>
        <w:spacing w:line="360" w:lineRule="auto"/>
        <w:ind w:firstLine="330" w:firstLineChars="150"/>
        <w:rPr>
          <w:rFonts w:hint="eastAsia" w:ascii="宋体" w:eastAsia="宋体"/>
          <w:b w:val="0"/>
          <w:color w:val="auto"/>
          <w:sz w:val="22"/>
        </w:rPr>
      </w:pPr>
      <w:r>
        <w:rPr>
          <w:rFonts w:hint="eastAsia" w:ascii="宋体" w:eastAsia="宋体"/>
          <w:b w:val="0"/>
          <w:color w:val="auto"/>
          <w:sz w:val="22"/>
        </w:rPr>
        <w:t>电表以内的电线破损、短路、断路，各种用电设备如电灯、烘手机、小便斗和水龙头的感应器损坏等用电问题由中标供应商负责维修；</w:t>
      </w:r>
    </w:p>
    <w:p>
      <w:pPr>
        <w:spacing w:line="360" w:lineRule="auto"/>
        <w:ind w:firstLine="330" w:firstLineChars="150"/>
        <w:rPr>
          <w:rFonts w:hint="eastAsia"/>
          <w:color w:val="auto"/>
        </w:rPr>
      </w:pPr>
      <w:r>
        <w:rPr>
          <w:rFonts w:hint="eastAsia" w:ascii="宋体" w:eastAsia="宋体"/>
          <w:b w:val="0"/>
          <w:color w:val="auto"/>
          <w:sz w:val="22"/>
        </w:rPr>
        <w:t>公厕表面装修、装饰件及用品（包括小便斗、侧板等），承包前中标供应商与招标单位到公厕现场进行核对并签字，承包到期也由中标供应商与招标单位到公厕现场进行核对并签字。注：墙体内部预埋件的除外。</w:t>
      </w:r>
    </w:p>
    <w:p>
      <w:pPr>
        <w:spacing w:line="360" w:lineRule="auto"/>
        <w:ind w:firstLine="330" w:firstLineChars="150"/>
        <w:rPr>
          <w:rFonts w:hint="eastAsia" w:ascii="宋体" w:eastAsia="宋体"/>
          <w:b w:val="0"/>
          <w:color w:val="auto"/>
          <w:sz w:val="22"/>
        </w:rPr>
      </w:pPr>
      <w:r>
        <w:rPr>
          <w:rFonts w:hint="eastAsia" w:ascii="宋体" w:eastAsia="宋体"/>
          <w:b w:val="0"/>
          <w:color w:val="auto"/>
          <w:sz w:val="22"/>
        </w:rPr>
        <w:t>4、其他要求</w:t>
      </w:r>
    </w:p>
    <w:p>
      <w:pPr>
        <w:spacing w:line="360" w:lineRule="auto"/>
        <w:ind w:firstLine="330" w:firstLineChars="150"/>
        <w:rPr>
          <w:rFonts w:hint="eastAsia" w:ascii="宋体" w:eastAsia="宋体"/>
          <w:b w:val="0"/>
          <w:color w:val="auto"/>
          <w:sz w:val="22"/>
        </w:rPr>
      </w:pPr>
      <w:r>
        <w:rPr>
          <w:rFonts w:hint="eastAsia" w:ascii="宋体" w:eastAsia="宋体"/>
          <w:b w:val="0"/>
          <w:color w:val="auto"/>
          <w:sz w:val="22"/>
        </w:rPr>
        <w:t>（1）遇有突发事件，及时组织力量做好保洁等保障工作。特殊情况下遇有抗台、暴雨、漏电、火灾等突发事件，乙方除应及时做好公厕保洁保障工作和及时切断电源外，还应服从甲方的调动工作，人员必须及时到位。</w:t>
      </w:r>
    </w:p>
    <w:p>
      <w:pPr>
        <w:spacing w:line="360" w:lineRule="auto"/>
        <w:ind w:firstLine="330" w:firstLineChars="150"/>
        <w:rPr>
          <w:rFonts w:hint="eastAsia" w:ascii="宋体" w:eastAsia="宋体"/>
          <w:b w:val="0"/>
          <w:color w:val="auto"/>
          <w:sz w:val="22"/>
        </w:rPr>
      </w:pPr>
      <w:r>
        <w:rPr>
          <w:rFonts w:hint="eastAsia" w:ascii="宋体" w:eastAsia="宋体"/>
          <w:b w:val="0"/>
          <w:color w:val="auto"/>
          <w:sz w:val="22"/>
        </w:rPr>
        <w:t>(2) 人员配置、工人工资、福利待遇等保障和工具配置工作。</w:t>
      </w:r>
    </w:p>
    <w:p>
      <w:pPr>
        <w:spacing w:line="360" w:lineRule="auto"/>
        <w:ind w:firstLine="330" w:firstLineChars="150"/>
        <w:rPr>
          <w:rFonts w:hint="eastAsia" w:ascii="宋体" w:eastAsia="宋体"/>
          <w:b w:val="0"/>
          <w:color w:val="auto"/>
          <w:sz w:val="22"/>
        </w:rPr>
      </w:pPr>
      <w:r>
        <w:rPr>
          <w:rFonts w:hint="eastAsia" w:ascii="宋体" w:eastAsia="宋体"/>
          <w:b w:val="0"/>
          <w:color w:val="auto"/>
          <w:sz w:val="22"/>
        </w:rPr>
        <w:t>乙方要严格按照有关招投标文件、合同与相关承诺履行合同，切实保障工人如实配置，保证工人的工资、福利和待遇等不降低，确保工人的各类合法权益不受侵害。同时要确保规定或承诺的工具配置方案，足额到位。甲方将通过随机抽查、政策询问、查看企业相关台账等途径，进行监管，如发现有违反合同承诺要求，经查实的，根据规定进行处罚，情节特别严重的甲方有权终止合同。</w:t>
      </w:r>
    </w:p>
    <w:p>
      <w:pPr>
        <w:numPr>
          <w:ilvl w:val="0"/>
          <w:numId w:val="0"/>
        </w:numPr>
        <w:spacing w:line="360" w:lineRule="auto"/>
        <w:ind w:firstLine="440" w:firstLineChars="200"/>
        <w:rPr>
          <w:rFonts w:hint="eastAsia" w:ascii="宋体" w:eastAsia="宋体"/>
          <w:b w:val="0"/>
          <w:color w:val="auto"/>
          <w:sz w:val="22"/>
        </w:rPr>
      </w:pPr>
      <w:r>
        <w:rPr>
          <w:rFonts w:hint="eastAsia" w:ascii="宋体" w:eastAsia="宋体"/>
          <w:b w:val="0"/>
          <w:color w:val="auto"/>
          <w:sz w:val="22"/>
          <w:lang w:eastAsia="zh-CN"/>
        </w:rPr>
        <w:t>（</w:t>
      </w:r>
      <w:r>
        <w:rPr>
          <w:rFonts w:hint="eastAsia" w:ascii="宋体" w:eastAsia="宋体"/>
          <w:b w:val="0"/>
          <w:color w:val="auto"/>
          <w:sz w:val="22"/>
          <w:lang w:val="en-US" w:eastAsia="zh-CN"/>
        </w:rPr>
        <w:t>3）</w:t>
      </w:r>
      <w:r>
        <w:rPr>
          <w:rFonts w:hint="eastAsia" w:ascii="宋体" w:eastAsia="宋体"/>
          <w:b w:val="0"/>
          <w:color w:val="auto"/>
          <w:sz w:val="22"/>
        </w:rPr>
        <w:t>安全责任均由承包方负责</w:t>
      </w:r>
    </w:p>
    <w:p>
      <w:pPr>
        <w:numPr>
          <w:ilvl w:val="0"/>
          <w:numId w:val="0"/>
        </w:numPr>
        <w:spacing w:line="360" w:lineRule="auto"/>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w:t>
      </w:r>
      <w:r>
        <w:rPr>
          <w:rFonts w:hint="eastAsia" w:ascii="新宋体" w:hAnsi="新宋体" w:eastAsia="新宋体" w:cs="新宋体"/>
          <w:b/>
          <w:bCs/>
          <w:color w:val="auto"/>
          <w:sz w:val="22"/>
          <w:szCs w:val="22"/>
          <w:lang w:eastAsia="zh-CN"/>
        </w:rPr>
        <w:t>九</w:t>
      </w:r>
      <w:r>
        <w:rPr>
          <w:rFonts w:hint="eastAsia" w:ascii="新宋体" w:hAnsi="新宋体" w:eastAsia="新宋体" w:cs="新宋体"/>
          <w:b/>
          <w:bCs/>
          <w:color w:val="auto"/>
          <w:sz w:val="22"/>
          <w:szCs w:val="22"/>
        </w:rPr>
        <w:t>）机械化作业规范</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洒水、冲洗车辆作业规范</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1） 气温3-30℃，路面冲洗每周不少于3次，路面洒水每天不少于3次；气温30℃以上时，路面洒水每天不少于4次；气温低于3℃停止冲洗和洒水；</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2）道路冲洗后路面无积水、无灰尘、无烟蒂、无果壳散落，冲洗时间一般应在晚上或清晨，人行道应纳入冲洗范围。</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3）交通早晚高峰期间禁止路面冲洗，洒水工作。</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4）出车前要进行检查后方可上路，禁止带故障运行。作业时应适当控制水压，</w:t>
      </w:r>
      <w:r>
        <w:rPr>
          <w:rFonts w:hint="eastAsia" w:ascii="宋体"/>
          <w:b/>
          <w:color w:val="auto"/>
          <w:sz w:val="22"/>
          <w:u w:val="single"/>
        </w:rPr>
        <w:t xml:space="preserve">洒水作业行车速度最高时速≤25公里/小时，经过医院、学校、公交站台等人流密集地方作业行车速度最高时速≤15公里/小时；机械清扫作业时速≤10km/h </w:t>
      </w:r>
      <w:r>
        <w:rPr>
          <w:rFonts w:hint="eastAsia" w:ascii="宋体"/>
          <w:b/>
          <w:color w:val="auto"/>
          <w:sz w:val="22"/>
          <w:u w:val="single"/>
          <w:lang w:eastAsia="zh-CN"/>
        </w:rPr>
        <w:t>，</w:t>
      </w:r>
      <w:r>
        <w:rPr>
          <w:rFonts w:hint="eastAsia" w:ascii="新宋体" w:hAnsi="新宋体" w:eastAsia="新宋体" w:cs="新宋体"/>
          <w:color w:val="auto"/>
          <w:sz w:val="22"/>
          <w:szCs w:val="22"/>
        </w:rPr>
        <w:t>避免把水溅到路边的行人；上路作业时，必须打开警示灯；要遵守道路交通安全法规，礼让行车，注意行人的安全；严格按照范围、路线、时间、次数、车速进行机扫作业，不得随意变更。作业完毕后及时清洗干净入库，做好作业车辆行车、维修保养记录。</w:t>
      </w:r>
    </w:p>
    <w:p>
      <w:pPr>
        <w:spacing w:line="360" w:lineRule="auto"/>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 xml:space="preserve"> （</w:t>
      </w:r>
      <w:r>
        <w:rPr>
          <w:rFonts w:hint="eastAsia" w:ascii="新宋体" w:hAnsi="新宋体" w:eastAsia="新宋体" w:cs="新宋体"/>
          <w:b/>
          <w:bCs/>
          <w:color w:val="auto"/>
          <w:sz w:val="22"/>
          <w:szCs w:val="22"/>
          <w:lang w:eastAsia="zh-CN"/>
        </w:rPr>
        <w:t>十</w:t>
      </w:r>
      <w:r>
        <w:rPr>
          <w:rFonts w:hint="eastAsia" w:ascii="新宋体" w:hAnsi="新宋体" w:eastAsia="新宋体" w:cs="新宋体"/>
          <w:b/>
          <w:bCs/>
          <w:color w:val="auto"/>
          <w:sz w:val="22"/>
          <w:szCs w:val="22"/>
        </w:rPr>
        <w:t>）清扫作业规范</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1）作业人员应当佩证、携带（GPS，如有）上岗，作业期内穿反光安全服；作业时间内，作业人员应按车行线反方向清扫，不聚闲聊，工期休息不超过10分钟，作业期间不做与作业无关的事；车辆停放遵守交通法规；垃圾运输实行密闭，不得超高运输和吊挂杂物；严禁作业人员擅自向责任区内单位收取各种费用。</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2）清扫保洁时间内（含工人清扫与道路冲洗）垃圾不得扫入窨井、花坛、绿化带、河道等处；清扫作业中不得漏扫、甩扫；交接班不得出现空档，责任区交界处清扫保洁各过界10米；垃圾直接清运至垃圾中转站，不得中途随意倾倒垃圾，不得焚烧垃圾。不得在责任区外翻捡废品，干私活。</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3）垃圾收集车辆（含机动车和非机动车）每日清洗后方可上路，每辆车应当设置明显的反光标识。</w:t>
      </w:r>
    </w:p>
    <w:p>
      <w:pPr>
        <w:spacing w:line="360" w:lineRule="auto"/>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 xml:space="preserve"> （</w:t>
      </w:r>
      <w:r>
        <w:rPr>
          <w:rFonts w:hint="eastAsia" w:ascii="新宋体" w:hAnsi="新宋体" w:eastAsia="新宋体" w:cs="新宋体"/>
          <w:b/>
          <w:bCs/>
          <w:color w:val="auto"/>
          <w:sz w:val="22"/>
          <w:szCs w:val="22"/>
          <w:lang w:eastAsia="zh-CN"/>
        </w:rPr>
        <w:t>十一</w:t>
      </w:r>
      <w:r>
        <w:rPr>
          <w:rFonts w:hint="eastAsia" w:ascii="新宋体" w:hAnsi="新宋体" w:eastAsia="新宋体" w:cs="新宋体"/>
          <w:b/>
          <w:bCs/>
          <w:color w:val="auto"/>
          <w:sz w:val="22"/>
          <w:szCs w:val="22"/>
        </w:rPr>
        <w:t>）内部管理</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1）中标单位要遵守国家法律和地方法规各项规定，保障环卫工人的合法权益。如按照《中华人民共和国劳动合同法》的要求签订劳动合同，并办理各项社会保险手续，包括养老保险、医疗保险、失业保险、工伤保险和生育保险、人身意外险、特岗津贴、一年一次体检等；合理安排环卫工人的工作量和休息时间，超过法定工作时间的，要按照国家有关规定安排补休或给予补偿。</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2）中标企业应当建立规章制度、岗位责任制度、工作考核机制等，并定期开展环卫工人安全教育等培训。</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3）中标企业应当建立完备、真实的台帐资料，并能够真实提供完整的环卫工人工资、福利等待遇及保险凭证。</w:t>
      </w:r>
    </w:p>
    <w:p>
      <w:pPr>
        <w:spacing w:line="360" w:lineRule="auto"/>
        <w:ind w:firstLine="221" w:firstLineChars="100"/>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w:t>
      </w:r>
      <w:r>
        <w:rPr>
          <w:rFonts w:hint="eastAsia" w:ascii="新宋体" w:hAnsi="新宋体" w:eastAsia="新宋体" w:cs="新宋体"/>
          <w:b/>
          <w:bCs/>
          <w:color w:val="auto"/>
          <w:sz w:val="22"/>
          <w:szCs w:val="22"/>
          <w:lang w:eastAsia="zh-CN"/>
        </w:rPr>
        <w:t>十二</w:t>
      </w:r>
      <w:r>
        <w:rPr>
          <w:rFonts w:hint="eastAsia" w:ascii="新宋体" w:hAnsi="新宋体" w:eastAsia="新宋体" w:cs="新宋体"/>
          <w:b/>
          <w:bCs/>
          <w:color w:val="auto"/>
          <w:sz w:val="22"/>
          <w:szCs w:val="22"/>
        </w:rPr>
        <w:t>）应急作业要求：</w:t>
      </w:r>
    </w:p>
    <w:p>
      <w:pPr>
        <w:widowControl/>
        <w:autoSpaceDE w:val="0"/>
        <w:autoSpaceDN w:val="0"/>
        <w:adjustRightInd w:val="0"/>
        <w:spacing w:line="360" w:lineRule="auto"/>
        <w:ind w:firstLine="442" w:firstLineChars="200"/>
        <w:textAlignment w:val="bottom"/>
        <w:rPr>
          <w:rFonts w:ascii="宋体"/>
          <w:b/>
          <w:color w:val="auto"/>
          <w:sz w:val="22"/>
        </w:rPr>
      </w:pPr>
      <w:r>
        <w:rPr>
          <w:rFonts w:hint="eastAsia" w:ascii="宋体"/>
          <w:b/>
          <w:color w:val="auto"/>
          <w:sz w:val="22"/>
        </w:rPr>
        <w:t>中标供应商须根据采购人要求及道路突发情况24小时待命。</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1）保洁范围内出现大面积遗撒物、交通安全事故，自接到通知后，应在2小时内清理干净。</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2）路面液态油质，如机油、柴油、汽油、润滑油等污染物应在4小时内清理干净。</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w:t>
      </w:r>
      <w:r>
        <w:rPr>
          <w:rFonts w:hint="eastAsia" w:ascii="新宋体" w:hAnsi="新宋体" w:eastAsia="新宋体" w:cs="新宋体"/>
          <w:color w:val="auto"/>
          <w:sz w:val="22"/>
          <w:szCs w:val="22"/>
          <w:lang w:val="en-US" w:eastAsia="zh-CN"/>
        </w:rPr>
        <w:t xml:space="preserve">  3</w:t>
      </w:r>
      <w:r>
        <w:rPr>
          <w:rFonts w:hint="eastAsia" w:ascii="新宋体" w:hAnsi="新宋体" w:eastAsia="新宋体" w:cs="新宋体"/>
          <w:color w:val="auto"/>
          <w:sz w:val="22"/>
          <w:szCs w:val="22"/>
        </w:rPr>
        <w:t>）保洁范围内出现易燃易爆、有毒有害物质遗撒泄露，服务提供组织应及时报告行政主管部门。</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w:t>
      </w:r>
      <w:r>
        <w:rPr>
          <w:rFonts w:hint="eastAsia" w:ascii="新宋体" w:hAnsi="新宋体" w:eastAsia="新宋体" w:cs="新宋体"/>
          <w:color w:val="auto"/>
          <w:sz w:val="22"/>
          <w:szCs w:val="22"/>
          <w:lang w:val="en-US" w:eastAsia="zh-CN"/>
        </w:rPr>
        <w:t xml:space="preserve">  4</w:t>
      </w:r>
      <w:r>
        <w:rPr>
          <w:rFonts w:hint="eastAsia" w:ascii="新宋体" w:hAnsi="新宋体" w:eastAsia="新宋体" w:cs="新宋体"/>
          <w:color w:val="auto"/>
          <w:sz w:val="22"/>
          <w:szCs w:val="22"/>
        </w:rPr>
        <w:t>）出现降雪天气时，提供服务组织应及时进行融雪和路面清理。应保证4小时至10小时内完成融雪，在 2 至 3 天内完成路面清理</w:t>
      </w:r>
    </w:p>
    <w:p>
      <w:pPr>
        <w:spacing w:line="360" w:lineRule="auto"/>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五、考核方式及奖惩措施（甲方有权根据实际情况进行适当调整）。</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（一）考核方式</w:t>
      </w:r>
    </w:p>
    <w:p>
      <w:pPr>
        <w:spacing w:line="360" w:lineRule="auto"/>
        <w:rPr>
          <w:rFonts w:hint="eastAsia" w:ascii="宋体" w:hAnsi="宋体" w:eastAsia="宋体" w:cs="宋体"/>
          <w:b w:val="0"/>
          <w:bCs/>
          <w:color w:val="auto"/>
          <w:sz w:val="19"/>
          <w:szCs w:val="19"/>
          <w:lang w:eastAsia="zh-CN"/>
        </w:rPr>
      </w:pPr>
      <w:r>
        <w:rPr>
          <w:rFonts w:hint="eastAsia" w:ascii="新宋体" w:hAnsi="新宋体" w:eastAsia="新宋体" w:cs="新宋体"/>
          <w:color w:val="auto"/>
          <w:sz w:val="22"/>
          <w:szCs w:val="22"/>
        </w:rPr>
        <w:t xml:space="preserve">   温州市环境卫生管理处、鹿城区城管与执法局及属地政府实行双重考核，按照《山福镇村级道路、河道扫保洁采购质量考核评分细则》及市级制定的有关考核办法不定期对道路保洁质量进行考核。如需承包公司配合的将提前一小时通知该单位派员参加。</w:t>
      </w:r>
      <w:r>
        <w:rPr>
          <w:rFonts w:hint="eastAsia" w:ascii="新宋体" w:hAnsi="新宋体" w:eastAsia="新宋体" w:cs="新宋体"/>
          <w:color w:val="auto"/>
          <w:sz w:val="22"/>
          <w:szCs w:val="22"/>
          <w:lang w:eastAsia="zh-CN"/>
        </w:rPr>
        <w:t>本次考核分“道路、河道清扫保洁”和“公厕保洁及维修”“垃圾分类”三部分分别考核。</w:t>
      </w:r>
    </w:p>
    <w:p>
      <w:pPr>
        <w:spacing w:line="360" w:lineRule="auto"/>
        <w:rPr>
          <w:rFonts w:hint="eastAsia" w:ascii="新宋体" w:hAnsi="新宋体" w:eastAsia="新宋体" w:cs="新宋体"/>
          <w:b/>
          <w:color w:val="auto"/>
          <w:sz w:val="22"/>
          <w:szCs w:val="22"/>
          <w:lang w:eastAsia="zh-CN"/>
        </w:rPr>
      </w:pPr>
      <w:r>
        <w:rPr>
          <w:rFonts w:hint="eastAsia" w:ascii="新宋体" w:hAnsi="新宋体" w:eastAsia="新宋体" w:cs="新宋体"/>
          <w:color w:val="auto"/>
          <w:sz w:val="22"/>
          <w:szCs w:val="22"/>
        </w:rPr>
        <w:t xml:space="preserve"> </w:t>
      </w:r>
      <w:r>
        <w:rPr>
          <w:rFonts w:hint="eastAsia" w:ascii="新宋体" w:hAnsi="新宋体" w:eastAsia="新宋体" w:cs="新宋体"/>
          <w:b/>
          <w:color w:val="auto"/>
          <w:sz w:val="22"/>
          <w:szCs w:val="22"/>
          <w:lang w:eastAsia="zh-CN"/>
        </w:rPr>
        <w:t xml:space="preserve"> 1）道路、河道清扫保洁考核总分为100分，月达标平均分为95分（含）以上为优，95分（不含）-90（含）分为良，90（不含）分-85（含）分为合格，低于85分的为不达标。</w:t>
      </w:r>
    </w:p>
    <w:p>
      <w:pPr>
        <w:spacing w:line="360" w:lineRule="auto"/>
        <w:ind w:firstLine="221" w:firstLineChars="100"/>
        <w:rPr>
          <w:rFonts w:hint="eastAsia" w:ascii="新宋体" w:hAnsi="新宋体" w:eastAsia="新宋体" w:cs="新宋体"/>
          <w:b/>
          <w:color w:val="auto"/>
          <w:sz w:val="22"/>
          <w:szCs w:val="22"/>
          <w:lang w:eastAsia="zh-CN"/>
        </w:rPr>
      </w:pPr>
      <w:r>
        <w:rPr>
          <w:rFonts w:hint="eastAsia" w:ascii="新宋体" w:hAnsi="新宋体" w:eastAsia="新宋体" w:cs="新宋体"/>
          <w:b/>
          <w:color w:val="auto"/>
          <w:sz w:val="22"/>
          <w:szCs w:val="22"/>
          <w:lang w:eastAsia="zh-CN"/>
        </w:rPr>
        <w:t>2）公厕保洁及维修考核总分为100分，月达标平均分为95分（含）以上为优，95分（不含）-90（含）分为良，90（不含）分-85（含）分为合格，低于85分的为不达标。</w:t>
      </w:r>
    </w:p>
    <w:p>
      <w:pPr>
        <w:spacing w:line="360" w:lineRule="auto"/>
        <w:ind w:firstLine="221" w:firstLineChars="100"/>
        <w:rPr>
          <w:rFonts w:hint="default"/>
          <w:color w:val="auto"/>
          <w:lang w:val="en-US" w:eastAsia="zh-CN"/>
        </w:rPr>
      </w:pPr>
      <w:r>
        <w:rPr>
          <w:rFonts w:hint="eastAsia" w:ascii="新宋体" w:hAnsi="新宋体" w:eastAsia="新宋体" w:cs="新宋体"/>
          <w:b/>
          <w:color w:val="auto"/>
          <w:sz w:val="22"/>
          <w:szCs w:val="22"/>
          <w:lang w:val="en-US" w:eastAsia="zh-CN"/>
        </w:rPr>
        <w:t>3</w:t>
      </w:r>
      <w:r>
        <w:rPr>
          <w:rFonts w:hint="eastAsia" w:ascii="新宋体" w:hAnsi="新宋体" w:eastAsia="新宋体" w:cs="新宋体"/>
          <w:b/>
          <w:color w:val="auto"/>
          <w:sz w:val="22"/>
          <w:szCs w:val="22"/>
          <w:lang w:eastAsia="zh-CN"/>
        </w:rPr>
        <w:t>）垃圾分类考核总分为100分，月达标平均分为95分（含）以上为优，95分（不含）-90（含）分为良，90（不含）分-85（含）分为合格，低于85分的为不达标。</w:t>
      </w:r>
    </w:p>
    <w:p>
      <w:pPr>
        <w:spacing w:line="360" w:lineRule="auto"/>
        <w:rPr>
          <w:rFonts w:hint="eastAsia" w:ascii="新宋体" w:hAnsi="新宋体" w:eastAsia="新宋体" w:cs="新宋体"/>
          <w:b w:val="0"/>
          <w:bCs/>
          <w:color w:val="auto"/>
          <w:sz w:val="22"/>
          <w:szCs w:val="22"/>
        </w:rPr>
      </w:pPr>
      <w:r>
        <w:rPr>
          <w:rFonts w:hint="eastAsia" w:ascii="新宋体" w:hAnsi="新宋体" w:eastAsia="新宋体" w:cs="新宋体"/>
          <w:b/>
          <w:color w:val="auto"/>
          <w:sz w:val="22"/>
          <w:szCs w:val="22"/>
        </w:rPr>
        <w:t xml:space="preserve"> </w:t>
      </w:r>
      <w:r>
        <w:rPr>
          <w:rFonts w:hint="eastAsia" w:ascii="新宋体" w:hAnsi="新宋体" w:eastAsia="新宋体" w:cs="新宋体"/>
          <w:b w:val="0"/>
          <w:bCs/>
          <w:color w:val="auto"/>
          <w:sz w:val="22"/>
          <w:szCs w:val="22"/>
        </w:rPr>
        <w:t>（二）奖惩措施</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1）实施“一月一评”，对月平均分未达标或者未按照招投标文件落实相关措施的，将予以一定金额的扣罚。</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2）月平均分不达标的，每下降0.5分扣（中标总金额÷12×10%）的10%，以此类推，直至将当月承包费（中标总金额÷12）扣完为止。</w:t>
      </w:r>
      <w:r>
        <w:rPr>
          <w:rFonts w:hint="eastAsia" w:ascii="新宋体" w:hAnsi="新宋体" w:eastAsia="新宋体" w:cs="新宋体"/>
          <w:color w:val="auto"/>
          <w:sz w:val="22"/>
          <w:szCs w:val="22"/>
          <w:lang w:eastAsia="zh-CN"/>
        </w:rPr>
        <w:t>整个项目总的</w:t>
      </w:r>
      <w:r>
        <w:rPr>
          <w:rFonts w:hint="eastAsia" w:ascii="新宋体" w:hAnsi="新宋体" w:eastAsia="新宋体" w:cs="新宋体"/>
          <w:color w:val="auto"/>
          <w:sz w:val="22"/>
          <w:szCs w:val="22"/>
        </w:rPr>
        <w:t>月平均分低于</w:t>
      </w:r>
      <w:r>
        <w:rPr>
          <w:rFonts w:hint="eastAsia" w:ascii="新宋体" w:hAnsi="新宋体" w:eastAsia="新宋体" w:cs="新宋体"/>
          <w:color w:val="auto"/>
          <w:sz w:val="22"/>
          <w:szCs w:val="22"/>
          <w:lang w:val="en-US" w:eastAsia="zh-CN"/>
        </w:rPr>
        <w:t>85</w:t>
      </w:r>
      <w:r>
        <w:rPr>
          <w:rFonts w:hint="eastAsia" w:ascii="新宋体" w:hAnsi="新宋体" w:eastAsia="新宋体" w:cs="新宋体"/>
          <w:color w:val="auto"/>
          <w:sz w:val="22"/>
          <w:szCs w:val="22"/>
        </w:rPr>
        <w:t>分（不含</w:t>
      </w:r>
      <w:r>
        <w:rPr>
          <w:rFonts w:hint="eastAsia" w:ascii="新宋体" w:hAnsi="新宋体" w:eastAsia="新宋体" w:cs="新宋体"/>
          <w:color w:val="auto"/>
          <w:sz w:val="22"/>
          <w:szCs w:val="22"/>
          <w:lang w:val="en-US" w:eastAsia="zh-CN"/>
        </w:rPr>
        <w:t>85</w:t>
      </w:r>
      <w:r>
        <w:rPr>
          <w:rFonts w:hint="eastAsia" w:ascii="新宋体" w:hAnsi="新宋体" w:eastAsia="新宋体" w:cs="新宋体"/>
          <w:color w:val="auto"/>
          <w:sz w:val="22"/>
          <w:szCs w:val="22"/>
        </w:rPr>
        <w:t>分）的，应责令其限期予以改正，并发书面通知书以示警告。全年出现连续两次或者累计三次被警告的，将立即终止承包合同，并没收</w:t>
      </w:r>
      <w:r>
        <w:rPr>
          <w:rFonts w:hint="eastAsia" w:ascii="新宋体" w:hAnsi="新宋体" w:eastAsia="新宋体" w:cs="新宋体"/>
          <w:color w:val="auto"/>
          <w:sz w:val="22"/>
          <w:szCs w:val="22"/>
          <w:lang w:eastAsia="zh-CN"/>
        </w:rPr>
        <w:t>考核</w:t>
      </w:r>
      <w:r>
        <w:rPr>
          <w:rFonts w:hint="eastAsia" w:ascii="新宋体" w:hAnsi="新宋体" w:eastAsia="新宋体" w:cs="新宋体"/>
          <w:color w:val="auto"/>
          <w:sz w:val="22"/>
          <w:szCs w:val="22"/>
        </w:rPr>
        <w:t>。</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3）作业人员配备和职工福利待遇达不到招投标文件要求的，每发现缺少一名作业人员的，按人员月工资福利总额的</w:t>
      </w: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倍予以扣款；每发现一次故意克扣工人工资福利待遇的，按克扣额的</w:t>
      </w:r>
      <w:r>
        <w:rPr>
          <w:rFonts w:hint="eastAsia" w:ascii="新宋体" w:hAnsi="新宋体" w:eastAsia="新宋体" w:cs="新宋体"/>
          <w:color w:val="auto"/>
          <w:sz w:val="22"/>
          <w:szCs w:val="22"/>
          <w:lang w:val="en-US" w:eastAsia="zh-CN"/>
        </w:rPr>
        <w:t>5</w:t>
      </w:r>
      <w:r>
        <w:rPr>
          <w:rFonts w:hint="eastAsia" w:ascii="新宋体" w:hAnsi="新宋体" w:eastAsia="新宋体" w:cs="新宋体"/>
          <w:color w:val="auto"/>
          <w:sz w:val="22"/>
          <w:szCs w:val="22"/>
        </w:rPr>
        <w:t>倍予以扣款。其中人员配置少于规定或承诺数90%以及故意被克扣工资福利人数超总人数20%的，将终止承包合同，并没收</w:t>
      </w:r>
      <w:r>
        <w:rPr>
          <w:rFonts w:hint="eastAsia" w:ascii="新宋体" w:hAnsi="新宋体" w:eastAsia="新宋体" w:cs="新宋体"/>
          <w:color w:val="auto"/>
          <w:sz w:val="22"/>
          <w:szCs w:val="22"/>
          <w:lang w:eastAsia="zh-CN"/>
        </w:rPr>
        <w:t>考核</w:t>
      </w:r>
      <w:r>
        <w:rPr>
          <w:rFonts w:hint="eastAsia" w:ascii="新宋体" w:hAnsi="新宋体" w:eastAsia="新宋体" w:cs="新宋体"/>
          <w:color w:val="auto"/>
          <w:sz w:val="22"/>
          <w:szCs w:val="22"/>
        </w:rPr>
        <w:t>。</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4）当月发现机械化作业频次未达到要求的，扣贰仟元人民币/次；当月作业车辆配备未达到要求的，扣伍万元/辆。作业车辆连续两月配备不到位或者累计三个月配备不到位的，将终止承包合同，并没收</w:t>
      </w:r>
      <w:r>
        <w:rPr>
          <w:rFonts w:hint="eastAsia" w:ascii="新宋体" w:hAnsi="新宋体" w:eastAsia="新宋体" w:cs="新宋体"/>
          <w:color w:val="auto"/>
          <w:sz w:val="22"/>
          <w:szCs w:val="22"/>
          <w:lang w:eastAsia="zh-CN"/>
        </w:rPr>
        <w:t>考核</w:t>
      </w:r>
      <w:r>
        <w:rPr>
          <w:rFonts w:hint="eastAsia" w:ascii="新宋体" w:hAnsi="新宋体" w:eastAsia="新宋体" w:cs="新宋体"/>
          <w:color w:val="auto"/>
          <w:sz w:val="22"/>
          <w:szCs w:val="22"/>
        </w:rPr>
        <w:t>（除人力不可抗拒的特殊情况外）。</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5）有市民投诉、媒体曝光的影响环境卫生事件，经核实的，每次按月规定罚金的30%予以扣款。</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6）凡遇国家、省、市重大活动或检查时，因道路清扫不到位而出现不良影响的，除给予通报批评外，将予以扣款。国家级检查发现的，每处扣8000元以上；省级检查发现的，每处扣5000元以上；市领导检查发现的，每处扣3000元以上；区级检查发现的，每处扣1000元以上。</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7）以上违规情况涉及扣款均从每月承包经费中扣除，扣完为止。</w:t>
      </w:r>
    </w:p>
    <w:p>
      <w:pPr>
        <w:spacing w:line="360" w:lineRule="auto"/>
        <w:ind w:firstLine="220" w:firstLineChars="1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w:t>
      </w:r>
      <w:r>
        <w:rPr>
          <w:rFonts w:hint="eastAsia" w:ascii="新宋体" w:hAnsi="新宋体" w:eastAsia="新宋体" w:cs="新宋体"/>
          <w:color w:val="auto"/>
          <w:sz w:val="22"/>
          <w:szCs w:val="22"/>
          <w:lang w:val="en-US" w:eastAsia="zh-CN"/>
        </w:rPr>
        <w:t>8</w:t>
      </w:r>
      <w:r>
        <w:rPr>
          <w:rFonts w:hint="eastAsia" w:ascii="新宋体" w:hAnsi="新宋体" w:eastAsia="新宋体" w:cs="新宋体"/>
          <w:color w:val="auto"/>
          <w:sz w:val="22"/>
          <w:szCs w:val="22"/>
        </w:rPr>
        <w:t>）其他奖罚：</w:t>
      </w:r>
    </w:p>
    <w:p>
      <w:pPr>
        <w:spacing w:line="360" w:lineRule="auto"/>
        <w:ind w:firstLine="442" w:firstLineChars="200"/>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根据区</w:t>
      </w:r>
      <w:r>
        <w:rPr>
          <w:rFonts w:hint="eastAsia" w:ascii="新宋体" w:hAnsi="新宋体" w:eastAsia="新宋体" w:cs="新宋体"/>
          <w:b/>
          <w:bCs/>
          <w:color w:val="auto"/>
          <w:sz w:val="22"/>
          <w:szCs w:val="22"/>
          <w:lang w:eastAsia="zh-CN"/>
        </w:rPr>
        <w:t>其他管理部门</w:t>
      </w:r>
      <w:r>
        <w:rPr>
          <w:rFonts w:hint="eastAsia" w:ascii="新宋体" w:hAnsi="新宋体" w:eastAsia="新宋体" w:cs="新宋体"/>
          <w:b/>
          <w:bCs/>
          <w:color w:val="auto"/>
          <w:sz w:val="22"/>
          <w:szCs w:val="22"/>
        </w:rPr>
        <w:t>里对街镇的考核排名，当月环境卫生等相关考核中：</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1、排名在7名（含7名）以前，当月将不进行扣罚。</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2、排名在8名（含8名）以后，则每下降1名扣1500元。</w:t>
      </w:r>
    </w:p>
    <w:p>
      <w:pPr>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3、所扣罚的金额将在每月清算的实际合同价的管理费中直接扣除。如出现照片所体现的地点重复、错误等实际不为</w:t>
      </w:r>
      <w:r>
        <w:rPr>
          <w:rFonts w:hint="eastAsia" w:ascii="新宋体" w:hAnsi="新宋体" w:eastAsia="新宋体" w:cs="新宋体"/>
          <w:color w:val="auto"/>
          <w:sz w:val="22"/>
          <w:szCs w:val="22"/>
          <w:lang w:eastAsia="zh-CN"/>
        </w:rPr>
        <w:t>中标单位</w:t>
      </w:r>
      <w:r>
        <w:rPr>
          <w:rFonts w:hint="eastAsia" w:ascii="新宋体" w:hAnsi="新宋体" w:eastAsia="新宋体" w:cs="新宋体"/>
          <w:color w:val="auto"/>
          <w:sz w:val="22"/>
          <w:szCs w:val="22"/>
        </w:rPr>
        <w:t>所承包范围的情况，将不做扣罚。</w:t>
      </w:r>
    </w:p>
    <w:p>
      <w:pPr>
        <w:pStyle w:val="25"/>
        <w:spacing w:line="360" w:lineRule="auto"/>
        <w:ind w:left="316" w:hanging="316" w:hangingChars="143"/>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六、现场条件</w:t>
      </w:r>
    </w:p>
    <w:p>
      <w:pPr>
        <w:spacing w:line="360" w:lineRule="auto"/>
        <w:ind w:left="315" w:hanging="314" w:hangingChars="143"/>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1、此次招标所涉及的人员住房和作业工具均由承包单位自行负责解决。</w:t>
      </w:r>
    </w:p>
    <w:p>
      <w:pPr>
        <w:spacing w:line="360" w:lineRule="auto"/>
        <w:ind w:left="315" w:hanging="314" w:hangingChars="143"/>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2、作业工具的临时停放由承包单位负责。</w:t>
      </w:r>
    </w:p>
    <w:p>
      <w:pPr>
        <w:spacing w:line="360" w:lineRule="auto"/>
        <w:ind w:left="315" w:hanging="314" w:hangingChars="143"/>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3、道路冲洗的水费由承包单位自行负责。</w:t>
      </w:r>
    </w:p>
    <w:p>
      <w:pPr>
        <w:spacing w:line="360" w:lineRule="auto"/>
        <w:ind w:left="425" w:hanging="424" w:hangingChars="193"/>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4、投标人应承诺中标后在承包区域内设办公管理场所，并于中标后向采购单位提供场所自</w:t>
      </w:r>
      <w:r>
        <w:rPr>
          <w:rFonts w:hint="eastAsia" w:ascii="新宋体" w:hAnsi="新宋体" w:eastAsia="新宋体" w:cs="新宋体"/>
          <w:color w:val="auto"/>
          <w:sz w:val="22"/>
          <w:szCs w:val="22"/>
          <w:lang w:eastAsia="zh-CN"/>
        </w:rPr>
        <w:t>有</w:t>
      </w:r>
      <w:r>
        <w:rPr>
          <w:rFonts w:hint="eastAsia" w:ascii="新宋体" w:hAnsi="新宋体" w:eastAsia="新宋体" w:cs="新宋体"/>
          <w:color w:val="auto"/>
          <w:sz w:val="22"/>
          <w:szCs w:val="22"/>
        </w:rPr>
        <w:t>或租赁证明。</w:t>
      </w:r>
    </w:p>
    <w:p>
      <w:pPr>
        <w:spacing w:line="360" w:lineRule="auto"/>
        <w:ind w:left="407" w:hanging="426" w:hangingChars="193"/>
        <w:rPr>
          <w:rFonts w:hint="eastAsia" w:ascii="新宋体" w:hAnsi="新宋体" w:eastAsia="新宋体" w:cs="新宋体"/>
          <w:b/>
          <w:color w:val="auto"/>
          <w:sz w:val="22"/>
          <w:szCs w:val="22"/>
          <w:u w:val="single"/>
        </w:rPr>
      </w:pPr>
      <w:r>
        <w:rPr>
          <w:rFonts w:hint="eastAsia" w:ascii="新宋体" w:hAnsi="新宋体" w:eastAsia="新宋体" w:cs="新宋体"/>
          <w:b/>
          <w:bCs/>
          <w:color w:val="auto"/>
          <w:sz w:val="22"/>
          <w:szCs w:val="22"/>
          <w:u w:val="single"/>
        </w:rPr>
        <w:t>▲</w:t>
      </w:r>
      <w:r>
        <w:rPr>
          <w:rFonts w:hint="eastAsia" w:ascii="新宋体" w:hAnsi="新宋体" w:eastAsia="新宋体" w:cs="新宋体"/>
          <w:b/>
          <w:color w:val="auto"/>
          <w:sz w:val="22"/>
          <w:szCs w:val="22"/>
          <w:u w:val="single"/>
        </w:rPr>
        <w:t>八、其他说明（以下各点均为本次招标实质性要求）</w:t>
      </w:r>
    </w:p>
    <w:p>
      <w:pPr>
        <w:spacing w:line="400" w:lineRule="exact"/>
        <w:rPr>
          <w:rFonts w:hint="eastAsia" w:ascii="新宋体" w:hAnsi="新宋体" w:eastAsia="新宋体" w:cs="新宋体"/>
          <w:b/>
          <w:bCs/>
          <w:color w:val="auto"/>
          <w:sz w:val="22"/>
          <w:szCs w:val="22"/>
        </w:rPr>
      </w:pPr>
      <w:r>
        <w:rPr>
          <w:rFonts w:hint="eastAsia" w:ascii="新宋体" w:hAnsi="新宋体" w:eastAsia="新宋体" w:cs="新宋体"/>
          <w:color w:val="auto"/>
          <w:sz w:val="22"/>
          <w:szCs w:val="22"/>
        </w:rPr>
        <w:t>（</w:t>
      </w:r>
      <w:r>
        <w:rPr>
          <w:rFonts w:hint="eastAsia" w:ascii="新宋体" w:hAnsi="新宋体" w:eastAsia="新宋体" w:cs="新宋体"/>
          <w:color w:val="auto"/>
          <w:sz w:val="22"/>
          <w:szCs w:val="22"/>
          <w:lang w:val="en-US" w:eastAsia="zh-CN"/>
        </w:rPr>
        <w:t>1</w:t>
      </w:r>
      <w:r>
        <w:rPr>
          <w:rFonts w:hint="eastAsia" w:ascii="新宋体" w:hAnsi="新宋体" w:eastAsia="新宋体" w:cs="新宋体"/>
          <w:color w:val="auto"/>
          <w:sz w:val="22"/>
          <w:szCs w:val="22"/>
        </w:rPr>
        <w:t>）</w:t>
      </w:r>
      <w:r>
        <w:rPr>
          <w:rFonts w:hint="eastAsia" w:ascii="新宋体" w:hAnsi="新宋体" w:eastAsia="新宋体" w:cs="新宋体"/>
          <w:b/>
          <w:bCs/>
          <w:color w:val="auto"/>
          <w:sz w:val="22"/>
          <w:szCs w:val="22"/>
          <w:u w:val="single"/>
        </w:rPr>
        <w:t>供应商报价不得低于以下报价要求（包括但不限于），低于或不响应的投标文件作无效标处理。</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5" w:type="dxa"/>
            <w:noWrap w:val="0"/>
            <w:vAlign w:val="center"/>
          </w:tcPr>
          <w:p>
            <w:pPr>
              <w:widowControl/>
              <w:autoSpaceDE w:val="0"/>
              <w:autoSpaceDN w:val="0"/>
              <w:adjustRightInd w:val="0"/>
              <w:spacing w:line="440" w:lineRule="exact"/>
              <w:jc w:val="center"/>
              <w:textAlignment w:val="bottom"/>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序号</w:t>
            </w:r>
          </w:p>
        </w:tc>
        <w:tc>
          <w:tcPr>
            <w:tcW w:w="8815" w:type="dxa"/>
            <w:noWrap w:val="0"/>
            <w:vAlign w:val="center"/>
          </w:tcPr>
          <w:p>
            <w:pPr>
              <w:widowControl/>
              <w:autoSpaceDE w:val="0"/>
              <w:autoSpaceDN w:val="0"/>
              <w:adjustRightInd w:val="0"/>
              <w:spacing w:line="440" w:lineRule="exact"/>
              <w:jc w:val="center"/>
              <w:textAlignment w:val="bottom"/>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865" w:type="dxa"/>
            <w:noWrap w:val="0"/>
            <w:vAlign w:val="top"/>
          </w:tcPr>
          <w:p>
            <w:pPr>
              <w:widowControl/>
              <w:numPr>
                <w:ilvl w:val="0"/>
                <w:numId w:val="36"/>
              </w:numPr>
              <w:autoSpaceDE w:val="0"/>
              <w:autoSpaceDN w:val="0"/>
              <w:adjustRightInd w:val="0"/>
              <w:spacing w:line="440" w:lineRule="exact"/>
              <w:ind w:firstLine="0"/>
              <w:jc w:val="center"/>
              <w:textAlignment w:val="bottom"/>
              <w:rPr>
                <w:rFonts w:hint="eastAsia" w:ascii="新宋体" w:hAnsi="新宋体" w:eastAsia="新宋体" w:cs="新宋体"/>
                <w:color w:val="auto"/>
                <w:sz w:val="22"/>
                <w:szCs w:val="22"/>
              </w:rPr>
            </w:pPr>
          </w:p>
        </w:tc>
        <w:tc>
          <w:tcPr>
            <w:tcW w:w="8815" w:type="dxa"/>
            <w:noWrap w:val="0"/>
            <w:vAlign w:val="top"/>
          </w:tcPr>
          <w:p>
            <w:pPr>
              <w:keepNext w:val="0"/>
              <w:keepLines w:val="0"/>
              <w:pageBreakBefore w:val="0"/>
              <w:widowControl/>
              <w:kinsoku/>
              <w:wordWrap/>
              <w:overflowPunct/>
              <w:topLinePunct w:val="0"/>
              <w:autoSpaceDE w:val="0"/>
              <w:autoSpaceDN w:val="0"/>
              <w:bidi w:val="0"/>
              <w:adjustRightInd w:val="0"/>
              <w:snapToGrid/>
              <w:spacing w:line="288" w:lineRule="auto"/>
              <w:textAlignment w:val="bottom"/>
              <w:rPr>
                <w:rFonts w:hint="eastAsia" w:ascii="新宋体" w:hAnsi="新宋体" w:eastAsia="新宋体" w:cs="新宋体"/>
                <w:color w:val="auto"/>
                <w:sz w:val="22"/>
                <w:szCs w:val="22"/>
              </w:rPr>
            </w:pPr>
            <w:r>
              <w:rPr>
                <w:rFonts w:hint="eastAsia" w:ascii="宋体"/>
                <w:color w:val="auto"/>
                <w:sz w:val="22"/>
              </w:rPr>
              <w:t>结合本项目具体情况，要求本次投标供应商员工基本工资最低不得低于温州市市区本年度最低工资标准的110%（市区最低月工资标准2010元/月，第二年续签的，根据最新的市区最低月工资标准进行调整）（最低工资不包括下列四项收入：延长工作时间的工资；中班、夜班、高温、低温、有毒有害等特殊工作环境、条件下的津贴；贴补伙食、住房等支付给劳动者的非货币性收入；法律、法规和国家规定的劳动者应当享受的福利待遇等）。本项目最低工资标准为每人每月2010*110%=2211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65" w:type="dxa"/>
            <w:noWrap w:val="0"/>
            <w:vAlign w:val="top"/>
          </w:tcPr>
          <w:p>
            <w:pPr>
              <w:widowControl/>
              <w:numPr>
                <w:ilvl w:val="0"/>
                <w:numId w:val="36"/>
              </w:numPr>
              <w:autoSpaceDE w:val="0"/>
              <w:autoSpaceDN w:val="0"/>
              <w:adjustRightInd w:val="0"/>
              <w:spacing w:line="440" w:lineRule="exact"/>
              <w:ind w:firstLine="0"/>
              <w:jc w:val="center"/>
              <w:textAlignment w:val="bottom"/>
              <w:rPr>
                <w:rFonts w:hint="eastAsia" w:ascii="新宋体" w:hAnsi="新宋体" w:eastAsia="新宋体" w:cs="新宋体"/>
                <w:color w:val="auto"/>
                <w:sz w:val="22"/>
                <w:szCs w:val="22"/>
              </w:rPr>
            </w:pPr>
          </w:p>
        </w:tc>
        <w:tc>
          <w:tcPr>
            <w:tcW w:w="8815" w:type="dxa"/>
            <w:noWrap w:val="0"/>
            <w:vAlign w:val="top"/>
          </w:tcPr>
          <w:p>
            <w:pPr>
              <w:widowControl/>
              <w:autoSpaceDE w:val="0"/>
              <w:autoSpaceDN w:val="0"/>
              <w:adjustRightInd w:val="0"/>
              <w:spacing w:line="350" w:lineRule="exact"/>
              <w:textAlignment w:val="bottom"/>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温州市人力资源和社会保障局《关于公布市区2019年社保年度养老、 工伤、失业保险缴费标准的通知》以及《关于调整企业职工基本养老保险灵活就业参保人员缴纳基数确定办法的通知》文件标准计入，包括养老保险、工伤保险、生育保险、失业保险、医疗保险。注：</w:t>
            </w:r>
          </w:p>
          <w:p>
            <w:pPr>
              <w:widowControl/>
              <w:autoSpaceDE w:val="0"/>
              <w:autoSpaceDN w:val="0"/>
              <w:adjustRightInd w:val="0"/>
              <w:spacing w:line="350" w:lineRule="exact"/>
              <w:textAlignment w:val="bottom"/>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养老保险基数为3321.6，单位须缴纳的比例为14%，即465.02元；</w:t>
            </w:r>
          </w:p>
          <w:p>
            <w:pPr>
              <w:widowControl/>
              <w:autoSpaceDE w:val="0"/>
              <w:autoSpaceDN w:val="0"/>
              <w:adjustRightInd w:val="0"/>
              <w:spacing w:line="350" w:lineRule="exact"/>
              <w:textAlignment w:val="bottom"/>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工伤保险基数为3321.6，单位须缴纳的比例为0.20%，即6.64元；</w:t>
            </w:r>
          </w:p>
          <w:p>
            <w:pPr>
              <w:widowControl/>
              <w:autoSpaceDE w:val="0"/>
              <w:autoSpaceDN w:val="0"/>
              <w:adjustRightInd w:val="0"/>
              <w:spacing w:line="350" w:lineRule="exact"/>
              <w:textAlignment w:val="bottom"/>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生育保险基数为3321.6，单位须缴纳的比例为1%，即33.22元；</w:t>
            </w:r>
          </w:p>
          <w:p>
            <w:pPr>
              <w:widowControl/>
              <w:autoSpaceDE w:val="0"/>
              <w:autoSpaceDN w:val="0"/>
              <w:adjustRightInd w:val="0"/>
              <w:spacing w:line="350" w:lineRule="exact"/>
              <w:textAlignment w:val="bottom"/>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失业保险基数为3321.6，单位须缴纳的比例为0.50%，即16.61元；</w:t>
            </w:r>
          </w:p>
          <w:p>
            <w:pPr>
              <w:widowControl/>
              <w:autoSpaceDE w:val="0"/>
              <w:autoSpaceDN w:val="0"/>
              <w:adjustRightInd w:val="0"/>
              <w:spacing w:line="350" w:lineRule="exact"/>
              <w:textAlignment w:val="bottom"/>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医疗保险包括：职工医保一档基数为5536，单位须缴纳的比例为</w:t>
            </w:r>
            <w:r>
              <w:rPr>
                <w:rFonts w:hint="eastAsia" w:ascii="新宋体" w:hAnsi="新宋体" w:eastAsia="新宋体" w:cs="新宋体"/>
                <w:color w:val="auto"/>
                <w:sz w:val="22"/>
                <w:szCs w:val="22"/>
                <w:lang w:val="en-US" w:eastAsia="zh-CN"/>
              </w:rPr>
              <w:t>5.2</w:t>
            </w:r>
            <w:r>
              <w:rPr>
                <w:rFonts w:hint="eastAsia" w:ascii="新宋体" w:hAnsi="新宋体" w:eastAsia="新宋体" w:cs="新宋体"/>
                <w:color w:val="auto"/>
                <w:sz w:val="22"/>
                <w:szCs w:val="22"/>
              </w:rPr>
              <w:t>%，即</w:t>
            </w:r>
            <w:r>
              <w:rPr>
                <w:rFonts w:hint="eastAsia" w:ascii="新宋体" w:hAnsi="新宋体" w:eastAsia="新宋体" w:cs="新宋体"/>
                <w:color w:val="auto"/>
                <w:sz w:val="22"/>
                <w:szCs w:val="22"/>
                <w:lang w:val="en-US" w:eastAsia="zh-CN"/>
              </w:rPr>
              <w:t>287.87</w:t>
            </w:r>
            <w:r>
              <w:rPr>
                <w:rFonts w:hint="eastAsia" w:ascii="新宋体" w:hAnsi="新宋体" w:eastAsia="新宋体" w:cs="新宋体"/>
                <w:color w:val="auto"/>
                <w:sz w:val="22"/>
                <w:szCs w:val="22"/>
              </w:rPr>
              <w:t>元；</w:t>
            </w:r>
          </w:p>
          <w:p>
            <w:pPr>
              <w:widowControl/>
              <w:autoSpaceDE w:val="0"/>
              <w:autoSpaceDN w:val="0"/>
              <w:adjustRightInd w:val="0"/>
              <w:spacing w:line="350" w:lineRule="exact"/>
              <w:textAlignment w:val="bottom"/>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职工门诊统筹基数为5536，单位须缴纳的比例为</w:t>
            </w: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rPr>
              <w:t>%，即</w:t>
            </w:r>
            <w:r>
              <w:rPr>
                <w:rFonts w:hint="eastAsia" w:ascii="新宋体" w:hAnsi="新宋体" w:eastAsia="新宋体" w:cs="新宋体"/>
                <w:color w:val="auto"/>
                <w:sz w:val="22"/>
                <w:szCs w:val="22"/>
                <w:lang w:val="en-US" w:eastAsia="zh-CN"/>
              </w:rPr>
              <w:t>166.08</w:t>
            </w:r>
            <w:r>
              <w:rPr>
                <w:rFonts w:hint="eastAsia" w:ascii="新宋体" w:hAnsi="新宋体" w:eastAsia="新宋体" w:cs="新宋体"/>
                <w:color w:val="auto"/>
                <w:sz w:val="22"/>
                <w:szCs w:val="22"/>
              </w:rPr>
              <w:t>元。</w:t>
            </w:r>
          </w:p>
          <w:p>
            <w:pPr>
              <w:widowControl/>
              <w:autoSpaceDE w:val="0"/>
              <w:autoSpaceDN w:val="0"/>
              <w:adjustRightInd w:val="0"/>
              <w:spacing w:line="440" w:lineRule="exact"/>
              <w:textAlignment w:val="bottom"/>
              <w:rPr>
                <w:rFonts w:hint="eastAsia" w:ascii="新宋体" w:hAnsi="新宋体" w:eastAsia="新宋体" w:cs="新宋体"/>
                <w:b/>
                <w:color w:val="auto"/>
                <w:sz w:val="22"/>
                <w:szCs w:val="22"/>
                <w:u w:val="single"/>
              </w:rPr>
            </w:pPr>
            <w:r>
              <w:rPr>
                <w:rFonts w:hint="eastAsia" w:ascii="新宋体" w:hAnsi="新宋体" w:eastAsia="新宋体" w:cs="新宋体"/>
                <w:color w:val="auto"/>
                <w:sz w:val="22"/>
                <w:szCs w:val="22"/>
              </w:rPr>
              <w:t>合计：</w:t>
            </w:r>
            <w:r>
              <w:rPr>
                <w:rFonts w:hint="eastAsia" w:ascii="新宋体" w:hAnsi="新宋体" w:eastAsia="新宋体" w:cs="新宋体"/>
                <w:color w:val="auto"/>
                <w:sz w:val="22"/>
                <w:szCs w:val="22"/>
                <w:lang w:val="en-US" w:eastAsia="zh-CN"/>
              </w:rPr>
              <w:t>975.44</w:t>
            </w:r>
            <w:r>
              <w:rPr>
                <w:rFonts w:hint="eastAsia" w:ascii="新宋体" w:hAnsi="新宋体" w:eastAsia="新宋体" w:cs="新宋体"/>
                <w:color w:val="auto"/>
                <w:sz w:val="22"/>
                <w:szCs w:val="22"/>
              </w:rPr>
              <w:t>元/人/月，每人每月社会保险报价不低于合计金额。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65" w:type="dxa"/>
            <w:noWrap w:val="0"/>
            <w:vAlign w:val="top"/>
          </w:tcPr>
          <w:p>
            <w:pPr>
              <w:widowControl/>
              <w:numPr>
                <w:ilvl w:val="0"/>
                <w:numId w:val="36"/>
              </w:numPr>
              <w:autoSpaceDE w:val="0"/>
              <w:autoSpaceDN w:val="0"/>
              <w:adjustRightInd w:val="0"/>
              <w:spacing w:line="440" w:lineRule="exact"/>
              <w:ind w:firstLine="0"/>
              <w:jc w:val="center"/>
              <w:textAlignment w:val="bottom"/>
              <w:rPr>
                <w:rFonts w:hint="eastAsia" w:ascii="新宋体" w:hAnsi="新宋体" w:eastAsia="新宋体" w:cs="新宋体"/>
                <w:color w:val="auto"/>
                <w:sz w:val="22"/>
                <w:szCs w:val="22"/>
              </w:rPr>
            </w:pPr>
          </w:p>
        </w:tc>
        <w:tc>
          <w:tcPr>
            <w:tcW w:w="8815" w:type="dxa"/>
            <w:noWrap w:val="0"/>
            <w:vAlign w:val="top"/>
          </w:tcPr>
          <w:p>
            <w:pPr>
              <w:widowControl/>
              <w:autoSpaceDE w:val="0"/>
              <w:autoSpaceDN w:val="0"/>
              <w:adjustRightInd w:val="0"/>
              <w:spacing w:line="440" w:lineRule="exact"/>
              <w:textAlignment w:val="bottom"/>
              <w:rPr>
                <w:rFonts w:hint="eastAsia" w:ascii="新宋体" w:hAnsi="新宋体" w:eastAsia="新宋体" w:cs="新宋体"/>
                <w:b w:val="0"/>
                <w:bCs/>
                <w:color w:val="auto"/>
                <w:sz w:val="22"/>
                <w:szCs w:val="22"/>
                <w:u w:val="none"/>
              </w:rPr>
            </w:pPr>
            <w:r>
              <w:rPr>
                <w:rFonts w:hint="eastAsia" w:ascii="新宋体" w:hAnsi="新宋体" w:eastAsia="新宋体" w:cs="新宋体"/>
                <w:b w:val="0"/>
                <w:bCs/>
                <w:color w:val="auto"/>
                <w:sz w:val="22"/>
                <w:szCs w:val="22"/>
                <w:u w:val="none"/>
              </w:rPr>
              <w:t>节假日补贴最少按年度11天计取，要求按最低发放工资标准的三倍发放节假日补贴。本项目要求每人每年不少于</w:t>
            </w:r>
            <w:r>
              <w:rPr>
                <w:rFonts w:hint="eastAsia" w:ascii="新宋体" w:hAnsi="新宋体" w:eastAsia="新宋体" w:cs="新宋体"/>
                <w:b w:val="0"/>
                <w:bCs/>
                <w:color w:val="auto"/>
                <w:sz w:val="22"/>
                <w:szCs w:val="22"/>
                <w:u w:val="none"/>
                <w:lang w:val="en-US" w:eastAsia="zh-CN"/>
              </w:rPr>
              <w:t>3355</w:t>
            </w:r>
            <w:r>
              <w:rPr>
                <w:rFonts w:hint="eastAsia" w:ascii="新宋体" w:hAnsi="新宋体" w:eastAsia="新宋体" w:cs="新宋体"/>
                <w:b w:val="0"/>
                <w:bCs/>
                <w:color w:val="auto"/>
                <w:sz w:val="22"/>
                <w:szCs w:val="22"/>
                <w:u w:val="none"/>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65" w:type="dxa"/>
            <w:noWrap w:val="0"/>
            <w:vAlign w:val="top"/>
          </w:tcPr>
          <w:p>
            <w:pPr>
              <w:widowControl/>
              <w:numPr>
                <w:ilvl w:val="0"/>
                <w:numId w:val="36"/>
              </w:numPr>
              <w:autoSpaceDE w:val="0"/>
              <w:autoSpaceDN w:val="0"/>
              <w:adjustRightInd w:val="0"/>
              <w:spacing w:line="440" w:lineRule="exact"/>
              <w:ind w:firstLine="0"/>
              <w:jc w:val="center"/>
              <w:textAlignment w:val="bottom"/>
              <w:rPr>
                <w:rFonts w:hint="eastAsia" w:ascii="新宋体" w:hAnsi="新宋体" w:eastAsia="新宋体" w:cs="新宋体"/>
                <w:color w:val="auto"/>
                <w:sz w:val="22"/>
                <w:szCs w:val="22"/>
              </w:rPr>
            </w:pPr>
          </w:p>
        </w:tc>
        <w:tc>
          <w:tcPr>
            <w:tcW w:w="8815" w:type="dxa"/>
            <w:noWrap w:val="0"/>
            <w:vAlign w:val="top"/>
          </w:tcPr>
          <w:p>
            <w:pPr>
              <w:widowControl/>
              <w:autoSpaceDE w:val="0"/>
              <w:autoSpaceDN w:val="0"/>
              <w:adjustRightInd w:val="0"/>
              <w:spacing w:line="440" w:lineRule="exact"/>
              <w:textAlignment w:val="bottom"/>
              <w:rPr>
                <w:rFonts w:hint="eastAsia" w:ascii="新宋体" w:hAnsi="新宋体" w:eastAsia="新宋体" w:cs="新宋体"/>
                <w:b w:val="0"/>
                <w:bCs/>
                <w:color w:val="auto"/>
                <w:sz w:val="22"/>
                <w:szCs w:val="22"/>
                <w:u w:val="none"/>
              </w:rPr>
            </w:pPr>
            <w:r>
              <w:rPr>
                <w:rFonts w:hint="eastAsia" w:ascii="新宋体" w:hAnsi="新宋体" w:eastAsia="新宋体" w:cs="新宋体"/>
                <w:b w:val="0"/>
                <w:bCs/>
                <w:color w:val="auto"/>
                <w:sz w:val="22"/>
                <w:szCs w:val="22"/>
                <w:u w:val="none"/>
              </w:rPr>
              <w:t>高温补贴共4个月（六、七、八、九共四月，逐月发放，一线工人每人每月不低于</w:t>
            </w:r>
            <w:r>
              <w:rPr>
                <w:rFonts w:hint="eastAsia" w:ascii="新宋体" w:hAnsi="新宋体" w:eastAsia="新宋体" w:cs="新宋体"/>
                <w:b w:val="0"/>
                <w:bCs/>
                <w:color w:val="auto"/>
                <w:sz w:val="22"/>
                <w:szCs w:val="22"/>
                <w:u w:val="none"/>
                <w:lang w:val="en-US" w:eastAsia="zh-CN"/>
              </w:rPr>
              <w:t>300</w:t>
            </w:r>
            <w:r>
              <w:rPr>
                <w:rFonts w:hint="eastAsia" w:ascii="新宋体" w:hAnsi="新宋体" w:eastAsia="新宋体" w:cs="新宋体"/>
                <w:b w:val="0"/>
                <w:bCs/>
                <w:color w:val="auto"/>
                <w:sz w:val="22"/>
                <w:szCs w:val="22"/>
                <w:u w:val="none"/>
              </w:rPr>
              <w:t>元人民币）按相关规定发放。本项目要求每人每年不少于1200元人民币。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5" w:type="dxa"/>
            <w:noWrap w:val="0"/>
            <w:vAlign w:val="top"/>
          </w:tcPr>
          <w:p>
            <w:pPr>
              <w:widowControl/>
              <w:numPr>
                <w:ilvl w:val="0"/>
                <w:numId w:val="36"/>
              </w:numPr>
              <w:autoSpaceDE w:val="0"/>
              <w:autoSpaceDN w:val="0"/>
              <w:adjustRightInd w:val="0"/>
              <w:spacing w:line="440" w:lineRule="exact"/>
              <w:ind w:firstLine="0"/>
              <w:jc w:val="center"/>
              <w:textAlignment w:val="bottom"/>
              <w:rPr>
                <w:rFonts w:hint="eastAsia" w:ascii="新宋体" w:hAnsi="新宋体" w:eastAsia="新宋体" w:cs="新宋体"/>
                <w:color w:val="auto"/>
                <w:sz w:val="22"/>
                <w:szCs w:val="22"/>
              </w:rPr>
            </w:pPr>
          </w:p>
        </w:tc>
        <w:tc>
          <w:tcPr>
            <w:tcW w:w="8815" w:type="dxa"/>
            <w:noWrap w:val="0"/>
            <w:vAlign w:val="top"/>
          </w:tcPr>
          <w:p>
            <w:pPr>
              <w:widowControl/>
              <w:autoSpaceDE w:val="0"/>
              <w:autoSpaceDN w:val="0"/>
              <w:adjustRightInd w:val="0"/>
              <w:spacing w:line="440" w:lineRule="exact"/>
              <w:textAlignment w:val="bottom"/>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特殊岗位津贴发放标准按10元/每人/每出勤日。本项目要求每人每年不少于3650元人民币。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5" w:type="dxa"/>
            <w:noWrap w:val="0"/>
            <w:vAlign w:val="top"/>
          </w:tcPr>
          <w:p>
            <w:pPr>
              <w:widowControl/>
              <w:numPr>
                <w:ilvl w:val="0"/>
                <w:numId w:val="36"/>
              </w:numPr>
              <w:autoSpaceDE w:val="0"/>
              <w:autoSpaceDN w:val="0"/>
              <w:adjustRightInd w:val="0"/>
              <w:spacing w:line="440" w:lineRule="exact"/>
              <w:ind w:firstLine="0"/>
              <w:jc w:val="center"/>
              <w:textAlignment w:val="bottom"/>
              <w:rPr>
                <w:rFonts w:hint="eastAsia" w:ascii="新宋体" w:hAnsi="新宋体" w:eastAsia="新宋体" w:cs="新宋体"/>
                <w:color w:val="auto"/>
                <w:sz w:val="22"/>
                <w:szCs w:val="22"/>
              </w:rPr>
            </w:pPr>
          </w:p>
        </w:tc>
        <w:tc>
          <w:tcPr>
            <w:tcW w:w="8815" w:type="dxa"/>
            <w:noWrap w:val="0"/>
            <w:vAlign w:val="top"/>
          </w:tcPr>
          <w:p>
            <w:pPr>
              <w:widowControl/>
              <w:autoSpaceDE w:val="0"/>
              <w:autoSpaceDN w:val="0"/>
              <w:adjustRightInd w:val="0"/>
              <w:spacing w:line="440" w:lineRule="exact"/>
              <w:textAlignment w:val="bottom"/>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清扫工具（主要指大、小扫帚、方锹、畚箕等）按每月60元/人标准发放到位。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5" w:type="dxa"/>
            <w:noWrap w:val="0"/>
            <w:vAlign w:val="top"/>
          </w:tcPr>
          <w:p>
            <w:pPr>
              <w:widowControl/>
              <w:numPr>
                <w:ilvl w:val="0"/>
                <w:numId w:val="36"/>
              </w:numPr>
              <w:autoSpaceDE w:val="0"/>
              <w:autoSpaceDN w:val="0"/>
              <w:adjustRightInd w:val="0"/>
              <w:spacing w:line="440" w:lineRule="exact"/>
              <w:ind w:firstLine="0"/>
              <w:jc w:val="center"/>
              <w:textAlignment w:val="bottom"/>
              <w:rPr>
                <w:rFonts w:hint="eastAsia" w:ascii="新宋体" w:hAnsi="新宋体" w:eastAsia="新宋体" w:cs="新宋体"/>
                <w:color w:val="auto"/>
                <w:sz w:val="22"/>
                <w:szCs w:val="22"/>
              </w:rPr>
            </w:pPr>
          </w:p>
        </w:tc>
        <w:tc>
          <w:tcPr>
            <w:tcW w:w="8815" w:type="dxa"/>
            <w:noWrap w:val="0"/>
            <w:vAlign w:val="top"/>
          </w:tcPr>
          <w:p>
            <w:pPr>
              <w:widowControl/>
              <w:autoSpaceDE w:val="0"/>
              <w:autoSpaceDN w:val="0"/>
              <w:adjustRightInd w:val="0"/>
              <w:spacing w:line="440" w:lineRule="exact"/>
              <w:textAlignment w:val="bottom"/>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rPr>
              <w:t>中标供应商须为职工办理职工意外伤害保险，</w:t>
            </w:r>
            <w:r>
              <w:rPr>
                <w:rFonts w:hint="eastAsia" w:ascii="新宋体" w:hAnsi="新宋体" w:eastAsia="新宋体" w:cs="新宋体"/>
                <w:color w:val="auto"/>
                <w:sz w:val="22"/>
                <w:szCs w:val="22"/>
                <w:lang w:eastAsia="zh-CN"/>
              </w:rPr>
              <w:t>不低于</w:t>
            </w:r>
            <w:r>
              <w:rPr>
                <w:rFonts w:hint="eastAsia" w:ascii="新宋体" w:hAnsi="新宋体" w:eastAsia="新宋体" w:cs="新宋体"/>
                <w:color w:val="auto"/>
                <w:sz w:val="22"/>
                <w:szCs w:val="22"/>
              </w:rPr>
              <w:t>300元/人。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65" w:type="dxa"/>
            <w:noWrap w:val="0"/>
            <w:vAlign w:val="top"/>
          </w:tcPr>
          <w:p>
            <w:pPr>
              <w:widowControl/>
              <w:numPr>
                <w:ilvl w:val="0"/>
                <w:numId w:val="36"/>
              </w:numPr>
              <w:autoSpaceDE w:val="0"/>
              <w:autoSpaceDN w:val="0"/>
              <w:adjustRightInd w:val="0"/>
              <w:spacing w:line="440" w:lineRule="exact"/>
              <w:ind w:firstLine="0"/>
              <w:jc w:val="center"/>
              <w:textAlignment w:val="bottom"/>
              <w:rPr>
                <w:rFonts w:hint="eastAsia" w:ascii="新宋体" w:hAnsi="新宋体" w:eastAsia="新宋体" w:cs="新宋体"/>
                <w:color w:val="auto"/>
                <w:sz w:val="22"/>
                <w:szCs w:val="22"/>
              </w:rPr>
            </w:pPr>
          </w:p>
        </w:tc>
        <w:tc>
          <w:tcPr>
            <w:tcW w:w="8815" w:type="dxa"/>
            <w:noWrap w:val="0"/>
            <w:vAlign w:val="top"/>
          </w:tcPr>
          <w:p>
            <w:pPr>
              <w:widowControl/>
              <w:autoSpaceDE w:val="0"/>
              <w:autoSpaceDN w:val="0"/>
              <w:adjustRightInd w:val="0"/>
              <w:spacing w:line="440" w:lineRule="exact"/>
              <w:textAlignment w:val="bottom"/>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rPr>
              <w:t>税金不得低于投标总价的</w:t>
            </w:r>
            <w:r>
              <w:rPr>
                <w:rFonts w:hint="eastAsia" w:ascii="新宋体" w:hAnsi="新宋体" w:eastAsia="新宋体" w:cs="新宋体"/>
                <w:color w:val="auto"/>
                <w:sz w:val="22"/>
                <w:szCs w:val="22"/>
                <w:lang w:val="en-US" w:eastAsia="zh-CN"/>
              </w:rPr>
              <w:t>8</w:t>
            </w:r>
            <w:r>
              <w:rPr>
                <w:rFonts w:hint="eastAsia" w:ascii="新宋体" w:hAnsi="新宋体" w:eastAsia="新宋体" w:cs="新宋体"/>
                <w:color w:val="auto"/>
                <w:sz w:val="22"/>
                <w:szCs w:val="22"/>
              </w:rPr>
              <w:t>%。</w:t>
            </w:r>
          </w:p>
        </w:tc>
      </w:tr>
    </w:tbl>
    <w:p>
      <w:pPr>
        <w:pStyle w:val="2"/>
        <w:ind w:firstLine="481"/>
        <w:jc w:val="left"/>
        <w:rPr>
          <w:rFonts w:hint="eastAsia" w:ascii="新宋体" w:hAnsi="新宋体" w:eastAsia="新宋体" w:cs="新宋体"/>
          <w:b/>
          <w:color w:val="auto"/>
          <w:sz w:val="22"/>
          <w:szCs w:val="22"/>
        </w:rPr>
      </w:pPr>
      <w:bookmarkStart w:id="139" w:name="_Toc24856"/>
      <w:r>
        <w:rPr>
          <w:rFonts w:hint="eastAsia" w:ascii="新宋体" w:hAnsi="新宋体" w:eastAsia="新宋体" w:cs="新宋体"/>
          <w:b/>
          <w:color w:val="auto"/>
          <w:sz w:val="22"/>
          <w:szCs w:val="22"/>
        </w:rPr>
        <w:t>注：供应商拟派参与本项目的人数多于招标文件要求的人数时，须按拟派人员数量对上述几项进行报投标总价，否则按无效投标处理</w:t>
      </w:r>
      <w:bookmarkEnd w:id="139"/>
    </w:p>
    <w:p>
      <w:pPr>
        <w:spacing w:line="360" w:lineRule="auto"/>
        <w:ind w:left="425" w:hanging="424" w:hangingChars="193"/>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w:t>
      </w:r>
      <w:r>
        <w:rPr>
          <w:rFonts w:hint="eastAsia" w:ascii="新宋体" w:hAnsi="新宋体" w:eastAsia="新宋体" w:cs="新宋体"/>
          <w:b/>
          <w:color w:val="auto"/>
          <w:sz w:val="22"/>
          <w:szCs w:val="22"/>
        </w:rPr>
        <w:t>所有人员的保险费用，投标人须提供实际缴纳证明，经采购人核实后，方可在合同中结算，否则扣除相应费用。</w:t>
      </w:r>
    </w:p>
    <w:p>
      <w:pPr>
        <w:spacing w:line="360" w:lineRule="auto"/>
        <w:ind w:left="425" w:hanging="424" w:hangingChars="193"/>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5）其他未尽事宜，各投标人应参照各项法律法规的规定进行。按照要求的进场时间内所有人员及机具现场到位并能投入清扫工作（采购单位将对其检查核实通过），如不能按此要求现场到位的，将取消中标资格。</w:t>
      </w:r>
    </w:p>
    <w:p>
      <w:pPr>
        <w:spacing w:line="360" w:lineRule="auto"/>
        <w:ind w:left="425" w:hanging="424" w:hangingChars="193"/>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w:t>
      </w:r>
      <w:r>
        <w:rPr>
          <w:rFonts w:hint="eastAsia" w:ascii="新宋体" w:hAnsi="新宋体" w:eastAsia="新宋体" w:cs="新宋体"/>
          <w:color w:val="auto"/>
          <w:sz w:val="22"/>
          <w:szCs w:val="22"/>
          <w:lang w:val="en-US" w:eastAsia="zh-CN"/>
        </w:rPr>
        <w:t>6</w:t>
      </w:r>
      <w:r>
        <w:rPr>
          <w:rFonts w:hint="eastAsia" w:ascii="新宋体" w:hAnsi="新宋体" w:eastAsia="新宋体" w:cs="新宋体"/>
          <w:color w:val="auto"/>
          <w:sz w:val="22"/>
          <w:szCs w:val="22"/>
        </w:rPr>
        <w:t>）本项目考核标准及处罚办法、付款方式、承包期限详见“合同主要条款”。本项目清扫保洁人员必须按分项进行独立配置，每个分项作业人员不得再兼任其他分项的工作，投标人必须独立计算各分项作业人数。</w:t>
      </w:r>
    </w:p>
    <w:p>
      <w:pPr>
        <w:spacing w:line="360" w:lineRule="auto"/>
        <w:ind w:left="425" w:hanging="424" w:hangingChars="193"/>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w:t>
      </w:r>
      <w:r>
        <w:rPr>
          <w:rFonts w:hint="eastAsia" w:ascii="新宋体" w:hAnsi="新宋体" w:eastAsia="新宋体" w:cs="新宋体"/>
          <w:color w:val="auto"/>
          <w:sz w:val="22"/>
          <w:szCs w:val="22"/>
          <w:lang w:val="en-US" w:eastAsia="zh-CN"/>
        </w:rPr>
        <w:t>7</w:t>
      </w:r>
      <w:r>
        <w:rPr>
          <w:rFonts w:hint="eastAsia" w:ascii="新宋体" w:hAnsi="新宋体" w:eastAsia="新宋体" w:cs="新宋体"/>
          <w:color w:val="auto"/>
          <w:sz w:val="22"/>
          <w:szCs w:val="22"/>
        </w:rPr>
        <w:t>）投标文件中无描述和列出各项人员的测算方法和依据的将作无效标处理，人员的能力按投标人自行实践操作为准，但不得超招标文件所规定的要求。</w:t>
      </w:r>
    </w:p>
    <w:p>
      <w:pPr>
        <w:pStyle w:val="4"/>
        <w:rPr>
          <w:rFonts w:hint="eastAsia" w:ascii="新宋体" w:hAnsi="新宋体" w:eastAsia="新宋体" w:cs="新宋体"/>
          <w:color w:val="auto"/>
          <w:sz w:val="36"/>
          <w:szCs w:val="36"/>
        </w:rPr>
      </w:pPr>
      <w:bookmarkStart w:id="140" w:name="_Toc422225262"/>
      <w:bookmarkStart w:id="141" w:name="_Toc262049425"/>
      <w:bookmarkStart w:id="142" w:name="_Toc249758871"/>
      <w:bookmarkStart w:id="143" w:name="_Toc249758721"/>
      <w:bookmarkStart w:id="144" w:name="_Toc262105510"/>
      <w:bookmarkStart w:id="145" w:name="_Toc7368"/>
      <w:bookmarkStart w:id="146" w:name="_Toc34572094"/>
      <w:r>
        <w:rPr>
          <w:rFonts w:hint="eastAsia" w:ascii="新宋体" w:hAnsi="新宋体" w:eastAsia="新宋体" w:cs="新宋体"/>
          <w:color w:val="auto"/>
          <w:sz w:val="36"/>
          <w:szCs w:val="36"/>
        </w:rPr>
        <w:t>第六部分</w:t>
      </w:r>
      <w:bookmarkEnd w:id="140"/>
      <w:bookmarkEnd w:id="141"/>
      <w:bookmarkEnd w:id="142"/>
      <w:bookmarkEnd w:id="143"/>
      <w:bookmarkEnd w:id="144"/>
      <w:r>
        <w:rPr>
          <w:rFonts w:hint="eastAsia" w:ascii="新宋体" w:hAnsi="新宋体" w:eastAsia="新宋体" w:cs="新宋体"/>
          <w:color w:val="auto"/>
          <w:sz w:val="36"/>
          <w:szCs w:val="36"/>
        </w:rPr>
        <w:t xml:space="preserve">   评标原则及方法</w:t>
      </w:r>
      <w:bookmarkEnd w:id="145"/>
      <w:bookmarkEnd w:id="146"/>
    </w:p>
    <w:bookmarkEnd w:id="5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Pr>
        <w:pStyle w:val="23"/>
        <w:overflowPunct w:val="0"/>
        <w:spacing w:after="0" w:line="440" w:lineRule="exact"/>
        <w:rPr>
          <w:rFonts w:hint="eastAsia" w:ascii="新宋体" w:hAnsi="新宋体" w:eastAsia="新宋体" w:cs="新宋体"/>
          <w:b/>
          <w:color w:val="auto"/>
        </w:rPr>
      </w:pPr>
      <w:bookmarkStart w:id="147" w:name="_Toc221356961"/>
      <w:bookmarkStart w:id="148" w:name="_Toc221356898"/>
      <w:r>
        <w:rPr>
          <w:rFonts w:hint="eastAsia" w:ascii="新宋体" w:hAnsi="新宋体" w:eastAsia="新宋体" w:cs="新宋体"/>
          <w:b/>
          <w:color w:val="auto"/>
        </w:rPr>
        <w:t>一. 总  则</w:t>
      </w:r>
      <w:bookmarkEnd w:id="147"/>
      <w:bookmarkEnd w:id="148"/>
    </w:p>
    <w:p>
      <w:pPr>
        <w:overflowPunct w:val="0"/>
        <w:spacing w:line="440" w:lineRule="exact"/>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23"/>
        <w:overflowPunct w:val="0"/>
        <w:spacing w:after="0" w:line="440" w:lineRule="exact"/>
        <w:rPr>
          <w:rFonts w:hint="eastAsia" w:ascii="新宋体" w:hAnsi="新宋体" w:eastAsia="新宋体" w:cs="新宋体"/>
          <w:b/>
          <w:color w:val="auto"/>
        </w:rPr>
      </w:pPr>
      <w:bookmarkStart w:id="149" w:name="_Toc221356962"/>
      <w:bookmarkStart w:id="150" w:name="_Toc221356899"/>
      <w:r>
        <w:rPr>
          <w:rFonts w:hint="eastAsia" w:ascii="新宋体" w:hAnsi="新宋体" w:eastAsia="新宋体" w:cs="新宋体"/>
          <w:b/>
          <w:color w:val="auto"/>
        </w:rPr>
        <w:t>二、评标组织</w:t>
      </w:r>
      <w:bookmarkEnd w:id="149"/>
      <w:bookmarkEnd w:id="150"/>
    </w:p>
    <w:p>
      <w:pPr>
        <w:overflowPunct w:val="0"/>
        <w:spacing w:line="440" w:lineRule="exact"/>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评标工作由采购人依法组建的评标委员会负责，评标全过程由有关部门指导监督。</w:t>
      </w:r>
    </w:p>
    <w:p>
      <w:pPr>
        <w:autoSpaceDE w:val="0"/>
        <w:autoSpaceDN w:val="0"/>
        <w:adjustRightInd w:val="0"/>
        <w:spacing w:line="440" w:lineRule="exact"/>
        <w:rPr>
          <w:rFonts w:hint="eastAsia"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三、评标程序</w:t>
      </w:r>
    </w:p>
    <w:p>
      <w:pPr>
        <w:overflowPunct w:val="0"/>
        <w:spacing w:line="440" w:lineRule="exact"/>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pPr>
        <w:pStyle w:val="23"/>
        <w:adjustRightInd w:val="0"/>
        <w:snapToGrid w:val="0"/>
        <w:spacing w:after="0" w:line="440" w:lineRule="exact"/>
        <w:rPr>
          <w:rFonts w:hint="eastAsia" w:ascii="新宋体" w:hAnsi="新宋体" w:eastAsia="新宋体"/>
          <w:b/>
          <w:color w:val="auto"/>
          <w:sz w:val="22"/>
          <w:szCs w:val="22"/>
        </w:rPr>
      </w:pPr>
      <w:r>
        <w:rPr>
          <w:rFonts w:hint="eastAsia" w:ascii="新宋体" w:hAnsi="新宋体" w:eastAsia="新宋体"/>
          <w:b/>
          <w:color w:val="auto"/>
          <w:sz w:val="22"/>
          <w:szCs w:val="22"/>
        </w:rPr>
        <w:t>四、 评标办法</w:t>
      </w:r>
    </w:p>
    <w:p>
      <w:pPr>
        <w:pStyle w:val="25"/>
        <w:numPr>
          <w:ilvl w:val="0"/>
          <w:numId w:val="37"/>
        </w:numPr>
        <w:adjustRightInd/>
        <w:spacing w:line="440" w:lineRule="exact"/>
        <w:jc w:val="both"/>
        <w:rPr>
          <w:rFonts w:hint="eastAsia" w:ascii="新宋体" w:hAnsi="新宋体" w:eastAsia="新宋体"/>
          <w:b/>
          <w:color w:val="auto"/>
          <w:sz w:val="22"/>
          <w:szCs w:val="22"/>
          <w:u w:val="single"/>
        </w:rPr>
      </w:pPr>
      <w:r>
        <w:rPr>
          <w:rFonts w:hint="eastAsia" w:ascii="新宋体" w:hAnsi="新宋体" w:eastAsia="新宋体"/>
          <w:b/>
          <w:color w:val="auto"/>
          <w:sz w:val="22"/>
        </w:rPr>
        <w:t>本项目评标办法采取百分制综合评分法</w:t>
      </w:r>
      <w:r>
        <w:rPr>
          <w:rFonts w:hint="eastAsia" w:ascii="新宋体" w:hAnsi="新宋体" w:eastAsia="新宋体"/>
          <w:color w:val="auto"/>
          <w:sz w:val="22"/>
        </w:rPr>
        <w:t>，</w:t>
      </w:r>
      <w:r>
        <w:rPr>
          <w:rFonts w:hint="eastAsia" w:ascii="新宋体" w:hAnsi="新宋体" w:eastAsia="新宋体"/>
          <w:b/>
          <w:color w:val="auto"/>
          <w:sz w:val="22"/>
        </w:rPr>
        <w:t>其中</w:t>
      </w:r>
      <w:r>
        <w:rPr>
          <w:rFonts w:hint="eastAsia" w:ascii="新宋体" w:hAnsi="新宋体" w:eastAsia="新宋体"/>
          <w:b/>
          <w:bCs/>
          <w:color w:val="auto"/>
          <w:sz w:val="22"/>
        </w:rPr>
        <w:t>商务技术</w:t>
      </w:r>
      <w:r>
        <w:rPr>
          <w:rFonts w:hint="eastAsia" w:ascii="新宋体" w:hAnsi="新宋体" w:eastAsia="新宋体"/>
          <w:b/>
          <w:color w:val="auto"/>
          <w:sz w:val="22"/>
          <w:lang w:val="en-US" w:eastAsia="zh-CN"/>
        </w:rPr>
        <w:t>8</w:t>
      </w:r>
      <w:r>
        <w:rPr>
          <w:rFonts w:hint="eastAsia" w:ascii="新宋体" w:hAnsi="新宋体" w:eastAsia="新宋体"/>
          <w:b/>
          <w:color w:val="auto"/>
          <w:sz w:val="22"/>
        </w:rPr>
        <w:t>0分（技术权值为</w:t>
      </w:r>
      <w:r>
        <w:rPr>
          <w:rFonts w:hint="eastAsia" w:ascii="新宋体" w:hAnsi="新宋体" w:eastAsia="新宋体"/>
          <w:b/>
          <w:color w:val="auto"/>
          <w:sz w:val="22"/>
          <w:lang w:val="en-US" w:eastAsia="zh-CN"/>
        </w:rPr>
        <w:t>8</w:t>
      </w:r>
      <w:r>
        <w:rPr>
          <w:rFonts w:hint="eastAsia" w:ascii="新宋体" w:hAnsi="新宋体" w:eastAsia="新宋体"/>
          <w:b/>
          <w:color w:val="auto"/>
          <w:sz w:val="22"/>
        </w:rPr>
        <w:t>0%），投标报价</w:t>
      </w:r>
      <w:r>
        <w:rPr>
          <w:rFonts w:hint="eastAsia" w:ascii="新宋体" w:hAnsi="新宋体" w:eastAsia="新宋体"/>
          <w:b/>
          <w:color w:val="auto"/>
          <w:sz w:val="22"/>
          <w:lang w:val="en-US" w:eastAsia="zh-CN"/>
        </w:rPr>
        <w:t>2</w:t>
      </w:r>
      <w:r>
        <w:rPr>
          <w:rFonts w:hint="eastAsia" w:ascii="新宋体" w:hAnsi="新宋体" w:eastAsia="新宋体"/>
          <w:b/>
          <w:color w:val="auto"/>
          <w:sz w:val="22"/>
        </w:rPr>
        <w:t>0分（价格权值为</w:t>
      </w:r>
      <w:r>
        <w:rPr>
          <w:rFonts w:hint="eastAsia" w:ascii="新宋体" w:hAnsi="新宋体" w:eastAsia="新宋体"/>
          <w:b/>
          <w:color w:val="auto"/>
          <w:sz w:val="22"/>
          <w:lang w:val="en-US" w:eastAsia="zh-CN"/>
        </w:rPr>
        <w:t>2</w:t>
      </w:r>
      <w:r>
        <w:rPr>
          <w:rFonts w:hint="eastAsia" w:ascii="新宋体" w:hAnsi="新宋体" w:eastAsia="新宋体"/>
          <w:b/>
          <w:color w:val="auto"/>
          <w:sz w:val="22"/>
        </w:rPr>
        <w:t>0%）。</w:t>
      </w:r>
      <w:r>
        <w:rPr>
          <w:rFonts w:hint="eastAsia" w:ascii="新宋体" w:hAnsi="新宋体" w:eastAsia="新宋体"/>
          <w:color w:val="auto"/>
          <w:sz w:val="22"/>
          <w:szCs w:val="22"/>
        </w:rPr>
        <w:t>即最大限度地满足招标文件实质性要求前提下，按照招标文件中规定的各项评分内容进行综合评审。以最终得分（即商务技术得分与投标报价得分之和）高低进行排序，得分第一名的投标人确定为中标候选人（得分相同投标报价低的排序前位；得分且投标报价相同的，技术服务部分得分高的排序前位），得分第一名的投标人推荐为备选中标人。</w:t>
      </w:r>
    </w:p>
    <w:p>
      <w:pPr>
        <w:spacing w:line="440" w:lineRule="exact"/>
        <w:ind w:firstLine="440" w:firstLineChars="200"/>
        <w:rPr>
          <w:rFonts w:hint="eastAsia" w:ascii="新宋体" w:hAnsi="新宋体" w:eastAsia="新宋体" w:cs="新宋体"/>
          <w:color w:val="auto"/>
          <w:sz w:val="22"/>
          <w:szCs w:val="22"/>
        </w:rPr>
      </w:pPr>
      <w:r>
        <w:rPr>
          <w:rFonts w:hint="eastAsia" w:ascii="新宋体" w:hAnsi="新宋体" w:eastAsia="新宋体"/>
          <w:color w:val="auto"/>
          <w:sz w:val="22"/>
        </w:rPr>
        <w:t>评标过程中遇到特殊情况，由评标委员会遵循公平、公正原则，采取记名投票方式按照少数服从多数原则决定。</w:t>
      </w:r>
    </w:p>
    <w:p>
      <w:pPr>
        <w:pStyle w:val="23"/>
        <w:spacing w:after="0" w:line="440" w:lineRule="exact"/>
        <w:rPr>
          <w:rFonts w:hint="eastAsia" w:ascii="新宋体" w:hAnsi="新宋体" w:eastAsia="新宋体" w:cs="新宋体"/>
          <w:b/>
          <w:color w:val="auto"/>
          <w:sz w:val="22"/>
          <w:szCs w:val="22"/>
        </w:rPr>
      </w:pPr>
      <w:r>
        <w:rPr>
          <w:rFonts w:hint="eastAsia" w:ascii="新宋体" w:hAnsi="新宋体" w:eastAsia="新宋体" w:cs="新宋体"/>
          <w:b/>
          <w:color w:val="auto"/>
          <w:sz w:val="22"/>
          <w:szCs w:val="22"/>
        </w:rPr>
        <w:t>五、评分细则</w:t>
      </w:r>
    </w:p>
    <w:p>
      <w:pPr>
        <w:numPr>
          <w:ilvl w:val="0"/>
          <w:numId w:val="38"/>
        </w:numPr>
        <w:spacing w:line="440" w:lineRule="exact"/>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商务技术文件的评定（</w:t>
      </w:r>
      <w:r>
        <w:rPr>
          <w:rFonts w:hint="eastAsia" w:ascii="新宋体" w:hAnsi="新宋体" w:eastAsia="新宋体" w:cs="新宋体"/>
          <w:b/>
          <w:bCs/>
          <w:color w:val="auto"/>
          <w:sz w:val="22"/>
          <w:szCs w:val="22"/>
          <w:lang w:val="en-US" w:eastAsia="zh-CN"/>
        </w:rPr>
        <w:t>8</w:t>
      </w:r>
      <w:r>
        <w:rPr>
          <w:rFonts w:hint="eastAsia" w:ascii="新宋体" w:hAnsi="新宋体" w:eastAsia="新宋体" w:cs="新宋体"/>
          <w:b/>
          <w:bCs/>
          <w:color w:val="auto"/>
          <w:sz w:val="22"/>
          <w:szCs w:val="22"/>
        </w:rPr>
        <w:t>0分）</w:t>
      </w:r>
    </w:p>
    <w:p>
      <w:pPr>
        <w:spacing w:line="440" w:lineRule="exact"/>
        <w:ind w:firstLine="330" w:firstLineChars="15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各评委成员按下列评分项目进行评定，每人一张评分计算表，由评标委员会成员各自评定打分并记实名。</w:t>
      </w:r>
      <w:r>
        <w:rPr>
          <w:rFonts w:hint="eastAsia" w:ascii="新宋体" w:hAnsi="新宋体" w:eastAsia="新宋体" w:cs="新宋体"/>
          <w:b/>
          <w:color w:val="auto"/>
          <w:sz w:val="22"/>
          <w:szCs w:val="22"/>
        </w:rPr>
        <w:t>如任何一张表的一项评分内容分值超过规定的范围，则该张表无效。</w:t>
      </w:r>
      <w:r>
        <w:rPr>
          <w:rFonts w:hint="eastAsia" w:ascii="新宋体" w:hAnsi="新宋体" w:eastAsia="新宋体" w:cs="新宋体"/>
          <w:color w:val="auto"/>
          <w:sz w:val="22"/>
          <w:szCs w:val="22"/>
        </w:rPr>
        <w:t>评标委员会成员对各投标人的各项评分内容评分合计值的算术平均值为该投标人商务技术文件的最终得分（四舍五入，保留小数点后二位）。</w:t>
      </w:r>
    </w:p>
    <w:tbl>
      <w:tblPr>
        <w:tblStyle w:val="56"/>
        <w:tblW w:w="98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1948"/>
        <w:gridCol w:w="710"/>
        <w:gridCol w:w="709"/>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right="3"/>
              <w:jc w:val="center"/>
              <w:rPr>
                <w:rFonts w:hint="eastAsia" w:ascii="宋体" w:hAnsi="宋体" w:cs="楷体_GB2312"/>
                <w:b/>
                <w:color w:val="auto"/>
                <w:szCs w:val="21"/>
              </w:rPr>
            </w:pPr>
            <w:r>
              <w:rPr>
                <w:rFonts w:hint="eastAsia" w:ascii="宋体" w:hAnsi="宋体" w:cs="楷体_GB2312"/>
                <w:b/>
                <w:color w:val="auto"/>
                <w:szCs w:val="21"/>
              </w:rPr>
              <w:t>序号</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right="3"/>
              <w:jc w:val="center"/>
              <w:rPr>
                <w:rFonts w:hint="eastAsia" w:ascii="宋体" w:hAnsi="宋体" w:cs="楷体_GB2312"/>
                <w:b/>
                <w:color w:val="auto"/>
              </w:rPr>
            </w:pPr>
            <w:r>
              <w:rPr>
                <w:rFonts w:hint="eastAsia" w:ascii="宋体" w:hAnsi="宋体" w:cs="楷体_GB2312"/>
                <w:b/>
                <w:color w:val="auto"/>
              </w:rPr>
              <w:t>评审内容</w:t>
            </w:r>
          </w:p>
        </w:tc>
        <w:tc>
          <w:tcPr>
            <w:tcW w:w="141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ind w:firstLine="0"/>
              <w:jc w:val="center"/>
              <w:rPr>
                <w:rFonts w:hint="eastAsia" w:ascii="宋体" w:hAnsi="宋体" w:cs="楷体_GB2312"/>
                <w:b/>
                <w:color w:val="auto"/>
                <w:sz w:val="24"/>
              </w:rPr>
            </w:pPr>
            <w:r>
              <w:rPr>
                <w:rFonts w:hint="eastAsia" w:ascii="宋体" w:hAnsi="宋体" w:cs="楷体_GB2312"/>
                <w:b/>
                <w:color w:val="auto"/>
                <w:sz w:val="24"/>
              </w:rPr>
              <w:t>分值范围</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pStyle w:val="6"/>
              <w:ind w:firstLine="0"/>
              <w:jc w:val="center"/>
              <w:rPr>
                <w:rFonts w:hint="eastAsia" w:ascii="宋体" w:hAnsi="宋体" w:cs="楷体_GB2312"/>
                <w:b/>
                <w:color w:val="auto"/>
                <w:sz w:val="24"/>
              </w:rPr>
            </w:pPr>
            <w:r>
              <w:rPr>
                <w:rFonts w:hint="eastAsia" w:ascii="宋体" w:hAnsi="宋体" w:cs="楷体_GB2312"/>
                <w:b/>
                <w:color w:val="auto"/>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exact"/>
              <w:ind w:right="3"/>
              <w:jc w:val="center"/>
              <w:rPr>
                <w:rFonts w:hint="eastAsia" w:ascii="宋体" w:hAnsi="宋体" w:cs="楷体_GB2312"/>
                <w:color w:val="auto"/>
                <w:szCs w:val="21"/>
              </w:rPr>
            </w:pPr>
            <w:r>
              <w:rPr>
                <w:rFonts w:hint="eastAsia" w:ascii="宋体" w:hAnsi="宋体" w:cs="楷体_GB2312"/>
                <w:color w:val="auto"/>
                <w:szCs w:val="21"/>
              </w:rPr>
              <w:t>1</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exact"/>
              <w:ind w:right="3"/>
              <w:jc w:val="center"/>
              <w:rPr>
                <w:rFonts w:hint="eastAsia" w:ascii="宋体" w:hAnsi="宋体" w:cs="楷体_GB2312"/>
                <w:color w:val="auto"/>
              </w:rPr>
            </w:pPr>
            <w:r>
              <w:rPr>
                <w:rFonts w:hint="eastAsia" w:ascii="宋体" w:hAnsi="宋体" w:cs="楷体_GB2312"/>
                <w:color w:val="auto"/>
              </w:rPr>
              <w:t>对本项目道路清扫保洁工作的现状调查与问题剖析</w:t>
            </w:r>
          </w:p>
        </w:tc>
        <w:tc>
          <w:tcPr>
            <w:tcW w:w="141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pacing w:line="256" w:lineRule="exact"/>
              <w:rPr>
                <w:rFonts w:hint="eastAsia" w:ascii="宋体" w:hAnsi="宋体" w:cs="楷体_GB2312"/>
                <w:color w:val="auto"/>
                <w:szCs w:val="24"/>
              </w:rPr>
            </w:pPr>
            <w:r>
              <w:rPr>
                <w:rFonts w:hint="eastAsia" w:ascii="宋体" w:hAnsi="宋体" w:cs="楷体_GB2312"/>
                <w:color w:val="auto"/>
                <w:szCs w:val="24"/>
              </w:rPr>
              <w:t>0-10</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256" w:lineRule="exact"/>
              <w:ind w:firstLine="0"/>
              <w:rPr>
                <w:rFonts w:hint="eastAsia" w:ascii="宋体" w:hAnsi="宋体" w:cs="楷体_GB2312"/>
                <w:color w:val="auto"/>
                <w:szCs w:val="24"/>
              </w:rPr>
            </w:pPr>
            <w:r>
              <w:rPr>
                <w:rFonts w:hint="eastAsia" w:ascii="宋体" w:hAnsi="宋体" w:cs="楷体_GB2312"/>
                <w:color w:val="auto"/>
                <w:szCs w:val="24"/>
              </w:rPr>
              <w:t>根据投标人对项目范围内道路的现状、保洁情况、存在的问题和清扫保洁的难点、要点等问题进行调查剖析，并针对性的提出克服难点和要点技术措施。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712" w:type="dxa"/>
            <w:vMerge w:val="restart"/>
            <w:noWrap w:val="0"/>
            <w:vAlign w:val="center"/>
          </w:tcPr>
          <w:p>
            <w:pPr>
              <w:spacing w:line="256" w:lineRule="exact"/>
              <w:ind w:left="-50"/>
              <w:jc w:val="center"/>
              <w:rPr>
                <w:rFonts w:hint="eastAsia" w:ascii="宋体" w:hAnsi="宋体" w:cs="楷体_GB2312"/>
                <w:color w:val="auto"/>
              </w:rPr>
            </w:pPr>
            <w:r>
              <w:rPr>
                <w:rFonts w:hint="eastAsia" w:ascii="宋体" w:hAnsi="宋体" w:cs="楷体_GB2312"/>
                <w:color w:val="auto"/>
              </w:rPr>
              <w:t>2</w:t>
            </w:r>
          </w:p>
        </w:tc>
        <w:tc>
          <w:tcPr>
            <w:tcW w:w="1948" w:type="dxa"/>
            <w:vMerge w:val="restart"/>
            <w:noWrap w:val="0"/>
            <w:vAlign w:val="center"/>
          </w:tcPr>
          <w:p>
            <w:pPr>
              <w:spacing w:line="256" w:lineRule="exact"/>
              <w:rPr>
                <w:rFonts w:hint="eastAsia" w:ascii="宋体" w:hAnsi="宋体" w:cs="楷体_GB2312"/>
                <w:color w:val="auto"/>
                <w:szCs w:val="21"/>
              </w:rPr>
            </w:pPr>
            <w:r>
              <w:rPr>
                <w:rFonts w:hint="eastAsia" w:ascii="宋体" w:hAnsi="宋体" w:cs="楷体_GB2312"/>
                <w:color w:val="auto"/>
                <w:szCs w:val="21"/>
              </w:rPr>
              <w:t>清扫保洁具体实施计划和方案</w:t>
            </w:r>
          </w:p>
        </w:tc>
        <w:tc>
          <w:tcPr>
            <w:tcW w:w="710" w:type="dxa"/>
            <w:vMerge w:val="restart"/>
            <w:tcBorders>
              <w:top w:val="single" w:color="auto" w:sz="4" w:space="0"/>
              <w:right w:val="single" w:color="auto" w:sz="4" w:space="0"/>
            </w:tcBorders>
            <w:noWrap w:val="0"/>
            <w:vAlign w:val="center"/>
          </w:tcPr>
          <w:p>
            <w:pPr>
              <w:spacing w:line="256" w:lineRule="exact"/>
              <w:jc w:val="center"/>
              <w:rPr>
                <w:rFonts w:hint="default" w:ascii="宋体" w:hAnsi="宋体" w:eastAsia="宋体" w:cs="楷体_GB2312"/>
                <w:color w:val="auto"/>
                <w:szCs w:val="21"/>
                <w:lang w:val="en-US" w:eastAsia="zh-CN"/>
              </w:rPr>
            </w:pPr>
            <w:r>
              <w:rPr>
                <w:rFonts w:hint="eastAsia" w:ascii="宋体" w:hAnsi="宋体" w:cs="楷体_GB2312"/>
                <w:color w:val="auto"/>
                <w:szCs w:val="21"/>
              </w:rPr>
              <w:t>0-</w:t>
            </w:r>
            <w:r>
              <w:rPr>
                <w:rFonts w:hint="eastAsia" w:ascii="宋体" w:hAnsi="宋体" w:cs="楷体_GB2312"/>
                <w:color w:val="auto"/>
                <w:szCs w:val="21"/>
                <w:lang w:val="en-US" w:eastAsia="zh-CN"/>
              </w:rPr>
              <w:t>60</w:t>
            </w:r>
          </w:p>
        </w:tc>
        <w:tc>
          <w:tcPr>
            <w:tcW w:w="709" w:type="dxa"/>
            <w:tcBorders>
              <w:left w:val="single" w:color="auto" w:sz="4" w:space="0"/>
              <w:bottom w:val="single" w:color="auto" w:sz="4" w:space="0"/>
            </w:tcBorders>
            <w:noWrap w:val="0"/>
            <w:vAlign w:val="center"/>
          </w:tcPr>
          <w:p>
            <w:pPr>
              <w:spacing w:line="256" w:lineRule="exact"/>
              <w:jc w:val="center"/>
              <w:rPr>
                <w:rFonts w:hint="eastAsia" w:eastAsia="宋体"/>
                <w:color w:val="auto"/>
                <w:lang w:eastAsia="zh-CN"/>
              </w:rPr>
            </w:pPr>
            <w:r>
              <w:rPr>
                <w:rFonts w:hint="eastAsia" w:ascii="宋体" w:hAnsi="宋体" w:cs="楷体_GB2312"/>
                <w:color w:val="auto"/>
                <w:szCs w:val="21"/>
              </w:rPr>
              <w:t>0-</w:t>
            </w:r>
            <w:r>
              <w:rPr>
                <w:rFonts w:hint="eastAsia" w:ascii="宋体" w:hAnsi="宋体" w:cs="楷体_GB2312"/>
                <w:color w:val="auto"/>
                <w:szCs w:val="21"/>
                <w:lang w:val="en-US" w:eastAsia="zh-CN"/>
              </w:rPr>
              <w:t>15</w:t>
            </w:r>
          </w:p>
        </w:tc>
        <w:tc>
          <w:tcPr>
            <w:tcW w:w="5812" w:type="dxa"/>
            <w:tcBorders>
              <w:bottom w:val="single" w:color="auto" w:sz="4" w:space="0"/>
            </w:tcBorders>
            <w:noWrap w:val="0"/>
            <w:vAlign w:val="center"/>
          </w:tcPr>
          <w:p>
            <w:pPr>
              <w:pStyle w:val="6"/>
              <w:spacing w:line="256" w:lineRule="exact"/>
              <w:ind w:firstLine="0" w:firstLineChars="0"/>
              <w:rPr>
                <w:rFonts w:hint="eastAsia" w:ascii="宋体" w:hAnsi="宋体" w:cs="楷体_GB2312"/>
                <w:color w:val="auto"/>
                <w:szCs w:val="24"/>
              </w:rPr>
            </w:pPr>
            <w:r>
              <w:rPr>
                <w:rFonts w:ascii="宋体" w:hAnsi="宋体" w:cs="楷体_GB2312"/>
                <w:color w:val="auto"/>
                <w:szCs w:val="24"/>
              </w:rPr>
              <w:t>道路清扫保洁方案</w:t>
            </w:r>
            <w:r>
              <w:rPr>
                <w:rFonts w:hint="eastAsia" w:ascii="宋体" w:hAnsi="宋体" w:cs="楷体_GB2312"/>
                <w:color w:val="auto"/>
                <w:szCs w:val="24"/>
              </w:rPr>
              <w:t>（包括绿化带、道路冲洗、市政实施清洁、垃圾清运等）</w:t>
            </w:r>
            <w:r>
              <w:rPr>
                <w:rFonts w:ascii="宋体" w:hAnsi="宋体" w:cs="楷体_GB2312"/>
                <w:color w:val="auto"/>
                <w:szCs w:val="24"/>
              </w:rPr>
              <w:t>；</w:t>
            </w:r>
            <w:r>
              <w:rPr>
                <w:rFonts w:hint="eastAsia" w:ascii="宋体" w:hAnsi="宋体" w:cs="楷体_GB2312"/>
                <w:color w:val="auto"/>
                <w:szCs w:val="24"/>
              </w:rPr>
              <w:t>入机械各项参数</w:t>
            </w:r>
            <w:r>
              <w:rPr>
                <w:rFonts w:ascii="宋体" w:hAnsi="宋体" w:cs="楷体_GB2312"/>
                <w:color w:val="auto"/>
                <w:szCs w:val="24"/>
              </w:rPr>
              <w:t>、</w:t>
            </w:r>
            <w:r>
              <w:rPr>
                <w:rFonts w:hint="eastAsia" w:ascii="宋体" w:hAnsi="宋体" w:cs="楷体_GB2312"/>
                <w:color w:val="auto"/>
                <w:szCs w:val="24"/>
              </w:rPr>
              <w:t>人员配置、可行性</w:t>
            </w:r>
            <w:r>
              <w:rPr>
                <w:rFonts w:ascii="宋体" w:hAnsi="宋体" w:cs="楷体_GB2312"/>
                <w:color w:val="auto"/>
                <w:szCs w:val="24"/>
              </w:rPr>
              <w:t>等，评委</w:t>
            </w:r>
            <w:r>
              <w:rPr>
                <w:rFonts w:hint="eastAsia" w:ascii="宋体" w:hAnsi="宋体" w:cs="楷体_GB2312"/>
                <w:color w:val="auto"/>
                <w:szCs w:val="24"/>
                <w:lang w:eastAsia="zh-CN"/>
              </w:rPr>
              <w:t>综合</w:t>
            </w:r>
            <w:r>
              <w:rPr>
                <w:rFonts w:ascii="宋体" w:hAnsi="宋体" w:cs="楷体_GB2312"/>
                <w:color w:val="auto"/>
                <w:szCs w:val="24"/>
              </w:rPr>
              <w:t>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712" w:type="dxa"/>
            <w:vMerge w:val="continue"/>
            <w:noWrap w:val="0"/>
            <w:vAlign w:val="center"/>
          </w:tcPr>
          <w:p>
            <w:pPr>
              <w:spacing w:line="256" w:lineRule="exact"/>
              <w:ind w:left="-50"/>
              <w:jc w:val="center"/>
              <w:rPr>
                <w:rFonts w:hint="eastAsia" w:ascii="宋体" w:hAnsi="宋体" w:cs="楷体_GB2312"/>
                <w:color w:val="auto"/>
              </w:rPr>
            </w:pPr>
          </w:p>
        </w:tc>
        <w:tc>
          <w:tcPr>
            <w:tcW w:w="1948" w:type="dxa"/>
            <w:vMerge w:val="continue"/>
            <w:noWrap w:val="0"/>
            <w:vAlign w:val="center"/>
          </w:tcPr>
          <w:p>
            <w:pPr>
              <w:spacing w:line="256" w:lineRule="exact"/>
              <w:rPr>
                <w:rFonts w:hint="eastAsia" w:ascii="宋体" w:hAnsi="宋体" w:cs="楷体_GB2312"/>
                <w:color w:val="auto"/>
                <w:szCs w:val="21"/>
              </w:rPr>
            </w:pPr>
          </w:p>
        </w:tc>
        <w:tc>
          <w:tcPr>
            <w:tcW w:w="710" w:type="dxa"/>
            <w:vMerge w:val="continue"/>
            <w:tcBorders>
              <w:right w:val="single" w:color="auto" w:sz="4" w:space="0"/>
            </w:tcBorders>
            <w:noWrap w:val="0"/>
            <w:vAlign w:val="center"/>
          </w:tcPr>
          <w:p>
            <w:pPr>
              <w:spacing w:line="256" w:lineRule="exact"/>
              <w:jc w:val="center"/>
              <w:rPr>
                <w:rFonts w:hint="eastAsia" w:ascii="宋体" w:hAnsi="宋体" w:cs="楷体_GB2312"/>
                <w:color w:val="auto"/>
                <w:szCs w:val="21"/>
              </w:rPr>
            </w:pPr>
          </w:p>
        </w:tc>
        <w:tc>
          <w:tcPr>
            <w:tcW w:w="709" w:type="dxa"/>
            <w:tcBorders>
              <w:top w:val="single" w:color="auto" w:sz="4" w:space="0"/>
              <w:left w:val="single" w:color="auto" w:sz="4" w:space="0"/>
              <w:bottom w:val="single" w:color="auto" w:sz="4" w:space="0"/>
            </w:tcBorders>
            <w:noWrap w:val="0"/>
            <w:vAlign w:val="center"/>
          </w:tcPr>
          <w:p>
            <w:pPr>
              <w:spacing w:line="256" w:lineRule="exact"/>
              <w:jc w:val="center"/>
              <w:rPr>
                <w:rFonts w:hint="eastAsia" w:ascii="宋体" w:hAnsi="宋体" w:cs="楷体_GB2312"/>
                <w:color w:val="auto"/>
                <w:szCs w:val="21"/>
              </w:rPr>
            </w:pPr>
            <w:r>
              <w:rPr>
                <w:rFonts w:hint="eastAsia" w:ascii="宋体" w:hAnsi="宋体" w:cs="楷体_GB2312"/>
                <w:color w:val="auto"/>
                <w:szCs w:val="21"/>
              </w:rPr>
              <w:t>0-10</w:t>
            </w:r>
          </w:p>
        </w:tc>
        <w:tc>
          <w:tcPr>
            <w:tcW w:w="5812" w:type="dxa"/>
            <w:tcBorders>
              <w:top w:val="single" w:color="auto" w:sz="4" w:space="0"/>
              <w:bottom w:val="single" w:color="auto" w:sz="4" w:space="0"/>
            </w:tcBorders>
            <w:noWrap w:val="0"/>
            <w:vAlign w:val="center"/>
          </w:tcPr>
          <w:p>
            <w:pPr>
              <w:pStyle w:val="6"/>
              <w:spacing w:line="256" w:lineRule="exact"/>
              <w:ind w:firstLine="0" w:firstLineChars="0"/>
              <w:rPr>
                <w:rFonts w:hint="eastAsia" w:ascii="宋体" w:hAnsi="宋体" w:cs="楷体_GB2312"/>
                <w:color w:val="auto"/>
                <w:szCs w:val="24"/>
              </w:rPr>
            </w:pPr>
            <w:r>
              <w:rPr>
                <w:rFonts w:hint="eastAsia" w:ascii="宋体" w:hAnsi="宋体" w:cs="楷体_GB2312"/>
                <w:color w:val="auto"/>
                <w:szCs w:val="24"/>
              </w:rPr>
              <w:t>河道保洁方案：</w:t>
            </w:r>
            <w:r>
              <w:rPr>
                <w:rFonts w:ascii="宋体" w:hAnsi="宋体" w:cs="楷体_GB2312"/>
                <w:color w:val="auto"/>
                <w:szCs w:val="24"/>
              </w:rPr>
              <w:t>机械和人员投入情况，包括</w:t>
            </w:r>
            <w:r>
              <w:rPr>
                <w:rFonts w:hint="eastAsia" w:ascii="宋体" w:hAnsi="宋体" w:cs="楷体_GB2312"/>
                <w:color w:val="auto"/>
                <w:szCs w:val="24"/>
              </w:rPr>
              <w:t>投入机械各项参数</w:t>
            </w:r>
            <w:r>
              <w:rPr>
                <w:rFonts w:ascii="宋体" w:hAnsi="宋体" w:cs="楷体_GB2312"/>
                <w:color w:val="auto"/>
                <w:szCs w:val="24"/>
              </w:rPr>
              <w:t>、</w:t>
            </w:r>
            <w:r>
              <w:rPr>
                <w:rFonts w:hint="eastAsia" w:ascii="宋体" w:hAnsi="宋体" w:cs="楷体_GB2312"/>
                <w:color w:val="auto"/>
                <w:szCs w:val="24"/>
              </w:rPr>
              <w:t>人员配置、可行性</w:t>
            </w:r>
            <w:r>
              <w:rPr>
                <w:rFonts w:ascii="宋体" w:hAnsi="宋体" w:cs="楷体_GB2312"/>
                <w:color w:val="auto"/>
                <w:szCs w:val="24"/>
              </w:rPr>
              <w:t>等，评委</w:t>
            </w:r>
            <w:r>
              <w:rPr>
                <w:rFonts w:hint="eastAsia" w:ascii="宋体" w:hAnsi="宋体" w:cs="楷体_GB2312"/>
                <w:color w:val="auto"/>
                <w:szCs w:val="24"/>
                <w:lang w:eastAsia="zh-CN"/>
              </w:rPr>
              <w:t>综合</w:t>
            </w:r>
            <w:r>
              <w:rPr>
                <w:rFonts w:ascii="宋体" w:hAnsi="宋体" w:cs="楷体_GB2312"/>
                <w:color w:val="auto"/>
                <w:szCs w:val="24"/>
              </w:rPr>
              <w:t>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712" w:type="dxa"/>
            <w:vMerge w:val="continue"/>
            <w:noWrap w:val="0"/>
            <w:vAlign w:val="center"/>
          </w:tcPr>
          <w:p>
            <w:pPr>
              <w:spacing w:line="256" w:lineRule="exact"/>
              <w:ind w:left="-50"/>
              <w:jc w:val="center"/>
              <w:rPr>
                <w:rFonts w:hint="eastAsia" w:ascii="宋体" w:hAnsi="宋体" w:cs="楷体_GB2312"/>
                <w:color w:val="auto"/>
              </w:rPr>
            </w:pPr>
          </w:p>
        </w:tc>
        <w:tc>
          <w:tcPr>
            <w:tcW w:w="1948" w:type="dxa"/>
            <w:vMerge w:val="continue"/>
            <w:noWrap w:val="0"/>
            <w:vAlign w:val="center"/>
          </w:tcPr>
          <w:p>
            <w:pPr>
              <w:spacing w:line="256" w:lineRule="exact"/>
              <w:rPr>
                <w:rFonts w:hint="eastAsia" w:ascii="宋体" w:hAnsi="宋体" w:cs="楷体_GB2312"/>
                <w:color w:val="auto"/>
                <w:szCs w:val="21"/>
              </w:rPr>
            </w:pPr>
          </w:p>
        </w:tc>
        <w:tc>
          <w:tcPr>
            <w:tcW w:w="710" w:type="dxa"/>
            <w:vMerge w:val="continue"/>
            <w:tcBorders>
              <w:right w:val="single" w:color="auto" w:sz="4" w:space="0"/>
            </w:tcBorders>
            <w:noWrap w:val="0"/>
            <w:vAlign w:val="center"/>
          </w:tcPr>
          <w:p>
            <w:pPr>
              <w:spacing w:line="256" w:lineRule="exact"/>
              <w:jc w:val="center"/>
              <w:rPr>
                <w:rFonts w:hint="eastAsia" w:ascii="宋体" w:hAnsi="宋体" w:cs="楷体_GB2312"/>
                <w:color w:val="auto"/>
                <w:szCs w:val="21"/>
              </w:rPr>
            </w:pPr>
          </w:p>
        </w:tc>
        <w:tc>
          <w:tcPr>
            <w:tcW w:w="709" w:type="dxa"/>
            <w:tcBorders>
              <w:top w:val="single" w:color="auto" w:sz="4" w:space="0"/>
              <w:left w:val="single" w:color="auto" w:sz="4" w:space="0"/>
              <w:bottom w:val="single" w:color="auto" w:sz="4" w:space="0"/>
            </w:tcBorders>
            <w:noWrap w:val="0"/>
            <w:vAlign w:val="center"/>
          </w:tcPr>
          <w:p>
            <w:pPr>
              <w:spacing w:line="256" w:lineRule="exact"/>
              <w:jc w:val="center"/>
              <w:rPr>
                <w:rFonts w:hint="eastAsia" w:ascii="宋体" w:hAnsi="宋体" w:cs="楷体_GB2312"/>
                <w:color w:val="auto"/>
                <w:szCs w:val="21"/>
              </w:rPr>
            </w:pPr>
            <w:r>
              <w:rPr>
                <w:rFonts w:hint="eastAsia" w:ascii="宋体" w:hAnsi="宋体" w:cs="楷体_GB2312"/>
                <w:color w:val="auto"/>
                <w:szCs w:val="21"/>
              </w:rPr>
              <w:t>0-10</w:t>
            </w:r>
          </w:p>
        </w:tc>
        <w:tc>
          <w:tcPr>
            <w:tcW w:w="5812" w:type="dxa"/>
            <w:tcBorders>
              <w:top w:val="single" w:color="auto" w:sz="4" w:space="0"/>
              <w:bottom w:val="single" w:color="auto" w:sz="4" w:space="0"/>
            </w:tcBorders>
            <w:noWrap w:val="0"/>
            <w:vAlign w:val="center"/>
          </w:tcPr>
          <w:p>
            <w:pPr>
              <w:pStyle w:val="6"/>
              <w:spacing w:line="256" w:lineRule="exact"/>
              <w:ind w:firstLine="0" w:firstLineChars="0"/>
              <w:rPr>
                <w:rFonts w:hint="eastAsia" w:ascii="宋体" w:hAnsi="宋体" w:cs="楷体_GB2312"/>
                <w:color w:val="auto"/>
                <w:szCs w:val="24"/>
              </w:rPr>
            </w:pPr>
            <w:r>
              <w:rPr>
                <w:rFonts w:hint="eastAsia" w:ascii="宋体" w:hAnsi="宋体" w:cs="楷体_GB2312"/>
                <w:color w:val="auto"/>
                <w:szCs w:val="24"/>
              </w:rPr>
              <w:t>公厕保洁</w:t>
            </w:r>
            <w:r>
              <w:rPr>
                <w:rFonts w:hint="eastAsia" w:ascii="宋体" w:hAnsi="宋体" w:cs="楷体_GB2312"/>
                <w:color w:val="auto"/>
                <w:szCs w:val="24"/>
                <w:lang w:eastAsia="zh-CN"/>
              </w:rPr>
              <w:t>以及维修</w:t>
            </w:r>
            <w:r>
              <w:rPr>
                <w:rFonts w:hint="eastAsia" w:ascii="宋体" w:hAnsi="宋体" w:cs="楷体_GB2312"/>
                <w:color w:val="auto"/>
                <w:szCs w:val="24"/>
              </w:rPr>
              <w:t>方案：</w:t>
            </w:r>
            <w:r>
              <w:rPr>
                <w:rFonts w:ascii="宋体" w:hAnsi="宋体" w:cs="楷体_GB2312"/>
                <w:color w:val="auto"/>
                <w:szCs w:val="24"/>
              </w:rPr>
              <w:t>机械和人员投入情况，包括</w:t>
            </w:r>
            <w:r>
              <w:rPr>
                <w:rFonts w:hint="eastAsia" w:ascii="宋体" w:hAnsi="宋体" w:cs="楷体_GB2312"/>
                <w:color w:val="auto"/>
                <w:szCs w:val="24"/>
              </w:rPr>
              <w:t>投入机械各项参数</w:t>
            </w:r>
            <w:r>
              <w:rPr>
                <w:rFonts w:ascii="宋体" w:hAnsi="宋体" w:cs="楷体_GB2312"/>
                <w:color w:val="auto"/>
                <w:szCs w:val="24"/>
              </w:rPr>
              <w:t>、</w:t>
            </w:r>
            <w:r>
              <w:rPr>
                <w:rFonts w:hint="eastAsia" w:ascii="宋体" w:hAnsi="宋体" w:cs="楷体_GB2312"/>
                <w:color w:val="auto"/>
                <w:szCs w:val="24"/>
              </w:rPr>
              <w:t>人员配置、可行性</w:t>
            </w:r>
            <w:r>
              <w:rPr>
                <w:rFonts w:ascii="宋体" w:hAnsi="宋体" w:cs="楷体_GB2312"/>
                <w:color w:val="auto"/>
                <w:szCs w:val="24"/>
              </w:rPr>
              <w:t>等，评委</w:t>
            </w:r>
            <w:r>
              <w:rPr>
                <w:rFonts w:hint="eastAsia" w:ascii="宋体" w:hAnsi="宋体" w:cs="楷体_GB2312"/>
                <w:color w:val="auto"/>
                <w:szCs w:val="24"/>
                <w:lang w:eastAsia="zh-CN"/>
              </w:rPr>
              <w:t>综合</w:t>
            </w:r>
            <w:r>
              <w:rPr>
                <w:rFonts w:ascii="宋体" w:hAnsi="宋体" w:cs="楷体_GB2312"/>
                <w:color w:val="auto"/>
                <w:szCs w:val="24"/>
              </w:rPr>
              <w:t>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712" w:type="dxa"/>
            <w:vMerge w:val="continue"/>
            <w:noWrap w:val="0"/>
            <w:vAlign w:val="center"/>
          </w:tcPr>
          <w:p>
            <w:pPr>
              <w:spacing w:line="256" w:lineRule="exact"/>
              <w:ind w:left="-50"/>
              <w:jc w:val="center"/>
              <w:rPr>
                <w:rFonts w:hint="eastAsia" w:ascii="宋体" w:hAnsi="宋体" w:cs="楷体_GB2312"/>
                <w:color w:val="auto"/>
              </w:rPr>
            </w:pPr>
          </w:p>
        </w:tc>
        <w:tc>
          <w:tcPr>
            <w:tcW w:w="1948" w:type="dxa"/>
            <w:vMerge w:val="continue"/>
            <w:noWrap w:val="0"/>
            <w:vAlign w:val="center"/>
          </w:tcPr>
          <w:p>
            <w:pPr>
              <w:spacing w:line="256" w:lineRule="exact"/>
              <w:rPr>
                <w:rFonts w:hint="eastAsia" w:ascii="宋体" w:hAnsi="宋体" w:cs="楷体_GB2312"/>
                <w:color w:val="auto"/>
                <w:szCs w:val="21"/>
              </w:rPr>
            </w:pPr>
          </w:p>
        </w:tc>
        <w:tc>
          <w:tcPr>
            <w:tcW w:w="710" w:type="dxa"/>
            <w:vMerge w:val="continue"/>
            <w:tcBorders>
              <w:right w:val="single" w:color="auto" w:sz="4" w:space="0"/>
            </w:tcBorders>
            <w:noWrap w:val="0"/>
            <w:vAlign w:val="center"/>
          </w:tcPr>
          <w:p>
            <w:pPr>
              <w:spacing w:line="256" w:lineRule="exact"/>
              <w:jc w:val="center"/>
              <w:rPr>
                <w:rFonts w:hint="eastAsia" w:ascii="宋体" w:hAnsi="宋体" w:cs="楷体_GB2312"/>
                <w:color w:val="auto"/>
                <w:szCs w:val="21"/>
              </w:rPr>
            </w:pPr>
          </w:p>
        </w:tc>
        <w:tc>
          <w:tcPr>
            <w:tcW w:w="709" w:type="dxa"/>
            <w:tcBorders>
              <w:top w:val="single" w:color="auto" w:sz="4" w:space="0"/>
              <w:left w:val="single" w:color="auto" w:sz="4" w:space="0"/>
              <w:bottom w:val="single" w:color="auto" w:sz="4" w:space="0"/>
            </w:tcBorders>
            <w:noWrap w:val="0"/>
            <w:vAlign w:val="center"/>
          </w:tcPr>
          <w:p>
            <w:pPr>
              <w:spacing w:line="256" w:lineRule="exact"/>
              <w:jc w:val="center"/>
              <w:rPr>
                <w:rFonts w:hint="default" w:ascii="宋体" w:hAnsi="宋体" w:eastAsia="宋体" w:cs="楷体_GB2312"/>
                <w:color w:val="auto"/>
                <w:szCs w:val="21"/>
                <w:lang w:val="en-US" w:eastAsia="zh-CN"/>
              </w:rPr>
            </w:pPr>
            <w:r>
              <w:rPr>
                <w:rFonts w:hint="eastAsia" w:ascii="宋体" w:hAnsi="宋体" w:cs="楷体_GB2312"/>
                <w:color w:val="auto"/>
                <w:szCs w:val="21"/>
                <w:lang w:val="en-US" w:eastAsia="zh-CN"/>
              </w:rPr>
              <w:t>0-10</w:t>
            </w:r>
          </w:p>
        </w:tc>
        <w:tc>
          <w:tcPr>
            <w:tcW w:w="5812" w:type="dxa"/>
            <w:tcBorders>
              <w:top w:val="single" w:color="auto" w:sz="4" w:space="0"/>
              <w:bottom w:val="single" w:color="auto" w:sz="4" w:space="0"/>
            </w:tcBorders>
            <w:noWrap w:val="0"/>
            <w:vAlign w:val="center"/>
          </w:tcPr>
          <w:p>
            <w:pPr>
              <w:pStyle w:val="6"/>
              <w:spacing w:line="256" w:lineRule="exact"/>
              <w:ind w:firstLine="0" w:firstLineChars="0"/>
              <w:rPr>
                <w:rFonts w:hint="eastAsia" w:ascii="宋体" w:hAnsi="宋体" w:cs="楷体_GB2312"/>
                <w:color w:val="auto"/>
                <w:szCs w:val="24"/>
              </w:rPr>
            </w:pPr>
            <w:r>
              <w:rPr>
                <w:rFonts w:hint="eastAsia" w:ascii="宋体" w:hAnsi="宋体" w:cs="楷体_GB2312"/>
                <w:color w:val="auto"/>
                <w:szCs w:val="24"/>
              </w:rPr>
              <w:t>广告清理</w:t>
            </w:r>
            <w:r>
              <w:rPr>
                <w:rFonts w:hint="eastAsia" w:ascii="宋体" w:hAnsi="宋体" w:cs="楷体_GB2312"/>
                <w:color w:val="auto"/>
                <w:szCs w:val="24"/>
                <w:lang w:eastAsia="zh-CN"/>
              </w:rPr>
              <w:t>及垃圾分类</w:t>
            </w:r>
            <w:r>
              <w:rPr>
                <w:rFonts w:hint="eastAsia" w:ascii="宋体" w:hAnsi="宋体" w:cs="楷体_GB2312"/>
                <w:color w:val="auto"/>
                <w:szCs w:val="24"/>
              </w:rPr>
              <w:t>方案：机械和人员投入情况，包括机械的类别及人员数量配置、作业时间、作业程序等相关方案。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712" w:type="dxa"/>
            <w:vMerge w:val="continue"/>
            <w:noWrap w:val="0"/>
            <w:vAlign w:val="center"/>
          </w:tcPr>
          <w:p>
            <w:pPr>
              <w:spacing w:line="256" w:lineRule="exact"/>
              <w:ind w:left="-50"/>
              <w:jc w:val="center"/>
              <w:rPr>
                <w:rFonts w:hint="eastAsia" w:ascii="宋体" w:hAnsi="宋体" w:cs="楷体_GB2312"/>
                <w:color w:val="auto"/>
              </w:rPr>
            </w:pPr>
          </w:p>
        </w:tc>
        <w:tc>
          <w:tcPr>
            <w:tcW w:w="1948" w:type="dxa"/>
            <w:vMerge w:val="continue"/>
            <w:noWrap w:val="0"/>
            <w:vAlign w:val="center"/>
          </w:tcPr>
          <w:p>
            <w:pPr>
              <w:spacing w:line="256" w:lineRule="exact"/>
              <w:rPr>
                <w:rFonts w:hint="eastAsia" w:ascii="宋体" w:hAnsi="宋体" w:cs="楷体_GB2312"/>
                <w:color w:val="auto"/>
                <w:szCs w:val="21"/>
              </w:rPr>
            </w:pPr>
          </w:p>
        </w:tc>
        <w:tc>
          <w:tcPr>
            <w:tcW w:w="710" w:type="dxa"/>
            <w:vMerge w:val="continue"/>
            <w:tcBorders>
              <w:right w:val="single" w:color="auto" w:sz="4" w:space="0"/>
            </w:tcBorders>
            <w:noWrap w:val="0"/>
            <w:vAlign w:val="center"/>
          </w:tcPr>
          <w:p>
            <w:pPr>
              <w:spacing w:line="256" w:lineRule="exact"/>
              <w:jc w:val="center"/>
              <w:rPr>
                <w:rFonts w:hint="eastAsia" w:ascii="宋体" w:hAnsi="宋体" w:cs="楷体_GB2312"/>
                <w:color w:val="auto"/>
                <w:szCs w:val="21"/>
              </w:rPr>
            </w:pPr>
          </w:p>
        </w:tc>
        <w:tc>
          <w:tcPr>
            <w:tcW w:w="709" w:type="dxa"/>
            <w:tcBorders>
              <w:top w:val="single" w:color="auto" w:sz="4" w:space="0"/>
              <w:left w:val="single" w:color="auto" w:sz="4" w:space="0"/>
              <w:bottom w:val="single" w:color="auto" w:sz="4" w:space="0"/>
            </w:tcBorders>
            <w:noWrap w:val="0"/>
            <w:vAlign w:val="center"/>
          </w:tcPr>
          <w:p>
            <w:pPr>
              <w:spacing w:line="256" w:lineRule="exact"/>
              <w:jc w:val="center"/>
              <w:rPr>
                <w:rFonts w:hint="default" w:ascii="宋体" w:hAnsi="宋体" w:eastAsia="宋体" w:cs="楷体_GB2312"/>
                <w:color w:val="auto"/>
                <w:szCs w:val="21"/>
                <w:lang w:val="en-US" w:eastAsia="zh-CN"/>
              </w:rPr>
            </w:pPr>
            <w:r>
              <w:rPr>
                <w:rFonts w:hint="eastAsia" w:ascii="宋体" w:hAnsi="宋体" w:cs="楷体_GB2312"/>
                <w:color w:val="auto"/>
                <w:szCs w:val="21"/>
              </w:rPr>
              <w:t>0-</w:t>
            </w:r>
            <w:r>
              <w:rPr>
                <w:rFonts w:hint="eastAsia" w:ascii="宋体" w:hAnsi="宋体" w:cs="楷体_GB2312"/>
                <w:color w:val="auto"/>
                <w:szCs w:val="21"/>
                <w:lang w:val="en-US" w:eastAsia="zh-CN"/>
              </w:rPr>
              <w:t>10</w:t>
            </w:r>
          </w:p>
        </w:tc>
        <w:tc>
          <w:tcPr>
            <w:tcW w:w="5812" w:type="dxa"/>
            <w:tcBorders>
              <w:top w:val="single" w:color="auto" w:sz="4" w:space="0"/>
              <w:bottom w:val="single" w:color="auto" w:sz="4" w:space="0"/>
            </w:tcBorders>
            <w:noWrap w:val="0"/>
            <w:vAlign w:val="center"/>
          </w:tcPr>
          <w:p>
            <w:pPr>
              <w:pStyle w:val="6"/>
              <w:spacing w:line="256" w:lineRule="exact"/>
              <w:ind w:firstLine="0" w:firstLineChars="0"/>
              <w:rPr>
                <w:rFonts w:hint="eastAsia" w:ascii="宋体" w:hAnsi="宋体" w:eastAsia="宋体" w:cs="楷体_GB2312"/>
                <w:color w:val="auto"/>
                <w:szCs w:val="24"/>
                <w:lang w:eastAsia="zh-CN"/>
              </w:rPr>
            </w:pPr>
            <w:r>
              <w:rPr>
                <w:rFonts w:ascii="宋体" w:hAnsi="宋体" w:cs="楷体_GB2312"/>
                <w:color w:val="auto"/>
                <w:szCs w:val="24"/>
              </w:rPr>
              <w:t>各事项的</w:t>
            </w:r>
            <w:r>
              <w:rPr>
                <w:rFonts w:hint="eastAsia" w:ascii="宋体" w:hAnsi="宋体" w:cs="楷体_GB2312"/>
                <w:color w:val="auto"/>
                <w:szCs w:val="24"/>
              </w:rPr>
              <w:t>作业</w:t>
            </w:r>
            <w:r>
              <w:rPr>
                <w:rFonts w:ascii="宋体" w:hAnsi="宋体" w:cs="楷体_GB2312"/>
                <w:color w:val="auto"/>
                <w:szCs w:val="24"/>
              </w:rPr>
              <w:t>时间计划安排，评委</w:t>
            </w:r>
            <w:r>
              <w:rPr>
                <w:rFonts w:hint="eastAsia" w:ascii="宋体" w:hAnsi="宋体" w:cs="楷体_GB2312"/>
                <w:color w:val="auto"/>
                <w:szCs w:val="24"/>
                <w:lang w:eastAsia="zh-CN"/>
              </w:rPr>
              <w:t>综合</w:t>
            </w:r>
            <w:r>
              <w:rPr>
                <w:rFonts w:ascii="宋体" w:hAnsi="宋体" w:cs="楷体_GB2312"/>
                <w:color w:val="auto"/>
                <w:szCs w:val="24"/>
              </w:rPr>
              <w:t>打分</w:t>
            </w:r>
            <w:r>
              <w:rPr>
                <w:rFonts w:hint="eastAsia" w:ascii="宋体" w:hAnsi="宋体" w:cs="楷体_GB2312"/>
                <w:color w:val="auto"/>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12" w:type="dxa"/>
            <w:vMerge w:val="continue"/>
            <w:noWrap w:val="0"/>
            <w:vAlign w:val="center"/>
          </w:tcPr>
          <w:p>
            <w:pPr>
              <w:spacing w:line="256" w:lineRule="exact"/>
              <w:ind w:left="-50"/>
              <w:jc w:val="center"/>
              <w:rPr>
                <w:rFonts w:hint="eastAsia" w:ascii="宋体" w:hAnsi="宋体" w:cs="楷体_GB2312"/>
                <w:color w:val="auto"/>
              </w:rPr>
            </w:pPr>
          </w:p>
        </w:tc>
        <w:tc>
          <w:tcPr>
            <w:tcW w:w="1948" w:type="dxa"/>
            <w:vMerge w:val="continue"/>
            <w:noWrap w:val="0"/>
            <w:vAlign w:val="center"/>
          </w:tcPr>
          <w:p>
            <w:pPr>
              <w:spacing w:line="256" w:lineRule="exact"/>
              <w:rPr>
                <w:rFonts w:hint="eastAsia" w:ascii="宋体" w:hAnsi="宋体" w:cs="楷体_GB2312"/>
                <w:color w:val="auto"/>
                <w:szCs w:val="21"/>
              </w:rPr>
            </w:pPr>
          </w:p>
        </w:tc>
        <w:tc>
          <w:tcPr>
            <w:tcW w:w="710" w:type="dxa"/>
            <w:vMerge w:val="continue"/>
            <w:tcBorders>
              <w:right w:val="single" w:color="auto" w:sz="4" w:space="0"/>
            </w:tcBorders>
            <w:noWrap w:val="0"/>
            <w:vAlign w:val="center"/>
          </w:tcPr>
          <w:p>
            <w:pPr>
              <w:spacing w:line="256" w:lineRule="exact"/>
              <w:jc w:val="center"/>
              <w:rPr>
                <w:rFonts w:hint="eastAsia" w:ascii="宋体" w:hAnsi="宋体" w:cs="楷体_GB2312"/>
                <w:color w:val="auto"/>
                <w:szCs w:val="21"/>
              </w:rPr>
            </w:pPr>
          </w:p>
        </w:tc>
        <w:tc>
          <w:tcPr>
            <w:tcW w:w="709" w:type="dxa"/>
            <w:tcBorders>
              <w:top w:val="single" w:color="auto" w:sz="4" w:space="0"/>
              <w:left w:val="single" w:color="auto" w:sz="4" w:space="0"/>
            </w:tcBorders>
            <w:noWrap w:val="0"/>
            <w:vAlign w:val="center"/>
          </w:tcPr>
          <w:p>
            <w:pPr>
              <w:spacing w:line="256" w:lineRule="exact"/>
              <w:jc w:val="center"/>
              <w:rPr>
                <w:rFonts w:hint="eastAsia" w:ascii="宋体" w:hAnsi="宋体" w:cs="楷体_GB2312"/>
                <w:color w:val="auto"/>
                <w:kern w:val="2"/>
                <w:sz w:val="21"/>
                <w:szCs w:val="21"/>
                <w:lang w:val="en-US" w:eastAsia="zh-CN" w:bidi="ar-SA"/>
              </w:rPr>
            </w:pPr>
            <w:r>
              <w:rPr>
                <w:rFonts w:hint="eastAsia" w:ascii="宋体" w:hAnsi="宋体" w:cs="楷体_GB2312"/>
                <w:color w:val="auto"/>
                <w:szCs w:val="21"/>
              </w:rPr>
              <w:t>0-</w:t>
            </w:r>
            <w:r>
              <w:rPr>
                <w:rFonts w:hint="eastAsia" w:ascii="宋体" w:hAnsi="宋体" w:cs="楷体_GB2312"/>
                <w:color w:val="auto"/>
                <w:szCs w:val="21"/>
                <w:lang w:val="en-US" w:eastAsia="zh-CN"/>
              </w:rPr>
              <w:t>5</w:t>
            </w:r>
          </w:p>
        </w:tc>
        <w:tc>
          <w:tcPr>
            <w:tcW w:w="5812" w:type="dxa"/>
            <w:tcBorders>
              <w:top w:val="single" w:color="auto" w:sz="4" w:space="0"/>
              <w:bottom w:val="single" w:color="auto" w:sz="4" w:space="0"/>
            </w:tcBorders>
            <w:noWrap w:val="0"/>
            <w:vAlign w:val="center"/>
          </w:tcPr>
          <w:p>
            <w:pPr>
              <w:pStyle w:val="6"/>
              <w:spacing w:line="256" w:lineRule="exact"/>
              <w:ind w:firstLine="0" w:firstLineChars="0"/>
              <w:rPr>
                <w:rFonts w:hint="eastAsia" w:ascii="宋体" w:hAnsi="宋体" w:cs="楷体_GB2312"/>
                <w:color w:val="auto"/>
                <w:szCs w:val="24"/>
              </w:rPr>
            </w:pPr>
            <w:r>
              <w:rPr>
                <w:rFonts w:ascii="宋体" w:hAnsi="宋体" w:cs="楷体_GB2312"/>
                <w:color w:val="auto"/>
                <w:szCs w:val="24"/>
              </w:rPr>
              <w:t>道路清扫保洁的创新方案：分析</w:t>
            </w:r>
            <w:r>
              <w:rPr>
                <w:rFonts w:hint="eastAsia" w:ascii="宋体" w:hAnsi="宋体" w:cs="楷体_GB2312"/>
                <w:color w:val="auto"/>
                <w:szCs w:val="24"/>
              </w:rPr>
              <w:t>山福镇村级道路、河道、公厕清扫保洁采购</w:t>
            </w:r>
            <w:r>
              <w:rPr>
                <w:rFonts w:ascii="宋体" w:hAnsi="宋体" w:cs="楷体_GB2312"/>
                <w:color w:val="auto"/>
                <w:szCs w:val="24"/>
              </w:rPr>
              <w:t>作业现状及本项目特点，提出合理的、可操作性的创新方案，评委</w:t>
            </w:r>
            <w:r>
              <w:rPr>
                <w:rFonts w:hint="eastAsia" w:ascii="宋体" w:hAnsi="宋体" w:cs="楷体_GB2312"/>
                <w:color w:val="auto"/>
                <w:szCs w:val="24"/>
                <w:lang w:eastAsia="zh-CN"/>
              </w:rPr>
              <w:t>综合</w:t>
            </w:r>
            <w:r>
              <w:rPr>
                <w:rFonts w:ascii="宋体" w:hAnsi="宋体" w:cs="楷体_GB2312"/>
                <w:color w:val="auto"/>
                <w:szCs w:val="24"/>
              </w:rPr>
              <w:t>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12" w:type="dxa"/>
            <w:vMerge w:val="continue"/>
            <w:noWrap w:val="0"/>
            <w:vAlign w:val="center"/>
          </w:tcPr>
          <w:p>
            <w:pPr>
              <w:spacing w:line="256" w:lineRule="exact"/>
              <w:ind w:left="-50"/>
              <w:jc w:val="center"/>
              <w:rPr>
                <w:rFonts w:hint="eastAsia" w:ascii="宋体" w:hAnsi="宋体" w:cs="楷体_GB2312"/>
                <w:color w:val="auto"/>
              </w:rPr>
            </w:pPr>
          </w:p>
        </w:tc>
        <w:tc>
          <w:tcPr>
            <w:tcW w:w="1948" w:type="dxa"/>
            <w:vMerge w:val="continue"/>
            <w:noWrap w:val="0"/>
            <w:vAlign w:val="center"/>
          </w:tcPr>
          <w:p>
            <w:pPr>
              <w:spacing w:line="256" w:lineRule="exact"/>
              <w:rPr>
                <w:rFonts w:hint="eastAsia" w:ascii="宋体" w:hAnsi="宋体" w:cs="楷体_GB2312"/>
                <w:color w:val="auto"/>
                <w:szCs w:val="21"/>
              </w:rPr>
            </w:pPr>
          </w:p>
        </w:tc>
        <w:tc>
          <w:tcPr>
            <w:tcW w:w="7231" w:type="dxa"/>
            <w:gridSpan w:val="3"/>
            <w:tcBorders>
              <w:top w:val="single" w:color="auto" w:sz="4" w:space="0"/>
            </w:tcBorders>
            <w:noWrap w:val="0"/>
            <w:vAlign w:val="center"/>
          </w:tcPr>
          <w:p>
            <w:pPr>
              <w:spacing w:line="256" w:lineRule="exact"/>
              <w:rPr>
                <w:rFonts w:hint="eastAsia" w:ascii="宋体" w:hAnsi="宋体" w:cs="楷体_GB2312"/>
                <w:color w:val="auto"/>
                <w:szCs w:val="21"/>
              </w:rPr>
            </w:pPr>
            <w:r>
              <w:rPr>
                <w:rFonts w:hint="eastAsia" w:ascii="宋体" w:hAnsi="宋体" w:cs="楷体_GB2312"/>
                <w:color w:val="auto"/>
                <w:szCs w:val="21"/>
              </w:rPr>
              <w:t>注：投标人提供的创新方案将随技术标作为以后合同签订的附件，若在合同实施过程中不能实施的，将被视为违约处理。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2" w:type="dxa"/>
            <w:noWrap w:val="0"/>
            <w:vAlign w:val="center"/>
          </w:tcPr>
          <w:p>
            <w:pPr>
              <w:spacing w:line="256" w:lineRule="exact"/>
              <w:ind w:left="-50" w:leftChars="0"/>
              <w:jc w:val="center"/>
              <w:rPr>
                <w:rFonts w:hint="eastAsia" w:ascii="宋体" w:hAnsi="宋体" w:eastAsia="宋体" w:cs="楷体_GB2312"/>
                <w:color w:val="auto"/>
                <w:kern w:val="2"/>
                <w:sz w:val="21"/>
                <w:szCs w:val="24"/>
                <w:lang w:val="en-US" w:eastAsia="zh-CN" w:bidi="ar-SA"/>
              </w:rPr>
            </w:pPr>
            <w:r>
              <w:rPr>
                <w:rFonts w:hint="eastAsia" w:ascii="宋体" w:hAnsi="宋体" w:cs="楷体_GB2312"/>
                <w:color w:val="auto"/>
                <w:lang w:val="en-US" w:eastAsia="zh-CN"/>
              </w:rPr>
              <w:t>3</w:t>
            </w:r>
          </w:p>
        </w:tc>
        <w:tc>
          <w:tcPr>
            <w:tcW w:w="1948" w:type="dxa"/>
            <w:noWrap w:val="0"/>
            <w:vAlign w:val="center"/>
          </w:tcPr>
          <w:p>
            <w:pPr>
              <w:spacing w:line="256" w:lineRule="exact"/>
              <w:rPr>
                <w:rFonts w:hint="eastAsia" w:ascii="宋体" w:hAnsi="宋体" w:cs="楷体_GB2312"/>
                <w:color w:val="auto"/>
                <w:kern w:val="2"/>
                <w:sz w:val="21"/>
                <w:szCs w:val="21"/>
                <w:lang w:val="en-US" w:eastAsia="zh-CN" w:bidi="ar-SA"/>
              </w:rPr>
            </w:pPr>
            <w:r>
              <w:rPr>
                <w:rFonts w:hint="eastAsia" w:ascii="宋体" w:hAnsi="宋体" w:cs="楷体_GB2312"/>
                <w:color w:val="auto"/>
                <w:kern w:val="0"/>
                <w:sz w:val="21"/>
                <w:szCs w:val="24"/>
                <w:lang w:val="en-US" w:eastAsia="zh-CN" w:bidi="ar-SA"/>
              </w:rPr>
              <w:t>拟设立的各项管理规章制度及档案资料的建立管理</w:t>
            </w:r>
          </w:p>
        </w:tc>
        <w:tc>
          <w:tcPr>
            <w:tcW w:w="1419" w:type="dxa"/>
            <w:gridSpan w:val="2"/>
            <w:noWrap w:val="0"/>
            <w:vAlign w:val="center"/>
          </w:tcPr>
          <w:p>
            <w:pPr>
              <w:spacing w:line="256" w:lineRule="exact"/>
              <w:jc w:val="center"/>
              <w:rPr>
                <w:rFonts w:hint="eastAsia" w:ascii="宋体" w:hAnsi="宋体" w:eastAsia="宋体" w:cs="楷体_GB2312"/>
                <w:color w:val="auto"/>
                <w:kern w:val="2"/>
                <w:sz w:val="21"/>
                <w:szCs w:val="21"/>
                <w:lang w:val="en-US" w:eastAsia="zh-CN" w:bidi="ar-SA"/>
              </w:rPr>
            </w:pPr>
            <w:r>
              <w:rPr>
                <w:rFonts w:hint="eastAsia" w:ascii="宋体" w:hAnsi="宋体" w:cs="楷体_GB2312"/>
                <w:color w:val="auto"/>
                <w:szCs w:val="21"/>
              </w:rPr>
              <w:t>0-</w:t>
            </w:r>
            <w:r>
              <w:rPr>
                <w:rFonts w:hint="eastAsia" w:ascii="宋体" w:hAnsi="宋体" w:cs="楷体_GB2312"/>
                <w:color w:val="auto"/>
                <w:szCs w:val="21"/>
                <w:lang w:val="en-US" w:eastAsia="zh-CN"/>
              </w:rPr>
              <w:t>3</w:t>
            </w:r>
          </w:p>
        </w:tc>
        <w:tc>
          <w:tcPr>
            <w:tcW w:w="5812" w:type="dxa"/>
            <w:noWrap w:val="0"/>
            <w:vAlign w:val="center"/>
          </w:tcPr>
          <w:p>
            <w:pPr>
              <w:pStyle w:val="6"/>
              <w:spacing w:line="256" w:lineRule="exact"/>
              <w:ind w:firstLine="0" w:firstLineChars="0"/>
              <w:rPr>
                <w:rFonts w:hint="eastAsia" w:ascii="宋体" w:hAnsi="宋体" w:cs="楷体_GB2312"/>
                <w:color w:val="auto"/>
                <w:kern w:val="0"/>
                <w:sz w:val="21"/>
                <w:szCs w:val="24"/>
                <w:lang w:val="en-US" w:eastAsia="zh-CN" w:bidi="ar-SA"/>
              </w:rPr>
            </w:pPr>
            <w:r>
              <w:rPr>
                <w:rFonts w:hint="eastAsia" w:ascii="宋体" w:hAnsi="宋体" w:cs="楷体_GB2312"/>
                <w:color w:val="auto"/>
                <w:szCs w:val="24"/>
                <w:lang w:val="en-US" w:eastAsia="zh-CN"/>
              </w:rPr>
              <w:t>各项公众制度、内部岗位责任制度、管理运作制度、考核制度及标准等，要求符合规范，体现高标准、高档次、科学合理、详细完备；人员、设施、设备管理服务等档案的建立与管理。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2" w:type="dxa"/>
            <w:noWrap w:val="0"/>
            <w:vAlign w:val="center"/>
          </w:tcPr>
          <w:p>
            <w:pPr>
              <w:spacing w:line="256" w:lineRule="exact"/>
              <w:ind w:left="-50" w:leftChars="0"/>
              <w:jc w:val="center"/>
              <w:rPr>
                <w:rFonts w:hint="eastAsia" w:ascii="宋体" w:hAnsi="宋体" w:eastAsia="宋体" w:cs="楷体_GB2312"/>
                <w:color w:val="auto"/>
                <w:kern w:val="2"/>
                <w:sz w:val="21"/>
                <w:szCs w:val="24"/>
                <w:lang w:val="en-US" w:eastAsia="zh-CN" w:bidi="ar-SA"/>
              </w:rPr>
            </w:pPr>
            <w:r>
              <w:rPr>
                <w:rFonts w:hint="eastAsia" w:ascii="宋体" w:hAnsi="宋体" w:cs="楷体_GB2312"/>
                <w:color w:val="auto"/>
                <w:lang w:val="en-US" w:eastAsia="zh-CN"/>
              </w:rPr>
              <w:t>4</w:t>
            </w:r>
          </w:p>
        </w:tc>
        <w:tc>
          <w:tcPr>
            <w:tcW w:w="1948" w:type="dxa"/>
            <w:noWrap w:val="0"/>
            <w:vAlign w:val="center"/>
          </w:tcPr>
          <w:p>
            <w:pPr>
              <w:spacing w:line="256" w:lineRule="exact"/>
              <w:rPr>
                <w:rFonts w:hint="eastAsia" w:ascii="宋体" w:hAnsi="宋体" w:cs="楷体_GB2312"/>
                <w:color w:val="auto"/>
                <w:kern w:val="2"/>
                <w:sz w:val="21"/>
                <w:szCs w:val="21"/>
                <w:lang w:val="en-US" w:eastAsia="zh-CN" w:bidi="ar-SA"/>
              </w:rPr>
            </w:pPr>
            <w:r>
              <w:rPr>
                <w:rFonts w:hint="eastAsia" w:ascii="宋体" w:hAnsi="宋体" w:cs="楷体_GB2312"/>
                <w:color w:val="auto"/>
              </w:rPr>
              <w:t>应对突发事情的响应及处理方案</w:t>
            </w:r>
          </w:p>
        </w:tc>
        <w:tc>
          <w:tcPr>
            <w:tcW w:w="1419" w:type="dxa"/>
            <w:gridSpan w:val="2"/>
            <w:noWrap w:val="0"/>
            <w:vAlign w:val="center"/>
          </w:tcPr>
          <w:p>
            <w:pPr>
              <w:spacing w:line="256" w:lineRule="exact"/>
              <w:jc w:val="center"/>
              <w:rPr>
                <w:rFonts w:hint="eastAsia" w:ascii="宋体" w:hAnsi="宋体" w:eastAsia="宋体" w:cs="楷体_GB2312"/>
                <w:color w:val="auto"/>
                <w:kern w:val="2"/>
                <w:sz w:val="21"/>
                <w:szCs w:val="21"/>
                <w:lang w:val="en-US" w:eastAsia="zh-CN" w:bidi="ar-SA"/>
              </w:rPr>
            </w:pPr>
            <w:r>
              <w:rPr>
                <w:rFonts w:hint="eastAsia" w:ascii="宋体" w:hAnsi="宋体" w:cs="楷体_GB2312"/>
                <w:color w:val="auto"/>
                <w:szCs w:val="21"/>
              </w:rPr>
              <w:t>0-</w:t>
            </w:r>
            <w:r>
              <w:rPr>
                <w:rFonts w:hint="eastAsia" w:ascii="宋体" w:hAnsi="宋体" w:cs="楷体_GB2312"/>
                <w:color w:val="auto"/>
                <w:szCs w:val="21"/>
                <w:lang w:val="en-US" w:eastAsia="zh-CN"/>
              </w:rPr>
              <w:t>5</w:t>
            </w:r>
          </w:p>
        </w:tc>
        <w:tc>
          <w:tcPr>
            <w:tcW w:w="5812" w:type="dxa"/>
            <w:noWrap w:val="0"/>
            <w:vAlign w:val="center"/>
          </w:tcPr>
          <w:p>
            <w:pPr>
              <w:pStyle w:val="6"/>
              <w:spacing w:line="256" w:lineRule="exact"/>
              <w:ind w:firstLine="0" w:firstLineChars="0"/>
              <w:rPr>
                <w:rFonts w:hint="eastAsia" w:ascii="宋体" w:hAnsi="宋体" w:cs="楷体_GB2312"/>
                <w:color w:val="auto"/>
                <w:kern w:val="0"/>
                <w:sz w:val="21"/>
                <w:szCs w:val="24"/>
                <w:lang w:val="en-US" w:eastAsia="zh-CN" w:bidi="ar-SA"/>
              </w:rPr>
            </w:pPr>
            <w:r>
              <w:rPr>
                <w:rFonts w:hint="eastAsia" w:ascii="宋体" w:hAnsi="宋体" w:cs="楷体_GB2312"/>
                <w:color w:val="auto"/>
                <w:szCs w:val="24"/>
              </w:rPr>
              <w:t>应对突发事情的响应及处理方案等是否科学、合理、高效，酌情打分。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712" w:type="dxa"/>
            <w:noWrap w:val="0"/>
            <w:vAlign w:val="center"/>
          </w:tcPr>
          <w:p>
            <w:pPr>
              <w:spacing w:line="256" w:lineRule="exact"/>
              <w:ind w:left="-50"/>
              <w:jc w:val="center"/>
              <w:rPr>
                <w:rFonts w:hint="eastAsia" w:ascii="宋体" w:hAnsi="宋体" w:cs="楷体_GB2312"/>
                <w:color w:val="auto"/>
                <w:lang w:val="en-US" w:eastAsia="zh-CN"/>
              </w:rPr>
            </w:pPr>
            <w:r>
              <w:rPr>
                <w:rFonts w:hint="eastAsia" w:ascii="宋体" w:hAnsi="宋体" w:cs="楷体_GB2312"/>
                <w:color w:val="auto"/>
                <w:lang w:val="en-US" w:eastAsia="zh-CN"/>
              </w:rPr>
              <w:t>5</w:t>
            </w:r>
          </w:p>
        </w:tc>
        <w:tc>
          <w:tcPr>
            <w:tcW w:w="1948" w:type="dxa"/>
            <w:noWrap w:val="0"/>
            <w:vAlign w:val="center"/>
          </w:tcPr>
          <w:p>
            <w:pPr>
              <w:autoSpaceDE w:val="0"/>
              <w:autoSpaceDN w:val="0"/>
              <w:spacing w:line="298" w:lineRule="exact"/>
              <w:jc w:val="center"/>
              <w:rPr>
                <w:rFonts w:hint="eastAsia" w:ascii="宋体" w:hAnsi="宋体" w:cs="楷体_GB2312"/>
                <w:color w:val="auto"/>
                <w:szCs w:val="21"/>
              </w:rPr>
            </w:pPr>
            <w:r>
              <w:rPr>
                <w:rFonts w:hint="eastAsia" w:ascii="宋体" w:hAnsi="宋体" w:cs="楷体_GB2312"/>
                <w:color w:val="auto"/>
                <w:szCs w:val="21"/>
                <w:lang w:eastAsia="zh-CN"/>
              </w:rPr>
              <w:t>技术资信</w:t>
            </w:r>
            <w:r>
              <w:rPr>
                <w:rFonts w:ascii="宋体" w:hAnsi="宋体" w:cs="楷体_GB2312"/>
                <w:color w:val="auto"/>
                <w:szCs w:val="21"/>
              </w:rPr>
              <w:t>内容编制质量</w:t>
            </w:r>
          </w:p>
        </w:tc>
        <w:tc>
          <w:tcPr>
            <w:tcW w:w="1419" w:type="dxa"/>
            <w:gridSpan w:val="2"/>
            <w:tcBorders>
              <w:right w:val="single" w:color="auto" w:sz="4" w:space="0"/>
            </w:tcBorders>
            <w:noWrap w:val="0"/>
            <w:vAlign w:val="center"/>
          </w:tcPr>
          <w:p>
            <w:pPr>
              <w:autoSpaceDE w:val="0"/>
              <w:autoSpaceDN w:val="0"/>
              <w:spacing w:line="298" w:lineRule="exact"/>
              <w:ind w:firstLine="420" w:firstLineChars="200"/>
              <w:jc w:val="both"/>
              <w:rPr>
                <w:rFonts w:hint="eastAsia" w:ascii="宋体" w:hAnsi="宋体" w:eastAsia="宋体" w:cs="楷体_GB2312"/>
                <w:color w:val="auto"/>
                <w:szCs w:val="21"/>
                <w:lang w:eastAsia="zh-CN"/>
              </w:rPr>
            </w:pPr>
            <w:r>
              <w:rPr>
                <w:rFonts w:hint="eastAsia" w:ascii="宋体" w:hAnsi="宋体" w:cs="楷体_GB2312"/>
                <w:color w:val="auto"/>
                <w:szCs w:val="21"/>
              </w:rPr>
              <w:t>0-</w:t>
            </w:r>
            <w:r>
              <w:rPr>
                <w:rFonts w:hint="eastAsia" w:ascii="宋体" w:hAnsi="宋体" w:cs="楷体_GB2312"/>
                <w:color w:val="auto"/>
                <w:szCs w:val="21"/>
                <w:lang w:val="en-US" w:eastAsia="zh-CN"/>
              </w:rPr>
              <w:t xml:space="preserve">2 </w:t>
            </w:r>
          </w:p>
        </w:tc>
        <w:tc>
          <w:tcPr>
            <w:tcW w:w="5812" w:type="dxa"/>
            <w:tcBorders>
              <w:left w:val="single" w:color="auto" w:sz="4" w:space="0"/>
            </w:tcBorders>
            <w:noWrap w:val="0"/>
            <w:vAlign w:val="center"/>
          </w:tcPr>
          <w:p>
            <w:pPr>
              <w:autoSpaceDE w:val="0"/>
              <w:autoSpaceDN w:val="0"/>
              <w:spacing w:line="298" w:lineRule="exact"/>
              <w:jc w:val="left"/>
              <w:rPr>
                <w:rFonts w:hint="eastAsia" w:ascii="宋体" w:hAnsi="宋体" w:cs="楷体_GB2312"/>
                <w:color w:val="auto"/>
                <w:szCs w:val="21"/>
              </w:rPr>
            </w:pPr>
            <w:r>
              <w:rPr>
                <w:rFonts w:hint="eastAsia" w:ascii="宋体" w:hAnsi="宋体" w:cs="楷体_GB2312"/>
                <w:color w:val="auto"/>
                <w:szCs w:val="21"/>
                <w:lang w:eastAsia="zh-CN"/>
              </w:rPr>
              <w:t>技术资信</w:t>
            </w:r>
            <w:r>
              <w:rPr>
                <w:rFonts w:ascii="宋体" w:hAnsi="宋体" w:cs="楷体_GB2312"/>
                <w:color w:val="auto"/>
                <w:szCs w:val="21"/>
              </w:rPr>
              <w:t>内容完整性、正确性。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9891" w:type="dxa"/>
            <w:gridSpan w:val="5"/>
            <w:tcBorders>
              <w:left w:val="single" w:color="auto" w:sz="4" w:space="0"/>
              <w:right w:val="single" w:color="auto" w:sz="4" w:space="0"/>
            </w:tcBorders>
            <w:noWrap w:val="0"/>
            <w:vAlign w:val="center"/>
          </w:tcPr>
          <w:p>
            <w:pPr>
              <w:autoSpaceDE w:val="0"/>
              <w:autoSpaceDN w:val="0"/>
              <w:spacing w:line="320" w:lineRule="exact"/>
              <w:jc w:val="left"/>
              <w:rPr>
                <w:rFonts w:hint="eastAsia" w:ascii="宋体" w:hAnsi="宋体" w:cs="RMJENO+KaiTi_GB2312"/>
                <w:b/>
                <w:color w:val="auto"/>
              </w:rPr>
            </w:pPr>
            <w:r>
              <w:rPr>
                <w:rFonts w:ascii="宋体" w:hAnsi="宋体" w:cs="RMJENO+KaiTi_GB2312"/>
                <w:b/>
                <w:color w:val="auto"/>
              </w:rPr>
              <w:t>注：如果投标人伪造行驶证（</w:t>
            </w:r>
            <w:r>
              <w:rPr>
                <w:rFonts w:hint="eastAsia" w:ascii="宋体" w:hAnsi="宋体" w:cs="RMJENO+KaiTi_GB2312"/>
                <w:b/>
                <w:color w:val="auto"/>
              </w:rPr>
              <w:t>或证明材料</w:t>
            </w:r>
            <w:r>
              <w:rPr>
                <w:rFonts w:ascii="宋体" w:hAnsi="宋体" w:cs="RMJENO+KaiTi_GB2312"/>
                <w:b/>
                <w:color w:val="auto"/>
              </w:rPr>
              <w:t>）或将已经投入到其他项目的扫地车作为本次投标车辆，均按提供虚假材料处理</w:t>
            </w:r>
            <w:r>
              <w:rPr>
                <w:rFonts w:hint="eastAsia" w:ascii="宋体" w:hAnsi="宋体" w:cs="RMJENO+KaiTi_GB2312"/>
                <w:b/>
                <w:color w:val="auto"/>
                <w:lang w:eastAsia="zh-CN"/>
              </w:rPr>
              <w:t>，</w:t>
            </w:r>
            <w:r>
              <w:rPr>
                <w:rFonts w:ascii="宋体" w:hAnsi="宋体" w:cs="RMJENO+KaiTi_GB2312"/>
                <w:b/>
                <w:color w:val="auto"/>
              </w:rPr>
              <w:t>将取消其投标资格或中标资格；已经签订合同的，终止合同，并承担违约赔偿责任。</w:t>
            </w:r>
          </w:p>
        </w:tc>
      </w:tr>
    </w:tbl>
    <w:p>
      <w:pPr>
        <w:pStyle w:val="23"/>
        <w:rPr>
          <w:rFonts w:hint="eastAsia"/>
          <w:color w:val="auto"/>
        </w:rPr>
      </w:pPr>
    </w:p>
    <w:p>
      <w:pPr>
        <w:numPr>
          <w:ilvl w:val="0"/>
          <w:numId w:val="38"/>
        </w:numPr>
        <w:spacing w:line="440" w:lineRule="exact"/>
        <w:ind w:firstLine="0"/>
        <w:rPr>
          <w:rFonts w:hint="eastAsia" w:ascii="新宋体" w:hAnsi="新宋体" w:eastAsia="新宋体" w:cs="新宋体"/>
          <w:b/>
          <w:bCs/>
          <w:color w:val="auto"/>
          <w:sz w:val="22"/>
          <w:szCs w:val="22"/>
        </w:rPr>
      </w:pPr>
      <w:r>
        <w:rPr>
          <w:rFonts w:hint="eastAsia" w:ascii="新宋体" w:hAnsi="新宋体" w:eastAsia="新宋体"/>
          <w:b/>
          <w:color w:val="auto"/>
          <w:sz w:val="22"/>
          <w:szCs w:val="22"/>
        </w:rPr>
        <w:t>投标报价评分</w:t>
      </w:r>
      <w:r>
        <w:rPr>
          <w:rFonts w:hint="eastAsia" w:ascii="新宋体" w:hAnsi="新宋体" w:eastAsia="新宋体" w:cs="新宋体"/>
          <w:b/>
          <w:bCs/>
          <w:color w:val="auto"/>
          <w:sz w:val="22"/>
          <w:szCs w:val="22"/>
        </w:rPr>
        <w:t>（</w:t>
      </w:r>
      <w:r>
        <w:rPr>
          <w:rFonts w:hint="eastAsia" w:ascii="新宋体" w:hAnsi="新宋体" w:eastAsia="新宋体" w:cs="新宋体"/>
          <w:b/>
          <w:bCs/>
          <w:color w:val="auto"/>
          <w:sz w:val="22"/>
          <w:szCs w:val="22"/>
          <w:lang w:val="en-US" w:eastAsia="zh-CN"/>
        </w:rPr>
        <w:t>2</w:t>
      </w:r>
      <w:r>
        <w:rPr>
          <w:rFonts w:hint="eastAsia" w:ascii="新宋体" w:hAnsi="新宋体" w:eastAsia="新宋体" w:cs="新宋体"/>
          <w:b/>
          <w:bCs/>
          <w:color w:val="auto"/>
          <w:sz w:val="22"/>
          <w:szCs w:val="22"/>
        </w:rPr>
        <w:t>0分）：</w:t>
      </w:r>
    </w:p>
    <w:p>
      <w:pPr>
        <w:spacing w:line="440" w:lineRule="exact"/>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2.1满足采购文件要求且投标价格最低的投标报价为评标基准价；</w:t>
      </w:r>
    </w:p>
    <w:p>
      <w:pPr>
        <w:spacing w:line="440" w:lineRule="exact"/>
        <w:ind w:left="330"/>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1）有效投标人的投标价等于评标基准价时，其投标报价评分值为满分；</w:t>
      </w:r>
    </w:p>
    <w:p>
      <w:pPr>
        <w:spacing w:line="440" w:lineRule="exact"/>
        <w:ind w:left="330"/>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w:t>
      </w:r>
      <w:r>
        <w:rPr>
          <w:rFonts w:hint="eastAsia" w:ascii="宋体" w:hAnsi="宋体" w:cs="宋体"/>
          <w:color w:val="auto"/>
          <w:sz w:val="22"/>
        </w:rPr>
        <w:t>未满足折扣条件的报价得分</w:t>
      </w:r>
      <w:r>
        <w:rPr>
          <w:rFonts w:hint="eastAsia" w:ascii="新宋体" w:hAnsi="新宋体" w:eastAsia="新宋体" w:cs="新宋体"/>
          <w:color w:val="auto"/>
          <w:kern w:val="0"/>
          <w:sz w:val="22"/>
          <w:szCs w:val="22"/>
        </w:rPr>
        <w:t>=（评标基准价/投标人投标报价）×</w:t>
      </w:r>
      <w:r>
        <w:rPr>
          <w:rFonts w:hint="eastAsia" w:ascii="新宋体" w:hAnsi="新宋体" w:eastAsia="新宋体" w:cs="新宋体"/>
          <w:color w:val="auto"/>
          <w:kern w:val="0"/>
          <w:sz w:val="22"/>
          <w:szCs w:val="22"/>
          <w:lang w:val="en-US" w:eastAsia="zh-CN"/>
        </w:rPr>
        <w:t>2</w:t>
      </w:r>
      <w:r>
        <w:rPr>
          <w:rFonts w:hint="eastAsia" w:ascii="新宋体" w:hAnsi="新宋体" w:eastAsia="新宋体" w:cs="新宋体"/>
          <w:color w:val="auto"/>
          <w:kern w:val="0"/>
          <w:sz w:val="22"/>
          <w:szCs w:val="22"/>
        </w:rPr>
        <w:t>0</w:t>
      </w:r>
      <w:r>
        <w:rPr>
          <w:rFonts w:hint="eastAsia" w:ascii="新宋体" w:hAnsi="新宋体" w:eastAsia="新宋体"/>
          <w:color w:val="auto"/>
          <w:sz w:val="22"/>
          <w:szCs w:val="22"/>
        </w:rPr>
        <w:t>（四舍五入，保留小数点后2位）</w:t>
      </w:r>
    </w:p>
    <w:p>
      <w:pPr>
        <w:spacing w:line="440" w:lineRule="exact"/>
        <w:ind w:left="330"/>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w:t>
      </w:r>
      <w:r>
        <w:rPr>
          <w:rFonts w:hint="eastAsia" w:ascii="宋体" w:hAnsi="宋体" w:cs="宋体"/>
          <w:color w:val="auto"/>
          <w:sz w:val="22"/>
        </w:rPr>
        <w:t>满足折扣条件的报价得分</w:t>
      </w:r>
      <w:r>
        <w:rPr>
          <w:rFonts w:hint="eastAsia" w:ascii="新宋体" w:hAnsi="新宋体" w:eastAsia="新宋体" w:cs="新宋体"/>
          <w:color w:val="auto"/>
          <w:kern w:val="0"/>
          <w:sz w:val="22"/>
          <w:szCs w:val="22"/>
        </w:rPr>
        <w:t>=（评标基准价/投标人投标报价</w:t>
      </w:r>
      <w:r>
        <w:rPr>
          <w:rFonts w:hint="eastAsia" w:ascii="新宋体" w:hAnsi="新宋体" w:eastAsia="新宋体"/>
          <w:color w:val="auto"/>
          <w:sz w:val="22"/>
          <w:szCs w:val="22"/>
        </w:rPr>
        <w:t>×94%</w:t>
      </w:r>
      <w:r>
        <w:rPr>
          <w:rFonts w:hint="eastAsia" w:ascii="新宋体" w:hAnsi="新宋体" w:eastAsia="新宋体" w:cs="新宋体"/>
          <w:color w:val="auto"/>
          <w:kern w:val="0"/>
          <w:sz w:val="22"/>
          <w:szCs w:val="22"/>
        </w:rPr>
        <w:t>）×</w:t>
      </w:r>
      <w:r>
        <w:rPr>
          <w:rFonts w:hint="eastAsia" w:ascii="新宋体" w:hAnsi="新宋体" w:eastAsia="新宋体" w:cs="新宋体"/>
          <w:color w:val="auto"/>
          <w:kern w:val="0"/>
          <w:sz w:val="22"/>
          <w:szCs w:val="22"/>
          <w:lang w:val="en-US" w:eastAsia="zh-CN"/>
        </w:rPr>
        <w:t>2</w:t>
      </w:r>
      <w:r>
        <w:rPr>
          <w:rFonts w:hint="eastAsia" w:ascii="新宋体" w:hAnsi="新宋体" w:eastAsia="新宋体" w:cs="新宋体"/>
          <w:color w:val="auto"/>
          <w:kern w:val="0"/>
          <w:sz w:val="22"/>
          <w:szCs w:val="22"/>
        </w:rPr>
        <w:t>0</w:t>
      </w:r>
      <w:r>
        <w:rPr>
          <w:rFonts w:hint="eastAsia" w:ascii="新宋体" w:hAnsi="新宋体" w:eastAsia="新宋体"/>
          <w:color w:val="auto"/>
          <w:sz w:val="22"/>
          <w:szCs w:val="22"/>
        </w:rPr>
        <w:t>（四舍五入，保留小数点后2位）</w:t>
      </w:r>
    </w:p>
    <w:p>
      <w:pPr>
        <w:spacing w:line="440" w:lineRule="exact"/>
        <w:ind w:left="330"/>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4）本项目采购预算为人民币</w:t>
      </w:r>
      <w:r>
        <w:rPr>
          <w:rFonts w:hint="eastAsia" w:ascii="新宋体" w:hAnsi="新宋体" w:eastAsia="新宋体" w:cs="新宋体"/>
          <w:b/>
          <w:color w:val="auto"/>
          <w:kern w:val="0"/>
          <w:sz w:val="22"/>
          <w:szCs w:val="22"/>
          <w:u w:val="single"/>
          <w:lang w:val="en-US" w:eastAsia="zh-CN"/>
        </w:rPr>
        <w:t>560万元</w:t>
      </w:r>
      <w:r>
        <w:rPr>
          <w:rFonts w:hint="eastAsia" w:ascii="新宋体" w:hAnsi="新宋体" w:eastAsia="新宋体" w:cs="新宋体"/>
          <w:b/>
          <w:color w:val="auto"/>
          <w:kern w:val="0"/>
          <w:sz w:val="22"/>
          <w:szCs w:val="22"/>
          <w:u w:val="single"/>
        </w:rPr>
        <w:t>整</w:t>
      </w:r>
      <w:r>
        <w:rPr>
          <w:rFonts w:hint="eastAsia" w:ascii="新宋体" w:hAnsi="新宋体" w:eastAsia="新宋体" w:cs="新宋体"/>
          <w:color w:val="auto"/>
          <w:kern w:val="0"/>
          <w:sz w:val="22"/>
          <w:szCs w:val="22"/>
        </w:rPr>
        <w:t>，如投标人报价超过采购预算，其投标文件作无效标处理。</w:t>
      </w:r>
    </w:p>
    <w:p>
      <w:pPr>
        <w:spacing w:line="440" w:lineRule="exact"/>
        <w:ind w:left="330"/>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5）所有投标人商务报价均超采购预算，重新组织招标。</w:t>
      </w:r>
    </w:p>
    <w:p>
      <w:pPr>
        <w:spacing w:line="440" w:lineRule="exact"/>
        <w:rPr>
          <w:rFonts w:hint="eastAsia" w:ascii="新宋体" w:hAnsi="新宋体" w:eastAsia="新宋体"/>
          <w:color w:val="auto"/>
          <w:sz w:val="22"/>
          <w:szCs w:val="22"/>
        </w:rPr>
      </w:pPr>
      <w:r>
        <w:rPr>
          <w:rFonts w:hint="eastAsia" w:ascii="新宋体" w:hAnsi="新宋体" w:eastAsia="新宋体"/>
          <w:color w:val="auto"/>
          <w:sz w:val="22"/>
          <w:szCs w:val="22"/>
        </w:rPr>
        <w:t>2.2政府采购政策说明</w:t>
      </w:r>
    </w:p>
    <w:p>
      <w:pPr>
        <w:spacing w:line="440" w:lineRule="exact"/>
        <w:ind w:firstLine="440" w:firstLineChars="200"/>
        <w:rPr>
          <w:rFonts w:ascii="宋体" w:hAnsi="宋体" w:cs="宋体"/>
          <w:bCs/>
          <w:color w:val="auto"/>
          <w:sz w:val="22"/>
        </w:rPr>
      </w:pPr>
      <w:r>
        <w:rPr>
          <w:rFonts w:hint="eastAsia" w:ascii="宋体" w:hAnsi="宋体" w:cs="宋体"/>
          <w:bCs/>
          <w:color w:val="auto"/>
          <w:sz w:val="22"/>
        </w:rPr>
        <w:t>①根据《政府采购促进中小企业发展暂行办法》（财库[2011]181号）的规定，投标人为小型或微型企业且投标产品为小型或微型企业生产的并提交相关证明材料，其小型或微型企业部分投标报价扣除6%后参与评审。</w:t>
      </w:r>
    </w:p>
    <w:p>
      <w:pPr>
        <w:spacing w:line="440" w:lineRule="exact"/>
        <w:ind w:firstLine="440" w:firstLineChars="200"/>
        <w:rPr>
          <w:rFonts w:ascii="宋体" w:hAnsi="宋体" w:cs="宋体"/>
          <w:bCs/>
          <w:color w:val="auto"/>
          <w:sz w:val="22"/>
        </w:rPr>
      </w:pPr>
      <w:r>
        <w:rPr>
          <w:rFonts w:hint="eastAsia" w:ascii="宋体" w:hAnsi="宋体" w:cs="宋体"/>
          <w:bCs/>
          <w:color w:val="auto"/>
          <w:sz w:val="22"/>
        </w:rPr>
        <w:t>②根据《关于政府采购支持监狱企业发展有关问题的通知》（财库[2014]68号）的规定，投标人如为监狱企业且投标产品为小型或微型企业生产的并提交相关证明材料，在政府采购活动中，监狱企业视同小型、微型企业，其小型或微型企业部分投标报价扣除6%后参与评审。</w:t>
      </w:r>
    </w:p>
    <w:p>
      <w:pPr>
        <w:spacing w:line="440" w:lineRule="exact"/>
        <w:ind w:firstLine="440" w:firstLineChars="200"/>
        <w:rPr>
          <w:rFonts w:ascii="宋体" w:hAnsi="宋体" w:cs="宋体"/>
          <w:bCs/>
          <w:color w:val="auto"/>
          <w:sz w:val="22"/>
        </w:rPr>
      </w:pPr>
      <w:r>
        <w:rPr>
          <w:rFonts w:hint="eastAsia" w:ascii="宋体" w:hAnsi="宋体" w:cs="宋体"/>
          <w:bCs/>
          <w:color w:val="auto"/>
          <w:sz w:val="22"/>
        </w:rPr>
        <w:t>③根据《财政部、民政部、中国残疾人联合会关于促进残疾人就业政府采购政策的通知》（财库〔2017〕141号）的规定，投标人如为残疾人福利性单位且投标产品为本企业或其他残疾人福利性单位制造的并提交相关证明材料，在政府采购活动中，残疾人福利性单位视同小型、微型企业，其小型或微型企业部分投标报价扣除6%后参与评审。</w:t>
      </w:r>
    </w:p>
    <w:p>
      <w:pPr>
        <w:spacing w:line="440" w:lineRule="exact"/>
        <w:ind w:firstLine="440" w:firstLineChars="200"/>
        <w:rPr>
          <w:rFonts w:hint="eastAsia" w:ascii="宋体" w:hAnsi="宋体" w:cs="宋体"/>
          <w:bCs/>
          <w:color w:val="auto"/>
          <w:sz w:val="22"/>
        </w:rPr>
      </w:pPr>
      <w:r>
        <w:rPr>
          <w:rFonts w:hint="eastAsia" w:ascii="宋体" w:hAnsi="宋体" w:cs="宋体"/>
          <w:bCs/>
          <w:color w:val="auto"/>
          <w:sz w:val="22"/>
        </w:rPr>
        <w:t>④以上小型、微型企业的，不重复享受政策。未提供完整证明材料的，投标报价不予扣减。证明材料详见第二部分。</w:t>
      </w:r>
    </w:p>
    <w:p>
      <w:pPr>
        <w:numPr>
          <w:ilvl w:val="0"/>
          <w:numId w:val="38"/>
        </w:numPr>
        <w:spacing w:line="440" w:lineRule="exact"/>
        <w:ind w:firstLine="0"/>
        <w:rPr>
          <w:rFonts w:ascii="新宋体" w:hAnsi="新宋体" w:eastAsia="新宋体"/>
          <w:b/>
          <w:color w:val="auto"/>
          <w:sz w:val="22"/>
          <w:szCs w:val="22"/>
        </w:rPr>
      </w:pPr>
      <w:r>
        <w:rPr>
          <w:rFonts w:hint="eastAsia" w:ascii="新宋体" w:hAnsi="新宋体" w:eastAsia="新宋体"/>
          <w:b/>
          <w:color w:val="auto"/>
          <w:sz w:val="22"/>
          <w:szCs w:val="22"/>
        </w:rPr>
        <w:t>有效投标人的综合得分为商务技术文件得分和投标报价得分的总和。</w:t>
      </w:r>
    </w:p>
    <w:p>
      <w:pPr>
        <w:pStyle w:val="23"/>
        <w:rPr>
          <w:rFonts w:hint="eastAsia" w:ascii="新宋体" w:hAnsi="新宋体" w:eastAsia="新宋体"/>
          <w:b/>
          <w:color w:val="auto"/>
          <w:sz w:val="22"/>
          <w:szCs w:val="22"/>
        </w:rPr>
      </w:pPr>
    </w:p>
    <w:p>
      <w:pPr>
        <w:pStyle w:val="24"/>
        <w:rPr>
          <w:rFonts w:hint="eastAsia" w:ascii="新宋体" w:hAnsi="新宋体" w:eastAsia="新宋体"/>
          <w:b w:val="0"/>
          <w:color w:val="auto"/>
          <w:sz w:val="22"/>
          <w:szCs w:val="22"/>
        </w:rPr>
      </w:pPr>
    </w:p>
    <w:p>
      <w:pPr>
        <w:pStyle w:val="24"/>
        <w:rPr>
          <w:rFonts w:hint="eastAsia" w:ascii="新宋体" w:hAnsi="新宋体" w:eastAsia="新宋体"/>
          <w:b w:val="0"/>
          <w:color w:val="auto"/>
          <w:sz w:val="22"/>
          <w:szCs w:val="22"/>
        </w:rPr>
      </w:pPr>
    </w:p>
    <w:p>
      <w:pPr>
        <w:pStyle w:val="24"/>
        <w:rPr>
          <w:rFonts w:hint="eastAsia" w:ascii="新宋体" w:hAnsi="新宋体" w:eastAsia="新宋体"/>
          <w:b w:val="0"/>
          <w:color w:val="auto"/>
          <w:sz w:val="22"/>
          <w:szCs w:val="22"/>
        </w:rPr>
      </w:pPr>
    </w:p>
    <w:p>
      <w:pPr>
        <w:pStyle w:val="24"/>
        <w:rPr>
          <w:rFonts w:hint="eastAsia" w:ascii="新宋体" w:hAnsi="新宋体" w:eastAsia="新宋体"/>
          <w:b w:val="0"/>
          <w:color w:val="auto"/>
          <w:sz w:val="22"/>
          <w:szCs w:val="22"/>
        </w:rPr>
      </w:pPr>
    </w:p>
    <w:p>
      <w:pPr>
        <w:pStyle w:val="24"/>
        <w:rPr>
          <w:rFonts w:hint="eastAsia" w:ascii="新宋体" w:hAnsi="新宋体" w:eastAsia="新宋体"/>
          <w:b w:val="0"/>
          <w:color w:val="auto"/>
          <w:sz w:val="22"/>
          <w:szCs w:val="22"/>
        </w:rPr>
      </w:pPr>
    </w:p>
    <w:p>
      <w:pPr>
        <w:pStyle w:val="24"/>
        <w:rPr>
          <w:rFonts w:hint="eastAsia" w:ascii="新宋体" w:hAnsi="新宋体" w:eastAsia="新宋体"/>
          <w:b w:val="0"/>
          <w:color w:val="auto"/>
          <w:sz w:val="22"/>
          <w:szCs w:val="22"/>
        </w:rPr>
      </w:pPr>
    </w:p>
    <w:p>
      <w:pPr>
        <w:pStyle w:val="24"/>
        <w:rPr>
          <w:rFonts w:hint="eastAsia" w:ascii="新宋体" w:hAnsi="新宋体" w:eastAsia="新宋体"/>
          <w:b w:val="0"/>
          <w:color w:val="auto"/>
          <w:sz w:val="22"/>
          <w:szCs w:val="22"/>
        </w:rPr>
      </w:pPr>
    </w:p>
    <w:p>
      <w:pPr>
        <w:pStyle w:val="24"/>
        <w:rPr>
          <w:rFonts w:hint="eastAsia" w:ascii="新宋体" w:hAnsi="新宋体" w:eastAsia="新宋体"/>
          <w:b w:val="0"/>
          <w:color w:val="auto"/>
          <w:sz w:val="22"/>
          <w:szCs w:val="22"/>
        </w:rPr>
      </w:pPr>
    </w:p>
    <w:p>
      <w:pPr>
        <w:pStyle w:val="24"/>
        <w:rPr>
          <w:rFonts w:hint="eastAsia" w:ascii="新宋体" w:hAnsi="新宋体" w:eastAsia="新宋体"/>
          <w:b w:val="0"/>
          <w:color w:val="auto"/>
          <w:sz w:val="22"/>
          <w:szCs w:val="22"/>
        </w:rPr>
      </w:pPr>
    </w:p>
    <w:p>
      <w:pPr>
        <w:pStyle w:val="24"/>
        <w:rPr>
          <w:rFonts w:hint="eastAsia" w:ascii="新宋体" w:hAnsi="新宋体" w:eastAsia="新宋体"/>
          <w:b w:val="0"/>
          <w:color w:val="auto"/>
          <w:sz w:val="22"/>
          <w:szCs w:val="22"/>
        </w:rPr>
      </w:pPr>
    </w:p>
    <w:p>
      <w:pPr>
        <w:pStyle w:val="24"/>
        <w:rPr>
          <w:rFonts w:hint="eastAsia" w:ascii="新宋体" w:hAnsi="新宋体" w:eastAsia="新宋体"/>
          <w:b w:val="0"/>
          <w:color w:val="auto"/>
          <w:sz w:val="22"/>
          <w:szCs w:val="22"/>
        </w:rPr>
      </w:pPr>
    </w:p>
    <w:p>
      <w:pPr>
        <w:pStyle w:val="24"/>
        <w:rPr>
          <w:rFonts w:hint="eastAsia" w:ascii="新宋体" w:hAnsi="新宋体" w:eastAsia="新宋体"/>
          <w:b w:val="0"/>
          <w:color w:val="auto"/>
          <w:sz w:val="22"/>
          <w:szCs w:val="22"/>
        </w:rPr>
      </w:pPr>
    </w:p>
    <w:p>
      <w:pPr>
        <w:pStyle w:val="24"/>
        <w:rPr>
          <w:rFonts w:hint="eastAsia" w:ascii="新宋体" w:hAnsi="新宋体" w:eastAsia="新宋体"/>
          <w:b w:val="0"/>
          <w:color w:val="auto"/>
          <w:sz w:val="22"/>
          <w:szCs w:val="22"/>
        </w:rPr>
      </w:pPr>
    </w:p>
    <w:p>
      <w:pPr>
        <w:pStyle w:val="24"/>
        <w:rPr>
          <w:rFonts w:hint="eastAsia" w:ascii="新宋体" w:hAnsi="新宋体" w:eastAsia="新宋体"/>
          <w:b w:val="0"/>
          <w:color w:val="auto"/>
          <w:sz w:val="22"/>
          <w:szCs w:val="22"/>
        </w:rPr>
      </w:pPr>
    </w:p>
    <w:p>
      <w:pPr>
        <w:pStyle w:val="24"/>
        <w:ind w:left="0" w:leftChars="0" w:firstLine="0" w:firstLineChars="0"/>
        <w:rPr>
          <w:rFonts w:hint="eastAsia" w:ascii="新宋体" w:hAnsi="新宋体" w:eastAsia="新宋体"/>
          <w:b w:val="0"/>
          <w:color w:val="auto"/>
          <w:sz w:val="22"/>
          <w:szCs w:val="22"/>
        </w:rPr>
        <w:sectPr>
          <w:footerReference r:id="rId10" w:type="first"/>
          <w:headerReference r:id="rId8" w:type="default"/>
          <w:footerReference r:id="rId9" w:type="default"/>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p>
    <w:p>
      <w:pPr>
        <w:spacing w:line="380" w:lineRule="exact"/>
        <w:jc w:val="center"/>
        <w:rPr>
          <w:rFonts w:ascii="宋体" w:hAnsi="宋体" w:cs="Arial"/>
          <w:b/>
          <w:color w:val="auto"/>
          <w:sz w:val="28"/>
          <w:szCs w:val="28"/>
        </w:rPr>
      </w:pPr>
      <w:r>
        <w:rPr>
          <w:rFonts w:hint="eastAsia" w:ascii="宋体" w:hAnsi="宋体" w:cs="Arial"/>
          <w:b/>
          <w:color w:val="auto"/>
          <w:sz w:val="28"/>
          <w:szCs w:val="28"/>
          <w:lang w:eastAsia="zh-CN"/>
        </w:rPr>
        <w:t>附件</w:t>
      </w:r>
      <w:r>
        <w:rPr>
          <w:rFonts w:hint="eastAsia" w:ascii="宋体" w:hAnsi="宋体" w:cs="Arial"/>
          <w:b/>
          <w:color w:val="auto"/>
          <w:sz w:val="28"/>
          <w:szCs w:val="28"/>
          <w:lang w:val="en-US" w:eastAsia="zh-CN"/>
        </w:rPr>
        <w:t>1：</w:t>
      </w:r>
      <w:r>
        <w:rPr>
          <w:rFonts w:hint="eastAsia" w:ascii="宋体" w:hAnsi="宋体" w:cs="Arial"/>
          <w:b/>
          <w:color w:val="auto"/>
          <w:sz w:val="28"/>
          <w:szCs w:val="28"/>
        </w:rPr>
        <w:t>山福镇村级道路、河道清扫保洁质量考核评分细则</w:t>
      </w:r>
    </w:p>
    <w:tbl>
      <w:tblPr>
        <w:tblStyle w:val="56"/>
        <w:tblW w:w="148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6457"/>
        <w:gridCol w:w="3969"/>
        <w:gridCol w:w="2596"/>
        <w:gridCol w:w="8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2" w:type="dxa"/>
            <w:tcBorders>
              <w:top w:val="single" w:color="auto" w:sz="12"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cs="Arial"/>
                <w:color w:val="auto"/>
                <w:sz w:val="22"/>
                <w:szCs w:val="22"/>
              </w:rPr>
            </w:pPr>
            <w:r>
              <w:rPr>
                <w:rFonts w:hint="eastAsia" w:ascii="宋体" w:hAnsi="宋体" w:cs="Arial"/>
                <w:color w:val="auto"/>
                <w:sz w:val="22"/>
                <w:szCs w:val="22"/>
              </w:rPr>
              <w:t>项目</w:t>
            </w:r>
          </w:p>
        </w:tc>
        <w:tc>
          <w:tcPr>
            <w:tcW w:w="6457" w:type="dxa"/>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auto"/>
                <w:sz w:val="22"/>
                <w:szCs w:val="22"/>
              </w:rPr>
            </w:pPr>
            <w:r>
              <w:rPr>
                <w:rFonts w:hint="eastAsia" w:ascii="宋体" w:hAnsi="宋体" w:cs="Arial"/>
                <w:color w:val="auto"/>
                <w:sz w:val="22"/>
                <w:szCs w:val="22"/>
              </w:rPr>
              <w:t>质量（工作）标准</w:t>
            </w:r>
          </w:p>
        </w:tc>
        <w:tc>
          <w:tcPr>
            <w:tcW w:w="3969" w:type="dxa"/>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auto"/>
                <w:sz w:val="22"/>
                <w:szCs w:val="22"/>
              </w:rPr>
            </w:pPr>
            <w:r>
              <w:rPr>
                <w:rFonts w:hint="eastAsia" w:ascii="宋体" w:hAnsi="宋体" w:cs="Arial"/>
                <w:color w:val="auto"/>
                <w:sz w:val="22"/>
                <w:szCs w:val="22"/>
              </w:rPr>
              <w:t>扣分标准</w:t>
            </w:r>
          </w:p>
        </w:tc>
        <w:tc>
          <w:tcPr>
            <w:tcW w:w="2596" w:type="dxa"/>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auto"/>
                <w:sz w:val="22"/>
                <w:szCs w:val="22"/>
              </w:rPr>
            </w:pPr>
            <w:r>
              <w:rPr>
                <w:rFonts w:hint="eastAsia" w:ascii="宋体" w:hAnsi="宋体" w:cs="Arial"/>
                <w:color w:val="auto"/>
                <w:sz w:val="22"/>
                <w:szCs w:val="22"/>
              </w:rPr>
              <w:t>考核方法</w:t>
            </w:r>
          </w:p>
        </w:tc>
        <w:tc>
          <w:tcPr>
            <w:tcW w:w="824" w:type="dxa"/>
            <w:tcBorders>
              <w:top w:val="single" w:color="auto" w:sz="12"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cs="Arial"/>
                <w:color w:val="auto"/>
                <w:sz w:val="22"/>
                <w:szCs w:val="22"/>
              </w:rPr>
            </w:pPr>
            <w:r>
              <w:rPr>
                <w:rFonts w:hint="eastAsia" w:ascii="宋体" w:hAnsi="宋体" w:cs="Arial"/>
                <w:color w:val="auto"/>
                <w:sz w:val="22"/>
                <w:szCs w:val="22"/>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022" w:type="dxa"/>
            <w:vMerge w:val="restart"/>
            <w:tcBorders>
              <w:top w:val="single" w:color="auto" w:sz="4" w:space="0"/>
              <w:left w:val="single" w:color="auto" w:sz="12" w:space="0"/>
              <w:right w:val="single" w:color="auto" w:sz="4" w:space="0"/>
            </w:tcBorders>
            <w:noWrap w:val="0"/>
            <w:vAlign w:val="center"/>
          </w:tcPr>
          <w:p>
            <w:pPr>
              <w:spacing w:line="300" w:lineRule="exact"/>
              <w:jc w:val="center"/>
              <w:rPr>
                <w:rFonts w:hint="eastAsia" w:ascii="宋体" w:hAnsi="宋体"/>
                <w:color w:val="auto"/>
                <w:sz w:val="19"/>
                <w:szCs w:val="21"/>
              </w:rPr>
            </w:pPr>
            <w:r>
              <w:rPr>
                <w:rFonts w:hint="eastAsia" w:ascii="宋体" w:hAnsi="宋体"/>
                <w:color w:val="auto"/>
                <w:sz w:val="19"/>
                <w:szCs w:val="21"/>
              </w:rPr>
              <w:t>道路清扫保洁及河道保洁质量标准（</w:t>
            </w:r>
          </w:p>
          <w:p>
            <w:pPr>
              <w:spacing w:line="300" w:lineRule="exact"/>
              <w:rPr>
                <w:rFonts w:ascii="宋体" w:hAnsi="宋体"/>
                <w:color w:val="auto"/>
                <w:sz w:val="19"/>
                <w:szCs w:val="21"/>
              </w:rPr>
            </w:pPr>
            <w:r>
              <w:rPr>
                <w:rFonts w:hint="eastAsia" w:ascii="宋体" w:hAnsi="宋体"/>
                <w:color w:val="auto"/>
                <w:sz w:val="19"/>
                <w:szCs w:val="21"/>
              </w:rPr>
              <w:t>55分）</w:t>
            </w:r>
          </w:p>
        </w:tc>
        <w:tc>
          <w:tcPr>
            <w:tcW w:w="6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宋体"/>
                <w:color w:val="auto"/>
                <w:kern w:val="0"/>
                <w:sz w:val="19"/>
                <w:szCs w:val="21"/>
              </w:rPr>
            </w:pPr>
            <w:r>
              <w:rPr>
                <w:rFonts w:hint="eastAsia" w:ascii="宋体" w:hAnsi="宋体"/>
                <w:color w:val="auto"/>
                <w:sz w:val="19"/>
                <w:szCs w:val="21"/>
              </w:rPr>
              <w:t>达到“七无五净”标准，即无杂物;无果皮壳；无纸屑，烟蒂，塑料袋；无淤泥积土；无污水；无堵塞窨井沟眼；无卫生死角。路面、路牙净，窨井沟眼净，树穴净，边角净，花坛周围净。</w:t>
            </w:r>
            <w:r>
              <w:rPr>
                <w:rFonts w:hint="eastAsia" w:ascii="宋体" w:hAnsi="宋体" w:cs="宋体"/>
                <w:color w:val="auto"/>
                <w:kern w:val="0"/>
                <w:sz w:val="19"/>
                <w:szCs w:val="21"/>
              </w:rPr>
              <w:t xml:space="preserve"> </w:t>
            </w:r>
          </w:p>
        </w:tc>
        <w:tc>
          <w:tcPr>
            <w:tcW w:w="3969" w:type="dxa"/>
            <w:tcBorders>
              <w:top w:val="single" w:color="auto" w:sz="4" w:space="0"/>
              <w:left w:val="single" w:color="auto" w:sz="4" w:space="0"/>
              <w:right w:val="single" w:color="auto" w:sz="4" w:space="0"/>
            </w:tcBorders>
            <w:noWrap w:val="0"/>
            <w:vAlign w:val="center"/>
          </w:tcPr>
          <w:p>
            <w:pPr>
              <w:spacing w:line="300" w:lineRule="exact"/>
              <w:rPr>
                <w:rFonts w:ascii="宋体" w:hAnsi="宋体"/>
                <w:color w:val="auto"/>
                <w:sz w:val="19"/>
                <w:szCs w:val="21"/>
              </w:rPr>
            </w:pPr>
            <w:r>
              <w:rPr>
                <w:rFonts w:hint="eastAsia" w:ascii="宋体" w:hAnsi="宋体"/>
                <w:color w:val="auto"/>
                <w:sz w:val="19"/>
                <w:szCs w:val="21"/>
              </w:rPr>
              <w:t>质量未达到“七无五净”标准视情扣0.</w:t>
            </w:r>
            <w:r>
              <w:rPr>
                <w:rFonts w:hint="eastAsia" w:ascii="宋体" w:hAnsi="宋体"/>
                <w:color w:val="auto"/>
                <w:sz w:val="19"/>
                <w:szCs w:val="21"/>
                <w:lang w:val="en-US" w:eastAsia="zh-CN"/>
              </w:rPr>
              <w:t>05</w:t>
            </w:r>
            <w:r>
              <w:rPr>
                <w:rFonts w:hint="eastAsia" w:ascii="宋体" w:hAnsi="宋体"/>
                <w:color w:val="auto"/>
                <w:sz w:val="19"/>
                <w:szCs w:val="21"/>
              </w:rPr>
              <w:t>分/处</w:t>
            </w:r>
          </w:p>
        </w:tc>
        <w:tc>
          <w:tcPr>
            <w:tcW w:w="2596" w:type="dxa"/>
            <w:tcBorders>
              <w:top w:val="single" w:color="auto" w:sz="4" w:space="0"/>
              <w:left w:val="single" w:color="auto" w:sz="4" w:space="0"/>
              <w:right w:val="single" w:color="auto" w:sz="4" w:space="0"/>
            </w:tcBorders>
            <w:noWrap w:val="0"/>
            <w:vAlign w:val="center"/>
          </w:tcPr>
          <w:p>
            <w:pPr>
              <w:spacing w:line="300" w:lineRule="exact"/>
              <w:rPr>
                <w:rFonts w:ascii="宋体" w:hAnsi="宋体" w:cs="Arial"/>
                <w:color w:val="auto"/>
                <w:sz w:val="19"/>
                <w:szCs w:val="22"/>
              </w:rPr>
            </w:pPr>
            <w:r>
              <w:rPr>
                <w:rFonts w:hint="eastAsia" w:ascii="宋体" w:hAnsi="宋体" w:cs="Arial"/>
                <w:color w:val="auto"/>
                <w:sz w:val="19"/>
                <w:szCs w:val="22"/>
              </w:rPr>
              <w:t>在规定的保洁时间内（包括节假日），随机抽查，不合格路段反复查。</w:t>
            </w:r>
          </w:p>
        </w:tc>
        <w:tc>
          <w:tcPr>
            <w:tcW w:w="824" w:type="dxa"/>
            <w:tcBorders>
              <w:top w:val="single" w:color="auto" w:sz="4" w:space="0"/>
              <w:left w:val="single" w:color="auto" w:sz="4" w:space="0"/>
              <w:right w:val="single" w:color="auto" w:sz="12" w:space="0"/>
            </w:tcBorders>
            <w:noWrap w:val="0"/>
            <w:vAlign w:val="center"/>
          </w:tcPr>
          <w:p>
            <w:pPr>
              <w:spacing w:line="300" w:lineRule="exact"/>
              <w:jc w:val="center"/>
              <w:rPr>
                <w:rFonts w:hint="eastAsia" w:ascii="宋体" w:hAnsi="宋体"/>
                <w:color w:val="auto"/>
                <w:sz w:val="19"/>
                <w:szCs w:val="21"/>
              </w:rPr>
            </w:pPr>
            <w:r>
              <w:rPr>
                <w:rFonts w:hint="eastAsia" w:ascii="宋体" w:hAnsi="宋体"/>
                <w:color w:val="auto"/>
                <w:sz w:val="19"/>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1022" w:type="dxa"/>
            <w:vMerge w:val="continue"/>
            <w:tcBorders>
              <w:left w:val="single" w:color="auto" w:sz="12" w:space="0"/>
              <w:right w:val="single" w:color="auto" w:sz="4" w:space="0"/>
            </w:tcBorders>
            <w:noWrap w:val="0"/>
            <w:vAlign w:val="center"/>
          </w:tcPr>
          <w:p>
            <w:pPr>
              <w:spacing w:line="300" w:lineRule="exact"/>
              <w:jc w:val="center"/>
              <w:rPr>
                <w:rFonts w:hint="eastAsia" w:ascii="宋体" w:hAnsi="宋体"/>
                <w:color w:val="auto"/>
                <w:sz w:val="19"/>
                <w:szCs w:val="21"/>
              </w:rPr>
            </w:pPr>
          </w:p>
        </w:tc>
        <w:tc>
          <w:tcPr>
            <w:tcW w:w="6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 w:val="19"/>
                <w:szCs w:val="21"/>
              </w:rPr>
            </w:pPr>
            <w:r>
              <w:rPr>
                <w:rFonts w:hint="eastAsia" w:ascii="宋体" w:hAnsi="宋体" w:cs="Arial"/>
                <w:b/>
                <w:color w:val="auto"/>
                <w:sz w:val="22"/>
                <w:szCs w:val="22"/>
                <w:u w:val="single"/>
              </w:rPr>
              <w:t>山福镇中心道路</w:t>
            </w:r>
            <w:r>
              <w:rPr>
                <w:rFonts w:hint="eastAsia" w:ascii="宋体" w:hAnsi="宋体"/>
                <w:color w:val="auto"/>
                <w:sz w:val="19"/>
                <w:szCs w:val="21"/>
              </w:rPr>
              <w:t>全天实行14个小时（5:30-19:30）保洁，确保一日二次以上普扫。第一次普扫即晨扫必须在夏季6：00、冬季6：30以前完成；每二次普扫在下午夏季13：30前完成</w:t>
            </w:r>
            <w:r>
              <w:rPr>
                <w:rFonts w:ascii="宋体" w:hAnsi="宋体"/>
                <w:color w:val="auto"/>
                <w:sz w:val="19"/>
                <w:szCs w:val="21"/>
              </w:rPr>
              <w:t>（夏季高温可以调整为15：30前完成</w:t>
            </w:r>
            <w:r>
              <w:rPr>
                <w:rFonts w:hint="eastAsia" w:ascii="宋体" w:hAnsi="宋体"/>
                <w:color w:val="auto"/>
                <w:sz w:val="19"/>
                <w:szCs w:val="21"/>
              </w:rPr>
              <w:t>）</w:t>
            </w:r>
            <w:r>
              <w:rPr>
                <w:rFonts w:ascii="宋体" w:hAnsi="宋体"/>
                <w:color w:val="auto"/>
                <w:sz w:val="19"/>
                <w:szCs w:val="21"/>
              </w:rPr>
              <w:t>，冬季为14:00前完成</w:t>
            </w:r>
            <w:r>
              <w:rPr>
                <w:rFonts w:hint="eastAsia" w:ascii="宋体" w:hAnsi="宋体"/>
                <w:color w:val="auto"/>
                <w:sz w:val="19"/>
                <w:szCs w:val="21"/>
              </w:rPr>
              <w:t>。</w:t>
            </w:r>
            <w:r>
              <w:rPr>
                <w:rFonts w:hint="eastAsia" w:ascii="宋体" w:hAnsi="宋体" w:cs="Arial"/>
                <w:b/>
                <w:color w:val="auto"/>
                <w:sz w:val="22"/>
                <w:szCs w:val="22"/>
                <w:u w:val="single"/>
              </w:rPr>
              <w:t>其余道路</w:t>
            </w:r>
            <w:r>
              <w:rPr>
                <w:rFonts w:hint="eastAsia" w:ascii="宋体" w:hAnsi="宋体"/>
                <w:color w:val="auto"/>
                <w:sz w:val="19"/>
                <w:szCs w:val="21"/>
              </w:rPr>
              <w:t>全天实行12个小时（6:00-18:00），确保一日二次普扫。第一次普扫即晨扫必须在夏季6：30、冬季7：00以前完成；每二次普扫在下午夏季13：30前完成</w:t>
            </w:r>
            <w:r>
              <w:rPr>
                <w:rFonts w:ascii="宋体" w:hAnsi="宋体"/>
                <w:color w:val="auto"/>
                <w:sz w:val="19"/>
                <w:szCs w:val="21"/>
              </w:rPr>
              <w:t>（夏季高温可以调整为15：30前完成</w:t>
            </w:r>
            <w:r>
              <w:rPr>
                <w:rFonts w:hint="eastAsia" w:ascii="宋体" w:hAnsi="宋体"/>
                <w:color w:val="auto"/>
                <w:sz w:val="19"/>
                <w:szCs w:val="21"/>
              </w:rPr>
              <w:t>）</w:t>
            </w:r>
            <w:r>
              <w:rPr>
                <w:rFonts w:ascii="宋体" w:hAnsi="宋体"/>
                <w:color w:val="auto"/>
                <w:sz w:val="19"/>
                <w:szCs w:val="21"/>
              </w:rPr>
              <w:t>，冬季14:00前完成</w:t>
            </w:r>
            <w:r>
              <w:rPr>
                <w:rFonts w:hint="eastAsia" w:ascii="宋体" w:hAnsi="宋体"/>
                <w:color w:val="auto"/>
                <w:sz w:val="19"/>
                <w:szCs w:val="21"/>
              </w:rPr>
              <w:t>。保洁</w:t>
            </w:r>
            <w:r>
              <w:rPr>
                <w:rFonts w:ascii="宋体" w:hAnsi="宋体"/>
                <w:color w:val="auto"/>
                <w:sz w:val="19"/>
                <w:szCs w:val="21"/>
              </w:rPr>
              <w:t>扫结束后做好巡回保洁工作，交接班不得出现空档，责任区交界处</w:t>
            </w:r>
            <w:r>
              <w:rPr>
                <w:rFonts w:hint="eastAsia" w:ascii="宋体" w:hAnsi="宋体"/>
                <w:color w:val="auto"/>
                <w:sz w:val="19"/>
                <w:szCs w:val="21"/>
              </w:rPr>
              <w:t>，责任交界处清扫保洁各过界10米，普扫时段内，要求环卫工人全员出勤。</w:t>
            </w:r>
          </w:p>
        </w:tc>
        <w:tc>
          <w:tcPr>
            <w:tcW w:w="3969" w:type="dxa"/>
            <w:tcBorders>
              <w:left w:val="single" w:color="auto" w:sz="4" w:space="0"/>
              <w:right w:val="single" w:color="auto" w:sz="4" w:space="0"/>
            </w:tcBorders>
            <w:noWrap w:val="0"/>
            <w:vAlign w:val="center"/>
          </w:tcPr>
          <w:p>
            <w:pPr>
              <w:spacing w:line="300" w:lineRule="exact"/>
              <w:rPr>
                <w:rFonts w:hint="eastAsia" w:ascii="宋体" w:hAnsi="宋体"/>
                <w:color w:val="auto"/>
                <w:sz w:val="19"/>
                <w:szCs w:val="21"/>
              </w:rPr>
            </w:pPr>
            <w:r>
              <w:rPr>
                <w:rFonts w:hint="eastAsia" w:ascii="宋体" w:hAnsi="宋体"/>
                <w:color w:val="auto"/>
                <w:sz w:val="19"/>
                <w:szCs w:val="21"/>
              </w:rPr>
              <w:t>发现普扫未按规定时间、未达到规定次数或要求的一次扣</w:t>
            </w:r>
            <w:r>
              <w:rPr>
                <w:rFonts w:hint="eastAsia" w:ascii="宋体" w:hAnsi="宋体"/>
                <w:color w:val="auto"/>
                <w:sz w:val="19"/>
                <w:szCs w:val="21"/>
                <w:lang w:val="en-US" w:eastAsia="zh-CN"/>
              </w:rPr>
              <w:t>0.05</w:t>
            </w:r>
            <w:r>
              <w:rPr>
                <w:rFonts w:hint="eastAsia" w:ascii="宋体" w:hAnsi="宋体"/>
                <w:color w:val="auto"/>
                <w:sz w:val="19"/>
                <w:szCs w:val="21"/>
              </w:rPr>
              <w:t>-分</w:t>
            </w:r>
          </w:p>
        </w:tc>
        <w:tc>
          <w:tcPr>
            <w:tcW w:w="2596" w:type="dxa"/>
            <w:tcBorders>
              <w:left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在规定的保洁时间内（包括节假日），随机抽查，不合格路段反复查。</w:t>
            </w:r>
          </w:p>
        </w:tc>
        <w:tc>
          <w:tcPr>
            <w:tcW w:w="824" w:type="dxa"/>
            <w:tcBorders>
              <w:left w:val="single" w:color="auto" w:sz="4" w:space="0"/>
              <w:right w:val="single" w:color="auto" w:sz="12" w:space="0"/>
            </w:tcBorders>
            <w:noWrap w:val="0"/>
            <w:vAlign w:val="center"/>
          </w:tcPr>
          <w:p>
            <w:pPr>
              <w:spacing w:line="300" w:lineRule="exact"/>
              <w:jc w:val="center"/>
              <w:rPr>
                <w:rFonts w:hint="eastAsia" w:ascii="宋体" w:hAnsi="宋体" w:eastAsia="宋体"/>
                <w:color w:val="auto"/>
                <w:sz w:val="19"/>
                <w:szCs w:val="21"/>
                <w:lang w:eastAsia="zh-CN"/>
              </w:rPr>
            </w:pPr>
            <w:r>
              <w:rPr>
                <w:rFonts w:hint="eastAsia" w:ascii="宋体" w:hAnsi="宋体"/>
                <w:color w:val="auto"/>
                <w:sz w:val="19"/>
                <w:szCs w:val="21"/>
              </w:rPr>
              <w:t>1</w:t>
            </w:r>
            <w:r>
              <w:rPr>
                <w:rFonts w:hint="eastAsia" w:ascii="宋体" w:hAnsi="宋体"/>
                <w:color w:val="auto"/>
                <w:sz w:val="19"/>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22" w:type="dxa"/>
            <w:vMerge w:val="continue"/>
            <w:tcBorders>
              <w:left w:val="single" w:color="auto" w:sz="12" w:space="0"/>
              <w:right w:val="single" w:color="auto" w:sz="4" w:space="0"/>
            </w:tcBorders>
            <w:noWrap w:val="0"/>
            <w:vAlign w:val="center"/>
          </w:tcPr>
          <w:p>
            <w:pPr>
              <w:spacing w:line="300" w:lineRule="exact"/>
              <w:jc w:val="center"/>
              <w:rPr>
                <w:rFonts w:hint="eastAsia" w:ascii="宋体" w:hAnsi="宋体"/>
                <w:color w:val="auto"/>
                <w:sz w:val="19"/>
                <w:szCs w:val="21"/>
              </w:rPr>
            </w:pPr>
          </w:p>
        </w:tc>
        <w:tc>
          <w:tcPr>
            <w:tcW w:w="6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 w:val="19"/>
                <w:szCs w:val="21"/>
              </w:rPr>
            </w:pPr>
            <w:r>
              <w:rPr>
                <w:rFonts w:hint="eastAsia" w:ascii="宋体" w:hAnsi="宋体"/>
                <w:color w:val="auto"/>
                <w:sz w:val="19"/>
                <w:szCs w:val="21"/>
              </w:rPr>
              <w:t xml:space="preserve">道路绿地（含车道绿化隔离带、人行道绿地）保洁应与道路保洁同步，做到绿化带内无杂物、无垃圾。 </w:t>
            </w:r>
          </w:p>
        </w:tc>
        <w:tc>
          <w:tcPr>
            <w:tcW w:w="3969" w:type="dxa"/>
            <w:tcBorders>
              <w:left w:val="single" w:color="auto" w:sz="4" w:space="0"/>
              <w:right w:val="single" w:color="auto" w:sz="4" w:space="0"/>
            </w:tcBorders>
            <w:noWrap w:val="0"/>
            <w:vAlign w:val="center"/>
          </w:tcPr>
          <w:p>
            <w:pPr>
              <w:spacing w:line="300" w:lineRule="exact"/>
              <w:rPr>
                <w:rFonts w:hint="eastAsia" w:ascii="宋体" w:hAnsi="宋体"/>
                <w:color w:val="auto"/>
                <w:sz w:val="19"/>
                <w:szCs w:val="21"/>
              </w:rPr>
            </w:pPr>
            <w:r>
              <w:rPr>
                <w:rFonts w:hint="eastAsia" w:ascii="宋体" w:hAnsi="宋体"/>
                <w:color w:val="auto"/>
                <w:sz w:val="19"/>
                <w:szCs w:val="21"/>
              </w:rPr>
              <w:t>发现未达标的扣0.</w:t>
            </w:r>
            <w:r>
              <w:rPr>
                <w:rFonts w:hint="eastAsia" w:ascii="宋体" w:hAnsi="宋体"/>
                <w:color w:val="auto"/>
                <w:sz w:val="19"/>
                <w:szCs w:val="21"/>
                <w:lang w:val="en-US" w:eastAsia="zh-CN"/>
              </w:rPr>
              <w:t>0</w:t>
            </w:r>
            <w:r>
              <w:rPr>
                <w:rFonts w:hint="eastAsia" w:ascii="宋体" w:hAnsi="宋体"/>
                <w:color w:val="auto"/>
                <w:sz w:val="19"/>
                <w:szCs w:val="21"/>
              </w:rPr>
              <w:t>5分/次。</w:t>
            </w:r>
          </w:p>
        </w:tc>
        <w:tc>
          <w:tcPr>
            <w:tcW w:w="2596" w:type="dxa"/>
            <w:tcBorders>
              <w:left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在规定的保洁时间内（包括节假日），随机抽查，不合格路段反复查。</w:t>
            </w:r>
          </w:p>
        </w:tc>
        <w:tc>
          <w:tcPr>
            <w:tcW w:w="824" w:type="dxa"/>
            <w:tcBorders>
              <w:left w:val="single" w:color="auto" w:sz="4" w:space="0"/>
              <w:right w:val="single" w:color="auto" w:sz="12" w:space="0"/>
            </w:tcBorders>
            <w:noWrap w:val="0"/>
            <w:vAlign w:val="center"/>
          </w:tcPr>
          <w:p>
            <w:pPr>
              <w:spacing w:line="300" w:lineRule="exact"/>
              <w:jc w:val="center"/>
              <w:rPr>
                <w:rFonts w:hint="eastAsia" w:ascii="宋体" w:hAnsi="宋体"/>
                <w:color w:val="auto"/>
                <w:sz w:val="19"/>
                <w:szCs w:val="21"/>
              </w:rPr>
            </w:pPr>
            <w:r>
              <w:rPr>
                <w:rFonts w:hint="eastAsia" w:ascii="宋体" w:hAnsi="宋体"/>
                <w:color w:val="auto"/>
                <w:sz w:val="19"/>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22" w:type="dxa"/>
            <w:vMerge w:val="continue"/>
            <w:tcBorders>
              <w:left w:val="single" w:color="auto" w:sz="12" w:space="0"/>
              <w:right w:val="single" w:color="auto" w:sz="4" w:space="0"/>
            </w:tcBorders>
            <w:noWrap w:val="0"/>
            <w:vAlign w:val="center"/>
          </w:tcPr>
          <w:p>
            <w:pPr>
              <w:spacing w:line="300" w:lineRule="exact"/>
              <w:jc w:val="center"/>
              <w:rPr>
                <w:rFonts w:hint="eastAsia" w:ascii="宋体" w:hAnsi="宋体"/>
                <w:color w:val="auto"/>
                <w:sz w:val="19"/>
                <w:szCs w:val="21"/>
              </w:rPr>
            </w:pPr>
          </w:p>
        </w:tc>
        <w:tc>
          <w:tcPr>
            <w:tcW w:w="6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 w:val="19"/>
                <w:szCs w:val="21"/>
              </w:rPr>
            </w:pPr>
            <w:r>
              <w:rPr>
                <w:rFonts w:hint="eastAsia" w:ascii="宋体" w:hAnsi="宋体"/>
                <w:color w:val="auto"/>
                <w:sz w:val="19"/>
                <w:szCs w:val="21"/>
              </w:rPr>
              <w:t xml:space="preserve">及时清除标段内道路两侧路灯柱、报刊（信息）亭、电话亭、邮政信箱等城市家具（不含箱式变电间）小广告（以水洗或其他清洗剂清洗为主，采用颜料涂改需采用原清洗面相似颜料涂盖）。             </w:t>
            </w:r>
          </w:p>
        </w:tc>
        <w:tc>
          <w:tcPr>
            <w:tcW w:w="3969" w:type="dxa"/>
            <w:tcBorders>
              <w:left w:val="single" w:color="auto" w:sz="4" w:space="0"/>
              <w:right w:val="single" w:color="auto" w:sz="4" w:space="0"/>
            </w:tcBorders>
            <w:noWrap w:val="0"/>
            <w:vAlign w:val="center"/>
          </w:tcPr>
          <w:p>
            <w:pPr>
              <w:spacing w:line="300" w:lineRule="exact"/>
              <w:rPr>
                <w:rFonts w:hint="eastAsia" w:ascii="宋体" w:hAnsi="宋体"/>
                <w:color w:val="auto"/>
                <w:sz w:val="19"/>
                <w:szCs w:val="21"/>
              </w:rPr>
            </w:pPr>
            <w:r>
              <w:rPr>
                <w:rFonts w:hint="eastAsia" w:ascii="宋体" w:hAnsi="宋体"/>
                <w:color w:val="auto"/>
                <w:sz w:val="19"/>
                <w:szCs w:val="21"/>
              </w:rPr>
              <w:t>发现未达标的扣0.</w:t>
            </w:r>
            <w:r>
              <w:rPr>
                <w:rFonts w:hint="eastAsia" w:ascii="宋体" w:hAnsi="宋体"/>
                <w:color w:val="auto"/>
                <w:sz w:val="19"/>
                <w:szCs w:val="21"/>
                <w:lang w:val="en-US" w:eastAsia="zh-CN"/>
              </w:rPr>
              <w:t>0</w:t>
            </w:r>
            <w:r>
              <w:rPr>
                <w:rFonts w:hint="eastAsia" w:ascii="宋体" w:hAnsi="宋体"/>
                <w:color w:val="auto"/>
                <w:sz w:val="19"/>
                <w:szCs w:val="21"/>
              </w:rPr>
              <w:t>5分/次。</w:t>
            </w:r>
          </w:p>
        </w:tc>
        <w:tc>
          <w:tcPr>
            <w:tcW w:w="2596" w:type="dxa"/>
            <w:tcBorders>
              <w:left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在规定的保洁时间内（包括节假日），随机抽查，不合格路段反复查。</w:t>
            </w:r>
          </w:p>
        </w:tc>
        <w:tc>
          <w:tcPr>
            <w:tcW w:w="824" w:type="dxa"/>
            <w:tcBorders>
              <w:left w:val="single" w:color="auto" w:sz="4" w:space="0"/>
              <w:right w:val="single" w:color="auto" w:sz="12" w:space="0"/>
            </w:tcBorders>
            <w:noWrap w:val="0"/>
            <w:vAlign w:val="center"/>
          </w:tcPr>
          <w:p>
            <w:pPr>
              <w:spacing w:line="300" w:lineRule="exact"/>
              <w:jc w:val="center"/>
              <w:rPr>
                <w:rFonts w:hint="eastAsia" w:ascii="宋体" w:hAnsi="宋体" w:eastAsia="宋体"/>
                <w:color w:val="auto"/>
                <w:sz w:val="19"/>
                <w:szCs w:val="21"/>
                <w:lang w:eastAsia="zh-CN"/>
              </w:rPr>
            </w:pPr>
            <w:r>
              <w:rPr>
                <w:rFonts w:hint="eastAsia" w:ascii="宋体" w:hAnsi="宋体"/>
                <w:color w:val="auto"/>
                <w:sz w:val="19"/>
                <w:szCs w:val="21"/>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22" w:type="dxa"/>
            <w:vMerge w:val="continue"/>
            <w:tcBorders>
              <w:left w:val="single" w:color="auto" w:sz="12" w:space="0"/>
              <w:right w:val="single" w:color="auto" w:sz="4" w:space="0"/>
            </w:tcBorders>
            <w:noWrap w:val="0"/>
            <w:vAlign w:val="center"/>
          </w:tcPr>
          <w:p>
            <w:pPr>
              <w:spacing w:line="300" w:lineRule="exact"/>
              <w:jc w:val="center"/>
              <w:rPr>
                <w:rFonts w:hint="eastAsia" w:ascii="宋体" w:hAnsi="宋体"/>
                <w:color w:val="auto"/>
                <w:sz w:val="19"/>
                <w:szCs w:val="21"/>
              </w:rPr>
            </w:pPr>
          </w:p>
        </w:tc>
        <w:tc>
          <w:tcPr>
            <w:tcW w:w="6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 w:val="19"/>
                <w:szCs w:val="21"/>
              </w:rPr>
            </w:pPr>
            <w:r>
              <w:rPr>
                <w:rFonts w:hint="eastAsia" w:ascii="宋体" w:hAnsi="宋体"/>
                <w:color w:val="auto"/>
                <w:sz w:val="19"/>
                <w:szCs w:val="21"/>
              </w:rPr>
              <w:t>交通护栏或交通隔离要进行日常保洁，应保持整洁、无污垢。</w:t>
            </w:r>
          </w:p>
        </w:tc>
        <w:tc>
          <w:tcPr>
            <w:tcW w:w="3969" w:type="dxa"/>
            <w:tcBorders>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 w:val="19"/>
                <w:szCs w:val="21"/>
              </w:rPr>
            </w:pPr>
            <w:r>
              <w:rPr>
                <w:rFonts w:hint="eastAsia" w:ascii="宋体" w:hAnsi="宋体"/>
                <w:color w:val="auto"/>
                <w:sz w:val="19"/>
                <w:szCs w:val="21"/>
              </w:rPr>
              <w:t>发现明显不整洁或污垢的扣0.</w:t>
            </w:r>
            <w:r>
              <w:rPr>
                <w:rFonts w:hint="eastAsia" w:ascii="宋体" w:hAnsi="宋体"/>
                <w:color w:val="auto"/>
                <w:sz w:val="19"/>
                <w:szCs w:val="21"/>
                <w:lang w:val="en-US" w:eastAsia="zh-CN"/>
              </w:rPr>
              <w:t>0</w:t>
            </w:r>
            <w:r>
              <w:rPr>
                <w:rFonts w:hint="eastAsia" w:ascii="宋体" w:hAnsi="宋体"/>
                <w:color w:val="auto"/>
                <w:sz w:val="19"/>
                <w:szCs w:val="21"/>
              </w:rPr>
              <w:t>5分/处</w:t>
            </w:r>
          </w:p>
        </w:tc>
        <w:tc>
          <w:tcPr>
            <w:tcW w:w="2596" w:type="dxa"/>
            <w:tcBorders>
              <w:left w:val="single" w:color="auto" w:sz="4"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在规定的保洁时间内（包括节假日），随机抽查，不合格路段反复查。</w:t>
            </w:r>
          </w:p>
        </w:tc>
        <w:tc>
          <w:tcPr>
            <w:tcW w:w="824" w:type="dxa"/>
            <w:tcBorders>
              <w:left w:val="single" w:color="auto" w:sz="4" w:space="0"/>
              <w:bottom w:val="single" w:color="auto" w:sz="4" w:space="0"/>
              <w:right w:val="single" w:color="auto" w:sz="12" w:space="0"/>
            </w:tcBorders>
            <w:noWrap w:val="0"/>
            <w:vAlign w:val="center"/>
          </w:tcPr>
          <w:p>
            <w:pPr>
              <w:spacing w:line="300" w:lineRule="exact"/>
              <w:jc w:val="center"/>
              <w:rPr>
                <w:rFonts w:hint="eastAsia" w:ascii="宋体" w:hAnsi="宋体"/>
                <w:color w:val="auto"/>
                <w:sz w:val="19"/>
                <w:szCs w:val="21"/>
              </w:rPr>
            </w:pPr>
            <w:r>
              <w:rPr>
                <w:rFonts w:hint="eastAsia" w:ascii="宋体" w:hAnsi="宋体"/>
                <w:color w:val="auto"/>
                <w:sz w:val="19"/>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22" w:type="dxa"/>
            <w:vMerge w:val="continue"/>
            <w:tcBorders>
              <w:left w:val="single" w:color="auto" w:sz="12" w:space="0"/>
              <w:bottom w:val="single" w:color="auto" w:sz="4" w:space="0"/>
              <w:right w:val="single" w:color="auto" w:sz="4" w:space="0"/>
            </w:tcBorders>
            <w:noWrap w:val="0"/>
            <w:vAlign w:val="center"/>
          </w:tcPr>
          <w:p>
            <w:pPr>
              <w:spacing w:line="300" w:lineRule="exact"/>
              <w:jc w:val="center"/>
              <w:rPr>
                <w:rFonts w:hint="eastAsia" w:ascii="宋体" w:hAnsi="宋体"/>
                <w:color w:val="auto"/>
                <w:sz w:val="19"/>
                <w:szCs w:val="21"/>
              </w:rPr>
            </w:pPr>
          </w:p>
        </w:tc>
        <w:tc>
          <w:tcPr>
            <w:tcW w:w="6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 w:val="19"/>
                <w:szCs w:val="21"/>
              </w:rPr>
            </w:pPr>
            <w:r>
              <w:rPr>
                <w:rFonts w:hint="eastAsia" w:ascii="宋体" w:hAnsi="宋体"/>
                <w:color w:val="auto"/>
                <w:sz w:val="19"/>
                <w:szCs w:val="21"/>
                <w:u w:val="single"/>
              </w:rPr>
              <w:t>岸边及河道保洁，无明显悬浮物、无垃圾堆放</w:t>
            </w:r>
          </w:p>
        </w:tc>
        <w:tc>
          <w:tcPr>
            <w:tcW w:w="3969" w:type="dxa"/>
            <w:tcBorders>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 w:val="19"/>
                <w:szCs w:val="21"/>
              </w:rPr>
            </w:pPr>
            <w:r>
              <w:rPr>
                <w:rFonts w:hint="eastAsia" w:ascii="宋体" w:hAnsi="宋体"/>
                <w:color w:val="auto"/>
                <w:sz w:val="19"/>
                <w:szCs w:val="21"/>
              </w:rPr>
              <w:t>发现未达标的扣0.</w:t>
            </w:r>
            <w:r>
              <w:rPr>
                <w:rFonts w:hint="eastAsia" w:ascii="宋体" w:hAnsi="宋体"/>
                <w:color w:val="auto"/>
                <w:sz w:val="19"/>
                <w:szCs w:val="21"/>
                <w:lang w:val="en-US" w:eastAsia="zh-CN"/>
              </w:rPr>
              <w:t>0</w:t>
            </w:r>
            <w:r>
              <w:rPr>
                <w:rFonts w:hint="eastAsia" w:ascii="宋体" w:hAnsi="宋体"/>
                <w:color w:val="auto"/>
                <w:sz w:val="19"/>
                <w:szCs w:val="21"/>
              </w:rPr>
              <w:t>5分/次。</w:t>
            </w:r>
          </w:p>
        </w:tc>
        <w:tc>
          <w:tcPr>
            <w:tcW w:w="2596" w:type="dxa"/>
            <w:tcBorders>
              <w:left w:val="single" w:color="auto" w:sz="4"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在规定的保洁时间内（包括节假日），随机抽查，不合格路段反复查。</w:t>
            </w:r>
          </w:p>
        </w:tc>
        <w:tc>
          <w:tcPr>
            <w:tcW w:w="824" w:type="dxa"/>
            <w:tcBorders>
              <w:left w:val="single" w:color="auto" w:sz="4" w:space="0"/>
              <w:bottom w:val="single" w:color="auto" w:sz="4" w:space="0"/>
              <w:right w:val="single" w:color="auto" w:sz="12" w:space="0"/>
            </w:tcBorders>
            <w:noWrap w:val="0"/>
            <w:vAlign w:val="center"/>
          </w:tcPr>
          <w:p>
            <w:pPr>
              <w:spacing w:line="300" w:lineRule="exact"/>
              <w:jc w:val="center"/>
              <w:rPr>
                <w:rFonts w:hint="eastAsia" w:ascii="宋体" w:hAnsi="宋体"/>
                <w:color w:val="auto"/>
                <w:sz w:val="19"/>
                <w:szCs w:val="21"/>
              </w:rPr>
            </w:pPr>
            <w:r>
              <w:rPr>
                <w:rFonts w:hint="eastAsia" w:ascii="宋体" w:hAnsi="宋体"/>
                <w:color w:val="auto"/>
                <w:sz w:val="19"/>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22" w:type="dxa"/>
            <w:vMerge w:val="restart"/>
            <w:tcBorders>
              <w:top w:val="single" w:color="auto" w:sz="4" w:space="0"/>
              <w:left w:val="single" w:color="auto" w:sz="12" w:space="0"/>
              <w:right w:val="single" w:color="auto" w:sz="4" w:space="0"/>
            </w:tcBorders>
            <w:noWrap w:val="0"/>
            <w:vAlign w:val="center"/>
          </w:tcPr>
          <w:p>
            <w:pPr>
              <w:spacing w:line="300" w:lineRule="exact"/>
              <w:jc w:val="center"/>
              <w:rPr>
                <w:rFonts w:hint="eastAsia" w:ascii="宋体" w:hAnsi="宋体"/>
                <w:color w:val="auto"/>
                <w:sz w:val="19"/>
                <w:szCs w:val="21"/>
              </w:rPr>
            </w:pPr>
            <w:r>
              <w:rPr>
                <w:rFonts w:hint="eastAsia" w:ascii="宋体" w:hAnsi="宋体"/>
                <w:color w:val="auto"/>
                <w:sz w:val="19"/>
                <w:szCs w:val="21"/>
              </w:rPr>
              <w:t>环卫设施维护标  准</w:t>
            </w:r>
          </w:p>
          <w:p>
            <w:pPr>
              <w:spacing w:line="300" w:lineRule="exact"/>
              <w:jc w:val="center"/>
              <w:rPr>
                <w:rFonts w:ascii="宋体" w:hAnsi="宋体"/>
                <w:color w:val="auto"/>
                <w:sz w:val="19"/>
                <w:szCs w:val="21"/>
              </w:rPr>
            </w:pPr>
            <w:r>
              <w:rPr>
                <w:rFonts w:hint="eastAsia" w:ascii="宋体" w:hAnsi="宋体"/>
                <w:color w:val="auto"/>
                <w:sz w:val="19"/>
                <w:szCs w:val="21"/>
              </w:rPr>
              <w:t>（15分）</w:t>
            </w:r>
          </w:p>
        </w:tc>
        <w:tc>
          <w:tcPr>
            <w:tcW w:w="6457" w:type="dxa"/>
            <w:tcBorders>
              <w:top w:val="single" w:color="auto" w:sz="4" w:space="0"/>
              <w:left w:val="single" w:color="auto" w:sz="4" w:space="0"/>
              <w:right w:val="single" w:color="auto" w:sz="4" w:space="0"/>
            </w:tcBorders>
            <w:noWrap w:val="0"/>
            <w:vAlign w:val="center"/>
          </w:tcPr>
          <w:p>
            <w:pPr>
              <w:spacing w:line="300" w:lineRule="exact"/>
              <w:rPr>
                <w:rFonts w:ascii="宋体" w:hAnsi="宋体"/>
                <w:color w:val="auto"/>
                <w:sz w:val="19"/>
                <w:szCs w:val="21"/>
              </w:rPr>
            </w:pPr>
            <w:r>
              <w:rPr>
                <w:rFonts w:hint="eastAsia" w:ascii="宋体" w:hAnsi="宋体"/>
                <w:color w:val="auto"/>
                <w:sz w:val="19"/>
                <w:szCs w:val="21"/>
              </w:rPr>
              <w:t>废物箱（果壳箱、垃圾桶）、三轮保洁车、道路机械化清扫（冲洗、洒水）车辆应保持外观整洁，一日一洗</w:t>
            </w:r>
          </w:p>
        </w:tc>
        <w:tc>
          <w:tcPr>
            <w:tcW w:w="3969" w:type="dxa"/>
            <w:vMerge w:val="restart"/>
            <w:tcBorders>
              <w:top w:val="single" w:color="auto" w:sz="4" w:space="0"/>
              <w:left w:val="single" w:color="auto" w:sz="4" w:space="0"/>
              <w:right w:val="single" w:color="auto" w:sz="4" w:space="0"/>
            </w:tcBorders>
            <w:noWrap w:val="0"/>
            <w:vAlign w:val="center"/>
          </w:tcPr>
          <w:p>
            <w:pPr>
              <w:spacing w:line="300" w:lineRule="exact"/>
              <w:rPr>
                <w:rFonts w:ascii="宋体" w:hAnsi="宋体"/>
                <w:color w:val="auto"/>
                <w:sz w:val="19"/>
                <w:szCs w:val="21"/>
              </w:rPr>
            </w:pPr>
            <w:r>
              <w:rPr>
                <w:rFonts w:hint="eastAsia" w:ascii="宋体" w:hAnsi="宋体"/>
                <w:color w:val="auto"/>
                <w:sz w:val="19"/>
                <w:szCs w:val="21"/>
              </w:rPr>
              <w:t>发现环卫设施外观整洁未达标的扣0.</w:t>
            </w:r>
            <w:r>
              <w:rPr>
                <w:rFonts w:hint="eastAsia" w:ascii="宋体" w:hAnsi="宋体"/>
                <w:color w:val="auto"/>
                <w:sz w:val="19"/>
                <w:szCs w:val="21"/>
                <w:lang w:val="en-US" w:eastAsia="zh-CN"/>
              </w:rPr>
              <w:t>0</w:t>
            </w:r>
            <w:r>
              <w:rPr>
                <w:rFonts w:hint="eastAsia" w:ascii="宋体" w:hAnsi="宋体"/>
                <w:color w:val="auto"/>
                <w:sz w:val="19"/>
                <w:szCs w:val="21"/>
              </w:rPr>
              <w:t>5分/次。运输车辆超高运输和吊挂杂物扣的</w:t>
            </w:r>
            <w:r>
              <w:rPr>
                <w:rFonts w:hint="eastAsia" w:ascii="宋体" w:hAnsi="宋体"/>
                <w:color w:val="auto"/>
                <w:sz w:val="19"/>
                <w:szCs w:val="21"/>
                <w:lang w:val="en-US" w:eastAsia="zh-CN"/>
              </w:rPr>
              <w:t>0.1</w:t>
            </w:r>
            <w:r>
              <w:rPr>
                <w:rFonts w:hint="eastAsia" w:ascii="宋体" w:hAnsi="宋体"/>
                <w:color w:val="auto"/>
                <w:sz w:val="19"/>
                <w:szCs w:val="21"/>
              </w:rPr>
              <w:t>分/次</w:t>
            </w:r>
          </w:p>
        </w:tc>
        <w:tc>
          <w:tcPr>
            <w:tcW w:w="2596" w:type="dxa"/>
            <w:vMerge w:val="restart"/>
            <w:tcBorders>
              <w:top w:val="single" w:color="auto" w:sz="4" w:space="0"/>
              <w:left w:val="single" w:color="auto" w:sz="4" w:space="0"/>
              <w:right w:val="single" w:color="auto" w:sz="4" w:space="0"/>
            </w:tcBorders>
            <w:noWrap w:val="0"/>
            <w:vAlign w:val="center"/>
          </w:tcPr>
          <w:p>
            <w:pPr>
              <w:spacing w:line="300" w:lineRule="exact"/>
              <w:rPr>
                <w:rFonts w:ascii="宋体" w:hAnsi="宋体" w:cs="Arial"/>
                <w:color w:val="auto"/>
                <w:sz w:val="19"/>
                <w:szCs w:val="22"/>
              </w:rPr>
            </w:pPr>
            <w:r>
              <w:rPr>
                <w:rFonts w:hint="eastAsia" w:ascii="宋体" w:hAnsi="宋体" w:cs="Arial"/>
                <w:color w:val="auto"/>
                <w:sz w:val="19"/>
                <w:szCs w:val="22"/>
              </w:rPr>
              <w:t>在规定的保洁时间内（包括节假日），随机抽查，不合格路段反复查。</w:t>
            </w:r>
          </w:p>
        </w:tc>
        <w:tc>
          <w:tcPr>
            <w:tcW w:w="824" w:type="dxa"/>
            <w:vMerge w:val="restart"/>
            <w:tcBorders>
              <w:top w:val="single" w:color="auto" w:sz="4" w:space="0"/>
              <w:left w:val="single" w:color="auto" w:sz="4" w:space="0"/>
              <w:right w:val="single" w:color="auto" w:sz="12" w:space="0"/>
            </w:tcBorders>
            <w:noWrap w:val="0"/>
            <w:vAlign w:val="center"/>
          </w:tcPr>
          <w:p>
            <w:pPr>
              <w:spacing w:line="300" w:lineRule="exact"/>
              <w:jc w:val="center"/>
              <w:rPr>
                <w:rFonts w:hint="eastAsia" w:ascii="宋体" w:hAnsi="宋体"/>
                <w:color w:val="auto"/>
                <w:sz w:val="19"/>
                <w:szCs w:val="21"/>
              </w:rPr>
            </w:pPr>
            <w:r>
              <w:rPr>
                <w:rFonts w:hint="eastAsia" w:ascii="宋体" w:hAnsi="宋体"/>
                <w:color w:val="auto"/>
                <w:sz w:val="19"/>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22" w:type="dxa"/>
            <w:vMerge w:val="continue"/>
            <w:tcBorders>
              <w:left w:val="single" w:color="auto" w:sz="12" w:space="0"/>
              <w:bottom w:val="single" w:color="auto" w:sz="4" w:space="0"/>
              <w:right w:val="single" w:color="auto" w:sz="4" w:space="0"/>
            </w:tcBorders>
            <w:noWrap w:val="0"/>
            <w:vAlign w:val="center"/>
          </w:tcPr>
          <w:p>
            <w:pPr>
              <w:spacing w:line="300" w:lineRule="exact"/>
              <w:jc w:val="center"/>
              <w:rPr>
                <w:rFonts w:hint="eastAsia" w:ascii="宋体" w:hAnsi="宋体"/>
                <w:color w:val="auto"/>
                <w:sz w:val="19"/>
                <w:szCs w:val="21"/>
              </w:rPr>
            </w:pPr>
          </w:p>
        </w:tc>
        <w:tc>
          <w:tcPr>
            <w:tcW w:w="6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 w:val="19"/>
                <w:szCs w:val="21"/>
              </w:rPr>
            </w:pPr>
            <w:r>
              <w:rPr>
                <w:rFonts w:hint="eastAsia" w:ascii="宋体" w:hAnsi="宋体"/>
                <w:color w:val="auto"/>
                <w:sz w:val="19"/>
                <w:szCs w:val="21"/>
              </w:rPr>
              <w:t>垃圾实行密闭运输，不得超高运输和吊挂杂物</w:t>
            </w:r>
          </w:p>
        </w:tc>
        <w:tc>
          <w:tcPr>
            <w:tcW w:w="3969" w:type="dxa"/>
            <w:vMerge w:val="continue"/>
            <w:tcBorders>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 w:val="19"/>
                <w:szCs w:val="21"/>
              </w:rPr>
            </w:pPr>
          </w:p>
        </w:tc>
        <w:tc>
          <w:tcPr>
            <w:tcW w:w="2596" w:type="dxa"/>
            <w:vMerge w:val="continue"/>
            <w:tcBorders>
              <w:left w:val="single" w:color="auto" w:sz="4"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p>
        </w:tc>
        <w:tc>
          <w:tcPr>
            <w:tcW w:w="824" w:type="dxa"/>
            <w:vMerge w:val="continue"/>
            <w:tcBorders>
              <w:left w:val="single" w:color="auto" w:sz="4" w:space="0"/>
              <w:bottom w:val="single" w:color="auto" w:sz="4" w:space="0"/>
              <w:right w:val="single" w:color="auto" w:sz="12" w:space="0"/>
            </w:tcBorders>
            <w:noWrap w:val="0"/>
            <w:vAlign w:val="center"/>
          </w:tcPr>
          <w:p>
            <w:pPr>
              <w:spacing w:line="300" w:lineRule="exact"/>
              <w:jc w:val="center"/>
              <w:rPr>
                <w:rFonts w:hint="eastAsia" w:ascii="宋体" w:hAnsi="宋体"/>
                <w:color w:val="auto"/>
                <w:sz w:val="19"/>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022" w:type="dxa"/>
            <w:tcBorders>
              <w:top w:val="single" w:color="auto" w:sz="4" w:space="0"/>
              <w:left w:val="single" w:color="auto" w:sz="12"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机械化作业规范考核标准</w:t>
            </w:r>
          </w:p>
          <w:p>
            <w:pPr>
              <w:spacing w:line="300" w:lineRule="exact"/>
              <w:rPr>
                <w:rFonts w:ascii="宋体" w:hAnsi="宋体" w:cs="Arial"/>
                <w:color w:val="auto"/>
                <w:sz w:val="19"/>
                <w:szCs w:val="22"/>
              </w:rPr>
            </w:pPr>
            <w:r>
              <w:rPr>
                <w:rFonts w:hint="eastAsia" w:ascii="宋体" w:hAnsi="宋体" w:cs="Arial"/>
                <w:color w:val="auto"/>
                <w:sz w:val="19"/>
                <w:szCs w:val="22"/>
              </w:rPr>
              <w:t>（10分）</w:t>
            </w:r>
          </w:p>
        </w:tc>
        <w:tc>
          <w:tcPr>
            <w:tcW w:w="6457" w:type="dxa"/>
            <w:tcBorders>
              <w:top w:val="single" w:color="auto" w:sz="4" w:space="0"/>
              <w:left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（1）洒水、冲洗作业规范</w:t>
            </w:r>
          </w:p>
          <w:p>
            <w:pPr>
              <w:spacing w:line="300" w:lineRule="exact"/>
              <w:rPr>
                <w:rFonts w:hint="eastAsia" w:ascii="宋体" w:hAnsi="宋体" w:cs="Arial"/>
                <w:color w:val="auto"/>
                <w:sz w:val="19"/>
                <w:szCs w:val="22"/>
              </w:rPr>
            </w:pPr>
            <w:r>
              <w:rPr>
                <w:rFonts w:hint="eastAsia" w:ascii="宋体" w:hAnsi="宋体" w:cs="Arial"/>
                <w:color w:val="auto"/>
                <w:sz w:val="19"/>
                <w:szCs w:val="22"/>
              </w:rPr>
              <w:t>1）气温3-30℃，路面冲洗每周不少于2次，路面洒水每天不少于2次；气温30℃以上时，路面洒水每天不少于3次；气温低于3℃停止冲洗和洒水；</w:t>
            </w:r>
          </w:p>
          <w:p>
            <w:pPr>
              <w:spacing w:line="300" w:lineRule="exact"/>
              <w:rPr>
                <w:rFonts w:hint="eastAsia" w:ascii="宋体" w:hAnsi="宋体" w:cs="Arial"/>
                <w:color w:val="auto"/>
                <w:sz w:val="19"/>
                <w:szCs w:val="22"/>
              </w:rPr>
            </w:pPr>
            <w:r>
              <w:rPr>
                <w:rFonts w:hint="eastAsia" w:ascii="宋体" w:hAnsi="宋体" w:cs="Arial"/>
                <w:color w:val="auto"/>
                <w:sz w:val="19"/>
                <w:szCs w:val="22"/>
              </w:rPr>
              <w:t>2）道路冲洗后路面无积水、无灰尘、无烟蒂、无果壳散落，冲洗时间一般应在晚上或清晨。</w:t>
            </w:r>
          </w:p>
          <w:p>
            <w:pPr>
              <w:spacing w:line="300" w:lineRule="exact"/>
              <w:rPr>
                <w:rFonts w:hint="eastAsia" w:ascii="宋体" w:hAnsi="宋体" w:cs="Arial"/>
                <w:color w:val="auto"/>
                <w:sz w:val="19"/>
                <w:szCs w:val="22"/>
              </w:rPr>
            </w:pPr>
            <w:r>
              <w:rPr>
                <w:rFonts w:hint="eastAsia" w:ascii="宋体" w:hAnsi="宋体" w:cs="Arial"/>
                <w:color w:val="auto"/>
                <w:sz w:val="19"/>
                <w:szCs w:val="22"/>
              </w:rPr>
              <w:t>3）交通早晚高峰期间禁止路面冲洗，洒水作业。</w:t>
            </w:r>
          </w:p>
          <w:p>
            <w:pPr>
              <w:spacing w:line="300" w:lineRule="exact"/>
              <w:rPr>
                <w:rFonts w:ascii="宋体" w:hAnsi="宋体" w:cs="Arial"/>
                <w:color w:val="auto"/>
                <w:sz w:val="19"/>
                <w:szCs w:val="22"/>
              </w:rPr>
            </w:pPr>
            <w:r>
              <w:rPr>
                <w:rFonts w:hint="eastAsia" w:ascii="宋体" w:hAnsi="宋体" w:cs="Arial"/>
                <w:color w:val="auto"/>
                <w:sz w:val="19"/>
                <w:szCs w:val="22"/>
              </w:rPr>
              <w:t>4）出车前要进行检查后方可上路，禁止带故障运行。作业时应适当控制水压，行车速度最高不得超过20公里/小时，避免把水溅到路边的行人；上路作业时，必须打开警示灯；要遵守道路交通安全法规，礼让行车，注意行人的安全；严格按照范围、路线、时间、次数、车速进行机扫作业，不得随意变更。作业完毕后及时清洗干净入库，做好作业车辆行车、维修保养记录。</w:t>
            </w:r>
          </w:p>
        </w:tc>
        <w:tc>
          <w:tcPr>
            <w:tcW w:w="3969" w:type="dxa"/>
            <w:tcBorders>
              <w:top w:val="single" w:color="auto" w:sz="4" w:space="0"/>
              <w:left w:val="single" w:color="auto" w:sz="4" w:space="0"/>
              <w:right w:val="single" w:color="auto" w:sz="4" w:space="0"/>
            </w:tcBorders>
            <w:noWrap w:val="0"/>
            <w:vAlign w:val="center"/>
          </w:tcPr>
          <w:p>
            <w:pPr>
              <w:spacing w:line="300" w:lineRule="exact"/>
              <w:rPr>
                <w:rFonts w:ascii="宋体" w:hAnsi="宋体" w:cs="Arial"/>
                <w:color w:val="auto"/>
                <w:sz w:val="19"/>
                <w:szCs w:val="22"/>
              </w:rPr>
            </w:pPr>
            <w:r>
              <w:rPr>
                <w:rFonts w:hint="eastAsia" w:ascii="宋体" w:hAnsi="宋体" w:cs="Arial"/>
                <w:color w:val="auto"/>
                <w:sz w:val="19"/>
                <w:szCs w:val="22"/>
              </w:rPr>
              <w:t>发现未按照规定范围、路线、时间、次数、车速进行机扫作业的一次扣</w:t>
            </w:r>
            <w:r>
              <w:rPr>
                <w:rFonts w:hint="eastAsia" w:ascii="宋体" w:hAnsi="宋体" w:cs="Arial"/>
                <w:color w:val="auto"/>
                <w:sz w:val="19"/>
                <w:szCs w:val="22"/>
                <w:lang w:val="en-US" w:eastAsia="zh-CN"/>
              </w:rPr>
              <w:t>0.1</w:t>
            </w:r>
            <w:r>
              <w:rPr>
                <w:rFonts w:hint="eastAsia" w:ascii="宋体" w:hAnsi="宋体" w:cs="Arial"/>
                <w:color w:val="auto"/>
                <w:sz w:val="19"/>
                <w:szCs w:val="22"/>
              </w:rPr>
              <w:t>分/辆。机扫路面发现垃圾、积泥、沙石的一次扣0.</w:t>
            </w:r>
            <w:r>
              <w:rPr>
                <w:rFonts w:hint="eastAsia" w:ascii="宋体" w:hAnsi="宋体" w:cs="Arial"/>
                <w:color w:val="auto"/>
                <w:sz w:val="19"/>
                <w:szCs w:val="22"/>
                <w:lang w:val="en-US" w:eastAsia="zh-CN"/>
              </w:rPr>
              <w:t>1</w:t>
            </w:r>
            <w:r>
              <w:rPr>
                <w:rFonts w:hint="eastAsia" w:ascii="宋体" w:hAnsi="宋体" w:cs="Arial"/>
                <w:color w:val="auto"/>
                <w:sz w:val="19"/>
                <w:szCs w:val="22"/>
              </w:rPr>
              <w:t>分/处；作业时扬尘或清扫途中垃圾撒落的一次扣0.</w:t>
            </w:r>
            <w:r>
              <w:rPr>
                <w:rFonts w:hint="eastAsia" w:ascii="宋体" w:hAnsi="宋体" w:cs="Arial"/>
                <w:color w:val="auto"/>
                <w:sz w:val="19"/>
                <w:szCs w:val="22"/>
                <w:lang w:val="en-US" w:eastAsia="zh-CN"/>
              </w:rPr>
              <w:t>0</w:t>
            </w:r>
            <w:r>
              <w:rPr>
                <w:rFonts w:hint="eastAsia" w:ascii="宋体" w:hAnsi="宋体" w:cs="Arial"/>
                <w:color w:val="auto"/>
                <w:sz w:val="19"/>
                <w:szCs w:val="22"/>
              </w:rPr>
              <w:t>5分；发现机械清扫车随意倾倒、偷倒、乱倒垃圾的一次扣</w:t>
            </w:r>
            <w:r>
              <w:rPr>
                <w:rFonts w:hint="eastAsia" w:ascii="宋体" w:hAnsi="宋体" w:cs="Arial"/>
                <w:color w:val="auto"/>
                <w:sz w:val="19"/>
                <w:szCs w:val="22"/>
                <w:lang w:val="en-US" w:eastAsia="zh-CN"/>
              </w:rPr>
              <w:t>0.</w:t>
            </w:r>
            <w:r>
              <w:rPr>
                <w:rFonts w:hint="eastAsia" w:ascii="宋体" w:hAnsi="宋体" w:cs="Arial"/>
                <w:color w:val="auto"/>
                <w:sz w:val="19"/>
                <w:szCs w:val="22"/>
              </w:rPr>
              <w:t>1分；发现车辆未未打开警示灯的一次扣</w:t>
            </w:r>
            <w:r>
              <w:rPr>
                <w:rFonts w:hint="eastAsia" w:ascii="宋体" w:hAnsi="宋体" w:cs="Arial"/>
                <w:color w:val="auto"/>
                <w:sz w:val="19"/>
                <w:szCs w:val="22"/>
                <w:lang w:val="en-US" w:eastAsia="zh-CN"/>
              </w:rPr>
              <w:t>0.1</w:t>
            </w:r>
            <w:r>
              <w:rPr>
                <w:rFonts w:hint="eastAsia" w:ascii="宋体" w:hAnsi="宋体" w:cs="Arial"/>
                <w:color w:val="auto"/>
                <w:sz w:val="19"/>
                <w:szCs w:val="22"/>
              </w:rPr>
              <w:t>分，其他未达标的扣0.5分/次。发现高架桥上垃圾直接向桥下倾倒的，直接按不达标处理，扣除当月全部承包费，视情节严重，甲方可以解除合同。</w:t>
            </w:r>
          </w:p>
        </w:tc>
        <w:tc>
          <w:tcPr>
            <w:tcW w:w="2596" w:type="dxa"/>
            <w:tcBorders>
              <w:top w:val="single" w:color="auto" w:sz="4" w:space="0"/>
              <w:left w:val="single" w:color="auto" w:sz="4" w:space="0"/>
              <w:right w:val="single" w:color="auto" w:sz="4" w:space="0"/>
            </w:tcBorders>
            <w:noWrap w:val="0"/>
            <w:vAlign w:val="center"/>
          </w:tcPr>
          <w:p>
            <w:pPr>
              <w:spacing w:line="300" w:lineRule="exact"/>
              <w:rPr>
                <w:rFonts w:ascii="宋体" w:hAnsi="宋体" w:cs="Arial"/>
                <w:color w:val="auto"/>
                <w:sz w:val="19"/>
                <w:szCs w:val="22"/>
              </w:rPr>
            </w:pPr>
            <w:r>
              <w:rPr>
                <w:rFonts w:hint="eastAsia" w:ascii="宋体" w:hAnsi="宋体" w:cs="Arial"/>
                <w:color w:val="auto"/>
                <w:sz w:val="19"/>
                <w:szCs w:val="22"/>
              </w:rPr>
              <w:t>在规定的保洁时间内（包括节假日），随机抽查，不合格路段反复查。</w:t>
            </w:r>
          </w:p>
        </w:tc>
        <w:tc>
          <w:tcPr>
            <w:tcW w:w="824" w:type="dxa"/>
            <w:tcBorders>
              <w:top w:val="single" w:color="auto" w:sz="4" w:space="0"/>
              <w:left w:val="single" w:color="auto" w:sz="4" w:space="0"/>
              <w:right w:val="single" w:color="auto" w:sz="12" w:space="0"/>
            </w:tcBorders>
            <w:noWrap w:val="0"/>
            <w:vAlign w:val="center"/>
          </w:tcPr>
          <w:p>
            <w:pPr>
              <w:spacing w:line="300" w:lineRule="exact"/>
              <w:jc w:val="center"/>
              <w:rPr>
                <w:rFonts w:hint="eastAsia" w:ascii="宋体" w:hAnsi="宋体" w:cs="Arial"/>
                <w:color w:val="auto"/>
                <w:sz w:val="19"/>
                <w:szCs w:val="22"/>
              </w:rPr>
            </w:pPr>
            <w:r>
              <w:rPr>
                <w:rFonts w:hint="eastAsia" w:ascii="宋体" w:hAnsi="宋体" w:cs="Arial"/>
                <w:color w:val="auto"/>
                <w:sz w:val="19"/>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022" w:type="dxa"/>
            <w:vMerge w:val="restart"/>
            <w:tcBorders>
              <w:left w:val="single" w:color="auto" w:sz="12"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清扫作业规范考核标准</w:t>
            </w:r>
          </w:p>
          <w:p>
            <w:pPr>
              <w:spacing w:line="300" w:lineRule="exact"/>
              <w:rPr>
                <w:rFonts w:hint="eastAsia" w:ascii="宋体" w:hAnsi="宋体" w:cs="Arial"/>
                <w:color w:val="auto"/>
                <w:sz w:val="19"/>
                <w:szCs w:val="22"/>
              </w:rPr>
            </w:pPr>
            <w:r>
              <w:rPr>
                <w:rFonts w:hint="eastAsia" w:ascii="宋体" w:hAnsi="宋体" w:cs="Arial"/>
                <w:color w:val="auto"/>
                <w:sz w:val="19"/>
                <w:szCs w:val="22"/>
              </w:rPr>
              <w:t>（10分）</w:t>
            </w:r>
          </w:p>
        </w:tc>
        <w:tc>
          <w:tcPr>
            <w:tcW w:w="6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1）作业人员应当佩证、携带（GPS，如有）上岗，作业期内穿反光安全服；作业时间内，作业人员应按车行线反方向清扫，不聚闲聊，工期休息不超过15分钟，作业期间不做与作业无关的事；车辆停放遵守交通法规；垃圾运输实行密闭，不得超高运输和吊挂杂物；严禁作业人员擅自向责任区内单位收取各种费用。</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olor w:val="auto"/>
                <w:sz w:val="19"/>
                <w:szCs w:val="21"/>
              </w:rPr>
              <w:t>发现未达标的扣</w:t>
            </w:r>
            <w:r>
              <w:rPr>
                <w:rFonts w:hint="eastAsia" w:ascii="宋体" w:hAnsi="宋体"/>
                <w:color w:val="auto"/>
                <w:sz w:val="19"/>
                <w:szCs w:val="21"/>
                <w:lang w:val="en-US" w:eastAsia="zh-CN"/>
              </w:rPr>
              <w:t>0.</w:t>
            </w:r>
            <w:r>
              <w:rPr>
                <w:rFonts w:hint="eastAsia" w:ascii="宋体" w:hAnsi="宋体"/>
                <w:color w:val="auto"/>
                <w:sz w:val="19"/>
                <w:szCs w:val="21"/>
              </w:rPr>
              <w:t>1分/次。发现乱收费的扣</w:t>
            </w:r>
            <w:r>
              <w:rPr>
                <w:rFonts w:hint="eastAsia" w:ascii="宋体" w:hAnsi="宋体"/>
                <w:color w:val="auto"/>
                <w:sz w:val="19"/>
                <w:szCs w:val="21"/>
                <w:lang w:val="en-US" w:eastAsia="zh-CN"/>
              </w:rPr>
              <w:t>0.</w:t>
            </w:r>
            <w:r>
              <w:rPr>
                <w:rFonts w:hint="eastAsia" w:ascii="宋体" w:hAnsi="宋体"/>
                <w:color w:val="auto"/>
                <w:sz w:val="19"/>
                <w:szCs w:val="21"/>
              </w:rPr>
              <w:t>1分/例。</w:t>
            </w:r>
          </w:p>
        </w:tc>
        <w:tc>
          <w:tcPr>
            <w:tcW w:w="25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在规定的保洁时间内（包括节假日），随机抽查。</w:t>
            </w:r>
          </w:p>
        </w:tc>
        <w:tc>
          <w:tcPr>
            <w:tcW w:w="824" w:type="dxa"/>
            <w:tcBorders>
              <w:top w:val="single" w:color="auto" w:sz="4" w:space="0"/>
              <w:left w:val="single" w:color="auto" w:sz="4" w:space="0"/>
              <w:bottom w:val="single" w:color="auto" w:sz="4" w:space="0"/>
              <w:right w:val="single" w:color="auto" w:sz="12" w:space="0"/>
            </w:tcBorders>
            <w:noWrap w:val="0"/>
            <w:vAlign w:val="center"/>
          </w:tcPr>
          <w:p>
            <w:pPr>
              <w:spacing w:line="300" w:lineRule="exact"/>
              <w:jc w:val="center"/>
              <w:rPr>
                <w:rFonts w:hint="eastAsia" w:ascii="宋体" w:hAnsi="宋体" w:cs="Arial"/>
                <w:color w:val="auto"/>
                <w:sz w:val="19"/>
                <w:szCs w:val="22"/>
              </w:rPr>
            </w:pPr>
            <w:r>
              <w:rPr>
                <w:rFonts w:hint="eastAsia" w:ascii="宋体" w:hAnsi="宋体" w:cs="Arial"/>
                <w:color w:val="auto"/>
                <w:sz w:val="19"/>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022" w:type="dxa"/>
            <w:vMerge w:val="continue"/>
            <w:tcBorders>
              <w:left w:val="single" w:color="auto" w:sz="12" w:space="0"/>
              <w:right w:val="single" w:color="auto" w:sz="4" w:space="0"/>
            </w:tcBorders>
            <w:noWrap w:val="0"/>
            <w:vAlign w:val="center"/>
          </w:tcPr>
          <w:p>
            <w:pPr>
              <w:spacing w:line="300" w:lineRule="exact"/>
              <w:rPr>
                <w:rFonts w:hint="eastAsia" w:ascii="宋体" w:hAnsi="宋体" w:cs="Arial"/>
                <w:color w:val="auto"/>
                <w:sz w:val="19"/>
                <w:szCs w:val="22"/>
              </w:rPr>
            </w:pPr>
          </w:p>
        </w:tc>
        <w:tc>
          <w:tcPr>
            <w:tcW w:w="6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2）清扫保洁时间内（含工人清扫与道路冲洗）垃圾不得扫入窨井、花坛、绿化带、河道等处；清扫作业中不得漏扫、甩扫；交接班不得出现空档，责任区交界处清扫保洁各过界10米；垃圾直接清运至垃圾中转站，不得中途随意倾倒垃圾，不得焚烧垃圾。不得在责任区外翻捡废品，干私活。</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olor w:val="auto"/>
                <w:sz w:val="19"/>
                <w:szCs w:val="21"/>
              </w:rPr>
              <w:t>发现未达标的扣0.</w:t>
            </w:r>
            <w:r>
              <w:rPr>
                <w:rFonts w:hint="eastAsia" w:ascii="宋体" w:hAnsi="宋体"/>
                <w:color w:val="auto"/>
                <w:sz w:val="19"/>
                <w:szCs w:val="21"/>
                <w:lang w:val="en-US" w:eastAsia="zh-CN"/>
              </w:rPr>
              <w:t>1</w:t>
            </w:r>
            <w:r>
              <w:rPr>
                <w:rFonts w:hint="eastAsia" w:ascii="宋体" w:hAnsi="宋体"/>
                <w:color w:val="auto"/>
                <w:sz w:val="19"/>
                <w:szCs w:val="21"/>
              </w:rPr>
              <w:t>分/次。粉尘泥土等倒入绿化带的扣</w:t>
            </w:r>
            <w:r>
              <w:rPr>
                <w:rFonts w:hint="eastAsia" w:ascii="宋体" w:hAnsi="宋体"/>
                <w:color w:val="auto"/>
                <w:sz w:val="19"/>
                <w:szCs w:val="21"/>
                <w:lang w:val="en-US" w:eastAsia="zh-CN"/>
              </w:rPr>
              <w:t>0.1</w:t>
            </w:r>
            <w:r>
              <w:rPr>
                <w:rFonts w:hint="eastAsia" w:ascii="宋体" w:hAnsi="宋体"/>
                <w:color w:val="auto"/>
                <w:sz w:val="19"/>
                <w:szCs w:val="21"/>
              </w:rPr>
              <w:t>分。发现高架桥上垃圾直接向桥下倾倒的，直接按不达标处理，扣除当月全部承包费，视情节严重，甲方可以解除合同。</w:t>
            </w:r>
          </w:p>
        </w:tc>
        <w:tc>
          <w:tcPr>
            <w:tcW w:w="25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在规定的保洁时间内（包括节假日），随机抽查，不合格路段反复查。</w:t>
            </w:r>
          </w:p>
        </w:tc>
        <w:tc>
          <w:tcPr>
            <w:tcW w:w="824" w:type="dxa"/>
            <w:tcBorders>
              <w:top w:val="single" w:color="auto" w:sz="4" w:space="0"/>
              <w:left w:val="single" w:color="auto" w:sz="4" w:space="0"/>
              <w:bottom w:val="single" w:color="auto" w:sz="4" w:space="0"/>
              <w:right w:val="single" w:color="auto" w:sz="12" w:space="0"/>
            </w:tcBorders>
            <w:noWrap w:val="0"/>
            <w:vAlign w:val="center"/>
          </w:tcPr>
          <w:p>
            <w:pPr>
              <w:spacing w:line="300" w:lineRule="exact"/>
              <w:jc w:val="center"/>
              <w:rPr>
                <w:rFonts w:hint="eastAsia" w:ascii="宋体" w:hAnsi="宋体" w:cs="Arial"/>
                <w:color w:val="auto"/>
                <w:sz w:val="19"/>
                <w:szCs w:val="22"/>
              </w:rPr>
            </w:pPr>
            <w:r>
              <w:rPr>
                <w:rFonts w:hint="eastAsia" w:ascii="宋体" w:hAnsi="宋体" w:cs="Arial"/>
                <w:color w:val="auto"/>
                <w:sz w:val="19"/>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2" w:type="dxa"/>
            <w:vMerge w:val="continue"/>
            <w:tcBorders>
              <w:left w:val="single" w:color="auto" w:sz="12"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p>
        </w:tc>
        <w:tc>
          <w:tcPr>
            <w:tcW w:w="6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3）垃圾收集车辆（含机动车和非机动车）每日清洗后方可上路，每辆车应当设置明显的反光标识。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olor w:val="auto"/>
                <w:sz w:val="19"/>
                <w:szCs w:val="21"/>
              </w:rPr>
              <w:t>发现未达标的扣0.</w:t>
            </w:r>
            <w:r>
              <w:rPr>
                <w:rFonts w:hint="eastAsia" w:ascii="宋体" w:hAnsi="宋体"/>
                <w:color w:val="auto"/>
                <w:sz w:val="19"/>
                <w:szCs w:val="21"/>
                <w:lang w:val="en-US" w:eastAsia="zh-CN"/>
              </w:rPr>
              <w:t>1</w:t>
            </w:r>
            <w:r>
              <w:rPr>
                <w:rFonts w:hint="eastAsia" w:ascii="宋体" w:hAnsi="宋体"/>
                <w:color w:val="auto"/>
                <w:sz w:val="19"/>
                <w:szCs w:val="21"/>
              </w:rPr>
              <w:t>分/次。</w:t>
            </w:r>
          </w:p>
        </w:tc>
        <w:tc>
          <w:tcPr>
            <w:tcW w:w="25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在规定的保洁时间内（包括节假日），随机抽查。</w:t>
            </w:r>
          </w:p>
        </w:tc>
        <w:tc>
          <w:tcPr>
            <w:tcW w:w="824" w:type="dxa"/>
            <w:tcBorders>
              <w:top w:val="single" w:color="auto" w:sz="4" w:space="0"/>
              <w:left w:val="single" w:color="auto" w:sz="4" w:space="0"/>
              <w:bottom w:val="single" w:color="auto" w:sz="4" w:space="0"/>
              <w:right w:val="single" w:color="auto" w:sz="12" w:space="0"/>
            </w:tcBorders>
            <w:noWrap w:val="0"/>
            <w:vAlign w:val="center"/>
          </w:tcPr>
          <w:p>
            <w:pPr>
              <w:spacing w:line="300" w:lineRule="exact"/>
              <w:jc w:val="center"/>
              <w:rPr>
                <w:rFonts w:hint="eastAsia" w:ascii="宋体" w:hAnsi="宋体" w:cs="Arial"/>
                <w:color w:val="auto"/>
                <w:sz w:val="19"/>
                <w:szCs w:val="22"/>
              </w:rPr>
            </w:pPr>
            <w:r>
              <w:rPr>
                <w:rFonts w:hint="eastAsia" w:ascii="宋体" w:hAnsi="宋体" w:cs="Arial"/>
                <w:color w:val="auto"/>
                <w:sz w:val="19"/>
                <w:szCs w:val="2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22" w:type="dxa"/>
            <w:vMerge w:val="restart"/>
            <w:tcBorders>
              <w:top w:val="single" w:color="auto" w:sz="4" w:space="0"/>
              <w:left w:val="single" w:color="auto" w:sz="12"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内部管理</w:t>
            </w:r>
          </w:p>
          <w:p>
            <w:pPr>
              <w:spacing w:line="300" w:lineRule="exact"/>
              <w:rPr>
                <w:rFonts w:ascii="宋体" w:hAnsi="宋体" w:cs="Arial"/>
                <w:color w:val="auto"/>
                <w:sz w:val="19"/>
                <w:szCs w:val="22"/>
              </w:rPr>
            </w:pPr>
            <w:r>
              <w:rPr>
                <w:rFonts w:hint="eastAsia" w:ascii="宋体" w:hAnsi="宋体" w:cs="Arial"/>
                <w:color w:val="auto"/>
                <w:sz w:val="19"/>
                <w:szCs w:val="22"/>
              </w:rPr>
              <w:t>（10分）</w:t>
            </w:r>
          </w:p>
        </w:tc>
        <w:tc>
          <w:tcPr>
            <w:tcW w:w="6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Arial"/>
                <w:color w:val="auto"/>
                <w:sz w:val="19"/>
                <w:szCs w:val="22"/>
              </w:rPr>
            </w:pPr>
            <w:r>
              <w:rPr>
                <w:rFonts w:hint="eastAsia" w:ascii="宋体" w:hAnsi="宋体" w:cs="Arial"/>
                <w:color w:val="auto"/>
                <w:sz w:val="19"/>
                <w:szCs w:val="22"/>
              </w:rPr>
              <w:t>1）中标单位要遵守国家法律和地方法规各项规定，保障环卫工人的合法权益。如按照《中华人民共和国劳动合同法》的要求签订劳动合同，并办理各项社会保险手续，包括养老保险、医疗保险、失业保险、工伤保险和生育保险、人身意外险等；合理安排环卫工人的工作量和休息时间，超过法定工作时间的，要按照国家有关规定安排补休或给予补偿。</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Arial"/>
                <w:color w:val="auto"/>
                <w:sz w:val="19"/>
                <w:szCs w:val="22"/>
              </w:rPr>
            </w:pPr>
            <w:r>
              <w:rPr>
                <w:rFonts w:hint="eastAsia" w:ascii="宋体" w:hAnsi="宋体"/>
                <w:color w:val="auto"/>
                <w:sz w:val="19"/>
                <w:szCs w:val="21"/>
              </w:rPr>
              <w:t>发现未达标的扣0.</w:t>
            </w:r>
            <w:r>
              <w:rPr>
                <w:rFonts w:hint="eastAsia" w:ascii="宋体" w:hAnsi="宋体"/>
                <w:color w:val="auto"/>
                <w:sz w:val="19"/>
                <w:szCs w:val="21"/>
                <w:lang w:val="en-US" w:eastAsia="zh-CN"/>
              </w:rPr>
              <w:t>1</w:t>
            </w:r>
            <w:r>
              <w:rPr>
                <w:rFonts w:hint="eastAsia" w:ascii="宋体" w:hAnsi="宋体"/>
                <w:color w:val="auto"/>
                <w:sz w:val="19"/>
                <w:szCs w:val="21"/>
              </w:rPr>
              <w:t>分/例。</w:t>
            </w:r>
          </w:p>
        </w:tc>
        <w:tc>
          <w:tcPr>
            <w:tcW w:w="25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19"/>
              </w:rPr>
            </w:pPr>
            <w:r>
              <w:rPr>
                <w:rFonts w:hint="eastAsia" w:ascii="宋体" w:hAnsi="宋体" w:cs="Arial"/>
                <w:color w:val="auto"/>
                <w:sz w:val="19"/>
                <w:szCs w:val="22"/>
              </w:rPr>
              <w:t>随机抽查和定期检查</w:t>
            </w:r>
          </w:p>
        </w:tc>
        <w:tc>
          <w:tcPr>
            <w:tcW w:w="824" w:type="dxa"/>
            <w:tcBorders>
              <w:top w:val="single" w:color="auto" w:sz="4" w:space="0"/>
              <w:left w:val="single" w:color="auto" w:sz="4" w:space="0"/>
              <w:bottom w:val="single" w:color="auto" w:sz="4" w:space="0"/>
              <w:right w:val="single" w:color="auto" w:sz="12" w:space="0"/>
            </w:tcBorders>
            <w:noWrap w:val="0"/>
            <w:vAlign w:val="center"/>
          </w:tcPr>
          <w:p>
            <w:pPr>
              <w:spacing w:line="300" w:lineRule="exact"/>
              <w:jc w:val="center"/>
              <w:rPr>
                <w:rFonts w:hint="eastAsia" w:ascii="宋体" w:hAnsi="宋体" w:cs="Arial"/>
                <w:color w:val="auto"/>
                <w:sz w:val="19"/>
                <w:szCs w:val="22"/>
              </w:rPr>
            </w:pPr>
            <w:r>
              <w:rPr>
                <w:rFonts w:hint="eastAsia" w:ascii="宋体" w:hAnsi="宋体" w:cs="Arial"/>
                <w:color w:val="auto"/>
                <w:sz w:val="19"/>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22" w:type="dxa"/>
            <w:vMerge w:val="continue"/>
            <w:tcBorders>
              <w:left w:val="single" w:color="auto" w:sz="12" w:space="0"/>
              <w:right w:val="single" w:color="auto" w:sz="4" w:space="0"/>
            </w:tcBorders>
            <w:noWrap w:val="0"/>
            <w:vAlign w:val="center"/>
          </w:tcPr>
          <w:p>
            <w:pPr>
              <w:spacing w:line="300" w:lineRule="exact"/>
              <w:rPr>
                <w:rFonts w:hint="eastAsia" w:ascii="宋体" w:hAnsi="宋体" w:cs="Arial"/>
                <w:color w:val="auto"/>
                <w:sz w:val="19"/>
                <w:szCs w:val="22"/>
              </w:rPr>
            </w:pPr>
          </w:p>
        </w:tc>
        <w:tc>
          <w:tcPr>
            <w:tcW w:w="6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2）中标企业应当建立规章制度、岗位责任制度、工作考核机制等，并定期开展环卫工人安全教育等培训。</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olor w:val="auto"/>
                <w:sz w:val="19"/>
                <w:szCs w:val="21"/>
              </w:rPr>
              <w:t>发现未达标的扣0.</w:t>
            </w:r>
            <w:r>
              <w:rPr>
                <w:rFonts w:hint="eastAsia" w:ascii="宋体" w:hAnsi="宋体"/>
                <w:color w:val="auto"/>
                <w:sz w:val="19"/>
                <w:szCs w:val="21"/>
                <w:lang w:val="en-US" w:eastAsia="zh-CN"/>
              </w:rPr>
              <w:t>1</w:t>
            </w:r>
            <w:r>
              <w:rPr>
                <w:rFonts w:hint="eastAsia" w:ascii="宋体" w:hAnsi="宋体"/>
                <w:color w:val="auto"/>
                <w:sz w:val="19"/>
                <w:szCs w:val="21"/>
              </w:rPr>
              <w:t>分/例。</w:t>
            </w:r>
          </w:p>
        </w:tc>
        <w:tc>
          <w:tcPr>
            <w:tcW w:w="25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19"/>
              </w:rPr>
            </w:pPr>
            <w:r>
              <w:rPr>
                <w:rFonts w:hint="eastAsia" w:ascii="宋体" w:hAnsi="宋体" w:cs="Arial"/>
                <w:color w:val="auto"/>
                <w:sz w:val="19"/>
                <w:szCs w:val="22"/>
              </w:rPr>
              <w:t>随机抽查和定期检查</w:t>
            </w:r>
          </w:p>
        </w:tc>
        <w:tc>
          <w:tcPr>
            <w:tcW w:w="824" w:type="dxa"/>
            <w:tcBorders>
              <w:top w:val="single" w:color="auto" w:sz="4" w:space="0"/>
              <w:left w:val="single" w:color="auto" w:sz="4" w:space="0"/>
              <w:bottom w:val="single" w:color="auto" w:sz="4" w:space="0"/>
              <w:right w:val="single" w:color="auto" w:sz="12" w:space="0"/>
            </w:tcBorders>
            <w:noWrap w:val="0"/>
            <w:vAlign w:val="center"/>
          </w:tcPr>
          <w:p>
            <w:pPr>
              <w:spacing w:line="300" w:lineRule="exact"/>
              <w:jc w:val="center"/>
              <w:rPr>
                <w:rFonts w:hint="eastAsia" w:ascii="宋体" w:hAnsi="宋体" w:cs="Arial"/>
                <w:color w:val="auto"/>
                <w:sz w:val="19"/>
                <w:szCs w:val="22"/>
              </w:rPr>
            </w:pPr>
            <w:r>
              <w:rPr>
                <w:rFonts w:hint="eastAsia" w:ascii="宋体" w:hAnsi="宋体" w:cs="Arial"/>
                <w:color w:val="auto"/>
                <w:sz w:val="19"/>
                <w:szCs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1022" w:type="dxa"/>
            <w:vMerge w:val="continue"/>
            <w:tcBorders>
              <w:left w:val="single" w:color="auto" w:sz="12" w:space="0"/>
              <w:bottom w:val="single" w:color="auto" w:sz="12" w:space="0"/>
              <w:right w:val="single" w:color="auto" w:sz="4" w:space="0"/>
            </w:tcBorders>
            <w:noWrap w:val="0"/>
            <w:vAlign w:val="center"/>
          </w:tcPr>
          <w:p>
            <w:pPr>
              <w:spacing w:line="300" w:lineRule="exact"/>
              <w:rPr>
                <w:rFonts w:hint="eastAsia" w:ascii="宋体" w:hAnsi="宋体" w:cs="Arial"/>
                <w:color w:val="auto"/>
                <w:sz w:val="19"/>
                <w:szCs w:val="22"/>
              </w:rPr>
            </w:pPr>
          </w:p>
        </w:tc>
        <w:tc>
          <w:tcPr>
            <w:tcW w:w="6457" w:type="dxa"/>
            <w:tcBorders>
              <w:top w:val="single" w:color="auto" w:sz="4" w:space="0"/>
              <w:left w:val="single" w:color="auto" w:sz="4" w:space="0"/>
              <w:bottom w:val="single" w:color="auto" w:sz="12"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s="Arial"/>
                <w:color w:val="auto"/>
                <w:sz w:val="19"/>
                <w:szCs w:val="22"/>
              </w:rPr>
              <w:t>3）中标企业应当建立完备、真实的台帐资料，并能够真实提供完整的环卫工人工资、福利等待遇及保险凭证。</w:t>
            </w:r>
          </w:p>
        </w:tc>
        <w:tc>
          <w:tcPr>
            <w:tcW w:w="3969" w:type="dxa"/>
            <w:tcBorders>
              <w:top w:val="single" w:color="auto" w:sz="4" w:space="0"/>
              <w:left w:val="single" w:color="auto" w:sz="4" w:space="0"/>
              <w:bottom w:val="single" w:color="auto" w:sz="12" w:space="0"/>
              <w:right w:val="single" w:color="auto" w:sz="4" w:space="0"/>
            </w:tcBorders>
            <w:noWrap w:val="0"/>
            <w:vAlign w:val="center"/>
          </w:tcPr>
          <w:p>
            <w:pPr>
              <w:spacing w:line="300" w:lineRule="exact"/>
              <w:rPr>
                <w:rFonts w:hint="eastAsia" w:ascii="宋体" w:hAnsi="宋体" w:cs="Arial"/>
                <w:color w:val="auto"/>
                <w:sz w:val="19"/>
                <w:szCs w:val="22"/>
              </w:rPr>
            </w:pPr>
            <w:r>
              <w:rPr>
                <w:rFonts w:hint="eastAsia" w:ascii="宋体" w:hAnsi="宋体"/>
                <w:color w:val="auto"/>
                <w:sz w:val="19"/>
                <w:szCs w:val="21"/>
              </w:rPr>
              <w:t>发现未达标的扣0.</w:t>
            </w:r>
            <w:r>
              <w:rPr>
                <w:rFonts w:hint="eastAsia" w:ascii="宋体" w:hAnsi="宋体"/>
                <w:color w:val="auto"/>
                <w:sz w:val="19"/>
                <w:szCs w:val="21"/>
                <w:lang w:val="en-US" w:eastAsia="zh-CN"/>
              </w:rPr>
              <w:t>1</w:t>
            </w:r>
            <w:r>
              <w:rPr>
                <w:rFonts w:hint="eastAsia" w:ascii="宋体" w:hAnsi="宋体"/>
                <w:color w:val="auto"/>
                <w:sz w:val="19"/>
                <w:szCs w:val="21"/>
              </w:rPr>
              <w:t>分/例。每月28日前向采购人提交本月环卫保洁出勤记录和下月环卫保洁计划（包括出勤人员名单、身份证及联系电话、车辆安排、出勤时间、现场负责人联系方式等）。每月结算前由乙方向甲方提供工人工资册（内容包括工人姓名、工资、身份证、考勤记录等信息），以及机械化车辆运行记录，未提交以上台帐资料的，在下月考核总分中直接扣除</w:t>
            </w:r>
            <w:r>
              <w:rPr>
                <w:rFonts w:hint="eastAsia" w:ascii="宋体" w:hAnsi="宋体"/>
                <w:color w:val="auto"/>
                <w:sz w:val="19"/>
                <w:szCs w:val="21"/>
                <w:lang w:val="en-US" w:eastAsia="zh-CN"/>
              </w:rPr>
              <w:t>0.</w:t>
            </w:r>
            <w:r>
              <w:rPr>
                <w:rFonts w:hint="eastAsia" w:ascii="宋体" w:hAnsi="宋体"/>
                <w:color w:val="auto"/>
                <w:sz w:val="19"/>
                <w:szCs w:val="21"/>
              </w:rPr>
              <w:t>5分。</w:t>
            </w:r>
          </w:p>
        </w:tc>
        <w:tc>
          <w:tcPr>
            <w:tcW w:w="2596" w:type="dxa"/>
            <w:tcBorders>
              <w:top w:val="single" w:color="auto" w:sz="4" w:space="0"/>
              <w:left w:val="single" w:color="auto" w:sz="4" w:space="0"/>
              <w:bottom w:val="single" w:color="auto" w:sz="12" w:space="0"/>
              <w:right w:val="single" w:color="auto" w:sz="4" w:space="0"/>
            </w:tcBorders>
            <w:noWrap w:val="0"/>
            <w:vAlign w:val="center"/>
          </w:tcPr>
          <w:p>
            <w:pPr>
              <w:spacing w:line="300" w:lineRule="exact"/>
              <w:jc w:val="center"/>
              <w:rPr>
                <w:rFonts w:ascii="宋体" w:hAnsi="宋体"/>
                <w:color w:val="auto"/>
                <w:sz w:val="19"/>
              </w:rPr>
            </w:pPr>
            <w:r>
              <w:rPr>
                <w:rFonts w:hint="eastAsia" w:ascii="宋体" w:hAnsi="宋体" w:cs="Arial"/>
                <w:color w:val="auto"/>
                <w:sz w:val="19"/>
                <w:szCs w:val="22"/>
              </w:rPr>
              <w:t>随机抽查和定期检查</w:t>
            </w:r>
          </w:p>
        </w:tc>
        <w:tc>
          <w:tcPr>
            <w:tcW w:w="824" w:type="dxa"/>
            <w:tcBorders>
              <w:top w:val="single" w:color="auto" w:sz="4" w:space="0"/>
              <w:left w:val="single" w:color="auto" w:sz="4" w:space="0"/>
              <w:bottom w:val="single" w:color="auto" w:sz="12" w:space="0"/>
              <w:right w:val="single" w:color="auto" w:sz="12" w:space="0"/>
            </w:tcBorders>
            <w:noWrap w:val="0"/>
            <w:vAlign w:val="center"/>
          </w:tcPr>
          <w:p>
            <w:pPr>
              <w:spacing w:line="300" w:lineRule="exact"/>
              <w:jc w:val="center"/>
              <w:rPr>
                <w:rFonts w:hint="eastAsia" w:ascii="宋体" w:hAnsi="宋体" w:cs="Arial"/>
                <w:color w:val="auto"/>
                <w:sz w:val="19"/>
                <w:szCs w:val="22"/>
              </w:rPr>
            </w:pPr>
            <w:r>
              <w:rPr>
                <w:rFonts w:hint="eastAsia" w:ascii="宋体" w:hAnsi="宋体" w:cs="Arial"/>
                <w:color w:val="auto"/>
                <w:sz w:val="19"/>
                <w:szCs w:val="22"/>
              </w:rPr>
              <w:t>2</w:t>
            </w:r>
          </w:p>
        </w:tc>
      </w:tr>
    </w:tbl>
    <w:p>
      <w:pPr>
        <w:pStyle w:val="24"/>
        <w:rPr>
          <w:rFonts w:hint="eastAsia" w:ascii="新宋体" w:hAnsi="新宋体" w:eastAsia="新宋体"/>
          <w:b w:val="0"/>
          <w:color w:val="auto"/>
          <w:sz w:val="22"/>
          <w:szCs w:val="22"/>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pStyle w:val="24"/>
        <w:rPr>
          <w:rFonts w:hint="eastAsia"/>
          <w:color w:val="auto"/>
        </w:rPr>
      </w:pPr>
    </w:p>
    <w:p>
      <w:pPr>
        <w:pStyle w:val="24"/>
        <w:rPr>
          <w:rFonts w:hint="eastAsia"/>
          <w:color w:val="auto"/>
        </w:rPr>
      </w:pPr>
    </w:p>
    <w:p>
      <w:pPr>
        <w:spacing w:line="380" w:lineRule="exact"/>
        <w:jc w:val="center"/>
        <w:rPr>
          <w:rFonts w:hint="eastAsia" w:ascii="宋体" w:hAnsi="宋体" w:cs="Arial"/>
          <w:b/>
          <w:color w:val="auto"/>
          <w:sz w:val="28"/>
          <w:szCs w:val="28"/>
          <w:lang w:eastAsia="zh-CN"/>
        </w:rPr>
      </w:pPr>
    </w:p>
    <w:p>
      <w:pPr>
        <w:spacing w:line="380" w:lineRule="exact"/>
        <w:jc w:val="center"/>
        <w:rPr>
          <w:rFonts w:hint="eastAsia" w:ascii="宋体" w:hAnsi="宋体" w:cs="Arial"/>
          <w:b/>
          <w:color w:val="auto"/>
          <w:sz w:val="28"/>
          <w:szCs w:val="28"/>
          <w:lang w:eastAsia="zh-CN"/>
        </w:rPr>
      </w:pPr>
    </w:p>
    <w:p>
      <w:pPr>
        <w:spacing w:line="380" w:lineRule="exact"/>
        <w:jc w:val="center"/>
        <w:rPr>
          <w:rFonts w:hint="eastAsia" w:ascii="宋体" w:hAnsi="宋体" w:cs="Arial"/>
          <w:b/>
          <w:color w:val="auto"/>
          <w:sz w:val="28"/>
          <w:szCs w:val="28"/>
          <w:lang w:eastAsia="zh-CN"/>
        </w:rPr>
      </w:pPr>
    </w:p>
    <w:p>
      <w:pPr>
        <w:spacing w:line="380" w:lineRule="exact"/>
        <w:jc w:val="center"/>
        <w:rPr>
          <w:rFonts w:hint="eastAsia" w:ascii="宋体" w:hAnsi="宋体" w:cs="Arial"/>
          <w:b/>
          <w:color w:val="auto"/>
          <w:sz w:val="28"/>
          <w:szCs w:val="28"/>
          <w:lang w:eastAsia="zh-CN"/>
        </w:rPr>
      </w:pPr>
    </w:p>
    <w:p>
      <w:pPr>
        <w:spacing w:line="380" w:lineRule="exact"/>
        <w:jc w:val="center"/>
        <w:rPr>
          <w:rFonts w:hint="eastAsia" w:ascii="宋体" w:hAnsi="宋体" w:cs="Arial"/>
          <w:b/>
          <w:color w:val="auto"/>
          <w:sz w:val="28"/>
          <w:szCs w:val="28"/>
          <w:lang w:eastAsia="zh-CN"/>
        </w:rPr>
      </w:pPr>
    </w:p>
    <w:p>
      <w:pPr>
        <w:spacing w:line="380" w:lineRule="exact"/>
        <w:jc w:val="center"/>
        <w:rPr>
          <w:rFonts w:hint="eastAsia" w:ascii="宋体" w:hAnsi="宋体" w:cs="Arial"/>
          <w:b/>
          <w:color w:val="auto"/>
          <w:sz w:val="28"/>
          <w:szCs w:val="28"/>
          <w:lang w:eastAsia="zh-CN"/>
        </w:rPr>
      </w:pPr>
    </w:p>
    <w:p>
      <w:pPr>
        <w:autoSpaceDE w:val="0"/>
        <w:autoSpaceDN w:val="0"/>
        <w:adjustRightInd w:val="0"/>
        <w:spacing w:line="460" w:lineRule="atLeast"/>
        <w:jc w:val="center"/>
        <w:rPr>
          <w:rFonts w:hint="eastAsia" w:ascii="宋体" w:eastAsia="宋体" w:cs="宋体"/>
          <w:b/>
          <w:bCs/>
          <w:color w:val="auto"/>
          <w:sz w:val="28"/>
          <w:szCs w:val="28"/>
          <w:lang w:eastAsia="zh-CN"/>
        </w:rPr>
      </w:pPr>
    </w:p>
    <w:p>
      <w:pPr>
        <w:autoSpaceDE w:val="0"/>
        <w:autoSpaceDN w:val="0"/>
        <w:adjustRightInd w:val="0"/>
        <w:spacing w:line="460" w:lineRule="atLeast"/>
        <w:jc w:val="center"/>
        <w:rPr>
          <w:rFonts w:hint="eastAsia" w:ascii="宋体" w:eastAsia="宋体" w:cs="宋体"/>
          <w:b/>
          <w:bCs/>
          <w:color w:val="auto"/>
          <w:sz w:val="28"/>
          <w:szCs w:val="28"/>
          <w:lang w:eastAsia="zh-CN"/>
        </w:rPr>
      </w:pPr>
    </w:p>
    <w:p>
      <w:pPr>
        <w:autoSpaceDE w:val="0"/>
        <w:autoSpaceDN w:val="0"/>
        <w:adjustRightInd w:val="0"/>
        <w:spacing w:line="460" w:lineRule="atLeast"/>
        <w:jc w:val="center"/>
        <w:rPr>
          <w:rFonts w:hint="eastAsia" w:ascii="宋体" w:eastAsia="宋体" w:cs="宋体"/>
          <w:b/>
          <w:bCs/>
          <w:color w:val="auto"/>
          <w:sz w:val="28"/>
          <w:szCs w:val="28"/>
          <w:lang w:eastAsia="zh-CN"/>
        </w:rPr>
      </w:pPr>
    </w:p>
    <w:p>
      <w:pPr>
        <w:autoSpaceDE w:val="0"/>
        <w:autoSpaceDN w:val="0"/>
        <w:adjustRightInd w:val="0"/>
        <w:spacing w:line="460" w:lineRule="atLeast"/>
        <w:jc w:val="center"/>
        <w:rPr>
          <w:rFonts w:hint="eastAsia" w:ascii="宋体" w:eastAsia="宋体"/>
          <w:b w:val="0"/>
          <w:color w:val="auto"/>
          <w:sz w:val="36"/>
          <w:lang w:val="zh-CN"/>
        </w:rPr>
      </w:pPr>
      <w:r>
        <w:rPr>
          <w:rFonts w:hint="eastAsia" w:ascii="宋体" w:eastAsia="宋体" w:cs="宋体"/>
          <w:b/>
          <w:bCs/>
          <w:color w:val="auto"/>
          <w:sz w:val="28"/>
          <w:szCs w:val="28"/>
          <w:lang w:eastAsia="zh-CN"/>
        </w:rPr>
        <w:t>附件</w:t>
      </w:r>
      <w:r>
        <w:rPr>
          <w:rFonts w:hint="eastAsia" w:ascii="宋体" w:eastAsia="宋体" w:cs="宋体"/>
          <w:b/>
          <w:bCs/>
          <w:color w:val="auto"/>
          <w:sz w:val="28"/>
          <w:szCs w:val="28"/>
          <w:lang w:val="en-US" w:eastAsia="zh-CN"/>
        </w:rPr>
        <w:t>2：</w:t>
      </w:r>
      <w:r>
        <w:rPr>
          <w:rFonts w:hint="eastAsia" w:ascii="宋体" w:eastAsia="宋体" w:cs="宋体"/>
          <w:b/>
          <w:bCs/>
          <w:color w:val="auto"/>
          <w:sz w:val="28"/>
          <w:szCs w:val="28"/>
          <w:lang w:eastAsia="zh-CN"/>
        </w:rPr>
        <w:t>山福镇公厕保洁及维修</w:t>
      </w:r>
      <w:r>
        <w:rPr>
          <w:rFonts w:hint="eastAsia" w:ascii="宋体" w:hAnsi="宋体" w:cs="Arial"/>
          <w:b/>
          <w:color w:val="auto"/>
          <w:sz w:val="28"/>
          <w:szCs w:val="28"/>
        </w:rPr>
        <w:t>质量考核评分细则</w:t>
      </w:r>
    </w:p>
    <w:p>
      <w:pPr>
        <w:pStyle w:val="619"/>
        <w:shd w:val="clear" w:color="auto" w:fill="FFFFFF"/>
        <w:adjustRightInd w:val="0"/>
        <w:snapToGrid w:val="0"/>
        <w:spacing w:before="0" w:beforeAutospacing="0" w:after="0" w:afterAutospacing="0" w:line="360" w:lineRule="auto"/>
        <w:rPr>
          <w:rFonts w:hint="eastAsia" w:eastAsia="宋体"/>
          <w:b w:val="0"/>
          <w:bCs/>
          <w:color w:val="auto"/>
          <w:sz w:val="22"/>
          <w:szCs w:val="22"/>
        </w:rPr>
      </w:pPr>
      <w:bookmarkStart w:id="151" w:name="_Toc235866829"/>
      <w:bookmarkStart w:id="152" w:name="_Toc235866827"/>
    </w:p>
    <w:bookmarkEnd w:id="151"/>
    <w:bookmarkEnd w:id="152"/>
    <w:tbl>
      <w:tblPr>
        <w:tblStyle w:val="56"/>
        <w:tblW w:w="151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8"/>
        <w:gridCol w:w="670"/>
        <w:gridCol w:w="719"/>
        <w:gridCol w:w="4372"/>
        <w:gridCol w:w="7821"/>
        <w:gridCol w:w="1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2" w:hRule="atLeast"/>
          <w:tblHeader/>
        </w:trPr>
        <w:tc>
          <w:tcPr>
            <w:tcW w:w="508" w:type="dxa"/>
            <w:tcBorders>
              <w:tl2br w:val="nil"/>
              <w:tr2bl w:val="nil"/>
            </w:tcBorders>
            <w:noWrap w:val="0"/>
            <w:vAlign w:val="center"/>
          </w:tcPr>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序号</w:t>
            </w:r>
          </w:p>
        </w:tc>
        <w:tc>
          <w:tcPr>
            <w:tcW w:w="670" w:type="dxa"/>
            <w:tcBorders>
              <w:tl2br w:val="nil"/>
              <w:tr2bl w:val="nil"/>
            </w:tcBorders>
            <w:noWrap w:val="0"/>
            <w:vAlign w:val="center"/>
          </w:tcPr>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检</w:t>
            </w:r>
          </w:p>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查</w:t>
            </w:r>
          </w:p>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项</w:t>
            </w:r>
          </w:p>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目</w:t>
            </w:r>
          </w:p>
        </w:tc>
        <w:tc>
          <w:tcPr>
            <w:tcW w:w="719" w:type="dxa"/>
            <w:tcBorders>
              <w:tl2br w:val="nil"/>
              <w:tr2bl w:val="nil"/>
            </w:tcBorders>
            <w:noWrap w:val="0"/>
            <w:vAlign w:val="center"/>
          </w:tcPr>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检</w:t>
            </w:r>
          </w:p>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查</w:t>
            </w:r>
          </w:p>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方</w:t>
            </w:r>
          </w:p>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式</w:t>
            </w:r>
          </w:p>
        </w:tc>
        <w:tc>
          <w:tcPr>
            <w:tcW w:w="4372" w:type="dxa"/>
            <w:tcBorders>
              <w:tl2br w:val="nil"/>
              <w:tr2bl w:val="nil"/>
            </w:tcBorders>
            <w:noWrap w:val="0"/>
            <w:vAlign w:val="center"/>
          </w:tcPr>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管理作业标准</w:t>
            </w:r>
          </w:p>
        </w:tc>
        <w:tc>
          <w:tcPr>
            <w:tcW w:w="7821" w:type="dxa"/>
            <w:tcBorders>
              <w:tl2br w:val="nil"/>
              <w:tr2bl w:val="nil"/>
            </w:tcBorders>
            <w:noWrap w:val="0"/>
            <w:vAlign w:val="center"/>
          </w:tcPr>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评分标准</w:t>
            </w:r>
          </w:p>
        </w:tc>
        <w:tc>
          <w:tcPr>
            <w:tcW w:w="1072" w:type="dxa"/>
            <w:tcBorders>
              <w:tl2br w:val="nil"/>
              <w:tr2bl w:val="nil"/>
            </w:tcBorders>
            <w:noWrap w:val="0"/>
            <w:vAlign w:val="center"/>
          </w:tcPr>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508" w:type="dxa"/>
            <w:vMerge w:val="restart"/>
            <w:tcBorders>
              <w:tl2br w:val="nil"/>
              <w:tr2bl w:val="nil"/>
            </w:tcBorders>
            <w:noWrap w:val="0"/>
            <w:vAlign w:val="center"/>
          </w:tcPr>
          <w:p>
            <w:pPr>
              <w:spacing w:line="320" w:lineRule="exact"/>
              <w:jc w:val="center"/>
              <w:rPr>
                <w:rFonts w:hint="eastAsia" w:ascii="宋体" w:hAnsi="宋体" w:eastAsia="宋体" w:cs="宋体"/>
                <w:b w:val="0"/>
                <w:bCs/>
                <w:color w:val="auto"/>
                <w:sz w:val="19"/>
                <w:szCs w:val="19"/>
              </w:rPr>
            </w:pPr>
            <w:r>
              <w:rPr>
                <w:rFonts w:hint="eastAsia" w:ascii="宋体" w:hAnsi="宋体" w:eastAsia="宋体" w:cs="宋体"/>
                <w:b w:val="0"/>
                <w:bCs/>
                <w:color w:val="auto"/>
                <w:sz w:val="19"/>
                <w:szCs w:val="19"/>
              </w:rPr>
              <w:t>一</w:t>
            </w:r>
          </w:p>
        </w:tc>
        <w:tc>
          <w:tcPr>
            <w:tcW w:w="670" w:type="dxa"/>
            <w:vMerge w:val="restart"/>
            <w:tcBorders>
              <w:tl2br w:val="nil"/>
              <w:tr2bl w:val="nil"/>
            </w:tcBorders>
            <w:noWrap w:val="0"/>
            <w:vAlign w:val="center"/>
          </w:tcPr>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管</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理</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制</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度</w:t>
            </w:r>
          </w:p>
        </w:tc>
        <w:tc>
          <w:tcPr>
            <w:tcW w:w="719" w:type="dxa"/>
            <w:vMerge w:val="restart"/>
            <w:tcBorders>
              <w:tl2br w:val="nil"/>
              <w:tr2bl w:val="nil"/>
            </w:tcBorders>
            <w:noWrap w:val="0"/>
            <w:vAlign w:val="center"/>
          </w:tcPr>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现</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场</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检</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查</w:t>
            </w:r>
          </w:p>
        </w:tc>
        <w:tc>
          <w:tcPr>
            <w:tcW w:w="4372" w:type="dxa"/>
            <w:tcBorders>
              <w:tl2br w:val="nil"/>
              <w:tr2bl w:val="nil"/>
            </w:tcBorders>
            <w:noWrap w:val="0"/>
            <w:vAlign w:val="center"/>
          </w:tcPr>
          <w:p>
            <w:pPr>
              <w:spacing w:line="23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1.按照统一要求设置公厕管理制度牌，内容包括公厕名称、管理类别、公厕编号、管理单位、联系电话、监督电话、开放时间等信息；文明配合检查考核人员正常检查。</w:t>
            </w:r>
          </w:p>
        </w:tc>
        <w:tc>
          <w:tcPr>
            <w:tcW w:w="7821" w:type="dxa"/>
            <w:tcBorders>
              <w:tl2br w:val="nil"/>
              <w:tr2bl w:val="nil"/>
            </w:tcBorders>
            <w:noWrap w:val="0"/>
            <w:vAlign w:val="center"/>
          </w:tcPr>
          <w:p>
            <w:pPr>
              <w:spacing w:line="23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1.公厕各项设施应完好，未设置公厕管理制度牌的扣</w:t>
            </w:r>
            <w:r>
              <w:rPr>
                <w:rFonts w:hint="eastAsia" w:ascii="宋体" w:hAnsi="宋体" w:eastAsia="宋体" w:cs="宋体"/>
                <w:b w:val="0"/>
                <w:color w:val="auto"/>
                <w:sz w:val="19"/>
                <w:szCs w:val="19"/>
                <w:lang w:val="en-US" w:eastAsia="zh-CN"/>
              </w:rPr>
              <w:t>0.</w:t>
            </w:r>
            <w:r>
              <w:rPr>
                <w:rFonts w:hint="eastAsia" w:ascii="宋体" w:hAnsi="宋体" w:eastAsia="宋体" w:cs="宋体"/>
                <w:b w:val="0"/>
                <w:color w:val="auto"/>
                <w:sz w:val="19"/>
                <w:szCs w:val="19"/>
              </w:rPr>
              <w:t>1分，制度牌内容缺项、不准确的每项扣0.</w:t>
            </w:r>
            <w:r>
              <w:rPr>
                <w:rFonts w:hint="eastAsia" w:ascii="宋体" w:hAnsi="宋体" w:eastAsia="宋体" w:cs="宋体"/>
                <w:b w:val="0"/>
                <w:color w:val="auto"/>
                <w:sz w:val="19"/>
                <w:szCs w:val="19"/>
                <w:lang w:val="en-US" w:eastAsia="zh-CN"/>
              </w:rPr>
              <w:t>0</w:t>
            </w:r>
            <w:r>
              <w:rPr>
                <w:rFonts w:hint="eastAsia" w:ascii="宋体" w:hAnsi="宋体" w:eastAsia="宋体" w:cs="宋体"/>
                <w:b w:val="0"/>
                <w:color w:val="auto"/>
                <w:sz w:val="19"/>
                <w:szCs w:val="19"/>
              </w:rPr>
              <w:t>分；无理阻扰、谩骂检查考核人员，影响正常工作开展的扣</w:t>
            </w:r>
            <w:r>
              <w:rPr>
                <w:rFonts w:hint="eastAsia" w:ascii="宋体" w:hAnsi="宋体" w:eastAsia="宋体" w:cs="宋体"/>
                <w:b w:val="0"/>
                <w:color w:val="auto"/>
                <w:sz w:val="19"/>
                <w:szCs w:val="19"/>
                <w:lang w:val="en-US" w:eastAsia="zh-CN"/>
              </w:rPr>
              <w:t>0.1</w:t>
            </w:r>
            <w:r>
              <w:rPr>
                <w:rFonts w:hint="eastAsia" w:ascii="宋体" w:hAnsi="宋体" w:eastAsia="宋体" w:cs="宋体"/>
                <w:b w:val="0"/>
                <w:color w:val="auto"/>
                <w:sz w:val="19"/>
                <w:szCs w:val="19"/>
              </w:rPr>
              <w:t>分。</w:t>
            </w:r>
          </w:p>
        </w:tc>
        <w:tc>
          <w:tcPr>
            <w:tcW w:w="1072" w:type="dxa"/>
            <w:tcBorders>
              <w:tl2br w:val="nil"/>
              <w:tr2bl w:val="nil"/>
            </w:tcBorders>
            <w:noWrap w:val="0"/>
            <w:vAlign w:val="center"/>
          </w:tcPr>
          <w:p>
            <w:pPr>
              <w:spacing w:line="23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508" w:type="dxa"/>
            <w:vMerge w:val="continue"/>
            <w:tcBorders>
              <w:tl2br w:val="nil"/>
              <w:tr2bl w:val="nil"/>
            </w:tcBorders>
            <w:noWrap w:val="0"/>
            <w:vAlign w:val="top"/>
          </w:tcPr>
          <w:p>
            <w:pPr>
              <w:spacing w:line="320" w:lineRule="exact"/>
              <w:rPr>
                <w:rFonts w:hint="eastAsia" w:ascii="宋体" w:hAnsi="宋体" w:eastAsia="宋体" w:cs="宋体"/>
                <w:b w:val="0"/>
                <w:bCs/>
                <w:color w:val="auto"/>
                <w:sz w:val="19"/>
                <w:szCs w:val="19"/>
              </w:rPr>
            </w:pPr>
          </w:p>
        </w:tc>
        <w:tc>
          <w:tcPr>
            <w:tcW w:w="670" w:type="dxa"/>
            <w:vMerge w:val="continue"/>
            <w:tcBorders>
              <w:tl2br w:val="nil"/>
              <w:tr2bl w:val="nil"/>
            </w:tcBorders>
            <w:noWrap w:val="0"/>
            <w:vAlign w:val="top"/>
          </w:tcPr>
          <w:p>
            <w:pPr>
              <w:spacing w:line="320" w:lineRule="exact"/>
              <w:rPr>
                <w:rFonts w:hint="eastAsia" w:ascii="宋体" w:hAnsi="宋体" w:eastAsia="宋体" w:cs="宋体"/>
                <w:b w:val="0"/>
                <w:color w:val="auto"/>
                <w:sz w:val="19"/>
                <w:szCs w:val="19"/>
              </w:rPr>
            </w:pPr>
          </w:p>
        </w:tc>
        <w:tc>
          <w:tcPr>
            <w:tcW w:w="719" w:type="dxa"/>
            <w:vMerge w:val="continue"/>
            <w:tcBorders>
              <w:tl2br w:val="nil"/>
              <w:tr2bl w:val="nil"/>
            </w:tcBorders>
            <w:noWrap w:val="0"/>
            <w:vAlign w:val="center"/>
          </w:tcPr>
          <w:p>
            <w:pPr>
              <w:spacing w:line="320" w:lineRule="exact"/>
              <w:jc w:val="center"/>
              <w:rPr>
                <w:rFonts w:hint="eastAsia" w:ascii="宋体" w:hAnsi="宋体" w:eastAsia="宋体" w:cs="宋体"/>
                <w:b w:val="0"/>
                <w:color w:val="auto"/>
                <w:sz w:val="19"/>
                <w:szCs w:val="19"/>
              </w:rPr>
            </w:pPr>
          </w:p>
        </w:tc>
        <w:tc>
          <w:tcPr>
            <w:tcW w:w="4372" w:type="dxa"/>
            <w:tcBorders>
              <w:tl2br w:val="nil"/>
              <w:tr2bl w:val="nil"/>
            </w:tcBorders>
            <w:noWrap w:val="0"/>
            <w:vAlign w:val="center"/>
          </w:tcPr>
          <w:p>
            <w:pPr>
              <w:spacing w:line="23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2.公厕须按照规定的时间开放，文明服务，礼貌待客；在保洁时段内落实专人管理，保洁员须穿工作服，佩证上岗；免费公厕应无收费或变相收费现象。</w:t>
            </w:r>
          </w:p>
        </w:tc>
        <w:tc>
          <w:tcPr>
            <w:tcW w:w="7821" w:type="dxa"/>
            <w:tcBorders>
              <w:tl2br w:val="nil"/>
              <w:tr2bl w:val="nil"/>
            </w:tcBorders>
            <w:noWrap w:val="0"/>
            <w:vAlign w:val="center"/>
          </w:tcPr>
          <w:p>
            <w:pPr>
              <w:spacing w:line="23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2.未按规定时间开放公厕的扣</w:t>
            </w:r>
            <w:r>
              <w:rPr>
                <w:rFonts w:hint="eastAsia" w:ascii="宋体" w:hAnsi="宋体" w:eastAsia="宋体" w:cs="宋体"/>
                <w:b w:val="0"/>
                <w:color w:val="auto"/>
                <w:sz w:val="19"/>
                <w:szCs w:val="19"/>
                <w:lang w:val="en-US" w:eastAsia="zh-CN"/>
              </w:rPr>
              <w:t>0.5</w:t>
            </w:r>
            <w:r>
              <w:rPr>
                <w:rFonts w:hint="eastAsia" w:ascii="宋体" w:hAnsi="宋体" w:eastAsia="宋体" w:cs="宋体"/>
                <w:b w:val="0"/>
                <w:color w:val="auto"/>
                <w:sz w:val="19"/>
                <w:szCs w:val="19"/>
              </w:rPr>
              <w:t>分/次；上班时间饮酒、睡觉、玩牌等做其他与保洁无关的事项扣3分/次；未在保洁时段内落实专人保洁，存在脱岗、离岗的扣</w:t>
            </w:r>
            <w:r>
              <w:rPr>
                <w:rFonts w:hint="eastAsia" w:ascii="宋体" w:hAnsi="宋体" w:eastAsia="宋体" w:cs="宋体"/>
                <w:b w:val="0"/>
                <w:color w:val="auto"/>
                <w:sz w:val="19"/>
                <w:szCs w:val="19"/>
                <w:lang w:val="en-US" w:eastAsia="zh-CN"/>
              </w:rPr>
              <w:t>0.2</w:t>
            </w:r>
            <w:r>
              <w:rPr>
                <w:rFonts w:hint="eastAsia" w:ascii="宋体" w:hAnsi="宋体" w:eastAsia="宋体" w:cs="宋体"/>
                <w:b w:val="0"/>
                <w:color w:val="auto"/>
                <w:sz w:val="19"/>
                <w:szCs w:val="19"/>
              </w:rPr>
              <w:t>分/次；保洁员工作时间未穿工作服或未佩证上岗的扣0.</w:t>
            </w:r>
            <w:r>
              <w:rPr>
                <w:rFonts w:hint="eastAsia" w:ascii="宋体" w:hAnsi="宋体" w:eastAsia="宋体" w:cs="宋体"/>
                <w:b w:val="0"/>
                <w:color w:val="auto"/>
                <w:sz w:val="19"/>
                <w:szCs w:val="19"/>
                <w:lang w:val="en-US" w:eastAsia="zh-CN"/>
              </w:rPr>
              <w:t>2</w:t>
            </w:r>
            <w:r>
              <w:rPr>
                <w:rFonts w:hint="eastAsia" w:ascii="宋体" w:hAnsi="宋体" w:eastAsia="宋体" w:cs="宋体"/>
                <w:b w:val="0"/>
                <w:color w:val="auto"/>
                <w:sz w:val="19"/>
                <w:szCs w:val="19"/>
              </w:rPr>
              <w:t>分/次；人证不符的每人次扣</w:t>
            </w:r>
            <w:r>
              <w:rPr>
                <w:rFonts w:hint="eastAsia" w:ascii="宋体" w:hAnsi="宋体" w:eastAsia="宋体" w:cs="宋体"/>
                <w:b w:val="0"/>
                <w:color w:val="auto"/>
                <w:sz w:val="19"/>
                <w:szCs w:val="19"/>
                <w:lang w:val="en-US" w:eastAsia="zh-CN"/>
              </w:rPr>
              <w:t>0.1</w:t>
            </w:r>
            <w:r>
              <w:rPr>
                <w:rFonts w:hint="eastAsia" w:ascii="宋体" w:hAnsi="宋体" w:eastAsia="宋体" w:cs="宋体"/>
                <w:b w:val="0"/>
                <w:color w:val="auto"/>
                <w:sz w:val="19"/>
                <w:szCs w:val="19"/>
              </w:rPr>
              <w:t>分/次；免费公厕有收费或变相收费的扣</w:t>
            </w:r>
            <w:r>
              <w:rPr>
                <w:rFonts w:hint="eastAsia" w:ascii="宋体" w:hAnsi="宋体" w:eastAsia="宋体" w:cs="宋体"/>
                <w:b w:val="0"/>
                <w:color w:val="auto"/>
                <w:sz w:val="19"/>
                <w:szCs w:val="19"/>
                <w:lang w:val="en-US" w:eastAsia="zh-CN"/>
              </w:rPr>
              <w:t>0.1</w:t>
            </w:r>
            <w:r>
              <w:rPr>
                <w:rFonts w:hint="eastAsia" w:ascii="宋体" w:hAnsi="宋体" w:eastAsia="宋体" w:cs="宋体"/>
                <w:b w:val="0"/>
                <w:color w:val="auto"/>
                <w:sz w:val="19"/>
                <w:szCs w:val="19"/>
              </w:rPr>
              <w:t>分/次，出售其他商品的扣</w:t>
            </w:r>
            <w:r>
              <w:rPr>
                <w:rFonts w:hint="eastAsia" w:ascii="宋体" w:hAnsi="宋体" w:eastAsia="宋体" w:cs="宋体"/>
                <w:b w:val="0"/>
                <w:color w:val="auto"/>
                <w:sz w:val="19"/>
                <w:szCs w:val="19"/>
                <w:lang w:val="en-US" w:eastAsia="zh-CN"/>
              </w:rPr>
              <w:t>0.1</w:t>
            </w:r>
            <w:r>
              <w:rPr>
                <w:rFonts w:hint="eastAsia" w:ascii="宋体" w:hAnsi="宋体" w:eastAsia="宋体" w:cs="宋体"/>
                <w:b w:val="0"/>
                <w:color w:val="auto"/>
                <w:sz w:val="19"/>
                <w:szCs w:val="19"/>
              </w:rPr>
              <w:t>分/次。</w:t>
            </w:r>
          </w:p>
        </w:tc>
        <w:tc>
          <w:tcPr>
            <w:tcW w:w="1072" w:type="dxa"/>
            <w:tcBorders>
              <w:tl2br w:val="nil"/>
              <w:tr2bl w:val="nil"/>
            </w:tcBorders>
            <w:noWrap w:val="0"/>
            <w:vAlign w:val="center"/>
          </w:tcPr>
          <w:p>
            <w:pPr>
              <w:spacing w:line="23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vMerge w:val="restart"/>
            <w:tcBorders>
              <w:tl2br w:val="nil"/>
              <w:tr2bl w:val="nil"/>
            </w:tcBorders>
            <w:noWrap w:val="0"/>
            <w:vAlign w:val="center"/>
          </w:tcPr>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二</w:t>
            </w:r>
          </w:p>
        </w:tc>
        <w:tc>
          <w:tcPr>
            <w:tcW w:w="670" w:type="dxa"/>
            <w:vMerge w:val="restart"/>
            <w:tcBorders>
              <w:tl2br w:val="nil"/>
              <w:tr2bl w:val="nil"/>
            </w:tcBorders>
            <w:noWrap w:val="0"/>
            <w:vAlign w:val="center"/>
          </w:tcPr>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保</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洁</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质</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量</w:t>
            </w:r>
          </w:p>
        </w:tc>
        <w:tc>
          <w:tcPr>
            <w:tcW w:w="719" w:type="dxa"/>
            <w:vMerge w:val="restart"/>
            <w:tcBorders>
              <w:tl2br w:val="nil"/>
              <w:tr2bl w:val="nil"/>
            </w:tcBorders>
            <w:noWrap w:val="0"/>
            <w:vAlign w:val="center"/>
          </w:tcPr>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现</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场</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检</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查</w:t>
            </w:r>
          </w:p>
        </w:tc>
        <w:tc>
          <w:tcPr>
            <w:tcW w:w="4372" w:type="dxa"/>
            <w:tcBorders>
              <w:tl2br w:val="nil"/>
              <w:tr2bl w:val="nil"/>
            </w:tcBorders>
            <w:noWrap w:val="0"/>
            <w:vAlign w:val="center"/>
          </w:tcPr>
          <w:p>
            <w:pPr>
              <w:spacing w:line="23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3.公厕天花板、内外墙面、门窗和隔板无污迹、蛛网，无乱涂乱画；内外墙、门窗、洗手池台面、洗手池、隔板、上下水管、镜子等无积尘，厕所内无杂物堆放；公厕通道地面清洁无污迹积水；休息间、管理房（工具间）内物品摆放整齐，环境整洁；严禁非保洁人员留、宿休息间或管理房；禁止寄养犬类等宠物。</w:t>
            </w:r>
          </w:p>
        </w:tc>
        <w:tc>
          <w:tcPr>
            <w:tcW w:w="7821" w:type="dxa"/>
            <w:tcBorders>
              <w:tl2br w:val="nil"/>
              <w:tr2bl w:val="nil"/>
            </w:tcBorders>
            <w:noWrap w:val="0"/>
            <w:vAlign w:val="center"/>
          </w:tcPr>
          <w:p>
            <w:pPr>
              <w:spacing w:line="23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3.天花板、内外墙面、门窗和隔板有污迹、蛛网、乱涂乱画的每项扣0.</w:t>
            </w:r>
            <w:r>
              <w:rPr>
                <w:rFonts w:hint="eastAsia" w:ascii="宋体" w:hAnsi="宋体" w:eastAsia="宋体" w:cs="宋体"/>
                <w:b w:val="0"/>
                <w:color w:val="auto"/>
                <w:sz w:val="19"/>
                <w:szCs w:val="19"/>
                <w:lang w:val="en-US" w:eastAsia="zh-CN"/>
              </w:rPr>
              <w:t>1</w:t>
            </w:r>
            <w:r>
              <w:rPr>
                <w:rFonts w:hint="eastAsia" w:ascii="宋体" w:hAnsi="宋体" w:eastAsia="宋体" w:cs="宋体"/>
                <w:b w:val="0"/>
                <w:color w:val="auto"/>
                <w:sz w:val="19"/>
                <w:szCs w:val="19"/>
              </w:rPr>
              <w:t>分/次；内外墙、门窗、洗手池台面、洗手池、隔板、上下水管、镜子等有积尘的每项扣0.2分/次，厕所内杂物堆放的每项扣0.</w:t>
            </w:r>
            <w:r>
              <w:rPr>
                <w:rFonts w:hint="eastAsia" w:ascii="宋体" w:hAnsi="宋体" w:eastAsia="宋体" w:cs="宋体"/>
                <w:b w:val="0"/>
                <w:color w:val="auto"/>
                <w:sz w:val="19"/>
                <w:szCs w:val="19"/>
                <w:lang w:val="en-US" w:eastAsia="zh-CN"/>
              </w:rPr>
              <w:t>1</w:t>
            </w:r>
            <w:r>
              <w:rPr>
                <w:rFonts w:hint="eastAsia" w:ascii="宋体" w:hAnsi="宋体" w:eastAsia="宋体" w:cs="宋体"/>
                <w:b w:val="0"/>
                <w:color w:val="auto"/>
                <w:sz w:val="19"/>
                <w:szCs w:val="19"/>
              </w:rPr>
              <w:t>分/次；公厕通道地面不洁、湿滑积水的每项扣0.</w:t>
            </w:r>
            <w:r>
              <w:rPr>
                <w:rFonts w:hint="eastAsia" w:ascii="宋体" w:hAnsi="宋体" w:eastAsia="宋体" w:cs="宋体"/>
                <w:b w:val="0"/>
                <w:color w:val="auto"/>
                <w:sz w:val="19"/>
                <w:szCs w:val="19"/>
                <w:lang w:val="en-US" w:eastAsia="zh-CN"/>
              </w:rPr>
              <w:t>1</w:t>
            </w:r>
            <w:r>
              <w:rPr>
                <w:rFonts w:hint="eastAsia" w:ascii="宋体" w:hAnsi="宋体" w:eastAsia="宋体" w:cs="宋体"/>
                <w:b w:val="0"/>
                <w:color w:val="auto"/>
                <w:sz w:val="19"/>
                <w:szCs w:val="19"/>
              </w:rPr>
              <w:t>分/次；休息间、管理房（工具间）环境不整洁的扣0.5分/次；非保洁人员留、宿休息间或管理房的扣3分/次；厕内寄养犬类等宠物的扣3分/次；室内外使用明火灶具的扣3分/次。</w:t>
            </w:r>
          </w:p>
        </w:tc>
        <w:tc>
          <w:tcPr>
            <w:tcW w:w="1072" w:type="dxa"/>
            <w:tcBorders>
              <w:tl2br w:val="nil"/>
              <w:tr2bl w:val="nil"/>
            </w:tcBorders>
            <w:noWrap w:val="0"/>
            <w:vAlign w:val="center"/>
          </w:tcPr>
          <w:p>
            <w:pPr>
              <w:spacing w:line="23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08" w:type="dxa"/>
            <w:vMerge w:val="continue"/>
            <w:tcBorders>
              <w:tl2br w:val="nil"/>
              <w:tr2bl w:val="nil"/>
            </w:tcBorders>
            <w:noWrap w:val="0"/>
            <w:vAlign w:val="top"/>
          </w:tcPr>
          <w:p>
            <w:pPr>
              <w:spacing w:line="320" w:lineRule="exact"/>
              <w:rPr>
                <w:rFonts w:hint="eastAsia" w:ascii="宋体" w:hAnsi="宋体" w:eastAsia="宋体" w:cs="宋体"/>
                <w:b w:val="0"/>
                <w:bCs/>
                <w:color w:val="auto"/>
                <w:sz w:val="19"/>
                <w:szCs w:val="19"/>
              </w:rPr>
            </w:pPr>
          </w:p>
        </w:tc>
        <w:tc>
          <w:tcPr>
            <w:tcW w:w="670" w:type="dxa"/>
            <w:vMerge w:val="continue"/>
            <w:tcBorders>
              <w:tl2br w:val="nil"/>
              <w:tr2bl w:val="nil"/>
            </w:tcBorders>
            <w:noWrap w:val="0"/>
            <w:vAlign w:val="center"/>
          </w:tcPr>
          <w:p>
            <w:pPr>
              <w:spacing w:line="320" w:lineRule="exact"/>
              <w:jc w:val="center"/>
              <w:rPr>
                <w:rFonts w:hint="eastAsia" w:ascii="宋体" w:hAnsi="宋体" w:eastAsia="宋体" w:cs="宋体"/>
                <w:b w:val="0"/>
                <w:bCs/>
                <w:color w:val="auto"/>
                <w:sz w:val="19"/>
                <w:szCs w:val="19"/>
              </w:rPr>
            </w:pPr>
          </w:p>
        </w:tc>
        <w:tc>
          <w:tcPr>
            <w:tcW w:w="719" w:type="dxa"/>
            <w:vMerge w:val="continue"/>
            <w:tcBorders>
              <w:tl2br w:val="nil"/>
              <w:tr2bl w:val="nil"/>
            </w:tcBorders>
            <w:noWrap w:val="0"/>
            <w:vAlign w:val="top"/>
          </w:tcPr>
          <w:p>
            <w:pPr>
              <w:spacing w:line="320" w:lineRule="exact"/>
              <w:rPr>
                <w:rFonts w:hint="eastAsia" w:ascii="宋体" w:hAnsi="宋体" w:eastAsia="宋体" w:cs="宋体"/>
                <w:b w:val="0"/>
                <w:color w:val="auto"/>
                <w:sz w:val="19"/>
                <w:szCs w:val="19"/>
              </w:rPr>
            </w:pPr>
          </w:p>
        </w:tc>
        <w:tc>
          <w:tcPr>
            <w:tcW w:w="4372" w:type="dxa"/>
            <w:tcBorders>
              <w:tl2br w:val="nil"/>
              <w:tr2bl w:val="nil"/>
            </w:tcBorders>
            <w:noWrap w:val="0"/>
            <w:vAlign w:val="center"/>
          </w:tcPr>
          <w:p>
            <w:pPr>
              <w:spacing w:line="23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4. 厕位内地面、蹲便器及坐便器清洁；蹲便器及坐便器无粪便污垢、无积粪、无堵塞、洁净见底。</w:t>
            </w:r>
          </w:p>
        </w:tc>
        <w:tc>
          <w:tcPr>
            <w:tcW w:w="7821" w:type="dxa"/>
            <w:tcBorders>
              <w:tl2br w:val="nil"/>
              <w:tr2bl w:val="nil"/>
            </w:tcBorders>
            <w:noWrap w:val="0"/>
            <w:vAlign w:val="center"/>
          </w:tcPr>
          <w:p>
            <w:pPr>
              <w:spacing w:line="23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4.厕位内地面、蹲便器及坐便器不清洁的每处扣0.2分/次；蹲便器及坐便器有粪便污垢、有积粪的扣0.5分/次，造成堵塞的扣1分/次。</w:t>
            </w:r>
          </w:p>
        </w:tc>
        <w:tc>
          <w:tcPr>
            <w:tcW w:w="1072" w:type="dxa"/>
            <w:tcBorders>
              <w:tl2br w:val="nil"/>
              <w:tr2bl w:val="nil"/>
            </w:tcBorders>
            <w:noWrap w:val="0"/>
            <w:vAlign w:val="center"/>
          </w:tcPr>
          <w:p>
            <w:pPr>
              <w:spacing w:line="23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8" w:type="dxa"/>
            <w:vMerge w:val="continue"/>
            <w:tcBorders>
              <w:tl2br w:val="nil"/>
              <w:tr2bl w:val="nil"/>
            </w:tcBorders>
            <w:noWrap w:val="0"/>
            <w:vAlign w:val="top"/>
          </w:tcPr>
          <w:p>
            <w:pPr>
              <w:spacing w:line="320" w:lineRule="exact"/>
              <w:rPr>
                <w:rFonts w:hint="eastAsia" w:ascii="宋体" w:hAnsi="宋体" w:eastAsia="宋体" w:cs="宋体"/>
                <w:b w:val="0"/>
                <w:bCs/>
                <w:color w:val="auto"/>
                <w:sz w:val="19"/>
                <w:szCs w:val="19"/>
              </w:rPr>
            </w:pPr>
          </w:p>
        </w:tc>
        <w:tc>
          <w:tcPr>
            <w:tcW w:w="670" w:type="dxa"/>
            <w:vMerge w:val="continue"/>
            <w:tcBorders>
              <w:tl2br w:val="nil"/>
              <w:tr2bl w:val="nil"/>
            </w:tcBorders>
            <w:noWrap w:val="0"/>
            <w:vAlign w:val="center"/>
          </w:tcPr>
          <w:p>
            <w:pPr>
              <w:spacing w:line="320" w:lineRule="exact"/>
              <w:jc w:val="center"/>
              <w:rPr>
                <w:rFonts w:hint="eastAsia" w:ascii="宋体" w:hAnsi="宋体" w:eastAsia="宋体" w:cs="宋体"/>
                <w:b w:val="0"/>
                <w:bCs/>
                <w:color w:val="auto"/>
                <w:sz w:val="19"/>
                <w:szCs w:val="19"/>
              </w:rPr>
            </w:pPr>
          </w:p>
        </w:tc>
        <w:tc>
          <w:tcPr>
            <w:tcW w:w="719" w:type="dxa"/>
            <w:vMerge w:val="continue"/>
            <w:tcBorders>
              <w:tl2br w:val="nil"/>
              <w:tr2bl w:val="nil"/>
            </w:tcBorders>
            <w:noWrap w:val="0"/>
            <w:vAlign w:val="top"/>
          </w:tcPr>
          <w:p>
            <w:pPr>
              <w:spacing w:line="320" w:lineRule="exact"/>
              <w:rPr>
                <w:rFonts w:hint="eastAsia" w:ascii="宋体" w:hAnsi="宋体" w:eastAsia="宋体" w:cs="宋体"/>
                <w:b w:val="0"/>
                <w:color w:val="auto"/>
                <w:sz w:val="19"/>
                <w:szCs w:val="19"/>
              </w:rPr>
            </w:pPr>
          </w:p>
        </w:tc>
        <w:tc>
          <w:tcPr>
            <w:tcW w:w="4372" w:type="dxa"/>
            <w:tcBorders>
              <w:tl2br w:val="nil"/>
              <w:tr2bl w:val="nil"/>
            </w:tcBorders>
            <w:noWrap w:val="0"/>
            <w:vAlign w:val="center"/>
          </w:tcPr>
          <w:p>
            <w:pPr>
              <w:spacing w:line="23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5.小便器清洁无水锈、尿垢、垃圾，无明显臭味；沟眼、管道保持畅通。</w:t>
            </w:r>
          </w:p>
        </w:tc>
        <w:tc>
          <w:tcPr>
            <w:tcW w:w="7821" w:type="dxa"/>
            <w:tcBorders>
              <w:tl2br w:val="nil"/>
              <w:tr2bl w:val="nil"/>
            </w:tcBorders>
            <w:noWrap w:val="0"/>
            <w:vAlign w:val="center"/>
          </w:tcPr>
          <w:p>
            <w:pPr>
              <w:spacing w:line="23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5.小便器有水锈、尿垢、垃圾的每项扣0.3分/次；沟眼、管道流水不畅通的每项扣0.5分/次。</w:t>
            </w:r>
          </w:p>
        </w:tc>
        <w:tc>
          <w:tcPr>
            <w:tcW w:w="1072" w:type="dxa"/>
            <w:tcBorders>
              <w:tl2br w:val="nil"/>
              <w:tr2bl w:val="nil"/>
            </w:tcBorders>
            <w:noWrap w:val="0"/>
            <w:vAlign w:val="center"/>
          </w:tcPr>
          <w:p>
            <w:pPr>
              <w:spacing w:line="23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08" w:type="dxa"/>
            <w:vMerge w:val="continue"/>
            <w:tcBorders>
              <w:tl2br w:val="nil"/>
              <w:tr2bl w:val="nil"/>
            </w:tcBorders>
            <w:noWrap w:val="0"/>
            <w:vAlign w:val="top"/>
          </w:tcPr>
          <w:p>
            <w:pPr>
              <w:spacing w:line="320" w:lineRule="exact"/>
              <w:rPr>
                <w:rFonts w:hint="eastAsia" w:ascii="宋体" w:hAnsi="宋体" w:eastAsia="宋体" w:cs="宋体"/>
                <w:b w:val="0"/>
                <w:bCs/>
                <w:color w:val="auto"/>
                <w:sz w:val="19"/>
                <w:szCs w:val="19"/>
              </w:rPr>
            </w:pPr>
          </w:p>
        </w:tc>
        <w:tc>
          <w:tcPr>
            <w:tcW w:w="670" w:type="dxa"/>
            <w:vMerge w:val="continue"/>
            <w:tcBorders>
              <w:tl2br w:val="nil"/>
              <w:tr2bl w:val="nil"/>
            </w:tcBorders>
            <w:noWrap w:val="0"/>
            <w:vAlign w:val="center"/>
          </w:tcPr>
          <w:p>
            <w:pPr>
              <w:spacing w:line="320" w:lineRule="exact"/>
              <w:jc w:val="center"/>
              <w:rPr>
                <w:rFonts w:hint="eastAsia" w:ascii="宋体" w:hAnsi="宋体" w:eastAsia="宋体" w:cs="宋体"/>
                <w:b w:val="0"/>
                <w:bCs/>
                <w:color w:val="auto"/>
                <w:sz w:val="19"/>
                <w:szCs w:val="19"/>
              </w:rPr>
            </w:pPr>
          </w:p>
        </w:tc>
        <w:tc>
          <w:tcPr>
            <w:tcW w:w="719" w:type="dxa"/>
            <w:vMerge w:val="continue"/>
            <w:tcBorders>
              <w:tl2br w:val="nil"/>
              <w:tr2bl w:val="nil"/>
            </w:tcBorders>
            <w:noWrap w:val="0"/>
            <w:vAlign w:val="top"/>
          </w:tcPr>
          <w:p>
            <w:pPr>
              <w:spacing w:line="320" w:lineRule="exact"/>
              <w:rPr>
                <w:rFonts w:hint="eastAsia" w:ascii="宋体" w:hAnsi="宋体" w:eastAsia="宋体" w:cs="宋体"/>
                <w:b w:val="0"/>
                <w:color w:val="auto"/>
                <w:sz w:val="19"/>
                <w:szCs w:val="19"/>
              </w:rPr>
            </w:pPr>
          </w:p>
        </w:tc>
        <w:tc>
          <w:tcPr>
            <w:tcW w:w="4372" w:type="dxa"/>
            <w:tcBorders>
              <w:tl2br w:val="nil"/>
              <w:tr2bl w:val="nil"/>
            </w:tcBorders>
            <w:noWrap w:val="0"/>
            <w:vAlign w:val="center"/>
          </w:tcPr>
          <w:p>
            <w:pPr>
              <w:spacing w:line="23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6.公厕外环境（有绿化带的以绿化带外围为界限，无绿化带的外墙起5米范围内）整洁有序，无垃圾、无粪便、无晾晒衣物、无杂物堆放。</w:t>
            </w:r>
          </w:p>
        </w:tc>
        <w:tc>
          <w:tcPr>
            <w:tcW w:w="7821" w:type="dxa"/>
            <w:tcBorders>
              <w:tl2br w:val="nil"/>
              <w:tr2bl w:val="nil"/>
            </w:tcBorders>
            <w:noWrap w:val="0"/>
            <w:vAlign w:val="center"/>
          </w:tcPr>
          <w:p>
            <w:pPr>
              <w:spacing w:line="230" w:lineRule="exact"/>
              <w:rPr>
                <w:rFonts w:hint="eastAsia" w:ascii="宋体" w:hAnsi="宋体" w:eastAsia="宋体" w:cs="宋体"/>
                <w:b w:val="0"/>
                <w:bCs/>
                <w:color w:val="auto"/>
                <w:sz w:val="19"/>
                <w:szCs w:val="19"/>
              </w:rPr>
            </w:pPr>
            <w:r>
              <w:rPr>
                <w:rFonts w:hint="eastAsia" w:ascii="宋体" w:hAnsi="宋体" w:eastAsia="宋体" w:cs="宋体"/>
                <w:b w:val="0"/>
                <w:color w:val="auto"/>
                <w:sz w:val="19"/>
                <w:szCs w:val="19"/>
              </w:rPr>
              <w:t>6.公厕外环境不洁，有垃圾、粪便、杂物堆放现象的的每项扣0.5分/次；有晾晒衣物现象的扣0.2分/次。</w:t>
            </w:r>
          </w:p>
        </w:tc>
        <w:tc>
          <w:tcPr>
            <w:tcW w:w="1072" w:type="dxa"/>
            <w:tcBorders>
              <w:tl2br w:val="nil"/>
              <w:tr2bl w:val="nil"/>
            </w:tcBorders>
            <w:noWrap w:val="0"/>
            <w:vAlign w:val="center"/>
          </w:tcPr>
          <w:p>
            <w:pPr>
              <w:spacing w:line="23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08" w:type="dxa"/>
            <w:vMerge w:val="continue"/>
            <w:tcBorders>
              <w:tl2br w:val="nil"/>
              <w:tr2bl w:val="nil"/>
            </w:tcBorders>
            <w:noWrap w:val="0"/>
            <w:vAlign w:val="top"/>
          </w:tcPr>
          <w:p>
            <w:pPr>
              <w:spacing w:line="320" w:lineRule="exact"/>
              <w:rPr>
                <w:rFonts w:hint="eastAsia" w:ascii="宋体" w:hAnsi="宋体" w:eastAsia="宋体" w:cs="宋体"/>
                <w:b w:val="0"/>
                <w:bCs/>
                <w:color w:val="auto"/>
                <w:sz w:val="19"/>
                <w:szCs w:val="19"/>
              </w:rPr>
            </w:pPr>
          </w:p>
        </w:tc>
        <w:tc>
          <w:tcPr>
            <w:tcW w:w="670" w:type="dxa"/>
            <w:vMerge w:val="continue"/>
            <w:tcBorders>
              <w:tl2br w:val="nil"/>
              <w:tr2bl w:val="nil"/>
            </w:tcBorders>
            <w:noWrap w:val="0"/>
            <w:vAlign w:val="center"/>
          </w:tcPr>
          <w:p>
            <w:pPr>
              <w:spacing w:line="320" w:lineRule="exact"/>
              <w:jc w:val="center"/>
              <w:rPr>
                <w:rFonts w:hint="eastAsia" w:ascii="宋体" w:hAnsi="宋体" w:eastAsia="宋体" w:cs="宋体"/>
                <w:b w:val="0"/>
                <w:bCs/>
                <w:color w:val="auto"/>
                <w:sz w:val="19"/>
                <w:szCs w:val="19"/>
              </w:rPr>
            </w:pPr>
          </w:p>
        </w:tc>
        <w:tc>
          <w:tcPr>
            <w:tcW w:w="719" w:type="dxa"/>
            <w:vMerge w:val="continue"/>
            <w:tcBorders>
              <w:tl2br w:val="nil"/>
              <w:tr2bl w:val="nil"/>
            </w:tcBorders>
            <w:noWrap w:val="0"/>
            <w:vAlign w:val="top"/>
          </w:tcPr>
          <w:p>
            <w:pPr>
              <w:spacing w:line="320" w:lineRule="exact"/>
              <w:rPr>
                <w:rFonts w:hint="eastAsia" w:ascii="宋体" w:hAnsi="宋体" w:eastAsia="宋体" w:cs="宋体"/>
                <w:b w:val="0"/>
                <w:color w:val="auto"/>
                <w:sz w:val="19"/>
                <w:szCs w:val="19"/>
              </w:rPr>
            </w:pPr>
          </w:p>
        </w:tc>
        <w:tc>
          <w:tcPr>
            <w:tcW w:w="4372" w:type="dxa"/>
            <w:tcBorders>
              <w:tl2br w:val="nil"/>
              <w:tr2bl w:val="nil"/>
            </w:tcBorders>
            <w:noWrap w:val="0"/>
            <w:vAlign w:val="center"/>
          </w:tcPr>
          <w:p>
            <w:pPr>
              <w:spacing w:line="23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7.粪污水应排入市政污水管网或经吸粪车转运至粪便处理场所处置，公厕化粪池每半年清理、疏通不少于1次；化粪池周围场地应保持整洁，地面无粪迹、垃圾、污水、恶臭、蝇蛆。化粪池无满溢问题，若</w:t>
            </w:r>
            <w:r>
              <w:rPr>
                <w:rFonts w:hint="eastAsia" w:ascii="宋体" w:hAnsi="宋体" w:eastAsia="宋体" w:cs="宋体"/>
                <w:b w:val="0"/>
                <w:color w:val="auto"/>
                <w:spacing w:val="-10"/>
                <w:sz w:val="19"/>
                <w:szCs w:val="19"/>
              </w:rPr>
              <w:t>发生满溢问题应在第一时间予以解决。</w:t>
            </w:r>
          </w:p>
        </w:tc>
        <w:tc>
          <w:tcPr>
            <w:tcW w:w="7821" w:type="dxa"/>
            <w:tcBorders>
              <w:tl2br w:val="nil"/>
              <w:tr2bl w:val="nil"/>
            </w:tcBorders>
            <w:noWrap w:val="0"/>
            <w:vAlign w:val="center"/>
          </w:tcPr>
          <w:p>
            <w:pPr>
              <w:spacing w:line="23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7.化粪池周围地面有粪迹、垃圾、污水、恶臭、蝇蛆的每项扣0.5分/次；满溢的扣1分/次；发生满溢问题未在规定时间内妥善处理的扣2分/次。</w:t>
            </w:r>
          </w:p>
        </w:tc>
        <w:tc>
          <w:tcPr>
            <w:tcW w:w="1072" w:type="dxa"/>
            <w:tcBorders>
              <w:tl2br w:val="nil"/>
              <w:tr2bl w:val="nil"/>
            </w:tcBorders>
            <w:noWrap w:val="0"/>
            <w:vAlign w:val="center"/>
          </w:tcPr>
          <w:p>
            <w:pPr>
              <w:spacing w:line="23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08" w:type="dxa"/>
            <w:vMerge w:val="restart"/>
            <w:tcBorders>
              <w:tl2br w:val="nil"/>
              <w:tr2bl w:val="nil"/>
            </w:tcBorders>
            <w:noWrap w:val="0"/>
            <w:vAlign w:val="center"/>
          </w:tcPr>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三</w:t>
            </w:r>
          </w:p>
        </w:tc>
        <w:tc>
          <w:tcPr>
            <w:tcW w:w="670" w:type="dxa"/>
            <w:vMerge w:val="restart"/>
            <w:tcBorders>
              <w:tl2br w:val="nil"/>
              <w:tr2bl w:val="nil"/>
            </w:tcBorders>
            <w:noWrap w:val="0"/>
            <w:vAlign w:val="center"/>
          </w:tcPr>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设</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施</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设</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备</w:t>
            </w:r>
          </w:p>
        </w:tc>
        <w:tc>
          <w:tcPr>
            <w:tcW w:w="719" w:type="dxa"/>
            <w:vMerge w:val="restart"/>
            <w:tcBorders>
              <w:tl2br w:val="nil"/>
              <w:tr2bl w:val="nil"/>
            </w:tcBorders>
            <w:noWrap w:val="0"/>
            <w:vAlign w:val="center"/>
          </w:tcPr>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现</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场</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检</w:t>
            </w:r>
          </w:p>
          <w:p>
            <w:pPr>
              <w:spacing w:line="320" w:lineRule="exact"/>
              <w:jc w:val="center"/>
              <w:rPr>
                <w:rFonts w:hint="eastAsia" w:ascii="宋体" w:hAnsi="宋体" w:eastAsia="宋体" w:cs="宋体"/>
                <w:b w:val="0"/>
                <w:color w:val="auto"/>
                <w:sz w:val="19"/>
                <w:szCs w:val="19"/>
              </w:rPr>
            </w:pPr>
          </w:p>
          <w:p>
            <w:pPr>
              <w:spacing w:line="32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查</w:t>
            </w:r>
          </w:p>
        </w:tc>
        <w:tc>
          <w:tcPr>
            <w:tcW w:w="4372" w:type="dxa"/>
            <w:tcBorders>
              <w:tl2br w:val="nil"/>
              <w:tr2bl w:val="nil"/>
            </w:tcBorders>
            <w:noWrap w:val="0"/>
            <w:vAlign w:val="center"/>
          </w:tcPr>
          <w:p>
            <w:pPr>
              <w:spacing w:line="24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8.公厕标牌、男女标识牌、无障碍标志牌等厕所各类标识、标牌设置规范、醒目，无破损、残缺、歪斜等现象。</w:t>
            </w:r>
          </w:p>
        </w:tc>
        <w:tc>
          <w:tcPr>
            <w:tcW w:w="7821" w:type="dxa"/>
            <w:tcBorders>
              <w:tl2br w:val="nil"/>
              <w:tr2bl w:val="nil"/>
            </w:tcBorders>
            <w:noWrap w:val="0"/>
            <w:vAlign w:val="center"/>
          </w:tcPr>
          <w:p>
            <w:pPr>
              <w:spacing w:line="24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8.公厕标牌、男女标识牌、无障碍标志牌等厕所各类标识、标牌有破损、残缺、歪斜等现象的每项扣0.2分/次。</w:t>
            </w:r>
          </w:p>
        </w:tc>
        <w:tc>
          <w:tcPr>
            <w:tcW w:w="1072" w:type="dxa"/>
            <w:tcBorders>
              <w:tl2br w:val="nil"/>
              <w:tr2bl w:val="nil"/>
            </w:tcBorders>
            <w:noWrap w:val="0"/>
            <w:vAlign w:val="center"/>
          </w:tcPr>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08" w:type="dxa"/>
            <w:vMerge w:val="continue"/>
            <w:tcBorders>
              <w:tl2br w:val="nil"/>
              <w:tr2bl w:val="nil"/>
            </w:tcBorders>
            <w:noWrap w:val="0"/>
            <w:vAlign w:val="top"/>
          </w:tcPr>
          <w:p>
            <w:pPr>
              <w:spacing w:line="320" w:lineRule="exact"/>
              <w:rPr>
                <w:rFonts w:hint="eastAsia" w:ascii="宋体" w:hAnsi="宋体" w:eastAsia="宋体" w:cs="宋体"/>
                <w:b w:val="0"/>
                <w:bCs/>
                <w:color w:val="auto"/>
                <w:sz w:val="19"/>
                <w:szCs w:val="19"/>
              </w:rPr>
            </w:pPr>
          </w:p>
        </w:tc>
        <w:tc>
          <w:tcPr>
            <w:tcW w:w="670" w:type="dxa"/>
            <w:vMerge w:val="continue"/>
            <w:tcBorders>
              <w:tl2br w:val="nil"/>
              <w:tr2bl w:val="nil"/>
            </w:tcBorders>
            <w:noWrap w:val="0"/>
            <w:vAlign w:val="top"/>
          </w:tcPr>
          <w:p>
            <w:pPr>
              <w:spacing w:line="320" w:lineRule="exact"/>
              <w:rPr>
                <w:rFonts w:hint="eastAsia" w:ascii="宋体" w:hAnsi="宋体" w:eastAsia="宋体" w:cs="宋体"/>
                <w:b w:val="0"/>
                <w:bCs/>
                <w:color w:val="auto"/>
                <w:sz w:val="19"/>
                <w:szCs w:val="19"/>
              </w:rPr>
            </w:pPr>
          </w:p>
        </w:tc>
        <w:tc>
          <w:tcPr>
            <w:tcW w:w="719" w:type="dxa"/>
            <w:vMerge w:val="continue"/>
            <w:tcBorders>
              <w:tl2br w:val="nil"/>
              <w:tr2bl w:val="nil"/>
            </w:tcBorders>
            <w:noWrap w:val="0"/>
            <w:vAlign w:val="top"/>
          </w:tcPr>
          <w:p>
            <w:pPr>
              <w:spacing w:line="320" w:lineRule="exact"/>
              <w:rPr>
                <w:rFonts w:hint="eastAsia" w:ascii="宋体" w:hAnsi="宋体" w:eastAsia="宋体" w:cs="宋体"/>
                <w:b w:val="0"/>
                <w:color w:val="auto"/>
                <w:sz w:val="19"/>
                <w:szCs w:val="19"/>
              </w:rPr>
            </w:pPr>
          </w:p>
        </w:tc>
        <w:tc>
          <w:tcPr>
            <w:tcW w:w="4372" w:type="dxa"/>
            <w:tcBorders>
              <w:tl2br w:val="nil"/>
              <w:tr2bl w:val="nil"/>
            </w:tcBorders>
            <w:noWrap w:val="0"/>
            <w:vAlign w:val="center"/>
          </w:tcPr>
          <w:p>
            <w:pPr>
              <w:spacing w:line="24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9.公厕内采光、照明和通风良好，公厕无臭味。</w:t>
            </w:r>
          </w:p>
        </w:tc>
        <w:tc>
          <w:tcPr>
            <w:tcW w:w="7821" w:type="dxa"/>
            <w:tcBorders>
              <w:tl2br w:val="nil"/>
              <w:tr2bl w:val="nil"/>
            </w:tcBorders>
            <w:noWrap w:val="0"/>
            <w:vAlign w:val="center"/>
          </w:tcPr>
          <w:p>
            <w:pPr>
              <w:spacing w:line="24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9.公厕采光差未采取照明措施弥补的扣0.5分/次；公厕通风差，公厕有明显臭味的扣0.5分/次。</w:t>
            </w:r>
          </w:p>
        </w:tc>
        <w:tc>
          <w:tcPr>
            <w:tcW w:w="1072" w:type="dxa"/>
            <w:tcBorders>
              <w:tl2br w:val="nil"/>
              <w:tr2bl w:val="nil"/>
            </w:tcBorders>
            <w:noWrap w:val="0"/>
            <w:vAlign w:val="center"/>
          </w:tcPr>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508" w:type="dxa"/>
            <w:vMerge w:val="continue"/>
            <w:tcBorders>
              <w:tl2br w:val="nil"/>
              <w:tr2bl w:val="nil"/>
            </w:tcBorders>
            <w:noWrap w:val="0"/>
            <w:vAlign w:val="top"/>
          </w:tcPr>
          <w:p>
            <w:pPr>
              <w:spacing w:line="320" w:lineRule="exact"/>
              <w:rPr>
                <w:rFonts w:hint="eastAsia" w:ascii="宋体" w:hAnsi="宋体" w:eastAsia="宋体" w:cs="宋体"/>
                <w:b w:val="0"/>
                <w:bCs/>
                <w:color w:val="auto"/>
                <w:sz w:val="19"/>
                <w:szCs w:val="19"/>
              </w:rPr>
            </w:pPr>
          </w:p>
        </w:tc>
        <w:tc>
          <w:tcPr>
            <w:tcW w:w="670" w:type="dxa"/>
            <w:vMerge w:val="continue"/>
            <w:tcBorders>
              <w:tl2br w:val="nil"/>
              <w:tr2bl w:val="nil"/>
            </w:tcBorders>
            <w:noWrap w:val="0"/>
            <w:vAlign w:val="top"/>
          </w:tcPr>
          <w:p>
            <w:pPr>
              <w:spacing w:line="320" w:lineRule="exact"/>
              <w:rPr>
                <w:rFonts w:hint="eastAsia" w:ascii="宋体" w:hAnsi="宋体" w:eastAsia="宋体" w:cs="宋体"/>
                <w:b w:val="0"/>
                <w:bCs/>
                <w:color w:val="auto"/>
                <w:sz w:val="19"/>
                <w:szCs w:val="19"/>
              </w:rPr>
            </w:pPr>
          </w:p>
        </w:tc>
        <w:tc>
          <w:tcPr>
            <w:tcW w:w="719" w:type="dxa"/>
            <w:vMerge w:val="continue"/>
            <w:tcBorders>
              <w:tl2br w:val="nil"/>
              <w:tr2bl w:val="nil"/>
            </w:tcBorders>
            <w:noWrap w:val="0"/>
            <w:vAlign w:val="top"/>
          </w:tcPr>
          <w:p>
            <w:pPr>
              <w:spacing w:line="320" w:lineRule="exact"/>
              <w:rPr>
                <w:rFonts w:hint="eastAsia" w:ascii="宋体" w:hAnsi="宋体" w:eastAsia="宋体" w:cs="宋体"/>
                <w:b w:val="0"/>
                <w:color w:val="auto"/>
                <w:sz w:val="19"/>
                <w:szCs w:val="19"/>
              </w:rPr>
            </w:pPr>
          </w:p>
        </w:tc>
        <w:tc>
          <w:tcPr>
            <w:tcW w:w="4372" w:type="dxa"/>
            <w:tcBorders>
              <w:tl2br w:val="nil"/>
              <w:tr2bl w:val="nil"/>
            </w:tcBorders>
            <w:noWrap w:val="0"/>
            <w:vAlign w:val="center"/>
          </w:tcPr>
          <w:p>
            <w:pPr>
              <w:spacing w:line="24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10.公厕开放时间内用水、用电系统应正常启用；做好用水、用电安全工作，严禁私拉、外接电线、水管；公厕设施应完好，公厕内外墙面无渗漏、破损，地面平整无破损；天花板、灯具、门窗、窗栅、隔板、镜子、挂衣钩、洗手池台面及水池、大小便器、水龙头、拖把池、水箱、水阀、上下水管、无缺失和破损；公厕倒粪处门、瓷砖等设施应完好；公厕夜间照明应正常使用。</w:t>
            </w:r>
          </w:p>
        </w:tc>
        <w:tc>
          <w:tcPr>
            <w:tcW w:w="7821" w:type="dxa"/>
            <w:tcBorders>
              <w:tl2br w:val="nil"/>
              <w:tr2bl w:val="nil"/>
            </w:tcBorders>
            <w:noWrap w:val="0"/>
            <w:vAlign w:val="center"/>
          </w:tcPr>
          <w:p>
            <w:pPr>
              <w:spacing w:line="24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10.公厕开放时间内用水、用电系统未正常启用的每项扣2分；公厕设施应完好，发现破损未及时修缮的：公厕内外墙面渗漏、墙面破损面积超过15厘米×15厘米的每处扣0.5分/次，地面不平整、破损的每项扣1分/次；天花板、灯具、门窗、窗栅、隔板、镜子、挂衣钩、洗手池台面及水池、大小便器、拖把池、上下水管缺失和破损的每项扣0.5分/次；水箱、水阀、水龙头缺失和破损或漏水的每处扣0.2分/次；公厕倒粪处门、瓷砖等设施破损的扣0.5分/次；夜间时段公厕入口处、男厕所、女厕所、无障碍间等处照明灯不亮的每项扣1分/次。</w:t>
            </w:r>
          </w:p>
        </w:tc>
        <w:tc>
          <w:tcPr>
            <w:tcW w:w="1072" w:type="dxa"/>
            <w:tcBorders>
              <w:tl2br w:val="nil"/>
              <w:tr2bl w:val="nil"/>
            </w:tcBorders>
            <w:noWrap w:val="0"/>
            <w:vAlign w:val="center"/>
          </w:tcPr>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508" w:type="dxa"/>
            <w:vMerge w:val="continue"/>
            <w:tcBorders>
              <w:tl2br w:val="nil"/>
              <w:tr2bl w:val="nil"/>
            </w:tcBorders>
            <w:noWrap w:val="0"/>
            <w:vAlign w:val="top"/>
          </w:tcPr>
          <w:p>
            <w:pPr>
              <w:rPr>
                <w:rFonts w:hint="eastAsia" w:ascii="宋体" w:hAnsi="宋体" w:eastAsia="宋体" w:cs="宋体"/>
                <w:b w:val="0"/>
                <w:bCs/>
                <w:color w:val="auto"/>
                <w:sz w:val="19"/>
                <w:szCs w:val="19"/>
              </w:rPr>
            </w:pPr>
          </w:p>
        </w:tc>
        <w:tc>
          <w:tcPr>
            <w:tcW w:w="670" w:type="dxa"/>
            <w:vMerge w:val="continue"/>
            <w:tcBorders>
              <w:tl2br w:val="nil"/>
              <w:tr2bl w:val="nil"/>
            </w:tcBorders>
            <w:noWrap w:val="0"/>
            <w:vAlign w:val="top"/>
          </w:tcPr>
          <w:p>
            <w:pPr>
              <w:rPr>
                <w:rFonts w:hint="eastAsia" w:ascii="宋体" w:hAnsi="宋体" w:eastAsia="宋体" w:cs="宋体"/>
                <w:b w:val="0"/>
                <w:bCs/>
                <w:color w:val="auto"/>
                <w:sz w:val="19"/>
                <w:szCs w:val="19"/>
              </w:rPr>
            </w:pPr>
          </w:p>
        </w:tc>
        <w:tc>
          <w:tcPr>
            <w:tcW w:w="719" w:type="dxa"/>
            <w:vMerge w:val="continue"/>
            <w:tcBorders>
              <w:tl2br w:val="nil"/>
              <w:tr2bl w:val="nil"/>
            </w:tcBorders>
            <w:noWrap w:val="0"/>
            <w:vAlign w:val="top"/>
          </w:tcPr>
          <w:p>
            <w:pPr>
              <w:rPr>
                <w:rFonts w:hint="eastAsia" w:ascii="宋体" w:hAnsi="宋体" w:eastAsia="宋体" w:cs="宋体"/>
                <w:b w:val="0"/>
                <w:bCs/>
                <w:color w:val="auto"/>
                <w:sz w:val="19"/>
                <w:szCs w:val="19"/>
              </w:rPr>
            </w:pPr>
          </w:p>
        </w:tc>
        <w:tc>
          <w:tcPr>
            <w:tcW w:w="4372" w:type="dxa"/>
            <w:tcBorders>
              <w:tl2br w:val="nil"/>
              <w:tr2bl w:val="nil"/>
            </w:tcBorders>
            <w:noWrap w:val="0"/>
            <w:vAlign w:val="center"/>
          </w:tcPr>
          <w:p>
            <w:pPr>
              <w:spacing w:line="24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11.无障碍通道畅通，扶手完好、牢固；无障碍间开放使用，无障碍间内不得摆放杂物；无障碍专用间卫生洁具及辅助设施完好。</w:t>
            </w:r>
          </w:p>
        </w:tc>
        <w:tc>
          <w:tcPr>
            <w:tcW w:w="7821" w:type="dxa"/>
            <w:tcBorders>
              <w:tl2br w:val="nil"/>
              <w:tr2bl w:val="nil"/>
            </w:tcBorders>
            <w:noWrap w:val="0"/>
            <w:vAlign w:val="center"/>
          </w:tcPr>
          <w:p>
            <w:pPr>
              <w:spacing w:line="24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11.公厕设施应完好，发现破损未及时修缮的：无障碍通道堵塞不能正常使用的扣0.5分/次，扶手缺失破损、安装不牢固松动的每项扣0.5分/次，无障碍专用间卫生洁具及辅助设施缺失、破损的扣0.5/次；无障碍间未开放使用的扣1分/次，无障碍间内摆放杂物的扣0.5/次。</w:t>
            </w:r>
          </w:p>
        </w:tc>
        <w:tc>
          <w:tcPr>
            <w:tcW w:w="1072" w:type="dxa"/>
            <w:tcBorders>
              <w:tl2br w:val="nil"/>
              <w:tr2bl w:val="nil"/>
            </w:tcBorders>
            <w:noWrap w:val="0"/>
            <w:vAlign w:val="center"/>
          </w:tcPr>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08" w:type="dxa"/>
            <w:vMerge w:val="continue"/>
            <w:tcBorders>
              <w:tl2br w:val="nil"/>
              <w:tr2bl w:val="nil"/>
            </w:tcBorders>
            <w:noWrap w:val="0"/>
            <w:vAlign w:val="top"/>
          </w:tcPr>
          <w:p>
            <w:pPr>
              <w:rPr>
                <w:rFonts w:hint="eastAsia" w:ascii="宋体" w:hAnsi="宋体" w:eastAsia="宋体" w:cs="宋体"/>
                <w:b w:val="0"/>
                <w:bCs/>
                <w:color w:val="auto"/>
                <w:sz w:val="19"/>
                <w:szCs w:val="19"/>
              </w:rPr>
            </w:pPr>
          </w:p>
        </w:tc>
        <w:tc>
          <w:tcPr>
            <w:tcW w:w="670" w:type="dxa"/>
            <w:vMerge w:val="continue"/>
            <w:tcBorders>
              <w:tl2br w:val="nil"/>
              <w:tr2bl w:val="nil"/>
            </w:tcBorders>
            <w:noWrap w:val="0"/>
            <w:vAlign w:val="top"/>
          </w:tcPr>
          <w:p>
            <w:pPr>
              <w:rPr>
                <w:rFonts w:hint="eastAsia" w:ascii="宋体" w:hAnsi="宋体" w:eastAsia="宋体" w:cs="宋体"/>
                <w:b w:val="0"/>
                <w:bCs/>
                <w:color w:val="auto"/>
                <w:sz w:val="19"/>
                <w:szCs w:val="19"/>
              </w:rPr>
            </w:pPr>
          </w:p>
        </w:tc>
        <w:tc>
          <w:tcPr>
            <w:tcW w:w="719" w:type="dxa"/>
            <w:vMerge w:val="continue"/>
            <w:tcBorders>
              <w:tl2br w:val="nil"/>
              <w:tr2bl w:val="nil"/>
            </w:tcBorders>
            <w:noWrap w:val="0"/>
            <w:vAlign w:val="top"/>
          </w:tcPr>
          <w:p>
            <w:pPr>
              <w:rPr>
                <w:rFonts w:hint="eastAsia" w:ascii="宋体" w:hAnsi="宋体" w:eastAsia="宋体" w:cs="宋体"/>
                <w:b w:val="0"/>
                <w:bCs/>
                <w:color w:val="auto"/>
                <w:sz w:val="19"/>
                <w:szCs w:val="19"/>
              </w:rPr>
            </w:pPr>
          </w:p>
        </w:tc>
        <w:tc>
          <w:tcPr>
            <w:tcW w:w="4372" w:type="dxa"/>
            <w:tcBorders>
              <w:tl2br w:val="nil"/>
              <w:tr2bl w:val="nil"/>
            </w:tcBorders>
            <w:noWrap w:val="0"/>
            <w:vAlign w:val="center"/>
          </w:tcPr>
          <w:p>
            <w:pPr>
              <w:spacing w:line="24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12.公厕给水和排污管道完好，保持畅通，闸阀严密，无破损和滴漏。</w:t>
            </w:r>
          </w:p>
        </w:tc>
        <w:tc>
          <w:tcPr>
            <w:tcW w:w="7821" w:type="dxa"/>
            <w:tcBorders>
              <w:tl2br w:val="nil"/>
              <w:tr2bl w:val="nil"/>
            </w:tcBorders>
            <w:noWrap w:val="0"/>
            <w:vAlign w:val="center"/>
          </w:tcPr>
          <w:p>
            <w:pPr>
              <w:spacing w:line="24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12.公厕设施应完好，发现以下问题未及时处理妥善的：公厕给水和排污管道堵塞、破损的扣0.5/次，冲洗用水、粪污水泄漏外流的扣1分/次。</w:t>
            </w:r>
          </w:p>
        </w:tc>
        <w:tc>
          <w:tcPr>
            <w:tcW w:w="1072" w:type="dxa"/>
            <w:tcBorders>
              <w:tl2br w:val="nil"/>
              <w:tr2bl w:val="nil"/>
            </w:tcBorders>
            <w:noWrap w:val="0"/>
            <w:vAlign w:val="center"/>
          </w:tcPr>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08" w:type="dxa"/>
            <w:vMerge w:val="continue"/>
            <w:tcBorders>
              <w:tl2br w:val="nil"/>
              <w:tr2bl w:val="nil"/>
            </w:tcBorders>
            <w:noWrap w:val="0"/>
            <w:vAlign w:val="top"/>
          </w:tcPr>
          <w:p>
            <w:pPr>
              <w:rPr>
                <w:rFonts w:hint="eastAsia" w:ascii="宋体" w:hAnsi="宋体" w:eastAsia="宋体" w:cs="宋体"/>
                <w:b w:val="0"/>
                <w:bCs/>
                <w:color w:val="auto"/>
                <w:sz w:val="19"/>
                <w:szCs w:val="19"/>
              </w:rPr>
            </w:pPr>
          </w:p>
        </w:tc>
        <w:tc>
          <w:tcPr>
            <w:tcW w:w="670" w:type="dxa"/>
            <w:vMerge w:val="continue"/>
            <w:tcBorders>
              <w:tl2br w:val="nil"/>
              <w:tr2bl w:val="nil"/>
            </w:tcBorders>
            <w:noWrap w:val="0"/>
            <w:vAlign w:val="top"/>
          </w:tcPr>
          <w:p>
            <w:pPr>
              <w:rPr>
                <w:rFonts w:hint="eastAsia" w:ascii="宋体" w:hAnsi="宋体" w:eastAsia="宋体" w:cs="宋体"/>
                <w:b w:val="0"/>
                <w:bCs/>
                <w:color w:val="auto"/>
                <w:sz w:val="19"/>
                <w:szCs w:val="19"/>
              </w:rPr>
            </w:pPr>
          </w:p>
        </w:tc>
        <w:tc>
          <w:tcPr>
            <w:tcW w:w="719" w:type="dxa"/>
            <w:vMerge w:val="continue"/>
            <w:tcBorders>
              <w:tl2br w:val="nil"/>
              <w:tr2bl w:val="nil"/>
            </w:tcBorders>
            <w:noWrap w:val="0"/>
            <w:vAlign w:val="top"/>
          </w:tcPr>
          <w:p>
            <w:pPr>
              <w:rPr>
                <w:rFonts w:hint="eastAsia" w:ascii="宋体" w:hAnsi="宋体" w:eastAsia="宋体" w:cs="宋体"/>
                <w:b w:val="0"/>
                <w:color w:val="auto"/>
                <w:sz w:val="19"/>
                <w:szCs w:val="19"/>
              </w:rPr>
            </w:pPr>
          </w:p>
        </w:tc>
        <w:tc>
          <w:tcPr>
            <w:tcW w:w="4372" w:type="dxa"/>
            <w:tcBorders>
              <w:tl2br w:val="nil"/>
              <w:tr2bl w:val="nil"/>
            </w:tcBorders>
            <w:noWrap w:val="0"/>
            <w:vAlign w:val="center"/>
          </w:tcPr>
          <w:p>
            <w:pPr>
              <w:spacing w:line="24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13.化粪池、贮粪池密闭性能良好，无渗漏，臭气不外溢。公厕粪池盖密闭，无缺少、破损现象。</w:t>
            </w:r>
          </w:p>
        </w:tc>
        <w:tc>
          <w:tcPr>
            <w:tcW w:w="7821" w:type="dxa"/>
            <w:tcBorders>
              <w:tl2br w:val="nil"/>
              <w:tr2bl w:val="nil"/>
            </w:tcBorders>
            <w:noWrap w:val="0"/>
            <w:vAlign w:val="center"/>
          </w:tcPr>
          <w:p>
            <w:pPr>
              <w:spacing w:line="24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13.公厕设施应完好，发现以下问题未及时处理妥善的：化粪池、贮粪池粪污渗漏、臭气外溢的扣0.5/次；公厕粪池盖不密闭、缺失、破损的扣1分/次。</w:t>
            </w:r>
          </w:p>
        </w:tc>
        <w:tc>
          <w:tcPr>
            <w:tcW w:w="1072" w:type="dxa"/>
            <w:tcBorders>
              <w:tl2br w:val="nil"/>
              <w:tr2bl w:val="nil"/>
            </w:tcBorders>
            <w:noWrap w:val="0"/>
            <w:vAlign w:val="center"/>
          </w:tcPr>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08" w:type="dxa"/>
            <w:tcBorders>
              <w:tl2br w:val="nil"/>
              <w:tr2bl w:val="nil"/>
            </w:tcBorders>
            <w:noWrap w:val="0"/>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四</w:t>
            </w:r>
          </w:p>
        </w:tc>
        <w:tc>
          <w:tcPr>
            <w:tcW w:w="670" w:type="dxa"/>
            <w:tcBorders>
              <w:tl2br w:val="nil"/>
              <w:tr2bl w:val="nil"/>
            </w:tcBorders>
            <w:noWrap w:val="0"/>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社</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会</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监</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督</w:t>
            </w:r>
          </w:p>
        </w:tc>
        <w:tc>
          <w:tcPr>
            <w:tcW w:w="719" w:type="dxa"/>
            <w:tcBorders>
              <w:tl2br w:val="nil"/>
              <w:tr2bl w:val="nil"/>
            </w:tcBorders>
            <w:noWrap w:val="0"/>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现</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场</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核</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查</w:t>
            </w:r>
          </w:p>
        </w:tc>
        <w:tc>
          <w:tcPr>
            <w:tcW w:w="4372" w:type="dxa"/>
            <w:tcBorders>
              <w:tl2br w:val="nil"/>
              <w:tr2bl w:val="nil"/>
            </w:tcBorders>
            <w:noWrap w:val="0"/>
            <w:vAlign w:val="center"/>
          </w:tcPr>
          <w:p>
            <w:pPr>
              <w:spacing w:line="24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14.日常巡检发现的问题和公厕投诉问题应在规定的期限内处理整改，无有责投诉；市级以上检查不失责任分。</w:t>
            </w:r>
          </w:p>
        </w:tc>
        <w:tc>
          <w:tcPr>
            <w:tcW w:w="7821" w:type="dxa"/>
            <w:tcBorders>
              <w:tl2br w:val="nil"/>
              <w:tr2bl w:val="nil"/>
            </w:tcBorders>
            <w:noWrap w:val="0"/>
            <w:vAlign w:val="center"/>
          </w:tcPr>
          <w:p>
            <w:pPr>
              <w:spacing w:line="240" w:lineRule="exact"/>
              <w:rPr>
                <w:rFonts w:hint="eastAsia" w:ascii="宋体" w:hAnsi="宋体" w:eastAsia="宋体" w:cs="宋体"/>
                <w:b w:val="0"/>
                <w:color w:val="auto"/>
                <w:sz w:val="19"/>
                <w:szCs w:val="19"/>
              </w:rPr>
            </w:pPr>
            <w:r>
              <w:rPr>
                <w:rFonts w:hint="eastAsia" w:ascii="宋体" w:hAnsi="宋体" w:eastAsia="宋体" w:cs="宋体"/>
                <w:b w:val="0"/>
                <w:color w:val="auto"/>
                <w:sz w:val="19"/>
                <w:szCs w:val="19"/>
              </w:rPr>
              <w:t>14.市长公开电话受理、领导交办、新闻媒体曝光、市民投诉的公厕管理问题，经确认有责的每件扣3分，市级以上检查失责任分的每次扣5分。日常巡检发现的问题在规定期限内未完成整改，每次扣5分。</w:t>
            </w:r>
          </w:p>
        </w:tc>
        <w:tc>
          <w:tcPr>
            <w:tcW w:w="1072" w:type="dxa"/>
            <w:tcBorders>
              <w:tl2br w:val="nil"/>
              <w:tr2bl w:val="nil"/>
            </w:tcBorders>
            <w:noWrap w:val="0"/>
            <w:vAlign w:val="center"/>
          </w:tcPr>
          <w:p>
            <w:pPr>
              <w:spacing w:line="240" w:lineRule="exact"/>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10</w:t>
            </w:r>
          </w:p>
        </w:tc>
      </w:tr>
    </w:tbl>
    <w:p>
      <w:pPr>
        <w:spacing w:line="360" w:lineRule="auto"/>
        <w:jc w:val="center"/>
        <w:rPr>
          <w:rFonts w:hint="eastAsia" w:ascii="宋体" w:hAnsi="宋体" w:eastAsia="宋体" w:cs="宋体"/>
          <w:b/>
          <w:color w:val="auto"/>
          <w:sz w:val="19"/>
          <w:szCs w:val="19"/>
          <w:lang w:eastAsia="zh-CN"/>
        </w:rPr>
      </w:pPr>
    </w:p>
    <w:p>
      <w:pPr>
        <w:spacing w:line="360" w:lineRule="auto"/>
        <w:jc w:val="center"/>
        <w:rPr>
          <w:rFonts w:hint="eastAsia" w:ascii="宋体" w:hAnsi="宋体" w:eastAsia="宋体" w:cs="宋体"/>
          <w:b/>
          <w:color w:val="auto"/>
          <w:sz w:val="19"/>
          <w:szCs w:val="19"/>
          <w:lang w:eastAsia="zh-CN"/>
        </w:rPr>
      </w:pPr>
    </w:p>
    <w:p>
      <w:pPr>
        <w:pStyle w:val="24"/>
        <w:spacing w:line="360" w:lineRule="auto"/>
        <w:ind w:left="0" w:leftChars="0" w:firstLine="0" w:firstLineChars="0"/>
        <w:rPr>
          <w:rFonts w:hint="eastAsia" w:ascii="宋体" w:hAnsi="宋体" w:eastAsia="宋体" w:cs="宋体"/>
          <w:b w:val="0"/>
          <w:color w:val="auto"/>
          <w:sz w:val="19"/>
          <w:szCs w:val="19"/>
        </w:rPr>
      </w:pPr>
    </w:p>
    <w:p>
      <w:pPr>
        <w:pStyle w:val="24"/>
        <w:spacing w:line="360" w:lineRule="auto"/>
        <w:ind w:left="0" w:leftChars="0" w:firstLine="0" w:firstLineChars="0"/>
        <w:rPr>
          <w:rFonts w:hint="eastAsia" w:ascii="宋体" w:hAnsi="宋体" w:eastAsia="宋体" w:cs="宋体"/>
          <w:b w:val="0"/>
          <w:color w:val="auto"/>
          <w:sz w:val="19"/>
          <w:szCs w:val="19"/>
        </w:rPr>
      </w:pPr>
    </w:p>
    <w:p>
      <w:pPr>
        <w:pStyle w:val="24"/>
        <w:spacing w:line="360" w:lineRule="auto"/>
        <w:ind w:left="0" w:leftChars="0" w:firstLine="0" w:firstLineChars="0"/>
        <w:rPr>
          <w:rFonts w:hint="eastAsia" w:ascii="宋体" w:hAnsi="宋体" w:eastAsia="宋体" w:cs="宋体"/>
          <w:b w:val="0"/>
          <w:color w:val="auto"/>
          <w:sz w:val="19"/>
          <w:szCs w:val="19"/>
        </w:rPr>
      </w:pPr>
    </w:p>
    <w:p>
      <w:pPr>
        <w:autoSpaceDE w:val="0"/>
        <w:autoSpaceDN w:val="0"/>
        <w:adjustRightInd w:val="0"/>
        <w:spacing w:line="460" w:lineRule="atLeast"/>
        <w:jc w:val="center"/>
        <w:rPr>
          <w:rFonts w:hint="eastAsia" w:ascii="宋体" w:hAnsi="宋体" w:eastAsia="宋体" w:cs="宋体"/>
          <w:color w:val="auto"/>
          <w:sz w:val="22"/>
          <w:szCs w:val="22"/>
        </w:rPr>
      </w:pPr>
      <w:r>
        <w:rPr>
          <w:rFonts w:hint="eastAsia" w:ascii="宋体" w:eastAsia="宋体" w:cs="宋体"/>
          <w:b/>
          <w:bCs/>
          <w:color w:val="auto"/>
          <w:sz w:val="28"/>
          <w:szCs w:val="28"/>
          <w:lang w:eastAsia="zh-CN"/>
        </w:rPr>
        <w:t>附件</w:t>
      </w:r>
      <w:r>
        <w:rPr>
          <w:rFonts w:hint="eastAsia" w:ascii="宋体" w:eastAsia="宋体" w:cs="宋体"/>
          <w:b/>
          <w:bCs/>
          <w:color w:val="auto"/>
          <w:sz w:val="28"/>
          <w:szCs w:val="28"/>
          <w:lang w:val="en-US" w:eastAsia="zh-CN"/>
        </w:rPr>
        <w:t>3：</w:t>
      </w:r>
      <w:r>
        <w:rPr>
          <w:rFonts w:hint="eastAsia" w:ascii="宋体" w:eastAsia="宋体" w:cs="宋体"/>
          <w:b/>
          <w:bCs/>
          <w:color w:val="auto"/>
          <w:sz w:val="28"/>
          <w:szCs w:val="28"/>
          <w:lang w:eastAsia="zh-CN"/>
        </w:rPr>
        <w:t>山福镇垃圾分类</w:t>
      </w:r>
      <w:r>
        <w:rPr>
          <w:rFonts w:hint="eastAsia" w:ascii="宋体" w:hAnsi="宋体" w:cs="Arial"/>
          <w:b/>
          <w:color w:val="auto"/>
          <w:sz w:val="28"/>
          <w:szCs w:val="28"/>
        </w:rPr>
        <w:t>考核评分细则</w:t>
      </w:r>
    </w:p>
    <w:p>
      <w:pPr>
        <w:widowControl/>
        <w:snapToGrid w:val="0"/>
        <w:spacing w:line="570" w:lineRule="exact"/>
        <w:jc w:val="left"/>
        <w:rPr>
          <w:rFonts w:hint="eastAsia" w:ascii="宋体" w:hAnsi="宋体" w:eastAsia="宋体" w:cs="宋体"/>
          <w:b/>
          <w:color w:val="auto"/>
          <w:sz w:val="22"/>
          <w:szCs w:val="22"/>
          <w:shd w:val="clear" w:color="000000" w:fill="FFFFFF"/>
        </w:rPr>
      </w:pP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考核对象： 社区（村）          时间：</w:t>
      </w:r>
    </w:p>
    <w:tbl>
      <w:tblPr>
        <w:tblStyle w:val="56"/>
        <w:tblW w:w="1480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430"/>
        <w:gridCol w:w="4491"/>
        <w:gridCol w:w="7785"/>
        <w:gridCol w:w="109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1430"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考核项目</w:t>
            </w:r>
          </w:p>
        </w:tc>
        <w:tc>
          <w:tcPr>
            <w:tcW w:w="4491"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考核内容</w:t>
            </w: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评价标准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430" w:type="dxa"/>
            <w:vMerge w:val="restart"/>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公共场所保洁（55分）</w:t>
            </w:r>
          </w:p>
        </w:tc>
        <w:tc>
          <w:tcPr>
            <w:tcW w:w="4491" w:type="dxa"/>
            <w:vMerge w:val="restart"/>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作业人员</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（3分）</w:t>
            </w: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作业人员未按规定穿戴服装的，每发现一次扣0.5分，共计1分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作业人员酒后作业的，每发现一个扣</w:t>
            </w:r>
            <w:r>
              <w:rPr>
                <w:rFonts w:hint="eastAsia" w:ascii="宋体" w:hAnsi="宋体" w:eastAsia="宋体" w:cs="宋体"/>
                <w:b w:val="0"/>
                <w:color w:val="auto"/>
                <w:sz w:val="19"/>
                <w:szCs w:val="19"/>
                <w:lang w:val="en-US" w:eastAsia="zh-CN"/>
              </w:rPr>
              <w:t>0.5</w:t>
            </w:r>
            <w:r>
              <w:rPr>
                <w:rFonts w:hint="eastAsia" w:ascii="宋体" w:hAnsi="宋体" w:eastAsia="宋体" w:cs="宋体"/>
                <w:b w:val="0"/>
                <w:color w:val="auto"/>
                <w:sz w:val="19"/>
                <w:szCs w:val="19"/>
              </w:rPr>
              <w:t>分，共计2分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vMerge w:val="restart"/>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分类投放收集清运</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w:t>
            </w:r>
            <w:r>
              <w:rPr>
                <w:rFonts w:hint="eastAsia" w:ascii="宋体" w:hAnsi="宋体" w:eastAsia="宋体" w:cs="宋体"/>
                <w:b w:val="0"/>
                <w:color w:val="auto"/>
                <w:sz w:val="19"/>
                <w:szCs w:val="19"/>
                <w:lang w:val="en-US" w:eastAsia="zh-CN"/>
              </w:rPr>
              <w:t>52</w:t>
            </w:r>
            <w:r>
              <w:rPr>
                <w:rFonts w:hint="eastAsia" w:ascii="宋体" w:hAnsi="宋体" w:eastAsia="宋体" w:cs="宋体"/>
                <w:b w:val="0"/>
                <w:color w:val="auto"/>
                <w:sz w:val="19"/>
                <w:szCs w:val="19"/>
              </w:rPr>
              <w:t>分）</w:t>
            </w: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垃圾分类投放不准确的，每发现处扣0.5分，共计4分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垃圾未进行分类收集的，每发现一处扣</w:t>
            </w:r>
            <w:r>
              <w:rPr>
                <w:rFonts w:hint="eastAsia" w:ascii="宋体" w:hAnsi="宋体" w:eastAsia="宋体" w:cs="宋体"/>
                <w:b w:val="0"/>
                <w:color w:val="auto"/>
                <w:sz w:val="19"/>
                <w:szCs w:val="19"/>
                <w:lang w:val="en-US" w:eastAsia="zh-CN"/>
              </w:rPr>
              <w:t>0.</w:t>
            </w:r>
            <w:r>
              <w:rPr>
                <w:rFonts w:hint="eastAsia" w:ascii="宋体" w:hAnsi="宋体" w:eastAsia="宋体" w:cs="宋体"/>
                <w:b w:val="0"/>
                <w:color w:val="auto"/>
                <w:sz w:val="19"/>
                <w:szCs w:val="19"/>
              </w:rPr>
              <w:t>1分，共4分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垃圾未进行分类运输的，每发现一处扣</w:t>
            </w:r>
            <w:r>
              <w:rPr>
                <w:rFonts w:hint="eastAsia" w:ascii="宋体" w:hAnsi="宋体" w:eastAsia="宋体" w:cs="宋体"/>
                <w:b w:val="0"/>
                <w:color w:val="auto"/>
                <w:sz w:val="19"/>
                <w:szCs w:val="19"/>
                <w:lang w:val="en-US" w:eastAsia="zh-CN"/>
              </w:rPr>
              <w:t>0.</w:t>
            </w:r>
            <w:r>
              <w:rPr>
                <w:rFonts w:hint="eastAsia" w:ascii="宋体" w:hAnsi="宋体" w:eastAsia="宋体" w:cs="宋体"/>
                <w:b w:val="0"/>
                <w:color w:val="auto"/>
                <w:sz w:val="19"/>
                <w:szCs w:val="19"/>
              </w:rPr>
              <w:t>1分，共4分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垃圾收集、装卸、运输过程中，避免垃圾和污水外泄、遗撒，发现一次扣1分，共计6</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有明显垃圾的，每发现一处扣</w:t>
            </w:r>
            <w:r>
              <w:rPr>
                <w:rFonts w:hint="eastAsia" w:ascii="宋体" w:hAnsi="宋体" w:eastAsia="宋体" w:cs="宋体"/>
                <w:b w:val="0"/>
                <w:color w:val="auto"/>
                <w:sz w:val="19"/>
                <w:szCs w:val="19"/>
                <w:lang w:val="en-US" w:eastAsia="zh-CN"/>
              </w:rPr>
              <w:t>0.</w:t>
            </w:r>
            <w:r>
              <w:rPr>
                <w:rFonts w:hint="eastAsia" w:ascii="宋体" w:hAnsi="宋体" w:eastAsia="宋体" w:cs="宋体"/>
                <w:b w:val="0"/>
                <w:color w:val="auto"/>
                <w:sz w:val="19"/>
                <w:szCs w:val="19"/>
              </w:rPr>
              <w:t>1分，共计</w:t>
            </w:r>
            <w:r>
              <w:rPr>
                <w:rFonts w:hint="eastAsia" w:ascii="宋体" w:hAnsi="宋体" w:eastAsia="宋体" w:cs="宋体"/>
                <w:b w:val="0"/>
                <w:color w:val="auto"/>
                <w:sz w:val="19"/>
                <w:szCs w:val="19"/>
                <w:lang w:val="en-US" w:eastAsia="zh-CN"/>
              </w:rPr>
              <w:t>4</w:t>
            </w:r>
            <w:r>
              <w:rPr>
                <w:rFonts w:hint="eastAsia" w:ascii="宋体" w:hAnsi="宋体" w:eastAsia="宋体" w:cs="宋体"/>
                <w:b w:val="0"/>
                <w:color w:val="auto"/>
                <w:sz w:val="19"/>
                <w:szCs w:val="19"/>
              </w:rPr>
              <w:t>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有成堆垃圾的，每发现一处扣</w:t>
            </w:r>
            <w:r>
              <w:rPr>
                <w:rFonts w:hint="eastAsia" w:ascii="宋体" w:hAnsi="宋体" w:eastAsia="宋体" w:cs="宋体"/>
                <w:b w:val="0"/>
                <w:color w:val="auto"/>
                <w:sz w:val="19"/>
                <w:szCs w:val="19"/>
                <w:lang w:val="en-US" w:eastAsia="zh-CN"/>
              </w:rPr>
              <w:t>0.</w:t>
            </w:r>
            <w:r>
              <w:rPr>
                <w:rFonts w:hint="eastAsia" w:ascii="宋体" w:hAnsi="宋体" w:eastAsia="宋体" w:cs="宋体"/>
                <w:b w:val="0"/>
                <w:color w:val="auto"/>
                <w:sz w:val="19"/>
                <w:szCs w:val="19"/>
              </w:rPr>
              <w:t>2分，共计</w:t>
            </w:r>
            <w:r>
              <w:rPr>
                <w:rFonts w:hint="eastAsia" w:ascii="宋体" w:hAnsi="宋体" w:eastAsia="宋体" w:cs="宋体"/>
                <w:b w:val="0"/>
                <w:color w:val="auto"/>
                <w:sz w:val="19"/>
                <w:szCs w:val="19"/>
                <w:lang w:val="en-US" w:eastAsia="zh-CN"/>
              </w:rPr>
              <w:t>6</w:t>
            </w:r>
            <w:r>
              <w:rPr>
                <w:rFonts w:hint="eastAsia" w:ascii="宋体" w:hAnsi="宋体" w:eastAsia="宋体" w:cs="宋体"/>
                <w:b w:val="0"/>
                <w:color w:val="auto"/>
                <w:sz w:val="19"/>
                <w:szCs w:val="19"/>
              </w:rPr>
              <w:t>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有成堆存量垃圾的，每发现一处扣</w:t>
            </w:r>
            <w:r>
              <w:rPr>
                <w:rFonts w:hint="eastAsia" w:ascii="宋体" w:hAnsi="宋体" w:eastAsia="宋体" w:cs="宋体"/>
                <w:b w:val="0"/>
                <w:color w:val="auto"/>
                <w:sz w:val="19"/>
                <w:szCs w:val="19"/>
                <w:lang w:val="en-US" w:eastAsia="zh-CN"/>
              </w:rPr>
              <w:t>1</w:t>
            </w:r>
            <w:r>
              <w:rPr>
                <w:rFonts w:hint="eastAsia" w:ascii="宋体" w:hAnsi="宋体" w:eastAsia="宋体" w:cs="宋体"/>
                <w:b w:val="0"/>
                <w:color w:val="auto"/>
                <w:sz w:val="19"/>
                <w:szCs w:val="19"/>
              </w:rPr>
              <w:t>分，共计8分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作业人员有焚烧垃圾行为的，每发现一次扣</w:t>
            </w:r>
            <w:r>
              <w:rPr>
                <w:rFonts w:hint="eastAsia" w:ascii="宋体" w:hAnsi="宋体" w:eastAsia="宋体" w:cs="宋体"/>
                <w:b w:val="0"/>
                <w:color w:val="auto"/>
                <w:sz w:val="19"/>
                <w:szCs w:val="19"/>
                <w:lang w:val="en-US" w:eastAsia="zh-CN"/>
              </w:rPr>
              <w:t>2</w:t>
            </w:r>
            <w:r>
              <w:rPr>
                <w:rFonts w:hint="eastAsia" w:ascii="宋体" w:hAnsi="宋体" w:eastAsia="宋体" w:cs="宋体"/>
                <w:b w:val="0"/>
                <w:color w:val="auto"/>
                <w:sz w:val="19"/>
                <w:szCs w:val="19"/>
              </w:rPr>
              <w:t>分，共计6分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大件（装修）垃圾临时堆放点混装其他垃圾的，每发现一处扣</w:t>
            </w:r>
            <w:r>
              <w:rPr>
                <w:rFonts w:hint="eastAsia" w:ascii="宋体" w:hAnsi="宋体" w:eastAsia="宋体" w:cs="宋体"/>
                <w:b w:val="0"/>
                <w:color w:val="auto"/>
                <w:sz w:val="19"/>
                <w:szCs w:val="19"/>
                <w:lang w:val="en-US" w:eastAsia="zh-CN"/>
              </w:rPr>
              <w:t>1</w:t>
            </w:r>
            <w:r>
              <w:rPr>
                <w:rFonts w:hint="eastAsia" w:ascii="宋体" w:hAnsi="宋体" w:eastAsia="宋体" w:cs="宋体"/>
                <w:b w:val="0"/>
                <w:color w:val="auto"/>
                <w:sz w:val="19"/>
                <w:szCs w:val="19"/>
              </w:rPr>
              <w:t>分，共计10分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430"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设备以及场地运营管理</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（5）</w:t>
            </w:r>
          </w:p>
        </w:tc>
        <w:tc>
          <w:tcPr>
            <w:tcW w:w="4491"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机械设备要求（5分）</w:t>
            </w: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机械设备数量以及标准未达到本项目招标承诺要求的，每相差1辆的扣0.5分，共计5分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1430" w:type="dxa"/>
            <w:vMerge w:val="restart"/>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基础设施管理</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w:t>
            </w:r>
            <w:r>
              <w:rPr>
                <w:rFonts w:hint="eastAsia" w:ascii="宋体" w:hAnsi="宋体" w:eastAsia="宋体" w:cs="宋体"/>
                <w:b w:val="0"/>
                <w:color w:val="auto"/>
                <w:sz w:val="19"/>
                <w:szCs w:val="19"/>
                <w:lang w:val="en-US" w:eastAsia="zh-CN"/>
              </w:rPr>
              <w:t>2</w:t>
            </w:r>
            <w:r>
              <w:rPr>
                <w:rFonts w:hint="eastAsia" w:ascii="宋体" w:hAnsi="宋体" w:eastAsia="宋体" w:cs="宋体"/>
                <w:b w:val="0"/>
                <w:color w:val="auto"/>
                <w:sz w:val="19"/>
                <w:szCs w:val="19"/>
              </w:rPr>
              <w:t>0分）</w:t>
            </w:r>
          </w:p>
          <w:p>
            <w:pPr>
              <w:jc w:val="center"/>
              <w:rPr>
                <w:rFonts w:hint="eastAsia" w:ascii="宋体" w:hAnsi="宋体" w:eastAsia="宋体" w:cs="宋体"/>
                <w:b w:val="0"/>
                <w:color w:val="auto"/>
                <w:sz w:val="19"/>
                <w:szCs w:val="19"/>
              </w:rPr>
            </w:pPr>
          </w:p>
          <w:p>
            <w:pPr>
              <w:jc w:val="center"/>
              <w:rPr>
                <w:rFonts w:hint="eastAsia" w:ascii="宋体" w:hAnsi="宋体" w:eastAsia="宋体" w:cs="宋体"/>
                <w:b w:val="0"/>
                <w:color w:val="auto"/>
                <w:sz w:val="19"/>
                <w:szCs w:val="19"/>
              </w:rPr>
            </w:pPr>
          </w:p>
        </w:tc>
        <w:tc>
          <w:tcPr>
            <w:tcW w:w="4491"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公共四分类桶站</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配置（</w:t>
            </w:r>
            <w:r>
              <w:rPr>
                <w:rFonts w:hint="eastAsia" w:ascii="宋体" w:hAnsi="宋体" w:eastAsia="宋体" w:cs="宋体"/>
                <w:b w:val="0"/>
                <w:color w:val="auto"/>
                <w:sz w:val="19"/>
                <w:szCs w:val="19"/>
                <w:lang w:val="en-US" w:eastAsia="zh-CN"/>
              </w:rPr>
              <w:t>4</w:t>
            </w:r>
            <w:r>
              <w:rPr>
                <w:rFonts w:hint="eastAsia" w:ascii="宋体" w:hAnsi="宋体" w:eastAsia="宋体" w:cs="宋体"/>
                <w:b w:val="0"/>
                <w:color w:val="auto"/>
                <w:sz w:val="19"/>
                <w:szCs w:val="19"/>
              </w:rPr>
              <w:t>分）</w:t>
            </w: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每个小区（村）主要场所设置一个公共四分类桶站，配置宣传栏。垃圾分类图标、颜色不规范，桶站内垃圾桶设置不规范，每发现一处扣0.5分，共计</w:t>
            </w:r>
            <w:r>
              <w:rPr>
                <w:rFonts w:hint="eastAsia" w:ascii="宋体" w:hAnsi="宋体" w:eastAsia="宋体" w:cs="宋体"/>
                <w:b w:val="0"/>
                <w:color w:val="auto"/>
                <w:sz w:val="19"/>
                <w:szCs w:val="19"/>
                <w:lang w:val="en-US" w:eastAsia="zh-CN"/>
              </w:rPr>
              <w:t>4</w:t>
            </w:r>
            <w:r>
              <w:rPr>
                <w:rFonts w:hint="eastAsia" w:ascii="宋体" w:hAnsi="宋体" w:eastAsia="宋体" w:cs="宋体"/>
                <w:b w:val="0"/>
                <w:color w:val="auto"/>
                <w:sz w:val="19"/>
                <w:szCs w:val="19"/>
              </w:rPr>
              <w:t>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户用两分类桶站</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配置(</w:t>
            </w:r>
            <w:r>
              <w:rPr>
                <w:rFonts w:hint="eastAsia" w:ascii="宋体" w:hAnsi="宋体" w:eastAsia="宋体" w:cs="宋体"/>
                <w:b w:val="0"/>
                <w:color w:val="auto"/>
                <w:sz w:val="19"/>
                <w:szCs w:val="19"/>
                <w:lang w:val="en-US" w:eastAsia="zh-CN"/>
              </w:rPr>
              <w:t>4</w:t>
            </w:r>
            <w:r>
              <w:rPr>
                <w:rFonts w:hint="eastAsia" w:ascii="宋体" w:hAnsi="宋体" w:eastAsia="宋体" w:cs="宋体"/>
                <w:b w:val="0"/>
                <w:color w:val="auto"/>
                <w:sz w:val="19"/>
                <w:szCs w:val="19"/>
              </w:rPr>
              <w:t>分)</w:t>
            </w: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小区内每个单元楼门口（或地下车库）设置一个公共两分类桶站。行政村内每家农户门口设置一套户用垃圾两分类桶。分类图标、颜色不规范，桶站内垃圾桶设置不规范，每发现一处扣0.5分，共计</w:t>
            </w:r>
            <w:r>
              <w:rPr>
                <w:rFonts w:hint="eastAsia" w:ascii="宋体" w:hAnsi="宋体" w:eastAsia="宋体" w:cs="宋体"/>
                <w:b w:val="0"/>
                <w:color w:val="auto"/>
                <w:sz w:val="19"/>
                <w:szCs w:val="19"/>
                <w:lang w:val="en-US" w:eastAsia="zh-CN"/>
              </w:rPr>
              <w:t>4</w:t>
            </w:r>
            <w:r>
              <w:rPr>
                <w:rFonts w:hint="eastAsia" w:ascii="宋体" w:hAnsi="宋体" w:eastAsia="宋体" w:cs="宋体"/>
                <w:b w:val="0"/>
                <w:color w:val="auto"/>
                <w:sz w:val="19"/>
                <w:szCs w:val="19"/>
              </w:rPr>
              <w:t>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公共场所桶站配置(</w:t>
            </w:r>
            <w:r>
              <w:rPr>
                <w:rFonts w:hint="eastAsia" w:ascii="宋体" w:hAnsi="宋体" w:eastAsia="宋体" w:cs="宋体"/>
                <w:b w:val="0"/>
                <w:color w:val="auto"/>
                <w:sz w:val="19"/>
                <w:szCs w:val="19"/>
                <w:lang w:val="en-US" w:eastAsia="zh-CN"/>
              </w:rPr>
              <w:t>4</w:t>
            </w:r>
            <w:r>
              <w:rPr>
                <w:rFonts w:hint="eastAsia" w:ascii="宋体" w:hAnsi="宋体" w:eastAsia="宋体" w:cs="宋体"/>
                <w:b w:val="0"/>
                <w:color w:val="auto"/>
                <w:sz w:val="19"/>
                <w:szCs w:val="19"/>
              </w:rPr>
              <w:t>分)</w:t>
            </w: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主次干道、商业大街、主要交通路口、背街小巷设置可回收物（蓝桶）和其他垃圾（灰桶）两分收集容器。村内公共区域设置易腐垃圾（绿桶）和其他垃圾（灰桶）两分收集容器。每发现一处不规范放置1分，共计</w:t>
            </w:r>
            <w:r>
              <w:rPr>
                <w:rFonts w:hint="eastAsia" w:ascii="宋体" w:hAnsi="宋体" w:eastAsia="宋体" w:cs="宋体"/>
                <w:b w:val="0"/>
                <w:color w:val="auto"/>
                <w:sz w:val="19"/>
                <w:szCs w:val="19"/>
                <w:lang w:val="en-US" w:eastAsia="zh-CN"/>
              </w:rPr>
              <w:t>4</w:t>
            </w:r>
            <w:r>
              <w:rPr>
                <w:rFonts w:hint="eastAsia" w:ascii="宋体" w:hAnsi="宋体" w:eastAsia="宋体" w:cs="宋体"/>
                <w:b w:val="0"/>
                <w:color w:val="auto"/>
                <w:sz w:val="19"/>
                <w:szCs w:val="19"/>
              </w:rPr>
              <w:t>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桶站的管理和维护(</w:t>
            </w:r>
            <w:r>
              <w:rPr>
                <w:rFonts w:hint="eastAsia" w:ascii="宋体" w:hAnsi="宋体" w:eastAsia="宋体" w:cs="宋体"/>
                <w:b w:val="0"/>
                <w:color w:val="auto"/>
                <w:sz w:val="19"/>
                <w:szCs w:val="19"/>
                <w:lang w:val="en-US" w:eastAsia="zh-CN"/>
              </w:rPr>
              <w:t>8</w:t>
            </w:r>
            <w:r>
              <w:rPr>
                <w:rFonts w:hint="eastAsia" w:ascii="宋体" w:hAnsi="宋体" w:eastAsia="宋体" w:cs="宋体"/>
                <w:b w:val="0"/>
                <w:color w:val="auto"/>
                <w:sz w:val="19"/>
                <w:szCs w:val="19"/>
              </w:rPr>
              <w:t>分)</w:t>
            </w: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垃圾桶、垃圾分类设施、容器及其周边未进行清洗保洁，桶脏、桶破、桶未盖以及桶周边有积水、垃圾或污水满溢的，发现一处没有放置扣1分，共计</w:t>
            </w:r>
            <w:r>
              <w:rPr>
                <w:rFonts w:hint="eastAsia" w:ascii="宋体" w:hAnsi="宋体" w:eastAsia="宋体" w:cs="宋体"/>
                <w:b w:val="0"/>
                <w:color w:val="auto"/>
                <w:sz w:val="19"/>
                <w:szCs w:val="19"/>
                <w:lang w:val="en-US" w:eastAsia="zh-CN"/>
              </w:rPr>
              <w:t>8</w:t>
            </w:r>
            <w:r>
              <w:rPr>
                <w:rFonts w:hint="eastAsia" w:ascii="宋体" w:hAnsi="宋体" w:eastAsia="宋体" w:cs="宋体"/>
                <w:b w:val="0"/>
                <w:color w:val="auto"/>
                <w:sz w:val="19"/>
                <w:szCs w:val="19"/>
              </w:rPr>
              <w:t>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1430" w:type="dxa"/>
            <w:vMerge w:val="restart"/>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宣传教育</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（10分）</w:t>
            </w:r>
          </w:p>
        </w:tc>
        <w:tc>
          <w:tcPr>
            <w:tcW w:w="4491" w:type="dxa"/>
            <w:vMerge w:val="restart"/>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培训考核情况</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(4分)</w:t>
            </w: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每月做好作业人员不少于一次的案例教育并做好台账记录。发现无相关台账记录的，每次扣2分，共计2分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企业对作业人员出台管理评优制度，每月考核1次并做好台账记录。发现无台账记录的每次扣2分，共计2分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vMerge w:val="restart"/>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宣传评比情况</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(6分)</w:t>
            </w: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机抽查10户，了解居民垃圾分类的知晓情况，每发现一户不知晓的扣0.5分，扣完为止，共2分。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430"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4491" w:type="dxa"/>
            <w:vMerge w:val="continue"/>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通过查阅台账、入户走访的形式，了解宣传评比开展情况。未开展先进户评比，扣2分；未开展先进社区（村）评比，扣2分。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430"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不良行为</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（10分）</w:t>
            </w:r>
          </w:p>
        </w:tc>
        <w:tc>
          <w:tcPr>
            <w:tcW w:w="4491"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不良行为情况</w:t>
            </w:r>
          </w:p>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（10分）</w:t>
            </w:r>
          </w:p>
        </w:tc>
        <w:tc>
          <w:tcPr>
            <w:tcW w:w="778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根据日常考核细则，不良行为记录每1次的，扣0.5分，共计10分</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706" w:type="dxa"/>
            <w:gridSpan w:val="3"/>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r>
              <w:rPr>
                <w:rFonts w:hint="eastAsia" w:ascii="宋体" w:hAnsi="宋体" w:eastAsia="宋体" w:cs="宋体"/>
                <w:b w:val="0"/>
                <w:color w:val="auto"/>
                <w:sz w:val="19"/>
                <w:szCs w:val="19"/>
              </w:rPr>
              <w:t>合        计</w:t>
            </w:r>
          </w:p>
        </w:tc>
        <w:tc>
          <w:tcPr>
            <w:tcW w:w="1095" w:type="dxa"/>
            <w:tcBorders>
              <w:tl2br w:val="nil"/>
              <w:tr2bl w:val="nil"/>
            </w:tcBorders>
            <w:noWrap w:val="0"/>
            <w:tcMar>
              <w:top w:w="0" w:type="dxa"/>
              <w:left w:w="108" w:type="dxa"/>
              <w:bottom w:w="0" w:type="dxa"/>
              <w:right w:w="108" w:type="dxa"/>
            </w:tcMar>
            <w:vAlign w:val="center"/>
          </w:tcPr>
          <w:p>
            <w:pPr>
              <w:jc w:val="center"/>
              <w:rPr>
                <w:rFonts w:hint="eastAsia" w:ascii="宋体" w:hAnsi="宋体" w:eastAsia="宋体" w:cs="宋体"/>
                <w:b w:val="0"/>
                <w:color w:val="auto"/>
                <w:sz w:val="19"/>
                <w:szCs w:val="19"/>
              </w:rPr>
            </w:pPr>
          </w:p>
        </w:tc>
      </w:tr>
    </w:tbl>
    <w:p>
      <w:pPr>
        <w:jc w:val="center"/>
        <w:rPr>
          <w:rFonts w:hint="eastAsia" w:ascii="宋体" w:hAnsi="宋体" w:eastAsia="宋体" w:cs="宋体"/>
          <w:b w:val="0"/>
          <w:color w:val="auto"/>
          <w:sz w:val="19"/>
          <w:szCs w:val="19"/>
          <w:lang w:eastAsia="zh-CN"/>
        </w:rPr>
      </w:pPr>
    </w:p>
    <w:sectPr>
      <w:footerReference r:id="rId13" w:type="first"/>
      <w:headerReference r:id="rId11" w:type="default"/>
      <w:footerReference r:id="rId12" w:type="default"/>
      <w:pgSz w:w="16838" w:h="11906" w:orient="landscape"/>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ZapfDingbatsNr2EFOP-Regular">
    <w:altName w:val="黑体"/>
    <w:panose1 w:val="00000000000000000000"/>
    <w:charset w:val="86"/>
    <w:family w:val="auto"/>
    <w:pitch w:val="default"/>
    <w:sig w:usb0="00000003" w:usb1="080E0000" w:usb2="00000010"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Helvetica Neue">
    <w:altName w:val="黑体"/>
    <w:panose1 w:val="00000000000000000000"/>
    <w:charset w:val="86"/>
    <w:family w:val="auto"/>
    <w:pitch w:val="default"/>
    <w:sig w:usb0="00000001" w:usb1="080E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PMingLiU">
    <w:altName w:val="PMingLiU-ExtB"/>
    <w:panose1 w:val="02020300000000000000"/>
    <w:charset w:val="88"/>
    <w:family w:val="roman"/>
    <w:pitch w:val="default"/>
    <w:sig w:usb0="00000003" w:usb1="082E0000" w:usb2="00000016" w:usb3="00000000" w:csb0="00100001" w:csb1="00000000"/>
  </w:font>
  <w:font w:name="Heiti SC Light">
    <w:altName w:val="宋体"/>
    <w:panose1 w:val="00000000000000000000"/>
    <w:charset w:val="86"/>
    <w:family w:val="auto"/>
    <w:pitch w:val="default"/>
    <w:sig w:usb0="00000000" w:usb1="00000000" w:usb2="00000010" w:usb3="00000000" w:csb0="003E0000" w:csb1="00000000"/>
  </w:font>
  <w:font w:name="宋体,Verdana,Arial">
    <w:altName w:val="宋体"/>
    <w:panose1 w:val="00000000000000000000"/>
    <w:charset w:val="86"/>
    <w:family w:val="roman"/>
    <w:pitch w:val="default"/>
    <w:sig w:usb0="00000001"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Linotype Univers 330 Light">
    <w:altName w:val="宋体"/>
    <w:panose1 w:val="00000000000000000000"/>
    <w:charset w:val="86"/>
    <w:family w:val="swiss"/>
    <w:pitch w:val="default"/>
    <w:sig w:usb0="00000001" w:usb1="080E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Univers LT Std 47 Cn Lt">
    <w:altName w:val="宋体"/>
    <w:panose1 w:val="00000000000000000000"/>
    <w:charset w:val="86"/>
    <w:family w:val="swiss"/>
    <w:pitch w:val="default"/>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3" w:usb1="00000000" w:usb2="00000000" w:usb3="00000000" w:csb0="00000001" w:csb1="00000000"/>
  </w:font>
  <w:font w:name="Univers LT Std 57 Cn">
    <w:altName w:val="Arial"/>
    <w:panose1 w:val="00000000000000000000"/>
    <w:charset w:val="00"/>
    <w:family w:val="swiss"/>
    <w:pitch w:val="default"/>
    <w:sig w:usb0="000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hakuyoxingshu7000">
    <w:altName w:val="宋体"/>
    <w:panose1 w:val="02000600000000000000"/>
    <w:charset w:val="86"/>
    <w:family w:val="auto"/>
    <w:pitch w:val="default"/>
    <w:sig w:usb0="F7FFAFFF" w:usb1="E9DFFFFF" w:usb2="0000003F" w:usb3="00000000" w:csb0="003F00FF" w:csb1="00000000"/>
  </w:font>
  <w:font w:name="RMJENO+KaiTi_GB2312">
    <w:altName w:val="宋体"/>
    <w:panose1 w:val="00000000000000000000"/>
    <w:charset w:val="01"/>
    <w:family w:val="auto"/>
    <w:pitch w:val="default"/>
    <w:sig w:usb0="00000000" w:usb1="00000000" w:usb2="01010101" w:usb3="01010101" w:csb0="01010101" w:csb1="01010101"/>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0"/>
      </w:rPr>
    </w:pPr>
    <w:r>
      <w:fldChar w:fldCharType="begin"/>
    </w:r>
    <w:r>
      <w:rPr>
        <w:rStyle w:val="60"/>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top w:val="single" w:color="auto" w:sz="4" w:space="1"/>
      </w:pBdr>
      <w:ind w:right="-82" w:rightChars="-39" w:firstLine="4410" w:firstLineChars="2450"/>
      <w:jc w:val="right"/>
      <w:rPr>
        <w:rFonts w:hint="eastAsia" w:ascii="宋体" w:hAnsi="宋体" w:eastAsia="宋体" w:cs="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2895" cy="132080"/>
              <wp:effectExtent l="0" t="0" r="0" b="0"/>
              <wp:wrapNone/>
              <wp:docPr id="1" name="文本框 6"/>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wps:spPr>
                    <wps:txbx>
                      <w:txbxContent>
                        <w:p>
                          <w:pPr>
                            <w:pStyle w:val="37"/>
                            <w:rPr>
                              <w:rStyle w:val="60"/>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60"/>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0"/>
                              <w:rFonts w:ascii="新宋体" w:hAnsi="新宋体" w:eastAsia="新宋体" w:cs="新宋体"/>
                              <w:b/>
                              <w:sz w:val="16"/>
                              <w:szCs w:val="16"/>
                              <w:lang/>
                            </w:rPr>
                            <w:t>11</w:t>
                          </w:r>
                          <w:r>
                            <w:rPr>
                              <w:rFonts w:hint="eastAsia" w:ascii="新宋体" w:hAnsi="新宋体" w:eastAsia="新宋体" w:cs="新宋体"/>
                              <w:b/>
                              <w:sz w:val="16"/>
                              <w:szCs w:val="16"/>
                            </w:rPr>
                            <w:fldChar w:fldCharType="end"/>
                          </w:r>
                        </w:p>
                      </w:txbxContent>
                    </wps:txbx>
                    <wps:bodyPr wrap="square" lIns="0" tIns="0" rIns="0" bIns="0" upright="1"/>
                  </wps:wsp>
                </a:graphicData>
              </a:graphic>
            </wp:anchor>
          </w:drawing>
        </mc:Choice>
        <mc:Fallback>
          <w:pict>
            <v:shape id="文本框 6" o:spid="_x0000_s1026" o:spt="202" type="#_x0000_t202" style="position:absolute;left:0pt;margin-top:0pt;height:10.4pt;width:23.85pt;mso-position-horizontal:center;mso-position-horizontal-relative:margin;z-index:251659264;mso-width-relative:page;mso-height-relative:page;" filled="f" stroked="f" coordsize="21600,21600" o:gfxdata="UEsDBAoAAAAAAIdO4kAAAAAAAAAAAAAAAAAEAAAAZHJzL1BLAwQUAAAACACHTuJAQ+V+SdAAAAAD AQAADwAAAGRycy9kb3ducmV2LnhtbE2PMW/CMBCF90r9D9ZV6lbsMJQoxGFAYmGDVkhsJj7iCPsc 2SYk/76mS7uc9PSe3vuu3kzOshFD7D1JKBYCGFLrdU+dhO+v3UcJLCZFWllPKGHGCJvm9aVWlfYP OuB4TB3LJRQrJcGkNFScx9agU3HhB6TsXX1wKmUZOq6DeuRyZ/lSiE/uVE95wagBtwbb2/HuJKym k8ch4hbP17ENpp9Lu5+lfH8rxBpYwin9heGJn9GhyUwXfycdmZWQH0m/9+mVBbCLhKVYAW9q/p+9 +QFQSwMEFAAAAAgAh07iQIGrxpXvAQAAtAMAAA4AAABkcnMvZTJvRG9jLnhtbK1TS27bMBDdF+gd CO5rWbETNILlIE3gokD6AdIegKIoiajEIYa0JfcA7Q26yqb7nsvnyJCy3LTdFd0QI3LmzZs3T6ur oWvZTqHTYHKezuacKSOh1KbO+aePmxcvOXNemFK0YFTO98rxq/XzZ6veZuoMGmhLhYxAjMt6m/PG e5sliZON6oSbgVWGHivATnj6xDopUfSE3rXJ2Xx+kfSApUWQyjm6vR0f+TriV5WS/n1VOeVZm3Pi 5uOJ8SzCmaxXIqtR2EbLIw3xDyw6oQ01PUHdCi/YFvVfUJ2WCA4qP5PQJVBVWqo4A02Tzv+Y5r4R VsVZSBxnTzK5/wcr3+0+INNlzhecGdHRig7fvx0efh5+fGUXQZ7euoyy7i3l+eEVDLTmOKqzdyA/ O2bgphGmVteI0DdKlEQvDZXJk9IRxwWQon8LJfURWw8RaKiwC9qRGozQaU3702rU4JkMLdPl5eKc M0lP6SJdLs9jB5FNxRadf62gYyHIOdLmI7jY3TkfyIhsSgm9DGx028btt+a3C0oMN5F84Dsy90Mx HMUooNzTGAijmcj8FDSAXzjryUg5N+R0zto3hoQInpsCnIJiCoSRVJhzz9kY3vjRm1uLum4Id5L6 msTa6DhIUHXkcGRJ1ojzHW0cvPf0O2b9+tnWj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AAAAABkcnMvUEsBAhQAFAAAAAgAh07iQEPlfknQ AAAAAwEAAA8AAAAAAAAAAQAgAAAAIgAAAGRycy9kb3ducmV2LnhtbFBLAQIUABQAAAAIAIdO4kCB q8aV7wEAALQDAAAOAAAAAAAAAAEAIAAAAB8BAABkcnMvZTJvRG9jLnhtbFBLBQYAAAAABgAGAFkB AACABQAAAAA= ">
              <v:fill on="f" focussize="0,0"/>
              <v:stroke on="f"/>
              <v:imagedata o:title=""/>
              <o:lock v:ext="edit" aspectratio="f"/>
              <v:textbox inset="0mm,0mm,0mm,0mm">
                <w:txbxContent>
                  <w:p>
                    <w:pPr>
                      <w:pStyle w:val="37"/>
                      <w:rPr>
                        <w:rStyle w:val="60"/>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60"/>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0"/>
                        <w:rFonts w:ascii="新宋体" w:hAnsi="新宋体" w:eastAsia="新宋体" w:cs="新宋体"/>
                        <w:b/>
                        <w:sz w:val="16"/>
                        <w:szCs w:val="16"/>
                        <w:lang/>
                      </w:rPr>
                      <w:t>11</w:t>
                    </w:r>
                    <w:r>
                      <w:rPr>
                        <w:rFonts w:hint="eastAsia" w:ascii="新宋体" w:hAnsi="新宋体" w:eastAsia="新宋体" w:cs="新宋体"/>
                        <w:b/>
                        <w:sz w:val="16"/>
                        <w:szCs w:val="16"/>
                      </w:rPr>
                      <w:fldChar w:fldCharType="end"/>
                    </w:r>
                  </w:p>
                </w:txbxContent>
              </v:textbox>
            </v:shape>
          </w:pict>
        </mc:Fallback>
      </mc:AlternateContent>
    </w:r>
    <w:r>
      <w:rPr>
        <w:rFonts w:hint="eastAsia" w:ascii="宋体" w:hAnsi="宋体" w:cs="宋体"/>
        <w:lang w:eastAsia="zh-CN"/>
      </w:rPr>
      <w:t>宁波国咨工程造价咨询有限公司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 AQAADwAAAGRycy9kb3ducmV2LnhtbE2PMU/DMBCFdyT+g3VIbNROB9qGOB0qsbBREBLbNb7GEfY5 st00+fcYFlhOenpP733X7GfvxEQxDYE1VCsFgrgLZuBew/vb88MWRMrIBl1g0rBQgn17e9NgbcKV X2k65l6UEk41arA5j7WUqbPkMa3CSFy8c4gec5GxlybitZR7J9dKPUqPA5cFiyMdLHVfx4vXsJk/ Ao2JDvR5nrpoh2XrXhat7+8q9QQi05z/wvCDX9ChLUyncGGThNNQHsm/t3i7CsRJw1ptQLaN/I/e fgNQSwMEFAAAAAgAh07iQM2KT6EPAgAADwQAAA4AAABkcnMvZTJvRG9jLnhtbK1TzY7TMBC+I/EO lu80bdmyS9R0tWxVhLT8SAsP4DpOYxF7rLHbZHkAeANOXLjzXH0Oxk5SluWyBy7RxJ75Zr5vPi8v O9Owg0KvwRZ8NplypqyEUttdwT993Dy74MwHYUvRgFUFv1OeX66ePlm2LldzqKEpFTICsT5vXcHr EFyeZV7Wygg/AacsXVaARgT6xV1WomgJ3TTZfDp9kbWApUOQyns6XfeXfEDExwBCVWmp1iD3RtnQ o6JqRCBKvtbO81WatqqUDO+ryqvAmoIT05C+1ITibfxmq6XIdyhcreUwgnjMCA84GaEtNT1BrUUQ bI/6HyijJYKHKkwkmKwnkhQhFrPpA21ua+FU4kJSe3cS3f8/WPnu8AGZLgs+58wKQws/fv92/PHr +PMrexnlaZ3PKevWUV7oXkFHpklUvbsB+dkzC9e1sDt1hQhtrURJ481iZXavtMfxEWTbvoWS+oh9 gATUVWiidqQGI3Razd1pNaoLTNLh4vz8YsGZpJvZ89nZ2SI1EPlY69CH1woMi0HBkRafsMXhxoc4 i8jHlNjKwkY3TVp+Y/86oMT+RCX3DNWRSRy+pxG6bTcos4Xyjjgh9M6id0VBDfiFs5ZcVXBLj4iz 5o0lVaIBxwDHYDsGwkoqLHjgrA+vQ2/UvUO9qwl31P2KlNvoRCsO1s8w6E0+SWwHT0cj3v9PWX/e 8eo3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eAQAAFtDb250ZW50X1R5cGVzXS54bWxQSwECFAAKAAAAAACHTuJAAAAAAAAAAAAAAAAABgAAAAAA AAAAABAAAABaAwAAX3JlbHMvUEsBAhQAFAAAAAgAh07iQIoUZjzRAAAAlAEAAAsAAAAAAAAAAQAg AAAAfgMAAF9yZWxzLy5yZWxzUEsBAhQACgAAAAAAh07iQAAAAAAAAAAAAAAAAAQAAAAAAAAAAAAQ AAAAAAAAAGRycy9QSwECFAAUAAAACACHTuJAz4vdRNAAAAACAQAADwAAAAAAAAABACAAAAAiAAAA ZHJzL2Rvd25yZXYueG1sUEsBAhQAFAAAAAgAh07iQM2KT6EPAgAADwQAAA4AAAAAAAAAAQAgAAAA HwEAAGRycy9lMm9Eb2MueG1sUEsFBgAAAAAGAAYAWQEAAKAFAAAAAA== ">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eastAsia="宋体"/>
        <w:b w:val="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vF7+8kBAACZAwAADgAAAGRycy9lMm9Eb2MueG1srVPNjtMwEL4j8Q6W 79TZI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NeUOG5x4OefP86//px/fydv sj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C8Xv7yQEAAJkDAAAOAAAAAAAAAAEAIAAAAB4BAABkcnMvZTJvRG9j LnhtbFBLBQYAAAAABgAGAFkBAABZBQAAAAA= ">
              <v:fill on="f" focussize="0,0"/>
              <v:stroke on="f"/>
              <v:imagedata o:title=""/>
              <o:lock v:ext="edit" aspectratio="f"/>
              <v:textbox inset="0mm,0mm,0mm,0mm" style="mso-fit-shape-to-text:t;">
                <w:txbxContent>
                  <w:p>
                    <w:pPr>
                      <w:pStyle w:val="3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F+UJskBAACZAwAADgAAAGRycy9lMm9Eb2MueG1srVPNjtMwEL4j8Q6W 79TZaoWqqOlqUbUICQHSwgO4jt1Y8p88bpO+ALwBJy7cea4+B2Mn6S7LZQ97ccYz42/m+2ayvhms IUcZQXvX0KtFRYl0wrfa7Rv67evdmxUlkLhrufFONvQkgd5sXr9a96GWS99508pIEMRB3YeGdimF mjEQnbQcFj5Ih0Hlo+UJr3HP2sh7RLeGLavqLet9bEP0QgKgdzsG6YQYnwPoldJCbr04WOnSiBql 4QkpQacD0E3pVikp0melQCZiGopMUzmxCNq7fLLNmtf7yEOnxdQCf04LTzhZrh0WvUBteeLkEPV/ UFaL6MGrtBDespFIUQRZXFVPtLnveJCFC0oN4SI6vBys+HT8EoluG3pN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UX5QmyQEAAJkDAAAOAAAAAAAAAAEAIAAAAB4BAABkcnMvZTJvRG9j LnhtbFBLBQYAAAAABgAGAFkBAABZBQAAAAA= ">
              <v:fill on="f" focussize="0,0"/>
              <v:stroke on="f"/>
              <v:imagedata o:title=""/>
              <o:lock v:ext="edit" aspectratio="f"/>
              <v:textbox inset="0mm,0mm,0mm,0mm" style="mso-fit-shape-to-text:t;">
                <w:txbxContent>
                  <w:p>
                    <w:pPr>
                      <w:pStyle w:val="3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left"/>
    </w:pPr>
    <w:r>
      <w:rPr>
        <w:rFonts w:hint="eastAsia"/>
      </w:rPr>
      <w:t xml:space="preserve">温州市政府采购招标文件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eastAsia" w:eastAsia="新宋体"/>
      </w:rPr>
    </w:pPr>
    <w:r>
      <w:rPr>
        <w:rFonts w:hint="eastAsia" w:eastAsia="新宋体"/>
      </w:rPr>
      <w:t>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line="240" w:lineRule="auto"/>
      <w:ind w:firstLine="0" w:firstLineChars="0"/>
      <w:jc w:val="left"/>
      <w:rPr>
        <w:rFonts w:ascii="华文细黑" w:hAnsi="华文细黑" w:eastAsia="华文细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0656E"/>
    <w:multiLevelType w:val="singleLevel"/>
    <w:tmpl w:val="8310656E"/>
    <w:lvl w:ilvl="0" w:tentative="0">
      <w:start w:val="1"/>
      <w:numFmt w:val="decimal"/>
      <w:suff w:val="nothing"/>
      <w:lvlText w:val="%1．"/>
      <w:lvlJc w:val="left"/>
      <w:pPr>
        <w:ind w:left="0" w:firstLine="400"/>
      </w:pPr>
      <w:rPr>
        <w:rFonts w:hint="default"/>
      </w:rPr>
    </w:lvl>
  </w:abstractNum>
  <w:abstractNum w:abstractNumId="1">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2">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3">
    <w:nsid w:val="B0BEE037"/>
    <w:multiLevelType w:val="singleLevel"/>
    <w:tmpl w:val="B0BEE037"/>
    <w:lvl w:ilvl="0" w:tentative="0">
      <w:start w:val="1"/>
      <w:numFmt w:val="decimalEnclosedCircleChinese"/>
      <w:suff w:val="nothing"/>
      <w:lvlText w:val="%1　"/>
      <w:lvlJc w:val="left"/>
      <w:pPr>
        <w:ind w:left="0" w:firstLine="400"/>
      </w:pPr>
      <w:rPr>
        <w:rFonts w:hint="eastAsia"/>
      </w:rPr>
    </w:lvl>
  </w:abstractNum>
  <w:abstractNum w:abstractNumId="4">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5">
    <w:nsid w:val="DDBBCC5B"/>
    <w:multiLevelType w:val="singleLevel"/>
    <w:tmpl w:val="DDBBCC5B"/>
    <w:lvl w:ilvl="0" w:tentative="0">
      <w:start w:val="1"/>
      <w:numFmt w:val="decimalEnclosedCircleChinese"/>
      <w:suff w:val="nothing"/>
      <w:lvlText w:val="%1　"/>
      <w:lvlJc w:val="left"/>
      <w:pPr>
        <w:ind w:left="0" w:firstLine="400"/>
      </w:pPr>
      <w:rPr>
        <w:rFonts w:hint="eastAsia"/>
      </w:rPr>
    </w:lvl>
  </w:abstractNum>
  <w:abstractNum w:abstractNumId="6">
    <w:nsid w:val="F7FB7294"/>
    <w:multiLevelType w:val="singleLevel"/>
    <w:tmpl w:val="F7FB7294"/>
    <w:lvl w:ilvl="0" w:tentative="0">
      <w:start w:val="1"/>
      <w:numFmt w:val="decimalEnclosedCircleChinese"/>
      <w:suff w:val="nothing"/>
      <w:lvlText w:val="%1　"/>
      <w:lvlJc w:val="left"/>
      <w:pPr>
        <w:ind w:left="0" w:firstLine="400"/>
      </w:pPr>
      <w:rPr>
        <w:rFonts w:hint="eastAsia"/>
      </w:rPr>
    </w:lvl>
  </w:abstractNum>
  <w:abstractNum w:abstractNumId="7">
    <w:nsid w:val="FE715CAE"/>
    <w:multiLevelType w:val="singleLevel"/>
    <w:tmpl w:val="FE715CAE"/>
    <w:lvl w:ilvl="0" w:tentative="0">
      <w:start w:val="1"/>
      <w:numFmt w:val="decimalEnclosedCircleChinese"/>
      <w:suff w:val="nothing"/>
      <w:lvlText w:val="%1　"/>
      <w:lvlJc w:val="left"/>
      <w:pPr>
        <w:ind w:left="0" w:firstLine="400"/>
      </w:pPr>
      <w:rPr>
        <w:rFonts w:hint="eastAsia"/>
      </w:rPr>
    </w:lvl>
  </w:abstractNum>
  <w:abstractNum w:abstractNumId="8">
    <w:nsid w:val="00000005"/>
    <w:multiLevelType w:val="multilevel"/>
    <w:tmpl w:val="00000005"/>
    <w:lvl w:ilvl="0" w:tentative="0">
      <w:start w:val="1"/>
      <w:numFmt w:val="bullet"/>
      <w:pStyle w:val="311"/>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9">
    <w:nsid w:val="00000006"/>
    <w:multiLevelType w:val="multilevel"/>
    <w:tmpl w:val="00000006"/>
    <w:lvl w:ilvl="0" w:tentative="0">
      <w:start w:val="1"/>
      <w:numFmt w:val="decimal"/>
      <w:pStyle w:val="18"/>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7"/>
    <w:multiLevelType w:val="multilevel"/>
    <w:tmpl w:val="00000007"/>
    <w:lvl w:ilvl="0" w:tentative="0">
      <w:start w:val="5"/>
      <w:numFmt w:val="decimal"/>
      <w:pStyle w:val="520"/>
      <w:lvlText w:val="%1."/>
      <w:lvlJc w:val="left"/>
      <w:pPr>
        <w:tabs>
          <w:tab w:val="left" w:pos="360"/>
        </w:tabs>
        <w:ind w:left="360" w:hanging="360"/>
      </w:pPr>
      <w:rPr>
        <w:rFonts w:hint="default"/>
      </w:rPr>
    </w:lvl>
    <w:lvl w:ilvl="1" w:tentative="0">
      <w:start w:val="0"/>
      <w:numFmt w:val="none"/>
      <w:pStyle w:val="446"/>
      <w:lvlText w:val=""/>
      <w:lvlJc w:val="left"/>
      <w:pPr>
        <w:tabs>
          <w:tab w:val="left" w:pos="360"/>
        </w:tabs>
      </w:pPr>
    </w:lvl>
    <w:lvl w:ilvl="2" w:tentative="0">
      <w:start w:val="0"/>
      <w:numFmt w:val="none"/>
      <w:pStyle w:val="493"/>
      <w:lvlText w:val=""/>
      <w:lvlJc w:val="left"/>
      <w:pPr>
        <w:tabs>
          <w:tab w:val="left" w:pos="360"/>
        </w:tabs>
      </w:pPr>
    </w:lvl>
    <w:lvl w:ilvl="3" w:tentative="0">
      <w:start w:val="0"/>
      <w:numFmt w:val="none"/>
      <w:pStyle w:val="492"/>
      <w:lvlText w:val=""/>
      <w:lvlJc w:val="left"/>
      <w:pPr>
        <w:tabs>
          <w:tab w:val="left" w:pos="360"/>
        </w:tabs>
      </w:pPr>
    </w:lvl>
    <w:lvl w:ilvl="4" w:tentative="0">
      <w:start w:val="0"/>
      <w:numFmt w:val="none"/>
      <w:pStyle w:val="491"/>
      <w:lvlText w:val=""/>
      <w:lvlJc w:val="left"/>
      <w:pPr>
        <w:tabs>
          <w:tab w:val="left" w:pos="360"/>
        </w:tabs>
      </w:pPr>
    </w:lvl>
    <w:lvl w:ilvl="5" w:tentative="0">
      <w:start w:val="0"/>
      <w:numFmt w:val="none"/>
      <w:pStyle w:val="490"/>
      <w:lvlText w:val=""/>
      <w:lvlJc w:val="left"/>
      <w:pPr>
        <w:tabs>
          <w:tab w:val="left" w:pos="360"/>
        </w:tabs>
      </w:pPr>
    </w:lvl>
    <w:lvl w:ilvl="6" w:tentative="0">
      <w:start w:val="0"/>
      <w:numFmt w:val="none"/>
      <w:pStyle w:val="489"/>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1">
    <w:nsid w:val="00000028"/>
    <w:multiLevelType w:val="multilevel"/>
    <w:tmpl w:val="0000002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pStyle w:val="606"/>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13">
    <w:nsid w:val="1E195BE8"/>
    <w:multiLevelType w:val="singleLevel"/>
    <w:tmpl w:val="1E195BE8"/>
    <w:lvl w:ilvl="0" w:tentative="0">
      <w:start w:val="6"/>
      <w:numFmt w:val="chineseCounting"/>
      <w:suff w:val="nothing"/>
      <w:lvlText w:val="%1、"/>
      <w:lvlJc w:val="left"/>
      <w:pPr>
        <w:ind w:left="0" w:firstLine="0"/>
      </w:pPr>
    </w:lvl>
  </w:abstractNum>
  <w:abstractNum w:abstractNumId="14">
    <w:nsid w:val="25138CE8"/>
    <w:multiLevelType w:val="singleLevel"/>
    <w:tmpl w:val="25138CE8"/>
    <w:lvl w:ilvl="0" w:tentative="0">
      <w:start w:val="1"/>
      <w:numFmt w:val="decimal"/>
      <w:suff w:val="nothing"/>
      <w:lvlText w:val="%1）"/>
      <w:lvlJc w:val="left"/>
    </w:lvl>
  </w:abstractNum>
  <w:abstractNum w:abstractNumId="15">
    <w:nsid w:val="2D723055"/>
    <w:multiLevelType w:val="multilevel"/>
    <w:tmpl w:val="2D723055"/>
    <w:lvl w:ilvl="0" w:tentative="0">
      <w:start w:val="1"/>
      <w:numFmt w:val="bullet"/>
      <w:pStyle w:val="670"/>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6">
    <w:nsid w:val="2DD62459"/>
    <w:multiLevelType w:val="singleLevel"/>
    <w:tmpl w:val="2DD62459"/>
    <w:lvl w:ilvl="0" w:tentative="0">
      <w:start w:val="1"/>
      <w:numFmt w:val="bullet"/>
      <w:pStyle w:val="614"/>
      <w:lvlText w:val=""/>
      <w:lvlJc w:val="left"/>
      <w:pPr>
        <w:tabs>
          <w:tab w:val="left" w:pos="425"/>
        </w:tabs>
        <w:ind w:left="425" w:hanging="425"/>
      </w:pPr>
      <w:rPr>
        <w:rFonts w:hint="default" w:ascii="Wingdings" w:hAnsi="Wingdings"/>
      </w:rPr>
    </w:lvl>
  </w:abstractNum>
  <w:abstractNum w:abstractNumId="17">
    <w:nsid w:val="32D71FD8"/>
    <w:multiLevelType w:val="multilevel"/>
    <w:tmpl w:val="32D71FD8"/>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35030C5"/>
    <w:multiLevelType w:val="multilevel"/>
    <w:tmpl w:val="335030C5"/>
    <w:lvl w:ilvl="0" w:tentative="0">
      <w:start w:val="1"/>
      <w:numFmt w:val="decimal"/>
      <w:pStyle w:val="559"/>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35B05358"/>
    <w:multiLevelType w:val="multilevel"/>
    <w:tmpl w:val="35B05358"/>
    <w:lvl w:ilvl="0" w:tentative="0">
      <w:start w:val="1"/>
      <w:numFmt w:val="bullet"/>
      <w:pStyle w:val="47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9622E4B"/>
    <w:multiLevelType w:val="multilevel"/>
    <w:tmpl w:val="39622E4B"/>
    <w:lvl w:ilvl="0" w:tentative="0">
      <w:start w:val="1"/>
      <w:numFmt w:val="decimal"/>
      <w:pStyle w:val="316"/>
      <w:lvlText w:val="%1."/>
      <w:lvlJc w:val="left"/>
      <w:pPr>
        <w:tabs>
          <w:tab w:val="left" w:pos="1497"/>
        </w:tabs>
        <w:ind w:left="1497" w:hanging="420"/>
      </w:pPr>
      <w:rPr>
        <w:rFonts w:hint="eastAsia"/>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1">
    <w:nsid w:val="46B2F6CA"/>
    <w:multiLevelType w:val="singleLevel"/>
    <w:tmpl w:val="46B2F6CA"/>
    <w:lvl w:ilvl="0" w:tentative="0">
      <w:start w:val="1"/>
      <w:numFmt w:val="decimal"/>
      <w:suff w:val="nothing"/>
      <w:lvlText w:val="%1．"/>
      <w:lvlJc w:val="left"/>
      <w:pPr>
        <w:ind w:left="0" w:firstLine="400"/>
      </w:pPr>
      <w:rPr>
        <w:rFonts w:hint="default"/>
      </w:rPr>
    </w:lvl>
  </w:abstractNum>
  <w:abstractNum w:abstractNumId="22">
    <w:nsid w:val="496D15BE"/>
    <w:multiLevelType w:val="multilevel"/>
    <w:tmpl w:val="496D15BE"/>
    <w:lvl w:ilvl="0" w:tentative="0">
      <w:start w:val="1"/>
      <w:numFmt w:val="decimal"/>
      <w:pStyle w:val="418"/>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4CA75A52"/>
    <w:multiLevelType w:val="multilevel"/>
    <w:tmpl w:val="4CA75A52"/>
    <w:lvl w:ilvl="0" w:tentative="0">
      <w:start w:val="1"/>
      <w:numFmt w:val="decimal"/>
      <w:pStyle w:val="664"/>
      <w:lvlText w:val="%1)"/>
      <w:lvlJc w:val="left"/>
      <w:pPr>
        <w:ind w:left="420" w:firstLine="0"/>
      </w:pPr>
      <w:rPr>
        <w:rFonts w:hint="eastAsia"/>
      </w:rPr>
    </w:lvl>
    <w:lvl w:ilvl="1" w:tentative="0">
      <w:start w:val="5"/>
      <w:numFmt w:val="decimal"/>
      <w:lvlText w:val="%2）"/>
      <w:lvlJc w:val="left"/>
      <w:pPr>
        <w:ind w:left="370" w:hanging="37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4">
    <w:nsid w:val="550F68AE"/>
    <w:multiLevelType w:val="multilevel"/>
    <w:tmpl w:val="550F68AE"/>
    <w:lvl w:ilvl="0" w:tentative="0">
      <w:start w:val="1"/>
      <w:numFmt w:val="decimal"/>
      <w:pStyle w:val="497"/>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5C085A5"/>
    <w:multiLevelType w:val="singleLevel"/>
    <w:tmpl w:val="55C085A5"/>
    <w:lvl w:ilvl="0" w:tentative="0">
      <w:start w:val="1"/>
      <w:numFmt w:val="decimal"/>
      <w:suff w:val="nothing"/>
      <w:lvlText w:val="%1．"/>
      <w:lvlJc w:val="left"/>
      <w:pPr>
        <w:ind w:firstLine="400"/>
      </w:pPr>
      <w:rPr>
        <w:rFonts w:hint="default" w:cs="Times New Roman"/>
      </w:rPr>
    </w:lvl>
  </w:abstractNum>
  <w:abstractNum w:abstractNumId="26">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9A76408"/>
    <w:multiLevelType w:val="singleLevel"/>
    <w:tmpl w:val="59A76408"/>
    <w:lvl w:ilvl="0" w:tentative="0">
      <w:start w:val="7"/>
      <w:numFmt w:val="decimal"/>
      <w:suff w:val="nothing"/>
      <w:lvlText w:val="%1）"/>
      <w:lvlJc w:val="left"/>
    </w:lvl>
  </w:abstractNum>
  <w:abstractNum w:abstractNumId="28">
    <w:nsid w:val="59E87392"/>
    <w:multiLevelType w:val="singleLevel"/>
    <w:tmpl w:val="59E87392"/>
    <w:lvl w:ilvl="0" w:tentative="0">
      <w:start w:val="1"/>
      <w:numFmt w:val="decimal"/>
      <w:lvlText w:val="%1."/>
      <w:lvlJc w:val="left"/>
      <w:pPr>
        <w:tabs>
          <w:tab w:val="left" w:pos="312"/>
        </w:tabs>
      </w:pPr>
    </w:lvl>
  </w:abstractNum>
  <w:abstractNum w:abstractNumId="29">
    <w:nsid w:val="5A82CCC1"/>
    <w:multiLevelType w:val="singleLevel"/>
    <w:tmpl w:val="5A82CCC1"/>
    <w:lvl w:ilvl="0" w:tentative="0">
      <w:start w:val="1"/>
      <w:numFmt w:val="chineseCounting"/>
      <w:suff w:val="nothing"/>
      <w:lvlText w:val="%1、"/>
      <w:lvlJc w:val="left"/>
      <w:pPr>
        <w:ind w:left="0" w:firstLine="420"/>
      </w:pPr>
      <w:rPr>
        <w:rFonts w:hint="eastAsia"/>
      </w:rPr>
    </w:lvl>
  </w:abstractNum>
  <w:abstractNum w:abstractNumId="30">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31">
    <w:nsid w:val="6B864C8B"/>
    <w:multiLevelType w:val="multilevel"/>
    <w:tmpl w:val="6B864C8B"/>
    <w:lvl w:ilvl="0" w:tentative="0">
      <w:start w:val="1"/>
      <w:numFmt w:val="decimal"/>
      <w:pStyle w:val="509"/>
      <w:lvlText w:val="%1)"/>
      <w:lvlJc w:val="left"/>
      <w:pPr>
        <w:ind w:left="845" w:hanging="425"/>
      </w:pPr>
    </w:lvl>
    <w:lvl w:ilvl="1" w:tentative="0">
      <w:start w:val="1"/>
      <w:numFmt w:val="decimal"/>
      <w:lvlText w:val="12.%2"/>
      <w:lvlJc w:val="left"/>
      <w:pPr>
        <w:ind w:left="987" w:hanging="567"/>
      </w:pPr>
      <w:rPr>
        <w:rFonts w:hint="eastAsia"/>
      </w:rPr>
    </w:lvl>
    <w:lvl w:ilvl="2" w:tentative="0">
      <w:start w:val="1"/>
      <w:numFmt w:val="decimal"/>
      <w:lvlText w:val="5.5.%3"/>
      <w:lvlJc w:val="left"/>
      <w:pPr>
        <w:ind w:left="1129" w:hanging="709"/>
      </w:pPr>
      <w:rPr>
        <w:rFonts w:hint="eastAsia"/>
      </w:rPr>
    </w:lvl>
    <w:lvl w:ilvl="3" w:tentative="0">
      <w:start w:val="1"/>
      <w:numFmt w:val="decimal"/>
      <w:pStyle w:val="106"/>
      <w:lvlText w:val="5.4.1.%4"/>
      <w:lvlJc w:val="left"/>
      <w:pPr>
        <w:ind w:left="3965" w:hanging="851"/>
      </w:pPr>
      <w:rPr>
        <w:rFonts w:hint="eastAsia"/>
      </w:r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32">
    <w:nsid w:val="6FAEEE88"/>
    <w:multiLevelType w:val="singleLevel"/>
    <w:tmpl w:val="6FAEEE88"/>
    <w:lvl w:ilvl="0" w:tentative="0">
      <w:start w:val="13"/>
      <w:numFmt w:val="decimal"/>
      <w:suff w:val="space"/>
      <w:lvlText w:val="%1."/>
      <w:lvlJc w:val="left"/>
    </w:lvl>
  </w:abstractNum>
  <w:abstractNum w:abstractNumId="33">
    <w:nsid w:val="70391D9F"/>
    <w:multiLevelType w:val="multilevel"/>
    <w:tmpl w:val="70391D9F"/>
    <w:lvl w:ilvl="0" w:tentative="0">
      <w:start w:val="1"/>
      <w:numFmt w:val="bullet"/>
      <w:pStyle w:val="322"/>
      <w:lvlText w:val=""/>
      <w:lvlJc w:val="left"/>
      <w:pPr>
        <w:tabs>
          <w:tab w:val="left" w:pos="1497"/>
        </w:tabs>
        <w:ind w:left="1497" w:hanging="420"/>
      </w:pPr>
      <w:rPr>
        <w:rFonts w:hint="default" w:ascii="Wingdings" w:hAnsi="Wingdings"/>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34">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35">
    <w:nsid w:val="73FB4307"/>
    <w:multiLevelType w:val="multilevel"/>
    <w:tmpl w:val="73FB4307"/>
    <w:lvl w:ilvl="0" w:tentative="0">
      <w:start w:val="1"/>
      <w:numFmt w:val="bullet"/>
      <w:lvlText w:val=""/>
      <w:lvlJc w:val="left"/>
      <w:pPr>
        <w:ind w:left="420" w:hanging="420"/>
      </w:pPr>
      <w:rPr>
        <w:rFonts w:hint="default" w:ascii="Wingdings" w:hAnsi="Wingdings"/>
      </w:rPr>
    </w:lvl>
    <w:lvl w:ilvl="1" w:tentative="0">
      <w:start w:val="1"/>
      <w:numFmt w:val="bullet"/>
      <w:pStyle w:val="645"/>
      <w:lvlText w:val=""/>
      <w:lvlJc w:val="left"/>
      <w:pPr>
        <w:ind w:left="840" w:hanging="420"/>
      </w:pPr>
      <w:rPr>
        <w:rFonts w:hint="default" w:ascii="Wingdings" w:hAnsi="Wingdings"/>
      </w:rPr>
    </w:lvl>
    <w:lvl w:ilvl="2" w:tentative="0">
      <w:start w:val="1"/>
      <w:numFmt w:val="bullet"/>
      <w:pStyle w:val="625"/>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9213472"/>
    <w:multiLevelType w:val="multilevel"/>
    <w:tmpl w:val="79213472"/>
    <w:lvl w:ilvl="0" w:tentative="0">
      <w:start w:val="1"/>
      <w:numFmt w:val="decimal"/>
      <w:pStyle w:val="347"/>
      <w:lvlText w:val="2.3.1.2.%1"/>
      <w:lvlJc w:val="left"/>
      <w:pPr>
        <w:ind w:left="420" w:hanging="420"/>
      </w:pPr>
      <w:rPr>
        <w:rFonts w:hint="eastAsia"/>
      </w:rPr>
    </w:lvl>
    <w:lvl w:ilvl="1" w:tentative="0">
      <w:start w:val="1"/>
      <w:numFmt w:val="lowerLetter"/>
      <w:lvlText w:val="%2）"/>
      <w:lvlJc w:val="left"/>
      <w:pPr>
        <w:tabs>
          <w:tab w:val="left" w:pos="1400"/>
        </w:tabs>
        <w:ind w:left="1400" w:hanging="360"/>
      </w:pPr>
      <w:rPr>
        <w:rFonts w:hint="default"/>
      </w:rPr>
    </w:lvl>
    <w:lvl w:ilvl="2" w:tentative="0">
      <w:start w:val="1"/>
      <w:numFmt w:val="decimal"/>
      <w:lvlText w:val="（%3）"/>
      <w:lvlJc w:val="left"/>
      <w:pPr>
        <w:ind w:left="2195" w:hanging="735"/>
      </w:pPr>
      <w:rPr>
        <w:rFonts w:hint="default"/>
      </w:rPr>
    </w:lvl>
    <w:lvl w:ilvl="3" w:tentative="0">
      <w:start w:val="1"/>
      <w:numFmt w:val="decimal"/>
      <w:lvlText w:val="%4."/>
      <w:lvlJc w:val="left"/>
      <w:pPr>
        <w:tabs>
          <w:tab w:val="left" w:pos="2300"/>
        </w:tabs>
        <w:ind w:left="2300" w:hanging="420"/>
      </w:pPr>
    </w:lvl>
    <w:lvl w:ilvl="4" w:tentative="0">
      <w:start w:val="1"/>
      <w:numFmt w:val="lowerLetter"/>
      <w:lvlText w:val="%5)"/>
      <w:lvlJc w:val="left"/>
      <w:pPr>
        <w:tabs>
          <w:tab w:val="left" w:pos="2720"/>
        </w:tabs>
        <w:ind w:left="2720" w:hanging="420"/>
      </w:pPr>
    </w:lvl>
    <w:lvl w:ilvl="5" w:tentative="0">
      <w:start w:val="1"/>
      <w:numFmt w:val="lowerRoman"/>
      <w:lvlText w:val="%6."/>
      <w:lvlJc w:val="right"/>
      <w:pPr>
        <w:tabs>
          <w:tab w:val="left" w:pos="3140"/>
        </w:tabs>
        <w:ind w:left="3140" w:hanging="420"/>
      </w:pPr>
    </w:lvl>
    <w:lvl w:ilvl="6" w:tentative="0">
      <w:start w:val="1"/>
      <w:numFmt w:val="decimal"/>
      <w:lvlText w:val="%7."/>
      <w:lvlJc w:val="left"/>
      <w:pPr>
        <w:tabs>
          <w:tab w:val="left" w:pos="3560"/>
        </w:tabs>
        <w:ind w:left="3560" w:hanging="420"/>
      </w:pPr>
    </w:lvl>
    <w:lvl w:ilvl="7" w:tentative="0">
      <w:start w:val="1"/>
      <w:numFmt w:val="lowerLetter"/>
      <w:lvlText w:val="%8)"/>
      <w:lvlJc w:val="left"/>
      <w:pPr>
        <w:tabs>
          <w:tab w:val="left" w:pos="3980"/>
        </w:tabs>
        <w:ind w:left="3980" w:hanging="420"/>
      </w:pPr>
    </w:lvl>
    <w:lvl w:ilvl="8" w:tentative="0">
      <w:start w:val="1"/>
      <w:numFmt w:val="lowerRoman"/>
      <w:lvlText w:val="%9."/>
      <w:lvlJc w:val="right"/>
      <w:pPr>
        <w:tabs>
          <w:tab w:val="left" w:pos="4400"/>
        </w:tabs>
        <w:ind w:left="4400" w:hanging="420"/>
      </w:pPr>
    </w:lvl>
  </w:abstractNum>
  <w:abstractNum w:abstractNumId="37">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9"/>
  </w:num>
  <w:num w:numId="2">
    <w:abstractNumId w:val="31"/>
  </w:num>
  <w:num w:numId="3">
    <w:abstractNumId w:val="8"/>
  </w:num>
  <w:num w:numId="4">
    <w:abstractNumId w:val="20"/>
  </w:num>
  <w:num w:numId="5">
    <w:abstractNumId w:val="33"/>
  </w:num>
  <w:num w:numId="6">
    <w:abstractNumId w:val="36"/>
  </w:num>
  <w:num w:numId="7">
    <w:abstractNumId w:val="22"/>
  </w:num>
  <w:num w:numId="8">
    <w:abstractNumId w:val="10"/>
  </w:num>
  <w:num w:numId="9">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num>
  <w:num w:numId="11">
    <w:abstractNumId w:val="18"/>
  </w:num>
  <w:num w:numId="12">
    <w:abstractNumId w:val="11"/>
  </w:num>
  <w:num w:numId="13">
    <w:abstractNumId w:val="16"/>
  </w:num>
  <w:num w:numId="14">
    <w:abstractNumId w:val="35"/>
  </w:num>
  <w:num w:numId="15">
    <w:abstractNumId w:val="23"/>
  </w:num>
  <w:num w:numId="16">
    <w:abstractNumId w:val="15"/>
  </w:num>
  <w:num w:numId="17">
    <w:abstractNumId w:val="13"/>
    <w:lvlOverride w:ilvl="0">
      <w:startOverride w:val="6"/>
    </w:lvlOverride>
  </w:num>
  <w:num w:numId="18">
    <w:abstractNumId w:val="37"/>
  </w:num>
  <w:num w:numId="19">
    <w:abstractNumId w:val="4"/>
  </w:num>
  <w:num w:numId="20">
    <w:abstractNumId w:val="32"/>
  </w:num>
  <w:num w:numId="21">
    <w:abstractNumId w:val="28"/>
  </w:num>
  <w:num w:numId="22">
    <w:abstractNumId w:val="26"/>
  </w:num>
  <w:num w:numId="23">
    <w:abstractNumId w:val="30"/>
  </w:num>
  <w:num w:numId="24">
    <w:abstractNumId w:val="29"/>
  </w:num>
  <w:num w:numId="25">
    <w:abstractNumId w:val="0"/>
  </w:num>
  <w:num w:numId="26">
    <w:abstractNumId w:val="2"/>
  </w:num>
  <w:num w:numId="27">
    <w:abstractNumId w:val="1"/>
  </w:num>
  <w:num w:numId="28">
    <w:abstractNumId w:val="21"/>
  </w:num>
  <w:num w:numId="29">
    <w:abstractNumId w:val="17"/>
  </w:num>
  <w:num w:numId="30">
    <w:abstractNumId w:val="27"/>
  </w:num>
  <w:num w:numId="31">
    <w:abstractNumId w:val="14"/>
  </w:num>
  <w:num w:numId="32">
    <w:abstractNumId w:val="3"/>
  </w:num>
  <w:num w:numId="33">
    <w:abstractNumId w:val="6"/>
  </w:num>
  <w:num w:numId="34">
    <w:abstractNumId w:val="5"/>
  </w:num>
  <w:num w:numId="35">
    <w:abstractNumId w:val="7"/>
  </w:num>
  <w:num w:numId="36">
    <w:abstractNumId w:val="25"/>
  </w:num>
  <w:num w:numId="37">
    <w:abstractNumId w:val="3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D1"/>
    <w:rsid w:val="0001503C"/>
    <w:rsid w:val="0001521F"/>
    <w:rsid w:val="00016CCB"/>
    <w:rsid w:val="00025364"/>
    <w:rsid w:val="00034534"/>
    <w:rsid w:val="00034C4D"/>
    <w:rsid w:val="0003586B"/>
    <w:rsid w:val="000404E1"/>
    <w:rsid w:val="000414B2"/>
    <w:rsid w:val="00041F17"/>
    <w:rsid w:val="000423D5"/>
    <w:rsid w:val="000526A1"/>
    <w:rsid w:val="000528C6"/>
    <w:rsid w:val="0005467A"/>
    <w:rsid w:val="000546C0"/>
    <w:rsid w:val="00063852"/>
    <w:rsid w:val="00071105"/>
    <w:rsid w:val="00072217"/>
    <w:rsid w:val="00072D0A"/>
    <w:rsid w:val="00073686"/>
    <w:rsid w:val="00074270"/>
    <w:rsid w:val="00074BEF"/>
    <w:rsid w:val="00075CA7"/>
    <w:rsid w:val="000765F2"/>
    <w:rsid w:val="000766F3"/>
    <w:rsid w:val="000772F6"/>
    <w:rsid w:val="0009250A"/>
    <w:rsid w:val="00096156"/>
    <w:rsid w:val="0009630B"/>
    <w:rsid w:val="00096BB9"/>
    <w:rsid w:val="000A0F1B"/>
    <w:rsid w:val="000A10A2"/>
    <w:rsid w:val="000A1A6B"/>
    <w:rsid w:val="000A2103"/>
    <w:rsid w:val="000A481C"/>
    <w:rsid w:val="000A5391"/>
    <w:rsid w:val="000A5C27"/>
    <w:rsid w:val="000A5CE7"/>
    <w:rsid w:val="000A6F2B"/>
    <w:rsid w:val="000B4764"/>
    <w:rsid w:val="000B4E1F"/>
    <w:rsid w:val="000B6229"/>
    <w:rsid w:val="000B6A9E"/>
    <w:rsid w:val="000B7348"/>
    <w:rsid w:val="000B75CB"/>
    <w:rsid w:val="000B7D87"/>
    <w:rsid w:val="000C0DAD"/>
    <w:rsid w:val="000C1E25"/>
    <w:rsid w:val="000C1FCD"/>
    <w:rsid w:val="000C2444"/>
    <w:rsid w:val="000C33CF"/>
    <w:rsid w:val="000C36B8"/>
    <w:rsid w:val="000C58F2"/>
    <w:rsid w:val="000C76E1"/>
    <w:rsid w:val="000D0679"/>
    <w:rsid w:val="000D3765"/>
    <w:rsid w:val="000D3B14"/>
    <w:rsid w:val="000D4ACC"/>
    <w:rsid w:val="000E0F78"/>
    <w:rsid w:val="000E1986"/>
    <w:rsid w:val="000E37E0"/>
    <w:rsid w:val="000E3DDC"/>
    <w:rsid w:val="000E44B1"/>
    <w:rsid w:val="000E56A0"/>
    <w:rsid w:val="000E74F4"/>
    <w:rsid w:val="000E77C2"/>
    <w:rsid w:val="000F31F1"/>
    <w:rsid w:val="000F62B3"/>
    <w:rsid w:val="000F65DE"/>
    <w:rsid w:val="00100804"/>
    <w:rsid w:val="00102504"/>
    <w:rsid w:val="00105AFE"/>
    <w:rsid w:val="00113898"/>
    <w:rsid w:val="001147D0"/>
    <w:rsid w:val="0011601B"/>
    <w:rsid w:val="001203C5"/>
    <w:rsid w:val="00120AE6"/>
    <w:rsid w:val="00120C4F"/>
    <w:rsid w:val="00125E3E"/>
    <w:rsid w:val="001300B3"/>
    <w:rsid w:val="00132584"/>
    <w:rsid w:val="00132F71"/>
    <w:rsid w:val="001374C7"/>
    <w:rsid w:val="00137AC1"/>
    <w:rsid w:val="00146621"/>
    <w:rsid w:val="00147402"/>
    <w:rsid w:val="001504E5"/>
    <w:rsid w:val="00153389"/>
    <w:rsid w:val="00154344"/>
    <w:rsid w:val="00157D81"/>
    <w:rsid w:val="00162E03"/>
    <w:rsid w:val="001648AA"/>
    <w:rsid w:val="00165AEE"/>
    <w:rsid w:val="00166956"/>
    <w:rsid w:val="00171C49"/>
    <w:rsid w:val="00172A27"/>
    <w:rsid w:val="00173998"/>
    <w:rsid w:val="00177023"/>
    <w:rsid w:val="001818DB"/>
    <w:rsid w:val="00181D3A"/>
    <w:rsid w:val="00182E5C"/>
    <w:rsid w:val="00184AAB"/>
    <w:rsid w:val="00187BF8"/>
    <w:rsid w:val="001907CE"/>
    <w:rsid w:val="001917D3"/>
    <w:rsid w:val="001952CC"/>
    <w:rsid w:val="0019674B"/>
    <w:rsid w:val="001A0025"/>
    <w:rsid w:val="001A0A65"/>
    <w:rsid w:val="001A25D3"/>
    <w:rsid w:val="001A57C3"/>
    <w:rsid w:val="001A5957"/>
    <w:rsid w:val="001B192B"/>
    <w:rsid w:val="001B281E"/>
    <w:rsid w:val="001B2834"/>
    <w:rsid w:val="001B587B"/>
    <w:rsid w:val="001B5B5D"/>
    <w:rsid w:val="001C18E4"/>
    <w:rsid w:val="001C1CEE"/>
    <w:rsid w:val="001C3C94"/>
    <w:rsid w:val="001C6714"/>
    <w:rsid w:val="001D000C"/>
    <w:rsid w:val="001D010E"/>
    <w:rsid w:val="001D1BF1"/>
    <w:rsid w:val="001D30A0"/>
    <w:rsid w:val="001D32C3"/>
    <w:rsid w:val="001D61C7"/>
    <w:rsid w:val="001D7349"/>
    <w:rsid w:val="001E3203"/>
    <w:rsid w:val="001E6123"/>
    <w:rsid w:val="001F0008"/>
    <w:rsid w:val="001F04E0"/>
    <w:rsid w:val="001F10CC"/>
    <w:rsid w:val="001F3B5D"/>
    <w:rsid w:val="001F55A7"/>
    <w:rsid w:val="001F55D4"/>
    <w:rsid w:val="002016D5"/>
    <w:rsid w:val="002022AC"/>
    <w:rsid w:val="00205090"/>
    <w:rsid w:val="00205A5C"/>
    <w:rsid w:val="002071D0"/>
    <w:rsid w:val="00207630"/>
    <w:rsid w:val="0020769F"/>
    <w:rsid w:val="00211A52"/>
    <w:rsid w:val="0021234E"/>
    <w:rsid w:val="002135E8"/>
    <w:rsid w:val="00214803"/>
    <w:rsid w:val="002150F9"/>
    <w:rsid w:val="00215129"/>
    <w:rsid w:val="0021648D"/>
    <w:rsid w:val="002218BE"/>
    <w:rsid w:val="00222088"/>
    <w:rsid w:val="002225FD"/>
    <w:rsid w:val="00225414"/>
    <w:rsid w:val="00225FB0"/>
    <w:rsid w:val="00231743"/>
    <w:rsid w:val="00234100"/>
    <w:rsid w:val="00234C5A"/>
    <w:rsid w:val="002360AB"/>
    <w:rsid w:val="00237A00"/>
    <w:rsid w:val="00237F32"/>
    <w:rsid w:val="00240F97"/>
    <w:rsid w:val="00241ACC"/>
    <w:rsid w:val="002450A5"/>
    <w:rsid w:val="002452A3"/>
    <w:rsid w:val="002453F2"/>
    <w:rsid w:val="00245E73"/>
    <w:rsid w:val="00246C01"/>
    <w:rsid w:val="00250A6E"/>
    <w:rsid w:val="00252D92"/>
    <w:rsid w:val="0025717C"/>
    <w:rsid w:val="002612C9"/>
    <w:rsid w:val="00261AE6"/>
    <w:rsid w:val="00261C54"/>
    <w:rsid w:val="00262836"/>
    <w:rsid w:val="00264C67"/>
    <w:rsid w:val="00275244"/>
    <w:rsid w:val="00277AE9"/>
    <w:rsid w:val="002808A3"/>
    <w:rsid w:val="0028097B"/>
    <w:rsid w:val="00281371"/>
    <w:rsid w:val="0028173C"/>
    <w:rsid w:val="00281DDD"/>
    <w:rsid w:val="00282654"/>
    <w:rsid w:val="00283764"/>
    <w:rsid w:val="0028639F"/>
    <w:rsid w:val="00290D89"/>
    <w:rsid w:val="002914E9"/>
    <w:rsid w:val="00293952"/>
    <w:rsid w:val="00295B9D"/>
    <w:rsid w:val="00295DBA"/>
    <w:rsid w:val="002A2185"/>
    <w:rsid w:val="002A3701"/>
    <w:rsid w:val="002A425D"/>
    <w:rsid w:val="002A4FBF"/>
    <w:rsid w:val="002B0EFA"/>
    <w:rsid w:val="002B1DDF"/>
    <w:rsid w:val="002B20CC"/>
    <w:rsid w:val="002B7EA6"/>
    <w:rsid w:val="002C0713"/>
    <w:rsid w:val="002C133A"/>
    <w:rsid w:val="002C1B9D"/>
    <w:rsid w:val="002C1F7A"/>
    <w:rsid w:val="002C426A"/>
    <w:rsid w:val="002C6213"/>
    <w:rsid w:val="002C68D8"/>
    <w:rsid w:val="002C7FDE"/>
    <w:rsid w:val="002D0B59"/>
    <w:rsid w:val="002D36F0"/>
    <w:rsid w:val="002D79D3"/>
    <w:rsid w:val="002E0FA1"/>
    <w:rsid w:val="002E3ED6"/>
    <w:rsid w:val="002E44AF"/>
    <w:rsid w:val="002E4E17"/>
    <w:rsid w:val="002E55A5"/>
    <w:rsid w:val="002F0E45"/>
    <w:rsid w:val="002F5652"/>
    <w:rsid w:val="002F5E0B"/>
    <w:rsid w:val="002F6CD3"/>
    <w:rsid w:val="002F7683"/>
    <w:rsid w:val="00305B41"/>
    <w:rsid w:val="003065FB"/>
    <w:rsid w:val="003109E5"/>
    <w:rsid w:val="00310E51"/>
    <w:rsid w:val="00317168"/>
    <w:rsid w:val="00320364"/>
    <w:rsid w:val="00320A58"/>
    <w:rsid w:val="00321DA0"/>
    <w:rsid w:val="00322559"/>
    <w:rsid w:val="00324F57"/>
    <w:rsid w:val="00327E84"/>
    <w:rsid w:val="00330F68"/>
    <w:rsid w:val="003331F4"/>
    <w:rsid w:val="003334E2"/>
    <w:rsid w:val="00333CA9"/>
    <w:rsid w:val="00334582"/>
    <w:rsid w:val="00334BA7"/>
    <w:rsid w:val="00334CA0"/>
    <w:rsid w:val="00335D2E"/>
    <w:rsid w:val="00341A59"/>
    <w:rsid w:val="00342DF6"/>
    <w:rsid w:val="003447C6"/>
    <w:rsid w:val="00345E88"/>
    <w:rsid w:val="00346936"/>
    <w:rsid w:val="00346FA6"/>
    <w:rsid w:val="00347434"/>
    <w:rsid w:val="003506D5"/>
    <w:rsid w:val="0035116C"/>
    <w:rsid w:val="0035123F"/>
    <w:rsid w:val="00352538"/>
    <w:rsid w:val="00352C42"/>
    <w:rsid w:val="0035369C"/>
    <w:rsid w:val="003544E8"/>
    <w:rsid w:val="00360538"/>
    <w:rsid w:val="00360A27"/>
    <w:rsid w:val="00361339"/>
    <w:rsid w:val="00361505"/>
    <w:rsid w:val="00362235"/>
    <w:rsid w:val="00363654"/>
    <w:rsid w:val="003636A3"/>
    <w:rsid w:val="00365C7D"/>
    <w:rsid w:val="00365F4C"/>
    <w:rsid w:val="00370103"/>
    <w:rsid w:val="0037030E"/>
    <w:rsid w:val="0037045B"/>
    <w:rsid w:val="0037077D"/>
    <w:rsid w:val="00373FD6"/>
    <w:rsid w:val="00374BBC"/>
    <w:rsid w:val="003751D2"/>
    <w:rsid w:val="003802E6"/>
    <w:rsid w:val="00382609"/>
    <w:rsid w:val="00382FA1"/>
    <w:rsid w:val="00384072"/>
    <w:rsid w:val="003857DC"/>
    <w:rsid w:val="00387798"/>
    <w:rsid w:val="00392D35"/>
    <w:rsid w:val="00395D79"/>
    <w:rsid w:val="003A1A9C"/>
    <w:rsid w:val="003A38AD"/>
    <w:rsid w:val="003A51E4"/>
    <w:rsid w:val="003A5340"/>
    <w:rsid w:val="003B4250"/>
    <w:rsid w:val="003B5562"/>
    <w:rsid w:val="003B6D7D"/>
    <w:rsid w:val="003C00A0"/>
    <w:rsid w:val="003C38C6"/>
    <w:rsid w:val="003C4C5B"/>
    <w:rsid w:val="003C5F18"/>
    <w:rsid w:val="003D0862"/>
    <w:rsid w:val="003D28C5"/>
    <w:rsid w:val="003D43D9"/>
    <w:rsid w:val="003E1A9C"/>
    <w:rsid w:val="003E29FF"/>
    <w:rsid w:val="003F0003"/>
    <w:rsid w:val="003F1255"/>
    <w:rsid w:val="003F3E8B"/>
    <w:rsid w:val="003F4B65"/>
    <w:rsid w:val="003F6B05"/>
    <w:rsid w:val="003F6E3F"/>
    <w:rsid w:val="0040337C"/>
    <w:rsid w:val="00404A39"/>
    <w:rsid w:val="00405799"/>
    <w:rsid w:val="004067F7"/>
    <w:rsid w:val="00407E18"/>
    <w:rsid w:val="004100A0"/>
    <w:rsid w:val="00410C98"/>
    <w:rsid w:val="00411C61"/>
    <w:rsid w:val="004140F7"/>
    <w:rsid w:val="00414A83"/>
    <w:rsid w:val="00414D57"/>
    <w:rsid w:val="00416873"/>
    <w:rsid w:val="0042049E"/>
    <w:rsid w:val="00421F79"/>
    <w:rsid w:val="00423729"/>
    <w:rsid w:val="0042621A"/>
    <w:rsid w:val="00426D4B"/>
    <w:rsid w:val="00430108"/>
    <w:rsid w:val="00434F84"/>
    <w:rsid w:val="00437AC9"/>
    <w:rsid w:val="00440660"/>
    <w:rsid w:val="004412DE"/>
    <w:rsid w:val="004418B9"/>
    <w:rsid w:val="00444318"/>
    <w:rsid w:val="004470CD"/>
    <w:rsid w:val="00450E4F"/>
    <w:rsid w:val="00451B2F"/>
    <w:rsid w:val="004551E9"/>
    <w:rsid w:val="004574C5"/>
    <w:rsid w:val="00463EF4"/>
    <w:rsid w:val="004652A3"/>
    <w:rsid w:val="00465FC0"/>
    <w:rsid w:val="0047158F"/>
    <w:rsid w:val="00471C40"/>
    <w:rsid w:val="00471C4F"/>
    <w:rsid w:val="004755A8"/>
    <w:rsid w:val="00476523"/>
    <w:rsid w:val="0048110A"/>
    <w:rsid w:val="00481F74"/>
    <w:rsid w:val="004821A8"/>
    <w:rsid w:val="00485DA9"/>
    <w:rsid w:val="00490090"/>
    <w:rsid w:val="004943A9"/>
    <w:rsid w:val="004956DF"/>
    <w:rsid w:val="0049766C"/>
    <w:rsid w:val="004A1225"/>
    <w:rsid w:val="004A3332"/>
    <w:rsid w:val="004A6DF9"/>
    <w:rsid w:val="004A7385"/>
    <w:rsid w:val="004A7A17"/>
    <w:rsid w:val="004B1399"/>
    <w:rsid w:val="004B3428"/>
    <w:rsid w:val="004B4584"/>
    <w:rsid w:val="004B617F"/>
    <w:rsid w:val="004C255B"/>
    <w:rsid w:val="004C44DA"/>
    <w:rsid w:val="004C5F3D"/>
    <w:rsid w:val="004C7A19"/>
    <w:rsid w:val="004C7BD7"/>
    <w:rsid w:val="004D15C0"/>
    <w:rsid w:val="004D41DF"/>
    <w:rsid w:val="004D50EE"/>
    <w:rsid w:val="004D58F1"/>
    <w:rsid w:val="004D7594"/>
    <w:rsid w:val="004E0F42"/>
    <w:rsid w:val="004E20EF"/>
    <w:rsid w:val="004E3A27"/>
    <w:rsid w:val="004E5358"/>
    <w:rsid w:val="004E5D4B"/>
    <w:rsid w:val="004E61E1"/>
    <w:rsid w:val="004E6766"/>
    <w:rsid w:val="004E6F69"/>
    <w:rsid w:val="004F246B"/>
    <w:rsid w:val="004F430A"/>
    <w:rsid w:val="004F5A73"/>
    <w:rsid w:val="004F61F9"/>
    <w:rsid w:val="004F63E8"/>
    <w:rsid w:val="004F75B9"/>
    <w:rsid w:val="00503D9F"/>
    <w:rsid w:val="00504957"/>
    <w:rsid w:val="00504D6A"/>
    <w:rsid w:val="005074A3"/>
    <w:rsid w:val="00510E10"/>
    <w:rsid w:val="00511B93"/>
    <w:rsid w:val="00514650"/>
    <w:rsid w:val="0052285A"/>
    <w:rsid w:val="00526F98"/>
    <w:rsid w:val="00535602"/>
    <w:rsid w:val="00543D9A"/>
    <w:rsid w:val="00543E8A"/>
    <w:rsid w:val="00543FBA"/>
    <w:rsid w:val="00547B6D"/>
    <w:rsid w:val="005510CD"/>
    <w:rsid w:val="00551F4A"/>
    <w:rsid w:val="0055278B"/>
    <w:rsid w:val="00556412"/>
    <w:rsid w:val="00560C80"/>
    <w:rsid w:val="00560F44"/>
    <w:rsid w:val="00561203"/>
    <w:rsid w:val="005620B3"/>
    <w:rsid w:val="00564B33"/>
    <w:rsid w:val="00564F69"/>
    <w:rsid w:val="005657AE"/>
    <w:rsid w:val="005657B6"/>
    <w:rsid w:val="00567CB7"/>
    <w:rsid w:val="00572BE1"/>
    <w:rsid w:val="00573CEF"/>
    <w:rsid w:val="005754DB"/>
    <w:rsid w:val="005756AB"/>
    <w:rsid w:val="005830B3"/>
    <w:rsid w:val="00584716"/>
    <w:rsid w:val="00584782"/>
    <w:rsid w:val="00590BED"/>
    <w:rsid w:val="00590DE4"/>
    <w:rsid w:val="005A43B4"/>
    <w:rsid w:val="005A4A96"/>
    <w:rsid w:val="005A6404"/>
    <w:rsid w:val="005B7403"/>
    <w:rsid w:val="005B7F32"/>
    <w:rsid w:val="005C139E"/>
    <w:rsid w:val="005C2417"/>
    <w:rsid w:val="005C2F6F"/>
    <w:rsid w:val="005C39EB"/>
    <w:rsid w:val="005C75B7"/>
    <w:rsid w:val="005D0C26"/>
    <w:rsid w:val="005D225B"/>
    <w:rsid w:val="005D4A14"/>
    <w:rsid w:val="005D4A1C"/>
    <w:rsid w:val="005E1C05"/>
    <w:rsid w:val="005E46C6"/>
    <w:rsid w:val="005F178D"/>
    <w:rsid w:val="005F2119"/>
    <w:rsid w:val="005F255D"/>
    <w:rsid w:val="005F5C00"/>
    <w:rsid w:val="005F5EAF"/>
    <w:rsid w:val="005F71EE"/>
    <w:rsid w:val="006015D9"/>
    <w:rsid w:val="0060182B"/>
    <w:rsid w:val="006026FB"/>
    <w:rsid w:val="006027D6"/>
    <w:rsid w:val="00603FC8"/>
    <w:rsid w:val="0060488B"/>
    <w:rsid w:val="0061145C"/>
    <w:rsid w:val="00611E6C"/>
    <w:rsid w:val="00621CF3"/>
    <w:rsid w:val="006255A7"/>
    <w:rsid w:val="00627A30"/>
    <w:rsid w:val="0063428C"/>
    <w:rsid w:val="00637353"/>
    <w:rsid w:val="006413C8"/>
    <w:rsid w:val="00642748"/>
    <w:rsid w:val="00643947"/>
    <w:rsid w:val="00643D21"/>
    <w:rsid w:val="006441B1"/>
    <w:rsid w:val="006459F0"/>
    <w:rsid w:val="006464D5"/>
    <w:rsid w:val="00646DE9"/>
    <w:rsid w:val="00653BB6"/>
    <w:rsid w:val="0065478D"/>
    <w:rsid w:val="00655A70"/>
    <w:rsid w:val="00655E4C"/>
    <w:rsid w:val="0066060E"/>
    <w:rsid w:val="00660862"/>
    <w:rsid w:val="0066201B"/>
    <w:rsid w:val="00662A63"/>
    <w:rsid w:val="00663E83"/>
    <w:rsid w:val="00665183"/>
    <w:rsid w:val="00666BA1"/>
    <w:rsid w:val="006670DA"/>
    <w:rsid w:val="00667386"/>
    <w:rsid w:val="00667927"/>
    <w:rsid w:val="00667BC4"/>
    <w:rsid w:val="00667BEB"/>
    <w:rsid w:val="00670D62"/>
    <w:rsid w:val="00671CED"/>
    <w:rsid w:val="006750C4"/>
    <w:rsid w:val="0068035C"/>
    <w:rsid w:val="00681D28"/>
    <w:rsid w:val="00682CF5"/>
    <w:rsid w:val="0068353C"/>
    <w:rsid w:val="00683600"/>
    <w:rsid w:val="00690FC4"/>
    <w:rsid w:val="00692C33"/>
    <w:rsid w:val="00693969"/>
    <w:rsid w:val="0069593E"/>
    <w:rsid w:val="006A343B"/>
    <w:rsid w:val="006A4934"/>
    <w:rsid w:val="006A78D8"/>
    <w:rsid w:val="006B1217"/>
    <w:rsid w:val="006B22FC"/>
    <w:rsid w:val="006B24FC"/>
    <w:rsid w:val="006B291A"/>
    <w:rsid w:val="006B50E2"/>
    <w:rsid w:val="006B731A"/>
    <w:rsid w:val="006C0AB0"/>
    <w:rsid w:val="006C1BD3"/>
    <w:rsid w:val="006C27B0"/>
    <w:rsid w:val="006C4B55"/>
    <w:rsid w:val="006C4F4F"/>
    <w:rsid w:val="006C5B24"/>
    <w:rsid w:val="006C6FC8"/>
    <w:rsid w:val="006C7F73"/>
    <w:rsid w:val="006D16A6"/>
    <w:rsid w:val="006D356C"/>
    <w:rsid w:val="006D46D6"/>
    <w:rsid w:val="006D4D7F"/>
    <w:rsid w:val="006D55EA"/>
    <w:rsid w:val="006D612A"/>
    <w:rsid w:val="006F000D"/>
    <w:rsid w:val="006F49BD"/>
    <w:rsid w:val="006F4AD3"/>
    <w:rsid w:val="006F526F"/>
    <w:rsid w:val="006F719F"/>
    <w:rsid w:val="00700C74"/>
    <w:rsid w:val="00701C8E"/>
    <w:rsid w:val="00701CBD"/>
    <w:rsid w:val="007044B6"/>
    <w:rsid w:val="00705650"/>
    <w:rsid w:val="007123A7"/>
    <w:rsid w:val="00713244"/>
    <w:rsid w:val="007173B9"/>
    <w:rsid w:val="00717483"/>
    <w:rsid w:val="007205BE"/>
    <w:rsid w:val="00720DF9"/>
    <w:rsid w:val="00722895"/>
    <w:rsid w:val="00722FCD"/>
    <w:rsid w:val="00723F9D"/>
    <w:rsid w:val="00725981"/>
    <w:rsid w:val="00725CAD"/>
    <w:rsid w:val="00726C90"/>
    <w:rsid w:val="00735BFB"/>
    <w:rsid w:val="00736637"/>
    <w:rsid w:val="00736C06"/>
    <w:rsid w:val="00736D37"/>
    <w:rsid w:val="00737A63"/>
    <w:rsid w:val="00740015"/>
    <w:rsid w:val="007406E2"/>
    <w:rsid w:val="00743FC0"/>
    <w:rsid w:val="00744010"/>
    <w:rsid w:val="00747DF4"/>
    <w:rsid w:val="00750FB7"/>
    <w:rsid w:val="007512D7"/>
    <w:rsid w:val="00752013"/>
    <w:rsid w:val="007526D6"/>
    <w:rsid w:val="007527BF"/>
    <w:rsid w:val="00753717"/>
    <w:rsid w:val="00753F3F"/>
    <w:rsid w:val="0075741F"/>
    <w:rsid w:val="00760716"/>
    <w:rsid w:val="0076216B"/>
    <w:rsid w:val="00762454"/>
    <w:rsid w:val="00764DB2"/>
    <w:rsid w:val="007671C1"/>
    <w:rsid w:val="00770926"/>
    <w:rsid w:val="00771069"/>
    <w:rsid w:val="00774309"/>
    <w:rsid w:val="00774BAD"/>
    <w:rsid w:val="0077511C"/>
    <w:rsid w:val="0078020F"/>
    <w:rsid w:val="007814EB"/>
    <w:rsid w:val="00784419"/>
    <w:rsid w:val="00784FF3"/>
    <w:rsid w:val="00785AD4"/>
    <w:rsid w:val="00787046"/>
    <w:rsid w:val="00787494"/>
    <w:rsid w:val="00790A06"/>
    <w:rsid w:val="00791336"/>
    <w:rsid w:val="00792CDE"/>
    <w:rsid w:val="007956CA"/>
    <w:rsid w:val="00797A3F"/>
    <w:rsid w:val="007A1806"/>
    <w:rsid w:val="007A214E"/>
    <w:rsid w:val="007A5A35"/>
    <w:rsid w:val="007B1683"/>
    <w:rsid w:val="007B1A39"/>
    <w:rsid w:val="007B3865"/>
    <w:rsid w:val="007B3B83"/>
    <w:rsid w:val="007B5423"/>
    <w:rsid w:val="007B7552"/>
    <w:rsid w:val="007C1AC7"/>
    <w:rsid w:val="007C2199"/>
    <w:rsid w:val="007C26F8"/>
    <w:rsid w:val="007C7902"/>
    <w:rsid w:val="007D0799"/>
    <w:rsid w:val="007D10AB"/>
    <w:rsid w:val="007D3DCD"/>
    <w:rsid w:val="007D6026"/>
    <w:rsid w:val="007E3587"/>
    <w:rsid w:val="007F01B0"/>
    <w:rsid w:val="00803D04"/>
    <w:rsid w:val="008061FD"/>
    <w:rsid w:val="00806933"/>
    <w:rsid w:val="00807618"/>
    <w:rsid w:val="00807DB0"/>
    <w:rsid w:val="00811C8B"/>
    <w:rsid w:val="00814119"/>
    <w:rsid w:val="008145D9"/>
    <w:rsid w:val="00814AB4"/>
    <w:rsid w:val="00815C09"/>
    <w:rsid w:val="00823CA8"/>
    <w:rsid w:val="0082536B"/>
    <w:rsid w:val="0083027F"/>
    <w:rsid w:val="00833C4E"/>
    <w:rsid w:val="00835804"/>
    <w:rsid w:val="008372CE"/>
    <w:rsid w:val="0084150C"/>
    <w:rsid w:val="008437E1"/>
    <w:rsid w:val="00843CA7"/>
    <w:rsid w:val="008442F6"/>
    <w:rsid w:val="00851BB6"/>
    <w:rsid w:val="0085451A"/>
    <w:rsid w:val="00855D7A"/>
    <w:rsid w:val="00864169"/>
    <w:rsid w:val="00864B02"/>
    <w:rsid w:val="008653D9"/>
    <w:rsid w:val="00870E49"/>
    <w:rsid w:val="008717EC"/>
    <w:rsid w:val="00872BA5"/>
    <w:rsid w:val="00873A39"/>
    <w:rsid w:val="00876E97"/>
    <w:rsid w:val="00881D3B"/>
    <w:rsid w:val="008822EF"/>
    <w:rsid w:val="008837BD"/>
    <w:rsid w:val="00883864"/>
    <w:rsid w:val="008838CE"/>
    <w:rsid w:val="0088633C"/>
    <w:rsid w:val="00887A5A"/>
    <w:rsid w:val="00887C0D"/>
    <w:rsid w:val="00890575"/>
    <w:rsid w:val="008923AF"/>
    <w:rsid w:val="00893721"/>
    <w:rsid w:val="00893B7B"/>
    <w:rsid w:val="008960AF"/>
    <w:rsid w:val="008A1EAA"/>
    <w:rsid w:val="008A2005"/>
    <w:rsid w:val="008A348E"/>
    <w:rsid w:val="008A4BBE"/>
    <w:rsid w:val="008A654F"/>
    <w:rsid w:val="008A7E00"/>
    <w:rsid w:val="008B114E"/>
    <w:rsid w:val="008B350A"/>
    <w:rsid w:val="008B3A28"/>
    <w:rsid w:val="008C04BE"/>
    <w:rsid w:val="008C36F6"/>
    <w:rsid w:val="008C448B"/>
    <w:rsid w:val="008C56BE"/>
    <w:rsid w:val="008C5710"/>
    <w:rsid w:val="008D572F"/>
    <w:rsid w:val="008D6204"/>
    <w:rsid w:val="008D71CD"/>
    <w:rsid w:val="008E002C"/>
    <w:rsid w:val="008E09EA"/>
    <w:rsid w:val="008E61B7"/>
    <w:rsid w:val="008E6DFE"/>
    <w:rsid w:val="008E7F0A"/>
    <w:rsid w:val="008E7F26"/>
    <w:rsid w:val="008F267D"/>
    <w:rsid w:val="008F4CD0"/>
    <w:rsid w:val="008F6F80"/>
    <w:rsid w:val="008F772B"/>
    <w:rsid w:val="0090021D"/>
    <w:rsid w:val="00900D62"/>
    <w:rsid w:val="009031EA"/>
    <w:rsid w:val="00907C70"/>
    <w:rsid w:val="009127D3"/>
    <w:rsid w:val="00912ECB"/>
    <w:rsid w:val="00915AE2"/>
    <w:rsid w:val="0091750E"/>
    <w:rsid w:val="0091768C"/>
    <w:rsid w:val="009213E7"/>
    <w:rsid w:val="00921EBB"/>
    <w:rsid w:val="0092360D"/>
    <w:rsid w:val="00925B5C"/>
    <w:rsid w:val="00926FD9"/>
    <w:rsid w:val="009271D1"/>
    <w:rsid w:val="009319D5"/>
    <w:rsid w:val="00932626"/>
    <w:rsid w:val="00933655"/>
    <w:rsid w:val="00933740"/>
    <w:rsid w:val="00933D89"/>
    <w:rsid w:val="00934E05"/>
    <w:rsid w:val="009351A5"/>
    <w:rsid w:val="009354E7"/>
    <w:rsid w:val="00935803"/>
    <w:rsid w:val="0093637C"/>
    <w:rsid w:val="00937D7D"/>
    <w:rsid w:val="00940F7F"/>
    <w:rsid w:val="009415F2"/>
    <w:rsid w:val="00942007"/>
    <w:rsid w:val="0094329C"/>
    <w:rsid w:val="00944B94"/>
    <w:rsid w:val="00945343"/>
    <w:rsid w:val="0094534C"/>
    <w:rsid w:val="00946899"/>
    <w:rsid w:val="0094770C"/>
    <w:rsid w:val="00947995"/>
    <w:rsid w:val="00947ED2"/>
    <w:rsid w:val="00956846"/>
    <w:rsid w:val="0096437E"/>
    <w:rsid w:val="00964C6C"/>
    <w:rsid w:val="00967DE1"/>
    <w:rsid w:val="009719FF"/>
    <w:rsid w:val="00973512"/>
    <w:rsid w:val="009763BE"/>
    <w:rsid w:val="00977F88"/>
    <w:rsid w:val="00980498"/>
    <w:rsid w:val="00980701"/>
    <w:rsid w:val="00980B19"/>
    <w:rsid w:val="00981C34"/>
    <w:rsid w:val="00983DB1"/>
    <w:rsid w:val="00984EF6"/>
    <w:rsid w:val="0098645F"/>
    <w:rsid w:val="0098782C"/>
    <w:rsid w:val="009913F0"/>
    <w:rsid w:val="009924CB"/>
    <w:rsid w:val="009934FC"/>
    <w:rsid w:val="009937D6"/>
    <w:rsid w:val="00993B92"/>
    <w:rsid w:val="00993DD0"/>
    <w:rsid w:val="00996A02"/>
    <w:rsid w:val="00997FCD"/>
    <w:rsid w:val="009A0264"/>
    <w:rsid w:val="009A24AD"/>
    <w:rsid w:val="009A3813"/>
    <w:rsid w:val="009A5AD0"/>
    <w:rsid w:val="009A6441"/>
    <w:rsid w:val="009A6AB6"/>
    <w:rsid w:val="009A7D93"/>
    <w:rsid w:val="009B0C1A"/>
    <w:rsid w:val="009B22E7"/>
    <w:rsid w:val="009B45BE"/>
    <w:rsid w:val="009B6ABF"/>
    <w:rsid w:val="009B6F7A"/>
    <w:rsid w:val="009B7AC2"/>
    <w:rsid w:val="009C21CC"/>
    <w:rsid w:val="009C2C10"/>
    <w:rsid w:val="009C3C50"/>
    <w:rsid w:val="009C4C3F"/>
    <w:rsid w:val="009C6791"/>
    <w:rsid w:val="009C6C44"/>
    <w:rsid w:val="009C6D93"/>
    <w:rsid w:val="009C6DEE"/>
    <w:rsid w:val="009D1732"/>
    <w:rsid w:val="009D6637"/>
    <w:rsid w:val="009D6B48"/>
    <w:rsid w:val="009D7984"/>
    <w:rsid w:val="009D79B2"/>
    <w:rsid w:val="009E1550"/>
    <w:rsid w:val="009E1C20"/>
    <w:rsid w:val="009E4D2A"/>
    <w:rsid w:val="009E5962"/>
    <w:rsid w:val="009F23DE"/>
    <w:rsid w:val="009F2422"/>
    <w:rsid w:val="009F3114"/>
    <w:rsid w:val="009F535E"/>
    <w:rsid w:val="009F7AB7"/>
    <w:rsid w:val="009F7F82"/>
    <w:rsid w:val="00A01D8A"/>
    <w:rsid w:val="00A027BC"/>
    <w:rsid w:val="00A039B7"/>
    <w:rsid w:val="00A03CB3"/>
    <w:rsid w:val="00A05C4D"/>
    <w:rsid w:val="00A06549"/>
    <w:rsid w:val="00A06F22"/>
    <w:rsid w:val="00A1020A"/>
    <w:rsid w:val="00A10BE1"/>
    <w:rsid w:val="00A1122E"/>
    <w:rsid w:val="00A11A46"/>
    <w:rsid w:val="00A11E6F"/>
    <w:rsid w:val="00A12DA5"/>
    <w:rsid w:val="00A15557"/>
    <w:rsid w:val="00A1733F"/>
    <w:rsid w:val="00A213E9"/>
    <w:rsid w:val="00A24BF8"/>
    <w:rsid w:val="00A26EE4"/>
    <w:rsid w:val="00A27ECE"/>
    <w:rsid w:val="00A315E3"/>
    <w:rsid w:val="00A35069"/>
    <w:rsid w:val="00A40E62"/>
    <w:rsid w:val="00A44590"/>
    <w:rsid w:val="00A46A66"/>
    <w:rsid w:val="00A470F3"/>
    <w:rsid w:val="00A53F23"/>
    <w:rsid w:val="00A5465C"/>
    <w:rsid w:val="00A553DC"/>
    <w:rsid w:val="00A56162"/>
    <w:rsid w:val="00A57B31"/>
    <w:rsid w:val="00A60B98"/>
    <w:rsid w:val="00A60D98"/>
    <w:rsid w:val="00A61F6C"/>
    <w:rsid w:val="00A6485D"/>
    <w:rsid w:val="00A64979"/>
    <w:rsid w:val="00A665D3"/>
    <w:rsid w:val="00A700B6"/>
    <w:rsid w:val="00A702D9"/>
    <w:rsid w:val="00A7049C"/>
    <w:rsid w:val="00A73305"/>
    <w:rsid w:val="00A75945"/>
    <w:rsid w:val="00A75E0A"/>
    <w:rsid w:val="00A76BBB"/>
    <w:rsid w:val="00A84268"/>
    <w:rsid w:val="00A8595C"/>
    <w:rsid w:val="00A85E04"/>
    <w:rsid w:val="00A86712"/>
    <w:rsid w:val="00A86EC5"/>
    <w:rsid w:val="00A92608"/>
    <w:rsid w:val="00A92AFD"/>
    <w:rsid w:val="00A94C0F"/>
    <w:rsid w:val="00A957E3"/>
    <w:rsid w:val="00AA0A4B"/>
    <w:rsid w:val="00AA62ED"/>
    <w:rsid w:val="00AB0A9F"/>
    <w:rsid w:val="00AB2D72"/>
    <w:rsid w:val="00AB39EA"/>
    <w:rsid w:val="00AB5391"/>
    <w:rsid w:val="00AB68BD"/>
    <w:rsid w:val="00AC0197"/>
    <w:rsid w:val="00AC242D"/>
    <w:rsid w:val="00AC368D"/>
    <w:rsid w:val="00AC3F3E"/>
    <w:rsid w:val="00AC4072"/>
    <w:rsid w:val="00AC4DB4"/>
    <w:rsid w:val="00AC5687"/>
    <w:rsid w:val="00AC608B"/>
    <w:rsid w:val="00AD3036"/>
    <w:rsid w:val="00AD3C2E"/>
    <w:rsid w:val="00AD5BB4"/>
    <w:rsid w:val="00AE2EDF"/>
    <w:rsid w:val="00AE305F"/>
    <w:rsid w:val="00AE4A56"/>
    <w:rsid w:val="00AE4B5A"/>
    <w:rsid w:val="00AF189B"/>
    <w:rsid w:val="00AF33C7"/>
    <w:rsid w:val="00AF3B73"/>
    <w:rsid w:val="00AF4A00"/>
    <w:rsid w:val="00AF50C7"/>
    <w:rsid w:val="00B0030C"/>
    <w:rsid w:val="00B009E3"/>
    <w:rsid w:val="00B035C0"/>
    <w:rsid w:val="00B04E09"/>
    <w:rsid w:val="00B04FA7"/>
    <w:rsid w:val="00B11DFB"/>
    <w:rsid w:val="00B1331A"/>
    <w:rsid w:val="00B154FB"/>
    <w:rsid w:val="00B159A8"/>
    <w:rsid w:val="00B173D1"/>
    <w:rsid w:val="00B21D03"/>
    <w:rsid w:val="00B21EED"/>
    <w:rsid w:val="00B22E12"/>
    <w:rsid w:val="00B23A3B"/>
    <w:rsid w:val="00B2635D"/>
    <w:rsid w:val="00B278A4"/>
    <w:rsid w:val="00B27CA4"/>
    <w:rsid w:val="00B30887"/>
    <w:rsid w:val="00B30C48"/>
    <w:rsid w:val="00B33ED8"/>
    <w:rsid w:val="00B404BA"/>
    <w:rsid w:val="00B41F38"/>
    <w:rsid w:val="00B43FFB"/>
    <w:rsid w:val="00B45565"/>
    <w:rsid w:val="00B45A7B"/>
    <w:rsid w:val="00B46BFD"/>
    <w:rsid w:val="00B47623"/>
    <w:rsid w:val="00B50D16"/>
    <w:rsid w:val="00B5194A"/>
    <w:rsid w:val="00B540C9"/>
    <w:rsid w:val="00B56AF1"/>
    <w:rsid w:val="00B5707A"/>
    <w:rsid w:val="00B5793D"/>
    <w:rsid w:val="00B61068"/>
    <w:rsid w:val="00B63701"/>
    <w:rsid w:val="00B657B0"/>
    <w:rsid w:val="00B65D90"/>
    <w:rsid w:val="00B67782"/>
    <w:rsid w:val="00B735BE"/>
    <w:rsid w:val="00B838B6"/>
    <w:rsid w:val="00B84B79"/>
    <w:rsid w:val="00B863D2"/>
    <w:rsid w:val="00B90E78"/>
    <w:rsid w:val="00B90E88"/>
    <w:rsid w:val="00B91A1D"/>
    <w:rsid w:val="00B92A7D"/>
    <w:rsid w:val="00B9507C"/>
    <w:rsid w:val="00B950EB"/>
    <w:rsid w:val="00B95ECF"/>
    <w:rsid w:val="00B97099"/>
    <w:rsid w:val="00B9747D"/>
    <w:rsid w:val="00B97C3A"/>
    <w:rsid w:val="00BA16C6"/>
    <w:rsid w:val="00BA4F27"/>
    <w:rsid w:val="00BA52B0"/>
    <w:rsid w:val="00BA7061"/>
    <w:rsid w:val="00BB0CB2"/>
    <w:rsid w:val="00BB1A96"/>
    <w:rsid w:val="00BB3F57"/>
    <w:rsid w:val="00BB56B1"/>
    <w:rsid w:val="00BB64C1"/>
    <w:rsid w:val="00BB73C4"/>
    <w:rsid w:val="00BC0D8B"/>
    <w:rsid w:val="00BC12BC"/>
    <w:rsid w:val="00BC357A"/>
    <w:rsid w:val="00BC543D"/>
    <w:rsid w:val="00BC65A3"/>
    <w:rsid w:val="00BC6892"/>
    <w:rsid w:val="00BD1A54"/>
    <w:rsid w:val="00BD21F7"/>
    <w:rsid w:val="00BD4342"/>
    <w:rsid w:val="00BD6BA5"/>
    <w:rsid w:val="00BD6FC9"/>
    <w:rsid w:val="00BE1CFF"/>
    <w:rsid w:val="00BE2EE5"/>
    <w:rsid w:val="00BE3849"/>
    <w:rsid w:val="00BF1E9B"/>
    <w:rsid w:val="00BF2D30"/>
    <w:rsid w:val="00BF37E6"/>
    <w:rsid w:val="00BF3E90"/>
    <w:rsid w:val="00BF525E"/>
    <w:rsid w:val="00C0062A"/>
    <w:rsid w:val="00C025D3"/>
    <w:rsid w:val="00C042B4"/>
    <w:rsid w:val="00C0449E"/>
    <w:rsid w:val="00C053EB"/>
    <w:rsid w:val="00C0682B"/>
    <w:rsid w:val="00C077A8"/>
    <w:rsid w:val="00C10BCE"/>
    <w:rsid w:val="00C12586"/>
    <w:rsid w:val="00C13916"/>
    <w:rsid w:val="00C1452B"/>
    <w:rsid w:val="00C1467F"/>
    <w:rsid w:val="00C1508F"/>
    <w:rsid w:val="00C1695B"/>
    <w:rsid w:val="00C22710"/>
    <w:rsid w:val="00C24AA2"/>
    <w:rsid w:val="00C31A8F"/>
    <w:rsid w:val="00C34BD2"/>
    <w:rsid w:val="00C37319"/>
    <w:rsid w:val="00C37C6E"/>
    <w:rsid w:val="00C404F3"/>
    <w:rsid w:val="00C42CCB"/>
    <w:rsid w:val="00C42E53"/>
    <w:rsid w:val="00C43DD2"/>
    <w:rsid w:val="00C458D0"/>
    <w:rsid w:val="00C458ED"/>
    <w:rsid w:val="00C459BC"/>
    <w:rsid w:val="00C45A3C"/>
    <w:rsid w:val="00C46AD6"/>
    <w:rsid w:val="00C46CBE"/>
    <w:rsid w:val="00C50585"/>
    <w:rsid w:val="00C5185A"/>
    <w:rsid w:val="00C54817"/>
    <w:rsid w:val="00C558C6"/>
    <w:rsid w:val="00C571CB"/>
    <w:rsid w:val="00C61CBD"/>
    <w:rsid w:val="00C64BFC"/>
    <w:rsid w:val="00C652B8"/>
    <w:rsid w:val="00C65C18"/>
    <w:rsid w:val="00C66891"/>
    <w:rsid w:val="00C7207C"/>
    <w:rsid w:val="00C72D05"/>
    <w:rsid w:val="00C731D8"/>
    <w:rsid w:val="00C76593"/>
    <w:rsid w:val="00C81F62"/>
    <w:rsid w:val="00C850BE"/>
    <w:rsid w:val="00C85CAA"/>
    <w:rsid w:val="00C862F3"/>
    <w:rsid w:val="00C87300"/>
    <w:rsid w:val="00C90266"/>
    <w:rsid w:val="00C92631"/>
    <w:rsid w:val="00C936D8"/>
    <w:rsid w:val="00C965A5"/>
    <w:rsid w:val="00CA010E"/>
    <w:rsid w:val="00CA37F7"/>
    <w:rsid w:val="00CA4352"/>
    <w:rsid w:val="00CA6FD1"/>
    <w:rsid w:val="00CB2459"/>
    <w:rsid w:val="00CB3536"/>
    <w:rsid w:val="00CB4265"/>
    <w:rsid w:val="00CB4312"/>
    <w:rsid w:val="00CB4992"/>
    <w:rsid w:val="00CB4A53"/>
    <w:rsid w:val="00CC1BC9"/>
    <w:rsid w:val="00CC1CD7"/>
    <w:rsid w:val="00CC2550"/>
    <w:rsid w:val="00CC5E14"/>
    <w:rsid w:val="00CC6A08"/>
    <w:rsid w:val="00CC6D06"/>
    <w:rsid w:val="00CC7034"/>
    <w:rsid w:val="00CD15BF"/>
    <w:rsid w:val="00CD463C"/>
    <w:rsid w:val="00CD4742"/>
    <w:rsid w:val="00CD5E38"/>
    <w:rsid w:val="00CD68F8"/>
    <w:rsid w:val="00CE080D"/>
    <w:rsid w:val="00CE2EE3"/>
    <w:rsid w:val="00CE3202"/>
    <w:rsid w:val="00CE3DC9"/>
    <w:rsid w:val="00CF060E"/>
    <w:rsid w:val="00CF375E"/>
    <w:rsid w:val="00CF463C"/>
    <w:rsid w:val="00CF786D"/>
    <w:rsid w:val="00D014C4"/>
    <w:rsid w:val="00D069D1"/>
    <w:rsid w:val="00D10E31"/>
    <w:rsid w:val="00D11174"/>
    <w:rsid w:val="00D152F0"/>
    <w:rsid w:val="00D20055"/>
    <w:rsid w:val="00D20AE1"/>
    <w:rsid w:val="00D23BC3"/>
    <w:rsid w:val="00D25873"/>
    <w:rsid w:val="00D25F58"/>
    <w:rsid w:val="00D30297"/>
    <w:rsid w:val="00D32B36"/>
    <w:rsid w:val="00D33026"/>
    <w:rsid w:val="00D336AE"/>
    <w:rsid w:val="00D34CE3"/>
    <w:rsid w:val="00D35CC6"/>
    <w:rsid w:val="00D35E50"/>
    <w:rsid w:val="00D41307"/>
    <w:rsid w:val="00D478BD"/>
    <w:rsid w:val="00D5206C"/>
    <w:rsid w:val="00D5448B"/>
    <w:rsid w:val="00D55822"/>
    <w:rsid w:val="00D60B7C"/>
    <w:rsid w:val="00D615CA"/>
    <w:rsid w:val="00D6713E"/>
    <w:rsid w:val="00D671AC"/>
    <w:rsid w:val="00D70D21"/>
    <w:rsid w:val="00D7139C"/>
    <w:rsid w:val="00D74FA8"/>
    <w:rsid w:val="00D75B99"/>
    <w:rsid w:val="00D82527"/>
    <w:rsid w:val="00D8570D"/>
    <w:rsid w:val="00D91FBD"/>
    <w:rsid w:val="00D93D88"/>
    <w:rsid w:val="00D9478C"/>
    <w:rsid w:val="00D96DE7"/>
    <w:rsid w:val="00DA06AE"/>
    <w:rsid w:val="00DA0DE9"/>
    <w:rsid w:val="00DA78D4"/>
    <w:rsid w:val="00DB09D1"/>
    <w:rsid w:val="00DB1C0A"/>
    <w:rsid w:val="00DC1211"/>
    <w:rsid w:val="00DC2FD7"/>
    <w:rsid w:val="00DC3F6F"/>
    <w:rsid w:val="00DC6A31"/>
    <w:rsid w:val="00DD14D9"/>
    <w:rsid w:val="00DD1CE5"/>
    <w:rsid w:val="00DD37B6"/>
    <w:rsid w:val="00DD7811"/>
    <w:rsid w:val="00DE2E56"/>
    <w:rsid w:val="00DE663E"/>
    <w:rsid w:val="00DF3B73"/>
    <w:rsid w:val="00DF4D22"/>
    <w:rsid w:val="00DF51A5"/>
    <w:rsid w:val="00DF7C8F"/>
    <w:rsid w:val="00E030C9"/>
    <w:rsid w:val="00E03F1F"/>
    <w:rsid w:val="00E10C6F"/>
    <w:rsid w:val="00E11325"/>
    <w:rsid w:val="00E124D9"/>
    <w:rsid w:val="00E14221"/>
    <w:rsid w:val="00E145D9"/>
    <w:rsid w:val="00E15FF8"/>
    <w:rsid w:val="00E171F7"/>
    <w:rsid w:val="00E172E7"/>
    <w:rsid w:val="00E20494"/>
    <w:rsid w:val="00E23A82"/>
    <w:rsid w:val="00E25CB9"/>
    <w:rsid w:val="00E2609F"/>
    <w:rsid w:val="00E26299"/>
    <w:rsid w:val="00E26DBA"/>
    <w:rsid w:val="00E33246"/>
    <w:rsid w:val="00E33E12"/>
    <w:rsid w:val="00E34CF2"/>
    <w:rsid w:val="00E34E3C"/>
    <w:rsid w:val="00E37333"/>
    <w:rsid w:val="00E3796E"/>
    <w:rsid w:val="00E37F50"/>
    <w:rsid w:val="00E4108C"/>
    <w:rsid w:val="00E41227"/>
    <w:rsid w:val="00E4143B"/>
    <w:rsid w:val="00E414B4"/>
    <w:rsid w:val="00E42F32"/>
    <w:rsid w:val="00E45AFA"/>
    <w:rsid w:val="00E46540"/>
    <w:rsid w:val="00E46E63"/>
    <w:rsid w:val="00E47762"/>
    <w:rsid w:val="00E537BD"/>
    <w:rsid w:val="00E550A3"/>
    <w:rsid w:val="00E5527F"/>
    <w:rsid w:val="00E6394D"/>
    <w:rsid w:val="00E6517A"/>
    <w:rsid w:val="00E65234"/>
    <w:rsid w:val="00E66F77"/>
    <w:rsid w:val="00E7133D"/>
    <w:rsid w:val="00E720C9"/>
    <w:rsid w:val="00E74862"/>
    <w:rsid w:val="00E81561"/>
    <w:rsid w:val="00E81685"/>
    <w:rsid w:val="00E82810"/>
    <w:rsid w:val="00E8358F"/>
    <w:rsid w:val="00E842F5"/>
    <w:rsid w:val="00E854EE"/>
    <w:rsid w:val="00E86BAF"/>
    <w:rsid w:val="00EA3A08"/>
    <w:rsid w:val="00EB0BE8"/>
    <w:rsid w:val="00EB35A4"/>
    <w:rsid w:val="00EB44E7"/>
    <w:rsid w:val="00EB689E"/>
    <w:rsid w:val="00EB746E"/>
    <w:rsid w:val="00EB7FC5"/>
    <w:rsid w:val="00EC1014"/>
    <w:rsid w:val="00EC224D"/>
    <w:rsid w:val="00EC41A1"/>
    <w:rsid w:val="00EC458F"/>
    <w:rsid w:val="00EC61A3"/>
    <w:rsid w:val="00EC6AA6"/>
    <w:rsid w:val="00ED5487"/>
    <w:rsid w:val="00ED59D5"/>
    <w:rsid w:val="00ED7803"/>
    <w:rsid w:val="00EE0FD4"/>
    <w:rsid w:val="00EE17BE"/>
    <w:rsid w:val="00EE2465"/>
    <w:rsid w:val="00EE5E1C"/>
    <w:rsid w:val="00EE74AE"/>
    <w:rsid w:val="00EF4325"/>
    <w:rsid w:val="00EF594C"/>
    <w:rsid w:val="00EF78B8"/>
    <w:rsid w:val="00F01A97"/>
    <w:rsid w:val="00F032A0"/>
    <w:rsid w:val="00F054C4"/>
    <w:rsid w:val="00F06DE3"/>
    <w:rsid w:val="00F0786C"/>
    <w:rsid w:val="00F0791C"/>
    <w:rsid w:val="00F127F0"/>
    <w:rsid w:val="00F1680D"/>
    <w:rsid w:val="00F17807"/>
    <w:rsid w:val="00F17ECE"/>
    <w:rsid w:val="00F2202D"/>
    <w:rsid w:val="00F27561"/>
    <w:rsid w:val="00F275DE"/>
    <w:rsid w:val="00F27AF4"/>
    <w:rsid w:val="00F329FB"/>
    <w:rsid w:val="00F32C9D"/>
    <w:rsid w:val="00F340DB"/>
    <w:rsid w:val="00F366DD"/>
    <w:rsid w:val="00F366E4"/>
    <w:rsid w:val="00F376A6"/>
    <w:rsid w:val="00F37F56"/>
    <w:rsid w:val="00F412D5"/>
    <w:rsid w:val="00F433AF"/>
    <w:rsid w:val="00F52C7D"/>
    <w:rsid w:val="00F564FB"/>
    <w:rsid w:val="00F576C1"/>
    <w:rsid w:val="00F57EE3"/>
    <w:rsid w:val="00F6057C"/>
    <w:rsid w:val="00F60644"/>
    <w:rsid w:val="00F61F33"/>
    <w:rsid w:val="00F63A4B"/>
    <w:rsid w:val="00F64356"/>
    <w:rsid w:val="00F65CEE"/>
    <w:rsid w:val="00F66991"/>
    <w:rsid w:val="00F66C65"/>
    <w:rsid w:val="00F701AF"/>
    <w:rsid w:val="00F701ED"/>
    <w:rsid w:val="00F726E3"/>
    <w:rsid w:val="00F72D91"/>
    <w:rsid w:val="00F7396B"/>
    <w:rsid w:val="00F75B38"/>
    <w:rsid w:val="00F76E40"/>
    <w:rsid w:val="00F77884"/>
    <w:rsid w:val="00F80DF3"/>
    <w:rsid w:val="00F815A1"/>
    <w:rsid w:val="00F81B12"/>
    <w:rsid w:val="00F85C36"/>
    <w:rsid w:val="00F9119F"/>
    <w:rsid w:val="00F95033"/>
    <w:rsid w:val="00F9721A"/>
    <w:rsid w:val="00FA24AB"/>
    <w:rsid w:val="00FA2EAD"/>
    <w:rsid w:val="00FA3E8E"/>
    <w:rsid w:val="00FA52BA"/>
    <w:rsid w:val="00FA74B5"/>
    <w:rsid w:val="00FA7FE1"/>
    <w:rsid w:val="00FB01E9"/>
    <w:rsid w:val="00FB0F30"/>
    <w:rsid w:val="00FB1FCF"/>
    <w:rsid w:val="00FB31DC"/>
    <w:rsid w:val="00FB42A5"/>
    <w:rsid w:val="00FB73B0"/>
    <w:rsid w:val="00FC10E2"/>
    <w:rsid w:val="00FC214D"/>
    <w:rsid w:val="00FC2430"/>
    <w:rsid w:val="00FC33DE"/>
    <w:rsid w:val="00FC49B6"/>
    <w:rsid w:val="00FC5827"/>
    <w:rsid w:val="00FC597C"/>
    <w:rsid w:val="00FD02A7"/>
    <w:rsid w:val="00FD2AEE"/>
    <w:rsid w:val="00FD37D9"/>
    <w:rsid w:val="00FD3F59"/>
    <w:rsid w:val="00FD4C7B"/>
    <w:rsid w:val="00FD5817"/>
    <w:rsid w:val="00FD5CCD"/>
    <w:rsid w:val="00FE0AF8"/>
    <w:rsid w:val="00FE0BBB"/>
    <w:rsid w:val="00FE19F6"/>
    <w:rsid w:val="00FE5E8C"/>
    <w:rsid w:val="00FE6290"/>
    <w:rsid w:val="00FF0768"/>
    <w:rsid w:val="010E17C3"/>
    <w:rsid w:val="01450908"/>
    <w:rsid w:val="014E61D3"/>
    <w:rsid w:val="01536557"/>
    <w:rsid w:val="016307B6"/>
    <w:rsid w:val="01692F49"/>
    <w:rsid w:val="017D2488"/>
    <w:rsid w:val="01845E44"/>
    <w:rsid w:val="01975F15"/>
    <w:rsid w:val="01A33707"/>
    <w:rsid w:val="01A5731B"/>
    <w:rsid w:val="01B47E04"/>
    <w:rsid w:val="01B86964"/>
    <w:rsid w:val="01C24651"/>
    <w:rsid w:val="01C915FA"/>
    <w:rsid w:val="01CF18E1"/>
    <w:rsid w:val="01D73891"/>
    <w:rsid w:val="01D8512B"/>
    <w:rsid w:val="01F37E52"/>
    <w:rsid w:val="01FD72D0"/>
    <w:rsid w:val="01FF4837"/>
    <w:rsid w:val="02033AEC"/>
    <w:rsid w:val="021E018C"/>
    <w:rsid w:val="021F6BA4"/>
    <w:rsid w:val="02571023"/>
    <w:rsid w:val="02573CF2"/>
    <w:rsid w:val="0266284B"/>
    <w:rsid w:val="026D746B"/>
    <w:rsid w:val="0281213D"/>
    <w:rsid w:val="028D4F2F"/>
    <w:rsid w:val="02A94E04"/>
    <w:rsid w:val="02B32EA0"/>
    <w:rsid w:val="02C9445A"/>
    <w:rsid w:val="02DE0DB3"/>
    <w:rsid w:val="02ED2A7A"/>
    <w:rsid w:val="02F034FC"/>
    <w:rsid w:val="02F8236A"/>
    <w:rsid w:val="03017614"/>
    <w:rsid w:val="03064EA6"/>
    <w:rsid w:val="03096EC1"/>
    <w:rsid w:val="0316721C"/>
    <w:rsid w:val="031A4377"/>
    <w:rsid w:val="03266B28"/>
    <w:rsid w:val="032B2926"/>
    <w:rsid w:val="032C4E4C"/>
    <w:rsid w:val="032D023F"/>
    <w:rsid w:val="033C107C"/>
    <w:rsid w:val="035B4E37"/>
    <w:rsid w:val="03715A5F"/>
    <w:rsid w:val="037601AC"/>
    <w:rsid w:val="037B3BA0"/>
    <w:rsid w:val="037C2693"/>
    <w:rsid w:val="03817A8F"/>
    <w:rsid w:val="03854279"/>
    <w:rsid w:val="03962586"/>
    <w:rsid w:val="03994449"/>
    <w:rsid w:val="03A639E2"/>
    <w:rsid w:val="03B25373"/>
    <w:rsid w:val="03BB19F7"/>
    <w:rsid w:val="03C23110"/>
    <w:rsid w:val="03CF1223"/>
    <w:rsid w:val="03FC095B"/>
    <w:rsid w:val="03FD6D49"/>
    <w:rsid w:val="0418097A"/>
    <w:rsid w:val="04192C42"/>
    <w:rsid w:val="04227986"/>
    <w:rsid w:val="042F5D1F"/>
    <w:rsid w:val="04342E1F"/>
    <w:rsid w:val="044C7E25"/>
    <w:rsid w:val="045D3C5B"/>
    <w:rsid w:val="045D4C19"/>
    <w:rsid w:val="046244DB"/>
    <w:rsid w:val="04637138"/>
    <w:rsid w:val="046D00B8"/>
    <w:rsid w:val="04A24A7D"/>
    <w:rsid w:val="04A77B6A"/>
    <w:rsid w:val="04B12457"/>
    <w:rsid w:val="04B75110"/>
    <w:rsid w:val="04C764DA"/>
    <w:rsid w:val="04CA568D"/>
    <w:rsid w:val="04CF3171"/>
    <w:rsid w:val="04DF6A75"/>
    <w:rsid w:val="04EA21CE"/>
    <w:rsid w:val="05091A2E"/>
    <w:rsid w:val="05113F9F"/>
    <w:rsid w:val="0514323F"/>
    <w:rsid w:val="05190982"/>
    <w:rsid w:val="0541435E"/>
    <w:rsid w:val="0547312C"/>
    <w:rsid w:val="05487434"/>
    <w:rsid w:val="05534A8E"/>
    <w:rsid w:val="05626F0B"/>
    <w:rsid w:val="056801AD"/>
    <w:rsid w:val="05A23D11"/>
    <w:rsid w:val="05E077A0"/>
    <w:rsid w:val="05E240F9"/>
    <w:rsid w:val="05ED6D79"/>
    <w:rsid w:val="05EE2C8F"/>
    <w:rsid w:val="05F12669"/>
    <w:rsid w:val="05F21970"/>
    <w:rsid w:val="05F80C2C"/>
    <w:rsid w:val="060C20BF"/>
    <w:rsid w:val="060E6A0D"/>
    <w:rsid w:val="060F03CA"/>
    <w:rsid w:val="061D6AF3"/>
    <w:rsid w:val="061F7618"/>
    <w:rsid w:val="0623629B"/>
    <w:rsid w:val="062C47DD"/>
    <w:rsid w:val="06310935"/>
    <w:rsid w:val="064270C3"/>
    <w:rsid w:val="0648667B"/>
    <w:rsid w:val="06546CE7"/>
    <w:rsid w:val="06562D0C"/>
    <w:rsid w:val="065673AE"/>
    <w:rsid w:val="06616FE7"/>
    <w:rsid w:val="06815062"/>
    <w:rsid w:val="068B3E71"/>
    <w:rsid w:val="068C4014"/>
    <w:rsid w:val="069C047E"/>
    <w:rsid w:val="069E189F"/>
    <w:rsid w:val="06A2646F"/>
    <w:rsid w:val="06A90560"/>
    <w:rsid w:val="06BA5C64"/>
    <w:rsid w:val="06E04F00"/>
    <w:rsid w:val="06ED40D0"/>
    <w:rsid w:val="06F538BE"/>
    <w:rsid w:val="0702274F"/>
    <w:rsid w:val="07083820"/>
    <w:rsid w:val="0727403C"/>
    <w:rsid w:val="074806DA"/>
    <w:rsid w:val="07582A28"/>
    <w:rsid w:val="077D5723"/>
    <w:rsid w:val="07A20595"/>
    <w:rsid w:val="07A63D9F"/>
    <w:rsid w:val="07AC511C"/>
    <w:rsid w:val="07AD3184"/>
    <w:rsid w:val="07AE7DE9"/>
    <w:rsid w:val="07B83916"/>
    <w:rsid w:val="07BC4F56"/>
    <w:rsid w:val="07C42164"/>
    <w:rsid w:val="07CB4A3B"/>
    <w:rsid w:val="07CC0CBB"/>
    <w:rsid w:val="07D9554A"/>
    <w:rsid w:val="07E7537D"/>
    <w:rsid w:val="07E9626D"/>
    <w:rsid w:val="07F370E5"/>
    <w:rsid w:val="08065ABD"/>
    <w:rsid w:val="08067256"/>
    <w:rsid w:val="081161BD"/>
    <w:rsid w:val="08155933"/>
    <w:rsid w:val="08320938"/>
    <w:rsid w:val="08335472"/>
    <w:rsid w:val="084406E1"/>
    <w:rsid w:val="0847779E"/>
    <w:rsid w:val="08626040"/>
    <w:rsid w:val="08820352"/>
    <w:rsid w:val="08AC7BBF"/>
    <w:rsid w:val="08BD3A01"/>
    <w:rsid w:val="08C7561E"/>
    <w:rsid w:val="08CA23FB"/>
    <w:rsid w:val="08CA4695"/>
    <w:rsid w:val="08CC3D54"/>
    <w:rsid w:val="08CF0EB3"/>
    <w:rsid w:val="08D82B41"/>
    <w:rsid w:val="08D9597A"/>
    <w:rsid w:val="08E56E1E"/>
    <w:rsid w:val="08EC5B0F"/>
    <w:rsid w:val="08F32743"/>
    <w:rsid w:val="08F75603"/>
    <w:rsid w:val="090303BC"/>
    <w:rsid w:val="092F58E1"/>
    <w:rsid w:val="09303746"/>
    <w:rsid w:val="093C6FFB"/>
    <w:rsid w:val="093E3D2E"/>
    <w:rsid w:val="09430E09"/>
    <w:rsid w:val="094E0278"/>
    <w:rsid w:val="09684B3F"/>
    <w:rsid w:val="09790EEA"/>
    <w:rsid w:val="099636F5"/>
    <w:rsid w:val="09A05308"/>
    <w:rsid w:val="09A206E7"/>
    <w:rsid w:val="09AC18D1"/>
    <w:rsid w:val="09DB4D5A"/>
    <w:rsid w:val="09F4247A"/>
    <w:rsid w:val="09FB522D"/>
    <w:rsid w:val="0A0F5638"/>
    <w:rsid w:val="0A1040BA"/>
    <w:rsid w:val="0A1A3070"/>
    <w:rsid w:val="0A266C12"/>
    <w:rsid w:val="0A310CE4"/>
    <w:rsid w:val="0A3C24E3"/>
    <w:rsid w:val="0A4A64AB"/>
    <w:rsid w:val="0A570DE1"/>
    <w:rsid w:val="0A6E7697"/>
    <w:rsid w:val="0A741A48"/>
    <w:rsid w:val="0A8E6308"/>
    <w:rsid w:val="0A8F21FD"/>
    <w:rsid w:val="0A982208"/>
    <w:rsid w:val="0AA5111D"/>
    <w:rsid w:val="0AB04FF5"/>
    <w:rsid w:val="0ACE4415"/>
    <w:rsid w:val="0AEB0EB7"/>
    <w:rsid w:val="0AF43A6B"/>
    <w:rsid w:val="0B0E418B"/>
    <w:rsid w:val="0B106908"/>
    <w:rsid w:val="0B1E58F0"/>
    <w:rsid w:val="0B2E69D9"/>
    <w:rsid w:val="0B3C2383"/>
    <w:rsid w:val="0B3F61EE"/>
    <w:rsid w:val="0B465016"/>
    <w:rsid w:val="0B4E0497"/>
    <w:rsid w:val="0B503389"/>
    <w:rsid w:val="0B641FE7"/>
    <w:rsid w:val="0B7230BB"/>
    <w:rsid w:val="0B752D2B"/>
    <w:rsid w:val="0B756682"/>
    <w:rsid w:val="0B82322A"/>
    <w:rsid w:val="0BBC38F7"/>
    <w:rsid w:val="0BBD16DB"/>
    <w:rsid w:val="0BBE2539"/>
    <w:rsid w:val="0BC75DAC"/>
    <w:rsid w:val="0BCD6D9E"/>
    <w:rsid w:val="0BD20AE6"/>
    <w:rsid w:val="0BE12B86"/>
    <w:rsid w:val="0BFA70BB"/>
    <w:rsid w:val="0BFD6957"/>
    <w:rsid w:val="0C2C3797"/>
    <w:rsid w:val="0C3373AE"/>
    <w:rsid w:val="0C4D75C5"/>
    <w:rsid w:val="0C6816CE"/>
    <w:rsid w:val="0C7E5F6D"/>
    <w:rsid w:val="0C8C78E0"/>
    <w:rsid w:val="0C9E57C4"/>
    <w:rsid w:val="0CA879D8"/>
    <w:rsid w:val="0CAE5172"/>
    <w:rsid w:val="0CC80F98"/>
    <w:rsid w:val="0CDC3E2F"/>
    <w:rsid w:val="0D12246D"/>
    <w:rsid w:val="0D1C41F6"/>
    <w:rsid w:val="0D1D6955"/>
    <w:rsid w:val="0D326E78"/>
    <w:rsid w:val="0D3D49E4"/>
    <w:rsid w:val="0D453339"/>
    <w:rsid w:val="0D5169F7"/>
    <w:rsid w:val="0D5A4DF7"/>
    <w:rsid w:val="0D78010F"/>
    <w:rsid w:val="0D791334"/>
    <w:rsid w:val="0D7B31A3"/>
    <w:rsid w:val="0D915AFC"/>
    <w:rsid w:val="0D9171C0"/>
    <w:rsid w:val="0D974242"/>
    <w:rsid w:val="0D9B7925"/>
    <w:rsid w:val="0DB57E54"/>
    <w:rsid w:val="0DBF7CBC"/>
    <w:rsid w:val="0DDB1D29"/>
    <w:rsid w:val="0E2A1C4C"/>
    <w:rsid w:val="0E2E07CD"/>
    <w:rsid w:val="0E347357"/>
    <w:rsid w:val="0E372A8F"/>
    <w:rsid w:val="0E3C2EFC"/>
    <w:rsid w:val="0E45025B"/>
    <w:rsid w:val="0E4A4324"/>
    <w:rsid w:val="0E571C91"/>
    <w:rsid w:val="0E586229"/>
    <w:rsid w:val="0E5B75B2"/>
    <w:rsid w:val="0E5D6B2E"/>
    <w:rsid w:val="0E6257AC"/>
    <w:rsid w:val="0E797945"/>
    <w:rsid w:val="0E7B16BB"/>
    <w:rsid w:val="0E7D7751"/>
    <w:rsid w:val="0EA074B9"/>
    <w:rsid w:val="0EAC3DD0"/>
    <w:rsid w:val="0EB82C3A"/>
    <w:rsid w:val="0EC11177"/>
    <w:rsid w:val="0ECA6043"/>
    <w:rsid w:val="0EEB6487"/>
    <w:rsid w:val="0EF652FF"/>
    <w:rsid w:val="0EF66843"/>
    <w:rsid w:val="0F1818C3"/>
    <w:rsid w:val="0F224BD8"/>
    <w:rsid w:val="0F2900A0"/>
    <w:rsid w:val="0F2C3493"/>
    <w:rsid w:val="0F4846CC"/>
    <w:rsid w:val="0F562F03"/>
    <w:rsid w:val="0F600371"/>
    <w:rsid w:val="0F6A3148"/>
    <w:rsid w:val="0F7B7E4F"/>
    <w:rsid w:val="0F81012D"/>
    <w:rsid w:val="0F874D5A"/>
    <w:rsid w:val="0FA241BB"/>
    <w:rsid w:val="0FA71226"/>
    <w:rsid w:val="0FAB766E"/>
    <w:rsid w:val="0FB52F8D"/>
    <w:rsid w:val="0FB73497"/>
    <w:rsid w:val="0FC72FEA"/>
    <w:rsid w:val="0FCC75AF"/>
    <w:rsid w:val="0FDD06D8"/>
    <w:rsid w:val="0FE47865"/>
    <w:rsid w:val="0FF018A9"/>
    <w:rsid w:val="0FF04C35"/>
    <w:rsid w:val="0FF1162D"/>
    <w:rsid w:val="0FF2606A"/>
    <w:rsid w:val="10022579"/>
    <w:rsid w:val="101058BC"/>
    <w:rsid w:val="10203631"/>
    <w:rsid w:val="1028252A"/>
    <w:rsid w:val="10283A44"/>
    <w:rsid w:val="1028479C"/>
    <w:rsid w:val="103313EA"/>
    <w:rsid w:val="10341092"/>
    <w:rsid w:val="103F48DF"/>
    <w:rsid w:val="105344F8"/>
    <w:rsid w:val="105F6019"/>
    <w:rsid w:val="107B300D"/>
    <w:rsid w:val="108B0120"/>
    <w:rsid w:val="10B143EB"/>
    <w:rsid w:val="10C20E5F"/>
    <w:rsid w:val="10C46100"/>
    <w:rsid w:val="10DB1A50"/>
    <w:rsid w:val="10E76B53"/>
    <w:rsid w:val="10F9133D"/>
    <w:rsid w:val="11086DE8"/>
    <w:rsid w:val="110F6650"/>
    <w:rsid w:val="11114F19"/>
    <w:rsid w:val="111618B9"/>
    <w:rsid w:val="11184E9C"/>
    <w:rsid w:val="111E357A"/>
    <w:rsid w:val="11361AC9"/>
    <w:rsid w:val="114228D3"/>
    <w:rsid w:val="116B785B"/>
    <w:rsid w:val="116F3DB0"/>
    <w:rsid w:val="11754949"/>
    <w:rsid w:val="117F5661"/>
    <w:rsid w:val="118F2E49"/>
    <w:rsid w:val="11902B14"/>
    <w:rsid w:val="11A02F7B"/>
    <w:rsid w:val="11A204FB"/>
    <w:rsid w:val="11AB0805"/>
    <w:rsid w:val="11C149D8"/>
    <w:rsid w:val="11CB1184"/>
    <w:rsid w:val="11D354CF"/>
    <w:rsid w:val="11D55AC1"/>
    <w:rsid w:val="11D714C2"/>
    <w:rsid w:val="11D83E3F"/>
    <w:rsid w:val="11E254A0"/>
    <w:rsid w:val="120E3A17"/>
    <w:rsid w:val="12206844"/>
    <w:rsid w:val="12210035"/>
    <w:rsid w:val="12263CC1"/>
    <w:rsid w:val="124F74EF"/>
    <w:rsid w:val="12545E66"/>
    <w:rsid w:val="126F3E93"/>
    <w:rsid w:val="12700F01"/>
    <w:rsid w:val="12716571"/>
    <w:rsid w:val="12742AC7"/>
    <w:rsid w:val="127504A9"/>
    <w:rsid w:val="12812BC5"/>
    <w:rsid w:val="12816E7B"/>
    <w:rsid w:val="128B1383"/>
    <w:rsid w:val="128C4A2C"/>
    <w:rsid w:val="12A24328"/>
    <w:rsid w:val="12B342AD"/>
    <w:rsid w:val="12B550E5"/>
    <w:rsid w:val="12BF2F42"/>
    <w:rsid w:val="12C12243"/>
    <w:rsid w:val="13070D49"/>
    <w:rsid w:val="130A757E"/>
    <w:rsid w:val="13300A7C"/>
    <w:rsid w:val="1331710B"/>
    <w:rsid w:val="137D3F1B"/>
    <w:rsid w:val="137E58AC"/>
    <w:rsid w:val="138F6C27"/>
    <w:rsid w:val="139E45C8"/>
    <w:rsid w:val="139E63FB"/>
    <w:rsid w:val="13A52642"/>
    <w:rsid w:val="13A91487"/>
    <w:rsid w:val="13AB77ED"/>
    <w:rsid w:val="13AD03FF"/>
    <w:rsid w:val="13BD207A"/>
    <w:rsid w:val="13BE74E4"/>
    <w:rsid w:val="13C26B19"/>
    <w:rsid w:val="13E31467"/>
    <w:rsid w:val="13F110B9"/>
    <w:rsid w:val="13FB4AF3"/>
    <w:rsid w:val="140C39F3"/>
    <w:rsid w:val="14192085"/>
    <w:rsid w:val="141D40F0"/>
    <w:rsid w:val="14236482"/>
    <w:rsid w:val="142A2E90"/>
    <w:rsid w:val="143728DA"/>
    <w:rsid w:val="14553E5A"/>
    <w:rsid w:val="145D407F"/>
    <w:rsid w:val="146D50CA"/>
    <w:rsid w:val="14717643"/>
    <w:rsid w:val="147B5503"/>
    <w:rsid w:val="148C752F"/>
    <w:rsid w:val="14967CC8"/>
    <w:rsid w:val="1498715F"/>
    <w:rsid w:val="14A01452"/>
    <w:rsid w:val="14A62D5A"/>
    <w:rsid w:val="14A7181B"/>
    <w:rsid w:val="14AF424D"/>
    <w:rsid w:val="14B73358"/>
    <w:rsid w:val="14C33A7B"/>
    <w:rsid w:val="14C732D1"/>
    <w:rsid w:val="14C76A93"/>
    <w:rsid w:val="14DB3C48"/>
    <w:rsid w:val="14EC2840"/>
    <w:rsid w:val="14F01823"/>
    <w:rsid w:val="14F254A7"/>
    <w:rsid w:val="14F65A73"/>
    <w:rsid w:val="14F81E38"/>
    <w:rsid w:val="15026E88"/>
    <w:rsid w:val="150C6473"/>
    <w:rsid w:val="15165314"/>
    <w:rsid w:val="15217BE1"/>
    <w:rsid w:val="1562587B"/>
    <w:rsid w:val="15627428"/>
    <w:rsid w:val="156C1514"/>
    <w:rsid w:val="157678BB"/>
    <w:rsid w:val="15877190"/>
    <w:rsid w:val="158A77CC"/>
    <w:rsid w:val="158B13B2"/>
    <w:rsid w:val="15920B0F"/>
    <w:rsid w:val="1597145C"/>
    <w:rsid w:val="159C1176"/>
    <w:rsid w:val="159F7092"/>
    <w:rsid w:val="15A25BAF"/>
    <w:rsid w:val="15A90DA7"/>
    <w:rsid w:val="15CB2A56"/>
    <w:rsid w:val="15CF6EA3"/>
    <w:rsid w:val="15D365B0"/>
    <w:rsid w:val="15D5185D"/>
    <w:rsid w:val="15EE5960"/>
    <w:rsid w:val="15EF7F7C"/>
    <w:rsid w:val="15F942E6"/>
    <w:rsid w:val="16063D86"/>
    <w:rsid w:val="160C42D6"/>
    <w:rsid w:val="1625089D"/>
    <w:rsid w:val="162B0C87"/>
    <w:rsid w:val="162C7823"/>
    <w:rsid w:val="162E6D0B"/>
    <w:rsid w:val="164338AE"/>
    <w:rsid w:val="16667BBC"/>
    <w:rsid w:val="16925A9B"/>
    <w:rsid w:val="16AB1413"/>
    <w:rsid w:val="16BD72C8"/>
    <w:rsid w:val="16BF79FD"/>
    <w:rsid w:val="16C15E1F"/>
    <w:rsid w:val="16DF0390"/>
    <w:rsid w:val="16DF0CF1"/>
    <w:rsid w:val="16F55FB8"/>
    <w:rsid w:val="16FB6B41"/>
    <w:rsid w:val="17034EDE"/>
    <w:rsid w:val="172B7619"/>
    <w:rsid w:val="17372BA0"/>
    <w:rsid w:val="173B627F"/>
    <w:rsid w:val="173B7D51"/>
    <w:rsid w:val="174A2B2D"/>
    <w:rsid w:val="176F2701"/>
    <w:rsid w:val="178400F7"/>
    <w:rsid w:val="17845DFF"/>
    <w:rsid w:val="179A092A"/>
    <w:rsid w:val="17B04B35"/>
    <w:rsid w:val="17C273DF"/>
    <w:rsid w:val="17C8687A"/>
    <w:rsid w:val="17CD123A"/>
    <w:rsid w:val="17E712FC"/>
    <w:rsid w:val="17FA466A"/>
    <w:rsid w:val="18063AB9"/>
    <w:rsid w:val="180B3E75"/>
    <w:rsid w:val="18157732"/>
    <w:rsid w:val="182C1109"/>
    <w:rsid w:val="18434A94"/>
    <w:rsid w:val="184A4C70"/>
    <w:rsid w:val="185C1940"/>
    <w:rsid w:val="18637CA4"/>
    <w:rsid w:val="18801FDE"/>
    <w:rsid w:val="1889564E"/>
    <w:rsid w:val="189906DD"/>
    <w:rsid w:val="189C13C1"/>
    <w:rsid w:val="18B02EF0"/>
    <w:rsid w:val="18C26E05"/>
    <w:rsid w:val="18E2021B"/>
    <w:rsid w:val="18F56002"/>
    <w:rsid w:val="19004393"/>
    <w:rsid w:val="19015746"/>
    <w:rsid w:val="192618CC"/>
    <w:rsid w:val="192C58DF"/>
    <w:rsid w:val="194C50AA"/>
    <w:rsid w:val="19520068"/>
    <w:rsid w:val="195D4DE2"/>
    <w:rsid w:val="196638F3"/>
    <w:rsid w:val="19757337"/>
    <w:rsid w:val="197C4E5E"/>
    <w:rsid w:val="1989293D"/>
    <w:rsid w:val="198A7E45"/>
    <w:rsid w:val="199B2D6B"/>
    <w:rsid w:val="19AA4617"/>
    <w:rsid w:val="19AE2052"/>
    <w:rsid w:val="19B12A2F"/>
    <w:rsid w:val="19CF0D22"/>
    <w:rsid w:val="19E10D0D"/>
    <w:rsid w:val="19E415C3"/>
    <w:rsid w:val="19F12E75"/>
    <w:rsid w:val="19FD5A45"/>
    <w:rsid w:val="1A095108"/>
    <w:rsid w:val="1A0C7A72"/>
    <w:rsid w:val="1A0D2CF3"/>
    <w:rsid w:val="1A172BC6"/>
    <w:rsid w:val="1A195D1A"/>
    <w:rsid w:val="1A2A56C1"/>
    <w:rsid w:val="1A2B33BF"/>
    <w:rsid w:val="1A2E4D24"/>
    <w:rsid w:val="1A3C304A"/>
    <w:rsid w:val="1A4C233C"/>
    <w:rsid w:val="1A4E67FA"/>
    <w:rsid w:val="1A5348AC"/>
    <w:rsid w:val="1A603F2A"/>
    <w:rsid w:val="1A686FD2"/>
    <w:rsid w:val="1A7154A0"/>
    <w:rsid w:val="1A773E39"/>
    <w:rsid w:val="1A7F06D0"/>
    <w:rsid w:val="1A9D199A"/>
    <w:rsid w:val="1A9F724E"/>
    <w:rsid w:val="1AB30FE6"/>
    <w:rsid w:val="1AC0494B"/>
    <w:rsid w:val="1ADB3ACF"/>
    <w:rsid w:val="1AE71139"/>
    <w:rsid w:val="1AEB64C7"/>
    <w:rsid w:val="1B0672C6"/>
    <w:rsid w:val="1B1247FD"/>
    <w:rsid w:val="1B266DC6"/>
    <w:rsid w:val="1B287EAF"/>
    <w:rsid w:val="1B297603"/>
    <w:rsid w:val="1B3D694D"/>
    <w:rsid w:val="1B531A54"/>
    <w:rsid w:val="1B567F12"/>
    <w:rsid w:val="1B5A4155"/>
    <w:rsid w:val="1B622324"/>
    <w:rsid w:val="1B632EC1"/>
    <w:rsid w:val="1B65185F"/>
    <w:rsid w:val="1B6736B5"/>
    <w:rsid w:val="1B7133B9"/>
    <w:rsid w:val="1B8A6634"/>
    <w:rsid w:val="1B9E2B0A"/>
    <w:rsid w:val="1BA12AC3"/>
    <w:rsid w:val="1BAD44DD"/>
    <w:rsid w:val="1BB2199A"/>
    <w:rsid w:val="1BB36133"/>
    <w:rsid w:val="1BB90E66"/>
    <w:rsid w:val="1BBA200E"/>
    <w:rsid w:val="1BD710AC"/>
    <w:rsid w:val="1C0B2FA6"/>
    <w:rsid w:val="1C0D1C6C"/>
    <w:rsid w:val="1C0E3A51"/>
    <w:rsid w:val="1C300838"/>
    <w:rsid w:val="1C347C86"/>
    <w:rsid w:val="1C354341"/>
    <w:rsid w:val="1C377F64"/>
    <w:rsid w:val="1C407CD7"/>
    <w:rsid w:val="1C4D41EE"/>
    <w:rsid w:val="1C6A4A01"/>
    <w:rsid w:val="1C77196D"/>
    <w:rsid w:val="1C801A97"/>
    <w:rsid w:val="1C85762B"/>
    <w:rsid w:val="1C9B0956"/>
    <w:rsid w:val="1C9B6782"/>
    <w:rsid w:val="1C9F0E89"/>
    <w:rsid w:val="1CAB5EF7"/>
    <w:rsid w:val="1CC509E0"/>
    <w:rsid w:val="1CD16676"/>
    <w:rsid w:val="1CD550FA"/>
    <w:rsid w:val="1CE33BE2"/>
    <w:rsid w:val="1CED5713"/>
    <w:rsid w:val="1D0010D7"/>
    <w:rsid w:val="1D113C28"/>
    <w:rsid w:val="1D166BD8"/>
    <w:rsid w:val="1D1708C9"/>
    <w:rsid w:val="1D1977CD"/>
    <w:rsid w:val="1D272397"/>
    <w:rsid w:val="1D473D7C"/>
    <w:rsid w:val="1D682BC2"/>
    <w:rsid w:val="1D747847"/>
    <w:rsid w:val="1D784EE4"/>
    <w:rsid w:val="1D7A588D"/>
    <w:rsid w:val="1D7E0E26"/>
    <w:rsid w:val="1D8125BE"/>
    <w:rsid w:val="1D9B19C0"/>
    <w:rsid w:val="1DA839A8"/>
    <w:rsid w:val="1DAB235A"/>
    <w:rsid w:val="1DB063C0"/>
    <w:rsid w:val="1DB80937"/>
    <w:rsid w:val="1DCE2B18"/>
    <w:rsid w:val="1DDD6133"/>
    <w:rsid w:val="1DE8569E"/>
    <w:rsid w:val="1DF9185D"/>
    <w:rsid w:val="1E0D6BED"/>
    <w:rsid w:val="1E1A3601"/>
    <w:rsid w:val="1E330653"/>
    <w:rsid w:val="1E3C1D6E"/>
    <w:rsid w:val="1E5051F5"/>
    <w:rsid w:val="1E5732A6"/>
    <w:rsid w:val="1E5D2F19"/>
    <w:rsid w:val="1E674A3F"/>
    <w:rsid w:val="1E6778BA"/>
    <w:rsid w:val="1E7F3925"/>
    <w:rsid w:val="1E7F6F27"/>
    <w:rsid w:val="1E8439BF"/>
    <w:rsid w:val="1E881DFD"/>
    <w:rsid w:val="1E8E2DB0"/>
    <w:rsid w:val="1E99724C"/>
    <w:rsid w:val="1EA4108E"/>
    <w:rsid w:val="1EB525EF"/>
    <w:rsid w:val="1EB531EE"/>
    <w:rsid w:val="1EB6109D"/>
    <w:rsid w:val="1EBE0684"/>
    <w:rsid w:val="1ECA3722"/>
    <w:rsid w:val="1EF2736B"/>
    <w:rsid w:val="1EF50188"/>
    <w:rsid w:val="1EF675B9"/>
    <w:rsid w:val="1F16470F"/>
    <w:rsid w:val="1F4F0922"/>
    <w:rsid w:val="1F507196"/>
    <w:rsid w:val="1F5904EA"/>
    <w:rsid w:val="1F6C02C4"/>
    <w:rsid w:val="1F7733C4"/>
    <w:rsid w:val="1F7763D2"/>
    <w:rsid w:val="1F7B1D11"/>
    <w:rsid w:val="1F98644B"/>
    <w:rsid w:val="1F997669"/>
    <w:rsid w:val="1F9B52F6"/>
    <w:rsid w:val="1F9C1311"/>
    <w:rsid w:val="1FAD580B"/>
    <w:rsid w:val="1FBA2F6E"/>
    <w:rsid w:val="1FC66911"/>
    <w:rsid w:val="1FDD44EC"/>
    <w:rsid w:val="1FE23CD7"/>
    <w:rsid w:val="1FEC04D9"/>
    <w:rsid w:val="1FF338F4"/>
    <w:rsid w:val="2005122C"/>
    <w:rsid w:val="20157D3B"/>
    <w:rsid w:val="20190642"/>
    <w:rsid w:val="204B180E"/>
    <w:rsid w:val="204F45E9"/>
    <w:rsid w:val="205531A8"/>
    <w:rsid w:val="20676D43"/>
    <w:rsid w:val="20762329"/>
    <w:rsid w:val="20767A49"/>
    <w:rsid w:val="207857F2"/>
    <w:rsid w:val="20791F95"/>
    <w:rsid w:val="20821300"/>
    <w:rsid w:val="20A82AB5"/>
    <w:rsid w:val="20AC6CCD"/>
    <w:rsid w:val="20DC6201"/>
    <w:rsid w:val="20FC738B"/>
    <w:rsid w:val="210B05DE"/>
    <w:rsid w:val="21144A74"/>
    <w:rsid w:val="211464D2"/>
    <w:rsid w:val="21584AE0"/>
    <w:rsid w:val="215F06A9"/>
    <w:rsid w:val="2161785F"/>
    <w:rsid w:val="216C475A"/>
    <w:rsid w:val="219A5C3A"/>
    <w:rsid w:val="219B2BCD"/>
    <w:rsid w:val="219D080C"/>
    <w:rsid w:val="21A93996"/>
    <w:rsid w:val="21AF1C8C"/>
    <w:rsid w:val="21CB6034"/>
    <w:rsid w:val="21CF64D8"/>
    <w:rsid w:val="21CF7DEC"/>
    <w:rsid w:val="21D647A5"/>
    <w:rsid w:val="21E80C93"/>
    <w:rsid w:val="21F11DE4"/>
    <w:rsid w:val="21F77F17"/>
    <w:rsid w:val="2204304D"/>
    <w:rsid w:val="22051F98"/>
    <w:rsid w:val="220D331E"/>
    <w:rsid w:val="222C7ABF"/>
    <w:rsid w:val="223C6A7F"/>
    <w:rsid w:val="223E4B97"/>
    <w:rsid w:val="22411679"/>
    <w:rsid w:val="22430565"/>
    <w:rsid w:val="22566BDE"/>
    <w:rsid w:val="225F33D0"/>
    <w:rsid w:val="22660C40"/>
    <w:rsid w:val="226634E8"/>
    <w:rsid w:val="22710FEA"/>
    <w:rsid w:val="2286666C"/>
    <w:rsid w:val="228E6B4C"/>
    <w:rsid w:val="228F2B01"/>
    <w:rsid w:val="228F48DF"/>
    <w:rsid w:val="22924FA3"/>
    <w:rsid w:val="22A11701"/>
    <w:rsid w:val="22AD4C0A"/>
    <w:rsid w:val="22B350B4"/>
    <w:rsid w:val="22B5620E"/>
    <w:rsid w:val="22B962A1"/>
    <w:rsid w:val="22C16F41"/>
    <w:rsid w:val="22C44C41"/>
    <w:rsid w:val="22C82EE0"/>
    <w:rsid w:val="22C83B0F"/>
    <w:rsid w:val="22CA21E0"/>
    <w:rsid w:val="22D4334C"/>
    <w:rsid w:val="22DB181A"/>
    <w:rsid w:val="22DD3BEC"/>
    <w:rsid w:val="22E13E6B"/>
    <w:rsid w:val="22E83FFB"/>
    <w:rsid w:val="22F11B81"/>
    <w:rsid w:val="231427A2"/>
    <w:rsid w:val="23151DDB"/>
    <w:rsid w:val="231754C0"/>
    <w:rsid w:val="23283B75"/>
    <w:rsid w:val="2341503B"/>
    <w:rsid w:val="23427BF9"/>
    <w:rsid w:val="235D04A1"/>
    <w:rsid w:val="235E4FE8"/>
    <w:rsid w:val="236A69D7"/>
    <w:rsid w:val="237F75FB"/>
    <w:rsid w:val="23806233"/>
    <w:rsid w:val="23851F42"/>
    <w:rsid w:val="238923A6"/>
    <w:rsid w:val="239C1DD2"/>
    <w:rsid w:val="23AA48AE"/>
    <w:rsid w:val="23B4214E"/>
    <w:rsid w:val="23BE46F4"/>
    <w:rsid w:val="23C17FCB"/>
    <w:rsid w:val="23C347F7"/>
    <w:rsid w:val="23EC1F18"/>
    <w:rsid w:val="23FA58EE"/>
    <w:rsid w:val="23FC4959"/>
    <w:rsid w:val="24123E1A"/>
    <w:rsid w:val="241318C3"/>
    <w:rsid w:val="24140230"/>
    <w:rsid w:val="241918C9"/>
    <w:rsid w:val="243B20DE"/>
    <w:rsid w:val="247054DD"/>
    <w:rsid w:val="24775E2A"/>
    <w:rsid w:val="24776664"/>
    <w:rsid w:val="24847A86"/>
    <w:rsid w:val="249279F2"/>
    <w:rsid w:val="249C00A7"/>
    <w:rsid w:val="24EF5F08"/>
    <w:rsid w:val="24F608E5"/>
    <w:rsid w:val="24FB6A5D"/>
    <w:rsid w:val="25072E09"/>
    <w:rsid w:val="2507636C"/>
    <w:rsid w:val="250A242E"/>
    <w:rsid w:val="250C613C"/>
    <w:rsid w:val="25217F94"/>
    <w:rsid w:val="25235502"/>
    <w:rsid w:val="253423EF"/>
    <w:rsid w:val="25394E23"/>
    <w:rsid w:val="253D2474"/>
    <w:rsid w:val="25457FB6"/>
    <w:rsid w:val="256D7D00"/>
    <w:rsid w:val="25870A1F"/>
    <w:rsid w:val="2596187A"/>
    <w:rsid w:val="25AE615B"/>
    <w:rsid w:val="25B44F23"/>
    <w:rsid w:val="25B75342"/>
    <w:rsid w:val="25B84205"/>
    <w:rsid w:val="25C42534"/>
    <w:rsid w:val="25C54ADA"/>
    <w:rsid w:val="25C92DFA"/>
    <w:rsid w:val="25CC1FEA"/>
    <w:rsid w:val="25CE2DF1"/>
    <w:rsid w:val="25D330C2"/>
    <w:rsid w:val="25E9612B"/>
    <w:rsid w:val="25EF7AF6"/>
    <w:rsid w:val="25F06C92"/>
    <w:rsid w:val="25FC3EB2"/>
    <w:rsid w:val="25FF2403"/>
    <w:rsid w:val="260279B1"/>
    <w:rsid w:val="2610759A"/>
    <w:rsid w:val="2617737E"/>
    <w:rsid w:val="262F2132"/>
    <w:rsid w:val="26303FAF"/>
    <w:rsid w:val="2631568E"/>
    <w:rsid w:val="266859F7"/>
    <w:rsid w:val="269407AE"/>
    <w:rsid w:val="269F7A50"/>
    <w:rsid w:val="26A47770"/>
    <w:rsid w:val="26B110EF"/>
    <w:rsid w:val="26B15485"/>
    <w:rsid w:val="26B36C9D"/>
    <w:rsid w:val="26CB0992"/>
    <w:rsid w:val="26D04A29"/>
    <w:rsid w:val="26F85900"/>
    <w:rsid w:val="26FA6FF4"/>
    <w:rsid w:val="27075373"/>
    <w:rsid w:val="271F4C02"/>
    <w:rsid w:val="27305860"/>
    <w:rsid w:val="27357453"/>
    <w:rsid w:val="27374A85"/>
    <w:rsid w:val="273D5CDC"/>
    <w:rsid w:val="274F1635"/>
    <w:rsid w:val="27517DC0"/>
    <w:rsid w:val="27703E24"/>
    <w:rsid w:val="279231FB"/>
    <w:rsid w:val="279D7A42"/>
    <w:rsid w:val="279F3B9D"/>
    <w:rsid w:val="27A161CB"/>
    <w:rsid w:val="27A17613"/>
    <w:rsid w:val="27AF38F8"/>
    <w:rsid w:val="27C358B1"/>
    <w:rsid w:val="27D80961"/>
    <w:rsid w:val="27DA23EA"/>
    <w:rsid w:val="27DF4E90"/>
    <w:rsid w:val="27E24250"/>
    <w:rsid w:val="27ED3EE4"/>
    <w:rsid w:val="28001EEB"/>
    <w:rsid w:val="28033E37"/>
    <w:rsid w:val="28051D45"/>
    <w:rsid w:val="28257BDC"/>
    <w:rsid w:val="282D09FD"/>
    <w:rsid w:val="2833039B"/>
    <w:rsid w:val="2834367C"/>
    <w:rsid w:val="283F3CC4"/>
    <w:rsid w:val="28416CDF"/>
    <w:rsid w:val="28515731"/>
    <w:rsid w:val="28532DF0"/>
    <w:rsid w:val="285D7198"/>
    <w:rsid w:val="28885359"/>
    <w:rsid w:val="288E7AC9"/>
    <w:rsid w:val="28AF7D96"/>
    <w:rsid w:val="28BE59C9"/>
    <w:rsid w:val="28CF01E7"/>
    <w:rsid w:val="28E305D1"/>
    <w:rsid w:val="28F162BA"/>
    <w:rsid w:val="290E3838"/>
    <w:rsid w:val="29164CCD"/>
    <w:rsid w:val="291A7A10"/>
    <w:rsid w:val="291C39BD"/>
    <w:rsid w:val="292C14BA"/>
    <w:rsid w:val="294A25E0"/>
    <w:rsid w:val="294B2602"/>
    <w:rsid w:val="29500600"/>
    <w:rsid w:val="29715AC4"/>
    <w:rsid w:val="297163A5"/>
    <w:rsid w:val="298A68DD"/>
    <w:rsid w:val="298B24F3"/>
    <w:rsid w:val="299452ED"/>
    <w:rsid w:val="299E44B8"/>
    <w:rsid w:val="29BC078E"/>
    <w:rsid w:val="29C667F9"/>
    <w:rsid w:val="29DC725D"/>
    <w:rsid w:val="29E3153A"/>
    <w:rsid w:val="29EC5F44"/>
    <w:rsid w:val="29F50F47"/>
    <w:rsid w:val="2A0E75BA"/>
    <w:rsid w:val="2A0F7099"/>
    <w:rsid w:val="2A2F6FC7"/>
    <w:rsid w:val="2A4130A1"/>
    <w:rsid w:val="2A4944AA"/>
    <w:rsid w:val="2A5151CF"/>
    <w:rsid w:val="2A5F7A43"/>
    <w:rsid w:val="2A6B0491"/>
    <w:rsid w:val="2A6E14A2"/>
    <w:rsid w:val="2A80491B"/>
    <w:rsid w:val="2A8270C0"/>
    <w:rsid w:val="2A8A4304"/>
    <w:rsid w:val="2AA8667C"/>
    <w:rsid w:val="2AA9215C"/>
    <w:rsid w:val="2AB51687"/>
    <w:rsid w:val="2ABA648C"/>
    <w:rsid w:val="2AC17B64"/>
    <w:rsid w:val="2AC667BC"/>
    <w:rsid w:val="2ACB79F4"/>
    <w:rsid w:val="2AD21F0D"/>
    <w:rsid w:val="2AD27670"/>
    <w:rsid w:val="2AD406FB"/>
    <w:rsid w:val="2AD72FCF"/>
    <w:rsid w:val="2AFF3BB0"/>
    <w:rsid w:val="2B0A4EDD"/>
    <w:rsid w:val="2B0B5A4E"/>
    <w:rsid w:val="2B18477C"/>
    <w:rsid w:val="2B206A6F"/>
    <w:rsid w:val="2B283AB7"/>
    <w:rsid w:val="2B3B1F4F"/>
    <w:rsid w:val="2B4579A7"/>
    <w:rsid w:val="2B491530"/>
    <w:rsid w:val="2B540A60"/>
    <w:rsid w:val="2B5B1C66"/>
    <w:rsid w:val="2B695709"/>
    <w:rsid w:val="2B8148F9"/>
    <w:rsid w:val="2BA75114"/>
    <w:rsid w:val="2BA956CB"/>
    <w:rsid w:val="2BAD1998"/>
    <w:rsid w:val="2BB4317F"/>
    <w:rsid w:val="2BB920B8"/>
    <w:rsid w:val="2BBC6A62"/>
    <w:rsid w:val="2BC45A18"/>
    <w:rsid w:val="2BC82A21"/>
    <w:rsid w:val="2BD64CE6"/>
    <w:rsid w:val="2BDA0429"/>
    <w:rsid w:val="2C15138A"/>
    <w:rsid w:val="2C2F0056"/>
    <w:rsid w:val="2C3B5279"/>
    <w:rsid w:val="2C4C2958"/>
    <w:rsid w:val="2C4E35DC"/>
    <w:rsid w:val="2C503A00"/>
    <w:rsid w:val="2C544828"/>
    <w:rsid w:val="2C5B0139"/>
    <w:rsid w:val="2C5E32CE"/>
    <w:rsid w:val="2C626A08"/>
    <w:rsid w:val="2C634116"/>
    <w:rsid w:val="2C6879B6"/>
    <w:rsid w:val="2C6E1D1F"/>
    <w:rsid w:val="2C7359A9"/>
    <w:rsid w:val="2C952512"/>
    <w:rsid w:val="2C9958D2"/>
    <w:rsid w:val="2CA13F84"/>
    <w:rsid w:val="2CA6753F"/>
    <w:rsid w:val="2CA90E20"/>
    <w:rsid w:val="2CAC58E5"/>
    <w:rsid w:val="2CB46425"/>
    <w:rsid w:val="2CB72213"/>
    <w:rsid w:val="2CC001DC"/>
    <w:rsid w:val="2CC03413"/>
    <w:rsid w:val="2CC54E5E"/>
    <w:rsid w:val="2CC8152F"/>
    <w:rsid w:val="2CCB27F8"/>
    <w:rsid w:val="2CCC5572"/>
    <w:rsid w:val="2CD03EC7"/>
    <w:rsid w:val="2CF03876"/>
    <w:rsid w:val="2CFC4074"/>
    <w:rsid w:val="2CFC6022"/>
    <w:rsid w:val="2CFE0C34"/>
    <w:rsid w:val="2CFE2FE3"/>
    <w:rsid w:val="2D106A23"/>
    <w:rsid w:val="2D1472E1"/>
    <w:rsid w:val="2D175CF0"/>
    <w:rsid w:val="2D2A61DD"/>
    <w:rsid w:val="2D305358"/>
    <w:rsid w:val="2D384CE8"/>
    <w:rsid w:val="2D4339F8"/>
    <w:rsid w:val="2D481095"/>
    <w:rsid w:val="2D5A0FB3"/>
    <w:rsid w:val="2D5B7709"/>
    <w:rsid w:val="2D676B2B"/>
    <w:rsid w:val="2D7527D3"/>
    <w:rsid w:val="2D764F4C"/>
    <w:rsid w:val="2D81205D"/>
    <w:rsid w:val="2D863E7D"/>
    <w:rsid w:val="2D92297D"/>
    <w:rsid w:val="2D98450D"/>
    <w:rsid w:val="2DAA1CEB"/>
    <w:rsid w:val="2DB12145"/>
    <w:rsid w:val="2DBE243F"/>
    <w:rsid w:val="2DCA4835"/>
    <w:rsid w:val="2DCF0ADD"/>
    <w:rsid w:val="2DE15A2A"/>
    <w:rsid w:val="2E1961C3"/>
    <w:rsid w:val="2E245BB5"/>
    <w:rsid w:val="2E2559B1"/>
    <w:rsid w:val="2E5744E1"/>
    <w:rsid w:val="2E5867A5"/>
    <w:rsid w:val="2E6F07D9"/>
    <w:rsid w:val="2E704C40"/>
    <w:rsid w:val="2E7D6578"/>
    <w:rsid w:val="2EAE2F99"/>
    <w:rsid w:val="2EB201EE"/>
    <w:rsid w:val="2EBF0BE0"/>
    <w:rsid w:val="2EC91713"/>
    <w:rsid w:val="2ED47EE4"/>
    <w:rsid w:val="2ED92620"/>
    <w:rsid w:val="2EE20C1B"/>
    <w:rsid w:val="2EEE124C"/>
    <w:rsid w:val="2EF7271C"/>
    <w:rsid w:val="2EFE0FA0"/>
    <w:rsid w:val="2EFF34CE"/>
    <w:rsid w:val="2F1E1EBA"/>
    <w:rsid w:val="2F2B6BC1"/>
    <w:rsid w:val="2F355F11"/>
    <w:rsid w:val="2F3A58A4"/>
    <w:rsid w:val="2F3D3656"/>
    <w:rsid w:val="2F48586E"/>
    <w:rsid w:val="2F4E0519"/>
    <w:rsid w:val="2F7A0BDE"/>
    <w:rsid w:val="2F8C2E70"/>
    <w:rsid w:val="2F95106E"/>
    <w:rsid w:val="2F97110A"/>
    <w:rsid w:val="2F976CD3"/>
    <w:rsid w:val="2FA83B10"/>
    <w:rsid w:val="2FB277C6"/>
    <w:rsid w:val="2FBC7BBE"/>
    <w:rsid w:val="2FC86023"/>
    <w:rsid w:val="2FE255E4"/>
    <w:rsid w:val="2FEA1BE5"/>
    <w:rsid w:val="300E121A"/>
    <w:rsid w:val="30125305"/>
    <w:rsid w:val="3021506E"/>
    <w:rsid w:val="3026166E"/>
    <w:rsid w:val="302C5505"/>
    <w:rsid w:val="302F0593"/>
    <w:rsid w:val="303375CD"/>
    <w:rsid w:val="30417E57"/>
    <w:rsid w:val="3044043F"/>
    <w:rsid w:val="304C6974"/>
    <w:rsid w:val="305271BA"/>
    <w:rsid w:val="30723346"/>
    <w:rsid w:val="307520F3"/>
    <w:rsid w:val="309A542A"/>
    <w:rsid w:val="309D6BE9"/>
    <w:rsid w:val="30B50792"/>
    <w:rsid w:val="30C23BB2"/>
    <w:rsid w:val="30CB0233"/>
    <w:rsid w:val="30CB75E2"/>
    <w:rsid w:val="30D42680"/>
    <w:rsid w:val="30D5114E"/>
    <w:rsid w:val="30E5707B"/>
    <w:rsid w:val="30F6177F"/>
    <w:rsid w:val="3103135B"/>
    <w:rsid w:val="31062902"/>
    <w:rsid w:val="311920DC"/>
    <w:rsid w:val="311D27FA"/>
    <w:rsid w:val="312C186D"/>
    <w:rsid w:val="31304BF3"/>
    <w:rsid w:val="31361F63"/>
    <w:rsid w:val="314448BC"/>
    <w:rsid w:val="31560621"/>
    <w:rsid w:val="31583428"/>
    <w:rsid w:val="31626970"/>
    <w:rsid w:val="316438A2"/>
    <w:rsid w:val="316764F9"/>
    <w:rsid w:val="3183648D"/>
    <w:rsid w:val="31A202B6"/>
    <w:rsid w:val="31A43029"/>
    <w:rsid w:val="31A51D19"/>
    <w:rsid w:val="31DC522C"/>
    <w:rsid w:val="31DE20C5"/>
    <w:rsid w:val="31E2457D"/>
    <w:rsid w:val="31E331CF"/>
    <w:rsid w:val="31E94182"/>
    <w:rsid w:val="31EA6BB7"/>
    <w:rsid w:val="321868E5"/>
    <w:rsid w:val="322D0F2B"/>
    <w:rsid w:val="32352301"/>
    <w:rsid w:val="323E42A8"/>
    <w:rsid w:val="32462DCA"/>
    <w:rsid w:val="324C4DF7"/>
    <w:rsid w:val="3252168B"/>
    <w:rsid w:val="32614B36"/>
    <w:rsid w:val="327065A1"/>
    <w:rsid w:val="327C1D3C"/>
    <w:rsid w:val="328874D7"/>
    <w:rsid w:val="32982DFF"/>
    <w:rsid w:val="329E48E1"/>
    <w:rsid w:val="32B465D6"/>
    <w:rsid w:val="32BD4797"/>
    <w:rsid w:val="32E35A33"/>
    <w:rsid w:val="32ED0EC9"/>
    <w:rsid w:val="32F22537"/>
    <w:rsid w:val="33233D99"/>
    <w:rsid w:val="33247AE8"/>
    <w:rsid w:val="33255C89"/>
    <w:rsid w:val="3338457A"/>
    <w:rsid w:val="3342479F"/>
    <w:rsid w:val="33436A97"/>
    <w:rsid w:val="33482466"/>
    <w:rsid w:val="334E038A"/>
    <w:rsid w:val="335705A1"/>
    <w:rsid w:val="33610C5F"/>
    <w:rsid w:val="33841118"/>
    <w:rsid w:val="33841465"/>
    <w:rsid w:val="338A38E1"/>
    <w:rsid w:val="33905EF5"/>
    <w:rsid w:val="339869C7"/>
    <w:rsid w:val="3399031F"/>
    <w:rsid w:val="33B15CD8"/>
    <w:rsid w:val="33B16740"/>
    <w:rsid w:val="33B53F7A"/>
    <w:rsid w:val="33B71E0E"/>
    <w:rsid w:val="33C43DDB"/>
    <w:rsid w:val="33D33712"/>
    <w:rsid w:val="33E75BD2"/>
    <w:rsid w:val="33F566A2"/>
    <w:rsid w:val="34047D41"/>
    <w:rsid w:val="340D5947"/>
    <w:rsid w:val="340F6739"/>
    <w:rsid w:val="344357C4"/>
    <w:rsid w:val="346559E6"/>
    <w:rsid w:val="346C77B5"/>
    <w:rsid w:val="34735E7F"/>
    <w:rsid w:val="347F2FC4"/>
    <w:rsid w:val="3480296A"/>
    <w:rsid w:val="34807968"/>
    <w:rsid w:val="348A6A94"/>
    <w:rsid w:val="348E48CB"/>
    <w:rsid w:val="34A413AB"/>
    <w:rsid w:val="34AB453F"/>
    <w:rsid w:val="34D33679"/>
    <w:rsid w:val="34D8693E"/>
    <w:rsid w:val="34DD210F"/>
    <w:rsid w:val="35131D63"/>
    <w:rsid w:val="3515579A"/>
    <w:rsid w:val="353509FB"/>
    <w:rsid w:val="35391F47"/>
    <w:rsid w:val="353B5E8C"/>
    <w:rsid w:val="35460743"/>
    <w:rsid w:val="355933DC"/>
    <w:rsid w:val="357C22B1"/>
    <w:rsid w:val="35815435"/>
    <w:rsid w:val="35951E30"/>
    <w:rsid w:val="359A6072"/>
    <w:rsid w:val="35A240D4"/>
    <w:rsid w:val="35A81910"/>
    <w:rsid w:val="35AD7816"/>
    <w:rsid w:val="35AE2EAD"/>
    <w:rsid w:val="35B0349E"/>
    <w:rsid w:val="35C97259"/>
    <w:rsid w:val="35CA3C7A"/>
    <w:rsid w:val="35CD0B28"/>
    <w:rsid w:val="35E60422"/>
    <w:rsid w:val="35EC5E0C"/>
    <w:rsid w:val="35F3642A"/>
    <w:rsid w:val="360173BF"/>
    <w:rsid w:val="3624200D"/>
    <w:rsid w:val="36622084"/>
    <w:rsid w:val="36650D65"/>
    <w:rsid w:val="366B11D8"/>
    <w:rsid w:val="36760A6F"/>
    <w:rsid w:val="36846CCB"/>
    <w:rsid w:val="368B3713"/>
    <w:rsid w:val="36A21085"/>
    <w:rsid w:val="36AA3407"/>
    <w:rsid w:val="36D7779D"/>
    <w:rsid w:val="36DA4589"/>
    <w:rsid w:val="36E3647F"/>
    <w:rsid w:val="36F7729B"/>
    <w:rsid w:val="36FD63F6"/>
    <w:rsid w:val="370B4691"/>
    <w:rsid w:val="37124E36"/>
    <w:rsid w:val="371F1AEC"/>
    <w:rsid w:val="372C4914"/>
    <w:rsid w:val="37345448"/>
    <w:rsid w:val="37376FF1"/>
    <w:rsid w:val="37424F12"/>
    <w:rsid w:val="3751021A"/>
    <w:rsid w:val="375F35F1"/>
    <w:rsid w:val="376048EF"/>
    <w:rsid w:val="37675342"/>
    <w:rsid w:val="37704F32"/>
    <w:rsid w:val="37746F3E"/>
    <w:rsid w:val="37747895"/>
    <w:rsid w:val="379D4CDE"/>
    <w:rsid w:val="379D76B6"/>
    <w:rsid w:val="37AB2AE9"/>
    <w:rsid w:val="37BA6ADD"/>
    <w:rsid w:val="37BF6ED4"/>
    <w:rsid w:val="37C616A8"/>
    <w:rsid w:val="37D5008A"/>
    <w:rsid w:val="37E07F9E"/>
    <w:rsid w:val="37E142B1"/>
    <w:rsid w:val="37EC177B"/>
    <w:rsid w:val="37EC66F9"/>
    <w:rsid w:val="37F90B37"/>
    <w:rsid w:val="380D360E"/>
    <w:rsid w:val="381D22E5"/>
    <w:rsid w:val="38333A8F"/>
    <w:rsid w:val="38461A94"/>
    <w:rsid w:val="384C289B"/>
    <w:rsid w:val="387568D0"/>
    <w:rsid w:val="387819B8"/>
    <w:rsid w:val="388A6D1F"/>
    <w:rsid w:val="38BE189E"/>
    <w:rsid w:val="38C27A12"/>
    <w:rsid w:val="38C52783"/>
    <w:rsid w:val="38C96282"/>
    <w:rsid w:val="38CE15EE"/>
    <w:rsid w:val="38EB3DC0"/>
    <w:rsid w:val="38F5074C"/>
    <w:rsid w:val="38FB61D7"/>
    <w:rsid w:val="39017D53"/>
    <w:rsid w:val="39036E9C"/>
    <w:rsid w:val="390E54FB"/>
    <w:rsid w:val="391F3419"/>
    <w:rsid w:val="392D7021"/>
    <w:rsid w:val="39331D9F"/>
    <w:rsid w:val="3933739C"/>
    <w:rsid w:val="39493164"/>
    <w:rsid w:val="395F16DE"/>
    <w:rsid w:val="3988378D"/>
    <w:rsid w:val="39AA06D5"/>
    <w:rsid w:val="39AA365C"/>
    <w:rsid w:val="39DA1615"/>
    <w:rsid w:val="39DD7C58"/>
    <w:rsid w:val="39E1654F"/>
    <w:rsid w:val="39E64AA3"/>
    <w:rsid w:val="39E75677"/>
    <w:rsid w:val="39F3263B"/>
    <w:rsid w:val="39F83AC1"/>
    <w:rsid w:val="39FB3DA8"/>
    <w:rsid w:val="3A1B71A1"/>
    <w:rsid w:val="3A2E1CD3"/>
    <w:rsid w:val="3A3166A1"/>
    <w:rsid w:val="3A35001D"/>
    <w:rsid w:val="3A3574F4"/>
    <w:rsid w:val="3A3B0D7B"/>
    <w:rsid w:val="3A5D47D6"/>
    <w:rsid w:val="3A6A6294"/>
    <w:rsid w:val="3A6C28F4"/>
    <w:rsid w:val="3A747FB1"/>
    <w:rsid w:val="3A816273"/>
    <w:rsid w:val="3A8623D3"/>
    <w:rsid w:val="3A8D3826"/>
    <w:rsid w:val="3ABD68F2"/>
    <w:rsid w:val="3AC7560F"/>
    <w:rsid w:val="3ACB1DB2"/>
    <w:rsid w:val="3ACC16EE"/>
    <w:rsid w:val="3AE32106"/>
    <w:rsid w:val="3AEA62BA"/>
    <w:rsid w:val="3B1139DC"/>
    <w:rsid w:val="3B1E5C38"/>
    <w:rsid w:val="3B31247B"/>
    <w:rsid w:val="3B3224C9"/>
    <w:rsid w:val="3B346891"/>
    <w:rsid w:val="3B3C3764"/>
    <w:rsid w:val="3B430C4D"/>
    <w:rsid w:val="3B4609DA"/>
    <w:rsid w:val="3B625D7D"/>
    <w:rsid w:val="3B693ABE"/>
    <w:rsid w:val="3B8F53F8"/>
    <w:rsid w:val="3B930F30"/>
    <w:rsid w:val="3BA65E61"/>
    <w:rsid w:val="3BA71A18"/>
    <w:rsid w:val="3BBB2B04"/>
    <w:rsid w:val="3BBB300E"/>
    <w:rsid w:val="3BCC6D26"/>
    <w:rsid w:val="3BCD6DCC"/>
    <w:rsid w:val="3BDC18BA"/>
    <w:rsid w:val="3BFF1AFF"/>
    <w:rsid w:val="3C05794C"/>
    <w:rsid w:val="3C0D764D"/>
    <w:rsid w:val="3C116E6B"/>
    <w:rsid w:val="3C190BD5"/>
    <w:rsid w:val="3C1E721E"/>
    <w:rsid w:val="3C4656C1"/>
    <w:rsid w:val="3C58489C"/>
    <w:rsid w:val="3C600A2C"/>
    <w:rsid w:val="3C673BCE"/>
    <w:rsid w:val="3C6C3AAE"/>
    <w:rsid w:val="3C8515BA"/>
    <w:rsid w:val="3C8637E7"/>
    <w:rsid w:val="3C93694A"/>
    <w:rsid w:val="3C9C0EE0"/>
    <w:rsid w:val="3CAA50D7"/>
    <w:rsid w:val="3CAF593F"/>
    <w:rsid w:val="3CC23CE7"/>
    <w:rsid w:val="3CCD7FBD"/>
    <w:rsid w:val="3CD814CB"/>
    <w:rsid w:val="3CDD7923"/>
    <w:rsid w:val="3D224C10"/>
    <w:rsid w:val="3D2D53B0"/>
    <w:rsid w:val="3D391DFD"/>
    <w:rsid w:val="3D403EB0"/>
    <w:rsid w:val="3D5113D8"/>
    <w:rsid w:val="3D602713"/>
    <w:rsid w:val="3D685D41"/>
    <w:rsid w:val="3D734BA5"/>
    <w:rsid w:val="3D8C3B2D"/>
    <w:rsid w:val="3D927BA5"/>
    <w:rsid w:val="3DA02F9F"/>
    <w:rsid w:val="3DA55B29"/>
    <w:rsid w:val="3DA91AD8"/>
    <w:rsid w:val="3DBC2A8F"/>
    <w:rsid w:val="3DCA2B1E"/>
    <w:rsid w:val="3DD95F68"/>
    <w:rsid w:val="3DDD2815"/>
    <w:rsid w:val="3DEB73A9"/>
    <w:rsid w:val="3DF70EB2"/>
    <w:rsid w:val="3DF8126D"/>
    <w:rsid w:val="3DFC2B2A"/>
    <w:rsid w:val="3E0B2159"/>
    <w:rsid w:val="3E1A1EFD"/>
    <w:rsid w:val="3E266719"/>
    <w:rsid w:val="3E557B0F"/>
    <w:rsid w:val="3E6B0015"/>
    <w:rsid w:val="3E6D477B"/>
    <w:rsid w:val="3E70077E"/>
    <w:rsid w:val="3E766F47"/>
    <w:rsid w:val="3E830790"/>
    <w:rsid w:val="3E9549A3"/>
    <w:rsid w:val="3E9B131C"/>
    <w:rsid w:val="3EA23C07"/>
    <w:rsid w:val="3EA45807"/>
    <w:rsid w:val="3EAC1F9C"/>
    <w:rsid w:val="3EAC4665"/>
    <w:rsid w:val="3EB26DC0"/>
    <w:rsid w:val="3EBA7D64"/>
    <w:rsid w:val="3EBC2490"/>
    <w:rsid w:val="3EC47906"/>
    <w:rsid w:val="3F162338"/>
    <w:rsid w:val="3F1D1C6B"/>
    <w:rsid w:val="3F2D2A15"/>
    <w:rsid w:val="3F2D406E"/>
    <w:rsid w:val="3F3E7572"/>
    <w:rsid w:val="3F496EA1"/>
    <w:rsid w:val="3F4C33C0"/>
    <w:rsid w:val="3F5E6C0D"/>
    <w:rsid w:val="3F694B2B"/>
    <w:rsid w:val="3F740AB4"/>
    <w:rsid w:val="3F7A1395"/>
    <w:rsid w:val="3F7A32E3"/>
    <w:rsid w:val="3F9A5F9A"/>
    <w:rsid w:val="3FAE299E"/>
    <w:rsid w:val="3FD4272F"/>
    <w:rsid w:val="3FE719DE"/>
    <w:rsid w:val="3FEA524F"/>
    <w:rsid w:val="3FF344BB"/>
    <w:rsid w:val="400A74BA"/>
    <w:rsid w:val="40166C39"/>
    <w:rsid w:val="4019626A"/>
    <w:rsid w:val="402A440B"/>
    <w:rsid w:val="40585914"/>
    <w:rsid w:val="407C5000"/>
    <w:rsid w:val="407F1A5A"/>
    <w:rsid w:val="407F2AC7"/>
    <w:rsid w:val="409A7B8F"/>
    <w:rsid w:val="40A51598"/>
    <w:rsid w:val="40C127AA"/>
    <w:rsid w:val="40CA741B"/>
    <w:rsid w:val="40D95069"/>
    <w:rsid w:val="40F53C67"/>
    <w:rsid w:val="41230A69"/>
    <w:rsid w:val="41306490"/>
    <w:rsid w:val="415D228A"/>
    <w:rsid w:val="41600AA3"/>
    <w:rsid w:val="416F3FB5"/>
    <w:rsid w:val="416F5198"/>
    <w:rsid w:val="41806486"/>
    <w:rsid w:val="418E5F90"/>
    <w:rsid w:val="41993887"/>
    <w:rsid w:val="41D13071"/>
    <w:rsid w:val="41E6426C"/>
    <w:rsid w:val="41FA3E64"/>
    <w:rsid w:val="41FE0F94"/>
    <w:rsid w:val="420045AD"/>
    <w:rsid w:val="42087751"/>
    <w:rsid w:val="420B3F64"/>
    <w:rsid w:val="421079DC"/>
    <w:rsid w:val="42151ABC"/>
    <w:rsid w:val="421B1CBE"/>
    <w:rsid w:val="422015E0"/>
    <w:rsid w:val="422A509B"/>
    <w:rsid w:val="4234281B"/>
    <w:rsid w:val="42440FD2"/>
    <w:rsid w:val="424B3B49"/>
    <w:rsid w:val="425023C9"/>
    <w:rsid w:val="425C2267"/>
    <w:rsid w:val="42613D77"/>
    <w:rsid w:val="42663606"/>
    <w:rsid w:val="4278060A"/>
    <w:rsid w:val="42815CBA"/>
    <w:rsid w:val="42881AEB"/>
    <w:rsid w:val="42917078"/>
    <w:rsid w:val="42946FA7"/>
    <w:rsid w:val="429C1068"/>
    <w:rsid w:val="429C5AC6"/>
    <w:rsid w:val="42A81C3F"/>
    <w:rsid w:val="42A948EB"/>
    <w:rsid w:val="42AB0DDA"/>
    <w:rsid w:val="42B14C77"/>
    <w:rsid w:val="42C13782"/>
    <w:rsid w:val="42D25E1A"/>
    <w:rsid w:val="42D46D2D"/>
    <w:rsid w:val="42D82729"/>
    <w:rsid w:val="42EA4E8A"/>
    <w:rsid w:val="42EF3B70"/>
    <w:rsid w:val="4300495F"/>
    <w:rsid w:val="43026E54"/>
    <w:rsid w:val="43184998"/>
    <w:rsid w:val="432134CC"/>
    <w:rsid w:val="4323045F"/>
    <w:rsid w:val="432645EA"/>
    <w:rsid w:val="43361DCF"/>
    <w:rsid w:val="43392518"/>
    <w:rsid w:val="436F76C1"/>
    <w:rsid w:val="43710A12"/>
    <w:rsid w:val="437370B7"/>
    <w:rsid w:val="437960B6"/>
    <w:rsid w:val="437D01E6"/>
    <w:rsid w:val="437E2EA3"/>
    <w:rsid w:val="43844DF5"/>
    <w:rsid w:val="43897891"/>
    <w:rsid w:val="4390288D"/>
    <w:rsid w:val="43BE38DB"/>
    <w:rsid w:val="43D100CE"/>
    <w:rsid w:val="43DE615F"/>
    <w:rsid w:val="43E86422"/>
    <w:rsid w:val="44016BF2"/>
    <w:rsid w:val="44022D6D"/>
    <w:rsid w:val="44065D65"/>
    <w:rsid w:val="441E4067"/>
    <w:rsid w:val="4426495C"/>
    <w:rsid w:val="44296D06"/>
    <w:rsid w:val="44425A07"/>
    <w:rsid w:val="44564A0D"/>
    <w:rsid w:val="445B3043"/>
    <w:rsid w:val="44682CE4"/>
    <w:rsid w:val="446A16D9"/>
    <w:rsid w:val="446C3E8C"/>
    <w:rsid w:val="44755EAC"/>
    <w:rsid w:val="44786386"/>
    <w:rsid w:val="447A2DA9"/>
    <w:rsid w:val="44811A7B"/>
    <w:rsid w:val="448A0CBC"/>
    <w:rsid w:val="44926B2D"/>
    <w:rsid w:val="44950B96"/>
    <w:rsid w:val="44A36C21"/>
    <w:rsid w:val="44A63C3B"/>
    <w:rsid w:val="44B03663"/>
    <w:rsid w:val="44B07824"/>
    <w:rsid w:val="44CE5981"/>
    <w:rsid w:val="44DD3E91"/>
    <w:rsid w:val="44E07091"/>
    <w:rsid w:val="44F93A85"/>
    <w:rsid w:val="44FE6A97"/>
    <w:rsid w:val="450854FD"/>
    <w:rsid w:val="451B0BD0"/>
    <w:rsid w:val="451E1075"/>
    <w:rsid w:val="452654F3"/>
    <w:rsid w:val="45280009"/>
    <w:rsid w:val="453C3EF4"/>
    <w:rsid w:val="453E0BF4"/>
    <w:rsid w:val="454E4446"/>
    <w:rsid w:val="45584C83"/>
    <w:rsid w:val="455E5EDC"/>
    <w:rsid w:val="45623E88"/>
    <w:rsid w:val="457A7744"/>
    <w:rsid w:val="458B4AE6"/>
    <w:rsid w:val="45985D2F"/>
    <w:rsid w:val="459D3E16"/>
    <w:rsid w:val="45A846FA"/>
    <w:rsid w:val="45A95267"/>
    <w:rsid w:val="45BB1FF0"/>
    <w:rsid w:val="45BB383B"/>
    <w:rsid w:val="45C236CE"/>
    <w:rsid w:val="45EF7263"/>
    <w:rsid w:val="45F82733"/>
    <w:rsid w:val="46166A1E"/>
    <w:rsid w:val="46212EF3"/>
    <w:rsid w:val="463F04D5"/>
    <w:rsid w:val="464B2039"/>
    <w:rsid w:val="46521C43"/>
    <w:rsid w:val="467E106A"/>
    <w:rsid w:val="46830356"/>
    <w:rsid w:val="46852158"/>
    <w:rsid w:val="46946CC7"/>
    <w:rsid w:val="46A46991"/>
    <w:rsid w:val="46B00117"/>
    <w:rsid w:val="46D83778"/>
    <w:rsid w:val="46E416BF"/>
    <w:rsid w:val="46EF1ADB"/>
    <w:rsid w:val="46F644EF"/>
    <w:rsid w:val="46F91E7C"/>
    <w:rsid w:val="471813D1"/>
    <w:rsid w:val="472447E2"/>
    <w:rsid w:val="472C17E2"/>
    <w:rsid w:val="47305B71"/>
    <w:rsid w:val="4733036D"/>
    <w:rsid w:val="47353FFC"/>
    <w:rsid w:val="47383C87"/>
    <w:rsid w:val="47571B2F"/>
    <w:rsid w:val="47601966"/>
    <w:rsid w:val="477374FD"/>
    <w:rsid w:val="47950D69"/>
    <w:rsid w:val="479855DE"/>
    <w:rsid w:val="479D7361"/>
    <w:rsid w:val="47B85DA2"/>
    <w:rsid w:val="47EF1A06"/>
    <w:rsid w:val="47F6243B"/>
    <w:rsid w:val="47FA7693"/>
    <w:rsid w:val="47FC1AAA"/>
    <w:rsid w:val="482A6F84"/>
    <w:rsid w:val="48312A56"/>
    <w:rsid w:val="4831507B"/>
    <w:rsid w:val="48325C27"/>
    <w:rsid w:val="483B42CB"/>
    <w:rsid w:val="484F18DD"/>
    <w:rsid w:val="48520E92"/>
    <w:rsid w:val="485C6B13"/>
    <w:rsid w:val="48681ABA"/>
    <w:rsid w:val="48767F59"/>
    <w:rsid w:val="48893494"/>
    <w:rsid w:val="488C4279"/>
    <w:rsid w:val="488E6672"/>
    <w:rsid w:val="48B646CD"/>
    <w:rsid w:val="48CE0DB6"/>
    <w:rsid w:val="48D21C28"/>
    <w:rsid w:val="48E07523"/>
    <w:rsid w:val="48E162A7"/>
    <w:rsid w:val="48F873C3"/>
    <w:rsid w:val="48FC0EC1"/>
    <w:rsid w:val="48FE3CB3"/>
    <w:rsid w:val="48FE6718"/>
    <w:rsid w:val="490D5E16"/>
    <w:rsid w:val="492F6CCF"/>
    <w:rsid w:val="493464DF"/>
    <w:rsid w:val="493C6C9F"/>
    <w:rsid w:val="49410C81"/>
    <w:rsid w:val="494A472F"/>
    <w:rsid w:val="494F1671"/>
    <w:rsid w:val="495E2440"/>
    <w:rsid w:val="49653F45"/>
    <w:rsid w:val="49751D4D"/>
    <w:rsid w:val="49965083"/>
    <w:rsid w:val="499D5F76"/>
    <w:rsid w:val="49A84F5F"/>
    <w:rsid w:val="49D74FD1"/>
    <w:rsid w:val="4A073B0D"/>
    <w:rsid w:val="4A2246CC"/>
    <w:rsid w:val="4A2D28D6"/>
    <w:rsid w:val="4A317B4B"/>
    <w:rsid w:val="4A354B53"/>
    <w:rsid w:val="4A476263"/>
    <w:rsid w:val="4A4A1BDA"/>
    <w:rsid w:val="4A4C39AD"/>
    <w:rsid w:val="4A4C6FBF"/>
    <w:rsid w:val="4A633C41"/>
    <w:rsid w:val="4A646812"/>
    <w:rsid w:val="4A7D3C0E"/>
    <w:rsid w:val="4A886A0B"/>
    <w:rsid w:val="4A9E78BB"/>
    <w:rsid w:val="4A9F6650"/>
    <w:rsid w:val="4AA626C4"/>
    <w:rsid w:val="4AB02B8F"/>
    <w:rsid w:val="4AC6127E"/>
    <w:rsid w:val="4AE22767"/>
    <w:rsid w:val="4AF66B3D"/>
    <w:rsid w:val="4AFE4C6A"/>
    <w:rsid w:val="4B045E85"/>
    <w:rsid w:val="4B166707"/>
    <w:rsid w:val="4B1E7ED0"/>
    <w:rsid w:val="4B223CEA"/>
    <w:rsid w:val="4B331CA4"/>
    <w:rsid w:val="4B4C7457"/>
    <w:rsid w:val="4B811CF8"/>
    <w:rsid w:val="4B836F27"/>
    <w:rsid w:val="4B8507BD"/>
    <w:rsid w:val="4BB47AC2"/>
    <w:rsid w:val="4BC02BD8"/>
    <w:rsid w:val="4BD66AD1"/>
    <w:rsid w:val="4BFD0670"/>
    <w:rsid w:val="4C0C089F"/>
    <w:rsid w:val="4C3770D3"/>
    <w:rsid w:val="4C3D66C4"/>
    <w:rsid w:val="4C403FD4"/>
    <w:rsid w:val="4C4643FD"/>
    <w:rsid w:val="4C5E0D5A"/>
    <w:rsid w:val="4C696B34"/>
    <w:rsid w:val="4C7777D6"/>
    <w:rsid w:val="4C947666"/>
    <w:rsid w:val="4C9626ED"/>
    <w:rsid w:val="4CA366D0"/>
    <w:rsid w:val="4CAD08AF"/>
    <w:rsid w:val="4CB67B55"/>
    <w:rsid w:val="4CBF4276"/>
    <w:rsid w:val="4CC5460D"/>
    <w:rsid w:val="4CC94760"/>
    <w:rsid w:val="4CD541BE"/>
    <w:rsid w:val="4CD87985"/>
    <w:rsid w:val="4CE13CAF"/>
    <w:rsid w:val="4CE2382F"/>
    <w:rsid w:val="4D142BED"/>
    <w:rsid w:val="4D2677FF"/>
    <w:rsid w:val="4D2D158C"/>
    <w:rsid w:val="4D3D0CCF"/>
    <w:rsid w:val="4D3E6D99"/>
    <w:rsid w:val="4D5A3383"/>
    <w:rsid w:val="4D6D13BC"/>
    <w:rsid w:val="4D6F30EE"/>
    <w:rsid w:val="4D73271A"/>
    <w:rsid w:val="4D7560CA"/>
    <w:rsid w:val="4D797123"/>
    <w:rsid w:val="4D8E7E8A"/>
    <w:rsid w:val="4D980761"/>
    <w:rsid w:val="4DAF3665"/>
    <w:rsid w:val="4DD02EDC"/>
    <w:rsid w:val="4DEC3F37"/>
    <w:rsid w:val="4DFF5C5E"/>
    <w:rsid w:val="4E0A23CA"/>
    <w:rsid w:val="4E147504"/>
    <w:rsid w:val="4E1530F1"/>
    <w:rsid w:val="4E1622A9"/>
    <w:rsid w:val="4E1E138D"/>
    <w:rsid w:val="4E263EA7"/>
    <w:rsid w:val="4E2E279D"/>
    <w:rsid w:val="4E3E7BAA"/>
    <w:rsid w:val="4E4369CA"/>
    <w:rsid w:val="4E47495A"/>
    <w:rsid w:val="4E484C98"/>
    <w:rsid w:val="4E64161E"/>
    <w:rsid w:val="4E64635C"/>
    <w:rsid w:val="4E761212"/>
    <w:rsid w:val="4E7D2CB7"/>
    <w:rsid w:val="4E8D444F"/>
    <w:rsid w:val="4E8D52C9"/>
    <w:rsid w:val="4E97721E"/>
    <w:rsid w:val="4ECB1835"/>
    <w:rsid w:val="4ECE16F6"/>
    <w:rsid w:val="4ED71132"/>
    <w:rsid w:val="4EDD362D"/>
    <w:rsid w:val="4EEE3E37"/>
    <w:rsid w:val="4EF669DE"/>
    <w:rsid w:val="4EF977C7"/>
    <w:rsid w:val="4F0E3D43"/>
    <w:rsid w:val="4F242C98"/>
    <w:rsid w:val="4F26560C"/>
    <w:rsid w:val="4F2E76CE"/>
    <w:rsid w:val="4F3B09F2"/>
    <w:rsid w:val="4F567A4D"/>
    <w:rsid w:val="4F590C15"/>
    <w:rsid w:val="4F696829"/>
    <w:rsid w:val="4F7E7051"/>
    <w:rsid w:val="4FA90130"/>
    <w:rsid w:val="4FAB421F"/>
    <w:rsid w:val="4FAF1CBF"/>
    <w:rsid w:val="4FC60261"/>
    <w:rsid w:val="4FC632A8"/>
    <w:rsid w:val="4FF64850"/>
    <w:rsid w:val="4FFD2686"/>
    <w:rsid w:val="4FFE392A"/>
    <w:rsid w:val="500E7306"/>
    <w:rsid w:val="501F2BF5"/>
    <w:rsid w:val="5028016B"/>
    <w:rsid w:val="502C36F5"/>
    <w:rsid w:val="503A7CF9"/>
    <w:rsid w:val="505F18BC"/>
    <w:rsid w:val="50663011"/>
    <w:rsid w:val="50712196"/>
    <w:rsid w:val="508427ED"/>
    <w:rsid w:val="50873996"/>
    <w:rsid w:val="50A53B2F"/>
    <w:rsid w:val="50E05557"/>
    <w:rsid w:val="50E5536D"/>
    <w:rsid w:val="50F2034F"/>
    <w:rsid w:val="50FA5C87"/>
    <w:rsid w:val="510546B2"/>
    <w:rsid w:val="510B663F"/>
    <w:rsid w:val="51296B2B"/>
    <w:rsid w:val="514D0257"/>
    <w:rsid w:val="51645B9D"/>
    <w:rsid w:val="516807E2"/>
    <w:rsid w:val="516C0675"/>
    <w:rsid w:val="516E00B1"/>
    <w:rsid w:val="51762CD1"/>
    <w:rsid w:val="51767DCA"/>
    <w:rsid w:val="517969F9"/>
    <w:rsid w:val="518C3CEB"/>
    <w:rsid w:val="51AE0D18"/>
    <w:rsid w:val="51AF4E4E"/>
    <w:rsid w:val="51B122AB"/>
    <w:rsid w:val="51B16176"/>
    <w:rsid w:val="51B21C42"/>
    <w:rsid w:val="51C93EED"/>
    <w:rsid w:val="51EC339B"/>
    <w:rsid w:val="51F93645"/>
    <w:rsid w:val="52175269"/>
    <w:rsid w:val="52380824"/>
    <w:rsid w:val="523B6BE1"/>
    <w:rsid w:val="524335EC"/>
    <w:rsid w:val="52476A78"/>
    <w:rsid w:val="52485C44"/>
    <w:rsid w:val="52582329"/>
    <w:rsid w:val="527D0DBC"/>
    <w:rsid w:val="527F3DBF"/>
    <w:rsid w:val="528D22FD"/>
    <w:rsid w:val="52A32D4C"/>
    <w:rsid w:val="52A752EF"/>
    <w:rsid w:val="52CD27D2"/>
    <w:rsid w:val="52CF52D0"/>
    <w:rsid w:val="52CF723F"/>
    <w:rsid w:val="52D3061C"/>
    <w:rsid w:val="52D82EFB"/>
    <w:rsid w:val="52F13372"/>
    <w:rsid w:val="53006E51"/>
    <w:rsid w:val="53013A3B"/>
    <w:rsid w:val="533746E4"/>
    <w:rsid w:val="534D60B9"/>
    <w:rsid w:val="535A067F"/>
    <w:rsid w:val="535D7FC5"/>
    <w:rsid w:val="538042BF"/>
    <w:rsid w:val="53867CA0"/>
    <w:rsid w:val="539428E5"/>
    <w:rsid w:val="539C13A0"/>
    <w:rsid w:val="539C1FBA"/>
    <w:rsid w:val="53A97BFF"/>
    <w:rsid w:val="53B72340"/>
    <w:rsid w:val="53BF01BD"/>
    <w:rsid w:val="53C94146"/>
    <w:rsid w:val="53CB4ADD"/>
    <w:rsid w:val="53FF4EC4"/>
    <w:rsid w:val="54000244"/>
    <w:rsid w:val="54063E82"/>
    <w:rsid w:val="541443BD"/>
    <w:rsid w:val="543366B5"/>
    <w:rsid w:val="54461AD3"/>
    <w:rsid w:val="54581E64"/>
    <w:rsid w:val="5460070E"/>
    <w:rsid w:val="54615CA5"/>
    <w:rsid w:val="5470572C"/>
    <w:rsid w:val="54846535"/>
    <w:rsid w:val="54A1638B"/>
    <w:rsid w:val="54A6248B"/>
    <w:rsid w:val="54B067F4"/>
    <w:rsid w:val="54B40C59"/>
    <w:rsid w:val="54B566C2"/>
    <w:rsid w:val="54C82E3F"/>
    <w:rsid w:val="54D05D62"/>
    <w:rsid w:val="54D30549"/>
    <w:rsid w:val="54D84458"/>
    <w:rsid w:val="54D87FA7"/>
    <w:rsid w:val="54EC6393"/>
    <w:rsid w:val="54FB67F7"/>
    <w:rsid w:val="54FF2231"/>
    <w:rsid w:val="550824C7"/>
    <w:rsid w:val="551353BF"/>
    <w:rsid w:val="5533474D"/>
    <w:rsid w:val="55352394"/>
    <w:rsid w:val="55366823"/>
    <w:rsid w:val="554F7BBD"/>
    <w:rsid w:val="5568105C"/>
    <w:rsid w:val="55697FDE"/>
    <w:rsid w:val="556D1634"/>
    <w:rsid w:val="55700822"/>
    <w:rsid w:val="557C08CC"/>
    <w:rsid w:val="557C6727"/>
    <w:rsid w:val="558A2A9D"/>
    <w:rsid w:val="55900394"/>
    <w:rsid w:val="559E2B7A"/>
    <w:rsid w:val="55CA6220"/>
    <w:rsid w:val="55DA0CB3"/>
    <w:rsid w:val="55E106C2"/>
    <w:rsid w:val="55E27BC4"/>
    <w:rsid w:val="55EB39D8"/>
    <w:rsid w:val="55EF5819"/>
    <w:rsid w:val="55F539C8"/>
    <w:rsid w:val="56014054"/>
    <w:rsid w:val="562400BF"/>
    <w:rsid w:val="562A1DC8"/>
    <w:rsid w:val="562B3702"/>
    <w:rsid w:val="5633291A"/>
    <w:rsid w:val="56361421"/>
    <w:rsid w:val="56507ACD"/>
    <w:rsid w:val="565337A9"/>
    <w:rsid w:val="56851378"/>
    <w:rsid w:val="5690313D"/>
    <w:rsid w:val="569E7245"/>
    <w:rsid w:val="56A21C1F"/>
    <w:rsid w:val="56C105B6"/>
    <w:rsid w:val="56E00A1E"/>
    <w:rsid w:val="56E63F43"/>
    <w:rsid w:val="56F9015A"/>
    <w:rsid w:val="57042CF3"/>
    <w:rsid w:val="57183D78"/>
    <w:rsid w:val="573859AD"/>
    <w:rsid w:val="57396B1E"/>
    <w:rsid w:val="573F7283"/>
    <w:rsid w:val="574B47B4"/>
    <w:rsid w:val="57535129"/>
    <w:rsid w:val="575C3784"/>
    <w:rsid w:val="576A0140"/>
    <w:rsid w:val="577B6A8C"/>
    <w:rsid w:val="5784513B"/>
    <w:rsid w:val="57936013"/>
    <w:rsid w:val="579F0CBE"/>
    <w:rsid w:val="57C06DB4"/>
    <w:rsid w:val="57C224E3"/>
    <w:rsid w:val="57C44EE8"/>
    <w:rsid w:val="57CF0AFC"/>
    <w:rsid w:val="57D00CD7"/>
    <w:rsid w:val="57DD1D06"/>
    <w:rsid w:val="57ED7662"/>
    <w:rsid w:val="57F24872"/>
    <w:rsid w:val="57F719AA"/>
    <w:rsid w:val="58020348"/>
    <w:rsid w:val="580D4209"/>
    <w:rsid w:val="58140132"/>
    <w:rsid w:val="583B042B"/>
    <w:rsid w:val="583D1783"/>
    <w:rsid w:val="585A5AE1"/>
    <w:rsid w:val="585C5DCB"/>
    <w:rsid w:val="58696300"/>
    <w:rsid w:val="587D62B5"/>
    <w:rsid w:val="58845D9B"/>
    <w:rsid w:val="58884175"/>
    <w:rsid w:val="58997917"/>
    <w:rsid w:val="589B687E"/>
    <w:rsid w:val="589E22FB"/>
    <w:rsid w:val="58B53C7C"/>
    <w:rsid w:val="58BB7694"/>
    <w:rsid w:val="58BD2D7C"/>
    <w:rsid w:val="58C13220"/>
    <w:rsid w:val="58C90E23"/>
    <w:rsid w:val="58CF30B3"/>
    <w:rsid w:val="58D338BF"/>
    <w:rsid w:val="58E51760"/>
    <w:rsid w:val="58E80D70"/>
    <w:rsid w:val="58EF76ED"/>
    <w:rsid w:val="590C0EDC"/>
    <w:rsid w:val="591B58C0"/>
    <w:rsid w:val="591C7A86"/>
    <w:rsid w:val="59204F48"/>
    <w:rsid w:val="5921083A"/>
    <w:rsid w:val="59216BB2"/>
    <w:rsid w:val="59234ECA"/>
    <w:rsid w:val="593747BE"/>
    <w:rsid w:val="59415BBD"/>
    <w:rsid w:val="5959745E"/>
    <w:rsid w:val="595D3DAB"/>
    <w:rsid w:val="596A6CFA"/>
    <w:rsid w:val="59786607"/>
    <w:rsid w:val="597D315E"/>
    <w:rsid w:val="59840B1E"/>
    <w:rsid w:val="59AB70EA"/>
    <w:rsid w:val="59C81DED"/>
    <w:rsid w:val="59D83A2B"/>
    <w:rsid w:val="59EB3575"/>
    <w:rsid w:val="5A0741A9"/>
    <w:rsid w:val="5A0D0992"/>
    <w:rsid w:val="5A141937"/>
    <w:rsid w:val="5A1E6A81"/>
    <w:rsid w:val="5A245A88"/>
    <w:rsid w:val="5A351B38"/>
    <w:rsid w:val="5A4F75DA"/>
    <w:rsid w:val="5A5F1CE4"/>
    <w:rsid w:val="5A6D3BE8"/>
    <w:rsid w:val="5A822399"/>
    <w:rsid w:val="5A823267"/>
    <w:rsid w:val="5A907B7B"/>
    <w:rsid w:val="5AA616B7"/>
    <w:rsid w:val="5AB367E2"/>
    <w:rsid w:val="5AB77B5E"/>
    <w:rsid w:val="5AC55192"/>
    <w:rsid w:val="5ACD1400"/>
    <w:rsid w:val="5ADF42A4"/>
    <w:rsid w:val="5B0A1372"/>
    <w:rsid w:val="5B1A5EEE"/>
    <w:rsid w:val="5B3369D1"/>
    <w:rsid w:val="5B4723E8"/>
    <w:rsid w:val="5B513FF9"/>
    <w:rsid w:val="5B5B3AD6"/>
    <w:rsid w:val="5B855FC4"/>
    <w:rsid w:val="5BA72CAA"/>
    <w:rsid w:val="5BAA2484"/>
    <w:rsid w:val="5BC7576E"/>
    <w:rsid w:val="5BC9176F"/>
    <w:rsid w:val="5BCA59A8"/>
    <w:rsid w:val="5BCA6665"/>
    <w:rsid w:val="5BCF5F1A"/>
    <w:rsid w:val="5BE307B4"/>
    <w:rsid w:val="5BEB3758"/>
    <w:rsid w:val="5BFC2234"/>
    <w:rsid w:val="5C167488"/>
    <w:rsid w:val="5C276E7C"/>
    <w:rsid w:val="5C2919A3"/>
    <w:rsid w:val="5C306DDF"/>
    <w:rsid w:val="5C49575C"/>
    <w:rsid w:val="5C4F70E8"/>
    <w:rsid w:val="5C571E42"/>
    <w:rsid w:val="5C670D8D"/>
    <w:rsid w:val="5C703EF6"/>
    <w:rsid w:val="5C7A2FFD"/>
    <w:rsid w:val="5C7D32A8"/>
    <w:rsid w:val="5C7F3FF1"/>
    <w:rsid w:val="5C8A5DA8"/>
    <w:rsid w:val="5C8B5595"/>
    <w:rsid w:val="5C8F48AF"/>
    <w:rsid w:val="5C9108EC"/>
    <w:rsid w:val="5C9E4B22"/>
    <w:rsid w:val="5CA15873"/>
    <w:rsid w:val="5CB73C21"/>
    <w:rsid w:val="5CBC5436"/>
    <w:rsid w:val="5CCB43C1"/>
    <w:rsid w:val="5CD60825"/>
    <w:rsid w:val="5CDE683B"/>
    <w:rsid w:val="5CE75273"/>
    <w:rsid w:val="5D0F5894"/>
    <w:rsid w:val="5D101E0F"/>
    <w:rsid w:val="5D187CA1"/>
    <w:rsid w:val="5D1C1160"/>
    <w:rsid w:val="5D215608"/>
    <w:rsid w:val="5D316B4B"/>
    <w:rsid w:val="5D5F4A17"/>
    <w:rsid w:val="5D6E0D4F"/>
    <w:rsid w:val="5D7C032C"/>
    <w:rsid w:val="5D8178C4"/>
    <w:rsid w:val="5D89316A"/>
    <w:rsid w:val="5D89579C"/>
    <w:rsid w:val="5D9025C1"/>
    <w:rsid w:val="5DA628A5"/>
    <w:rsid w:val="5DAE0909"/>
    <w:rsid w:val="5DB567D8"/>
    <w:rsid w:val="5DCE5468"/>
    <w:rsid w:val="5DDE2798"/>
    <w:rsid w:val="5DE93F98"/>
    <w:rsid w:val="5DEA0451"/>
    <w:rsid w:val="5E166B14"/>
    <w:rsid w:val="5E2A129B"/>
    <w:rsid w:val="5E3D154A"/>
    <w:rsid w:val="5E4B16B8"/>
    <w:rsid w:val="5E531B9F"/>
    <w:rsid w:val="5E5F1019"/>
    <w:rsid w:val="5E613426"/>
    <w:rsid w:val="5E6B4793"/>
    <w:rsid w:val="5E6F1B0A"/>
    <w:rsid w:val="5E6F4598"/>
    <w:rsid w:val="5E84632E"/>
    <w:rsid w:val="5E9F101F"/>
    <w:rsid w:val="5EA428F8"/>
    <w:rsid w:val="5EA77881"/>
    <w:rsid w:val="5EAF3E93"/>
    <w:rsid w:val="5EB23EF3"/>
    <w:rsid w:val="5EC75320"/>
    <w:rsid w:val="5ED42E29"/>
    <w:rsid w:val="5EED2211"/>
    <w:rsid w:val="5F094D01"/>
    <w:rsid w:val="5F096A29"/>
    <w:rsid w:val="5F0B1F01"/>
    <w:rsid w:val="5F0D61FF"/>
    <w:rsid w:val="5F2322E8"/>
    <w:rsid w:val="5F2C7298"/>
    <w:rsid w:val="5F2E1BCB"/>
    <w:rsid w:val="5F682CF2"/>
    <w:rsid w:val="5F846578"/>
    <w:rsid w:val="5F857143"/>
    <w:rsid w:val="5F8F79E6"/>
    <w:rsid w:val="5FCF25F0"/>
    <w:rsid w:val="5FD532F9"/>
    <w:rsid w:val="5FFE4272"/>
    <w:rsid w:val="60035E73"/>
    <w:rsid w:val="60101288"/>
    <w:rsid w:val="6025000F"/>
    <w:rsid w:val="602D573B"/>
    <w:rsid w:val="603319D4"/>
    <w:rsid w:val="60510E15"/>
    <w:rsid w:val="605C2ABC"/>
    <w:rsid w:val="606A4CEE"/>
    <w:rsid w:val="607E534C"/>
    <w:rsid w:val="6080609F"/>
    <w:rsid w:val="608A3EC5"/>
    <w:rsid w:val="60940494"/>
    <w:rsid w:val="6094243D"/>
    <w:rsid w:val="609A0EBE"/>
    <w:rsid w:val="60AA66D2"/>
    <w:rsid w:val="60AB793D"/>
    <w:rsid w:val="60AF52A5"/>
    <w:rsid w:val="60B945D6"/>
    <w:rsid w:val="60D017F2"/>
    <w:rsid w:val="60D33C49"/>
    <w:rsid w:val="60D6682F"/>
    <w:rsid w:val="60DD2FA2"/>
    <w:rsid w:val="60DE571B"/>
    <w:rsid w:val="60EB3387"/>
    <w:rsid w:val="60FA542C"/>
    <w:rsid w:val="610151B5"/>
    <w:rsid w:val="610B24AD"/>
    <w:rsid w:val="610E1AED"/>
    <w:rsid w:val="611F3ADC"/>
    <w:rsid w:val="612C1D19"/>
    <w:rsid w:val="612D6EC6"/>
    <w:rsid w:val="613E6518"/>
    <w:rsid w:val="61491E76"/>
    <w:rsid w:val="615006E0"/>
    <w:rsid w:val="61505A42"/>
    <w:rsid w:val="6159375F"/>
    <w:rsid w:val="615973BC"/>
    <w:rsid w:val="615A2551"/>
    <w:rsid w:val="615A4C6A"/>
    <w:rsid w:val="6161292D"/>
    <w:rsid w:val="617559FB"/>
    <w:rsid w:val="617C4F8E"/>
    <w:rsid w:val="6188318F"/>
    <w:rsid w:val="61883CFE"/>
    <w:rsid w:val="619A1074"/>
    <w:rsid w:val="61AE13A4"/>
    <w:rsid w:val="61B97B5D"/>
    <w:rsid w:val="61BE0F60"/>
    <w:rsid w:val="61DE481D"/>
    <w:rsid w:val="61E04E65"/>
    <w:rsid w:val="61E34130"/>
    <w:rsid w:val="61E4749A"/>
    <w:rsid w:val="61F73EB6"/>
    <w:rsid w:val="61F9025D"/>
    <w:rsid w:val="61FB33FE"/>
    <w:rsid w:val="622E111C"/>
    <w:rsid w:val="62351BFB"/>
    <w:rsid w:val="624E62BD"/>
    <w:rsid w:val="62532DD8"/>
    <w:rsid w:val="62654B5B"/>
    <w:rsid w:val="626E0434"/>
    <w:rsid w:val="62897549"/>
    <w:rsid w:val="62897F78"/>
    <w:rsid w:val="629D5441"/>
    <w:rsid w:val="629E043B"/>
    <w:rsid w:val="629F04AD"/>
    <w:rsid w:val="629F5C38"/>
    <w:rsid w:val="62CF7FA6"/>
    <w:rsid w:val="62D43251"/>
    <w:rsid w:val="62D95D35"/>
    <w:rsid w:val="62E14DA4"/>
    <w:rsid w:val="62E55EDB"/>
    <w:rsid w:val="62FC7646"/>
    <w:rsid w:val="631E485D"/>
    <w:rsid w:val="63286528"/>
    <w:rsid w:val="63293413"/>
    <w:rsid w:val="632A4DF6"/>
    <w:rsid w:val="632E2518"/>
    <w:rsid w:val="632E3EF7"/>
    <w:rsid w:val="633D4F9D"/>
    <w:rsid w:val="635C4DDD"/>
    <w:rsid w:val="63602F89"/>
    <w:rsid w:val="63825F0A"/>
    <w:rsid w:val="63936C20"/>
    <w:rsid w:val="63A23566"/>
    <w:rsid w:val="63A741B2"/>
    <w:rsid w:val="63AF70FF"/>
    <w:rsid w:val="63B265BA"/>
    <w:rsid w:val="63B37CEB"/>
    <w:rsid w:val="63D93822"/>
    <w:rsid w:val="63E4639A"/>
    <w:rsid w:val="63E776F7"/>
    <w:rsid w:val="63EC62A1"/>
    <w:rsid w:val="63FE3872"/>
    <w:rsid w:val="640963B8"/>
    <w:rsid w:val="6410312F"/>
    <w:rsid w:val="64161251"/>
    <w:rsid w:val="64232F40"/>
    <w:rsid w:val="644763E5"/>
    <w:rsid w:val="646122EE"/>
    <w:rsid w:val="646B58FE"/>
    <w:rsid w:val="64752C71"/>
    <w:rsid w:val="6477096D"/>
    <w:rsid w:val="6482687C"/>
    <w:rsid w:val="648B590D"/>
    <w:rsid w:val="64B05268"/>
    <w:rsid w:val="64BF74D6"/>
    <w:rsid w:val="64C434B1"/>
    <w:rsid w:val="64C438DA"/>
    <w:rsid w:val="64CA25E2"/>
    <w:rsid w:val="64CC5C0C"/>
    <w:rsid w:val="65051463"/>
    <w:rsid w:val="65156CEB"/>
    <w:rsid w:val="651A7F42"/>
    <w:rsid w:val="651C11DF"/>
    <w:rsid w:val="651D7774"/>
    <w:rsid w:val="6537227D"/>
    <w:rsid w:val="65501038"/>
    <w:rsid w:val="65687B32"/>
    <w:rsid w:val="656B2CB0"/>
    <w:rsid w:val="658037CE"/>
    <w:rsid w:val="65922F05"/>
    <w:rsid w:val="65A54861"/>
    <w:rsid w:val="65B157A9"/>
    <w:rsid w:val="65C6601D"/>
    <w:rsid w:val="65CA37B0"/>
    <w:rsid w:val="65CB2584"/>
    <w:rsid w:val="65FA385A"/>
    <w:rsid w:val="65FD5241"/>
    <w:rsid w:val="66043B63"/>
    <w:rsid w:val="66050BE1"/>
    <w:rsid w:val="660D0C41"/>
    <w:rsid w:val="66145AE8"/>
    <w:rsid w:val="6656776C"/>
    <w:rsid w:val="6661529F"/>
    <w:rsid w:val="666F54EA"/>
    <w:rsid w:val="667F35BB"/>
    <w:rsid w:val="668974B7"/>
    <w:rsid w:val="66A241FD"/>
    <w:rsid w:val="66B46064"/>
    <w:rsid w:val="66BD4D07"/>
    <w:rsid w:val="66DB1A39"/>
    <w:rsid w:val="66FA6579"/>
    <w:rsid w:val="670942AF"/>
    <w:rsid w:val="67120167"/>
    <w:rsid w:val="6717569C"/>
    <w:rsid w:val="67194BBE"/>
    <w:rsid w:val="67452082"/>
    <w:rsid w:val="67533349"/>
    <w:rsid w:val="675A3A4F"/>
    <w:rsid w:val="676C72E1"/>
    <w:rsid w:val="676F060D"/>
    <w:rsid w:val="67901865"/>
    <w:rsid w:val="67911CFF"/>
    <w:rsid w:val="67962761"/>
    <w:rsid w:val="679A064C"/>
    <w:rsid w:val="679E7121"/>
    <w:rsid w:val="67B90923"/>
    <w:rsid w:val="67C178CB"/>
    <w:rsid w:val="67CB2A4A"/>
    <w:rsid w:val="67CD5CBA"/>
    <w:rsid w:val="67DB2957"/>
    <w:rsid w:val="67DF5917"/>
    <w:rsid w:val="67E62274"/>
    <w:rsid w:val="67EE6E63"/>
    <w:rsid w:val="67EF7BC1"/>
    <w:rsid w:val="67FB07A1"/>
    <w:rsid w:val="680F6100"/>
    <w:rsid w:val="68117A85"/>
    <w:rsid w:val="68142392"/>
    <w:rsid w:val="681E541D"/>
    <w:rsid w:val="682645DD"/>
    <w:rsid w:val="682D09CB"/>
    <w:rsid w:val="68321BC1"/>
    <w:rsid w:val="68546EEF"/>
    <w:rsid w:val="686870D2"/>
    <w:rsid w:val="687164E0"/>
    <w:rsid w:val="6876296E"/>
    <w:rsid w:val="68794739"/>
    <w:rsid w:val="68906D27"/>
    <w:rsid w:val="68957BA0"/>
    <w:rsid w:val="689D1AB8"/>
    <w:rsid w:val="68A80483"/>
    <w:rsid w:val="68AC1710"/>
    <w:rsid w:val="68B501E6"/>
    <w:rsid w:val="68BC4F08"/>
    <w:rsid w:val="68C63391"/>
    <w:rsid w:val="68D81962"/>
    <w:rsid w:val="68E70E0F"/>
    <w:rsid w:val="68E72757"/>
    <w:rsid w:val="691C3B78"/>
    <w:rsid w:val="695E5D99"/>
    <w:rsid w:val="696F212F"/>
    <w:rsid w:val="69752D81"/>
    <w:rsid w:val="697666F1"/>
    <w:rsid w:val="69791C0D"/>
    <w:rsid w:val="697A27C4"/>
    <w:rsid w:val="698554FA"/>
    <w:rsid w:val="69A17EC6"/>
    <w:rsid w:val="69A433E0"/>
    <w:rsid w:val="69A504BF"/>
    <w:rsid w:val="69B02DB9"/>
    <w:rsid w:val="69B40822"/>
    <w:rsid w:val="69B767BC"/>
    <w:rsid w:val="69BC3A3D"/>
    <w:rsid w:val="69DA2876"/>
    <w:rsid w:val="69E057C4"/>
    <w:rsid w:val="69EE5696"/>
    <w:rsid w:val="69F20EB1"/>
    <w:rsid w:val="6A065275"/>
    <w:rsid w:val="6A332318"/>
    <w:rsid w:val="6A3E26BC"/>
    <w:rsid w:val="6A4160CB"/>
    <w:rsid w:val="6A6F5AF6"/>
    <w:rsid w:val="6A7303C6"/>
    <w:rsid w:val="6A7422F5"/>
    <w:rsid w:val="6A884AD3"/>
    <w:rsid w:val="6A8E66AF"/>
    <w:rsid w:val="6A995135"/>
    <w:rsid w:val="6A9E63C1"/>
    <w:rsid w:val="6AA70936"/>
    <w:rsid w:val="6AAB60E7"/>
    <w:rsid w:val="6AB84E52"/>
    <w:rsid w:val="6AB94544"/>
    <w:rsid w:val="6AC66E1E"/>
    <w:rsid w:val="6AD74F59"/>
    <w:rsid w:val="6AEC0E7F"/>
    <w:rsid w:val="6AF87963"/>
    <w:rsid w:val="6B0131B0"/>
    <w:rsid w:val="6B171F35"/>
    <w:rsid w:val="6B1C71E0"/>
    <w:rsid w:val="6B363F12"/>
    <w:rsid w:val="6B3B6B66"/>
    <w:rsid w:val="6B3E49CA"/>
    <w:rsid w:val="6B4728EC"/>
    <w:rsid w:val="6B5418A3"/>
    <w:rsid w:val="6B6B0106"/>
    <w:rsid w:val="6B7A0DED"/>
    <w:rsid w:val="6B7C1985"/>
    <w:rsid w:val="6B870FE2"/>
    <w:rsid w:val="6B9D30C0"/>
    <w:rsid w:val="6B9E3AE6"/>
    <w:rsid w:val="6BAB6F14"/>
    <w:rsid w:val="6BAD1EE5"/>
    <w:rsid w:val="6BB9504A"/>
    <w:rsid w:val="6BBE353D"/>
    <w:rsid w:val="6BC0499F"/>
    <w:rsid w:val="6BC91FF5"/>
    <w:rsid w:val="6BCA23DE"/>
    <w:rsid w:val="6BCE0182"/>
    <w:rsid w:val="6BD66879"/>
    <w:rsid w:val="6BE01ABC"/>
    <w:rsid w:val="6BEB4F4D"/>
    <w:rsid w:val="6BF72026"/>
    <w:rsid w:val="6BFF6DA6"/>
    <w:rsid w:val="6C127790"/>
    <w:rsid w:val="6C132CCD"/>
    <w:rsid w:val="6C1B6A07"/>
    <w:rsid w:val="6C1E45B4"/>
    <w:rsid w:val="6C3528CE"/>
    <w:rsid w:val="6C4A328F"/>
    <w:rsid w:val="6C4D1D02"/>
    <w:rsid w:val="6C563952"/>
    <w:rsid w:val="6C5D19BB"/>
    <w:rsid w:val="6C6540F6"/>
    <w:rsid w:val="6C66607C"/>
    <w:rsid w:val="6C67067C"/>
    <w:rsid w:val="6C81217B"/>
    <w:rsid w:val="6C8769E4"/>
    <w:rsid w:val="6C880373"/>
    <w:rsid w:val="6C8A0CD2"/>
    <w:rsid w:val="6CB86398"/>
    <w:rsid w:val="6CC94A6A"/>
    <w:rsid w:val="6CCC6CCE"/>
    <w:rsid w:val="6CF03B44"/>
    <w:rsid w:val="6D036FBE"/>
    <w:rsid w:val="6D171C72"/>
    <w:rsid w:val="6D1D5D97"/>
    <w:rsid w:val="6D311D8C"/>
    <w:rsid w:val="6D347CEB"/>
    <w:rsid w:val="6D3A3329"/>
    <w:rsid w:val="6D3D35F3"/>
    <w:rsid w:val="6D3F6DC2"/>
    <w:rsid w:val="6D813A9B"/>
    <w:rsid w:val="6D891D4D"/>
    <w:rsid w:val="6D8A26BD"/>
    <w:rsid w:val="6D946FF3"/>
    <w:rsid w:val="6D9E6246"/>
    <w:rsid w:val="6DA83FE3"/>
    <w:rsid w:val="6DC27B7F"/>
    <w:rsid w:val="6DC83807"/>
    <w:rsid w:val="6DD057FF"/>
    <w:rsid w:val="6DD40DD8"/>
    <w:rsid w:val="6DDD766C"/>
    <w:rsid w:val="6DE2281A"/>
    <w:rsid w:val="6DE40700"/>
    <w:rsid w:val="6DF3512C"/>
    <w:rsid w:val="6DF37038"/>
    <w:rsid w:val="6DFC28A2"/>
    <w:rsid w:val="6E0B5EDE"/>
    <w:rsid w:val="6E1E06A3"/>
    <w:rsid w:val="6E4E2A90"/>
    <w:rsid w:val="6E5B6209"/>
    <w:rsid w:val="6E656C5D"/>
    <w:rsid w:val="6E6D6B07"/>
    <w:rsid w:val="6E706B57"/>
    <w:rsid w:val="6E7224CC"/>
    <w:rsid w:val="6E7425DD"/>
    <w:rsid w:val="6E7D20A5"/>
    <w:rsid w:val="6E8029BC"/>
    <w:rsid w:val="6E9C74A7"/>
    <w:rsid w:val="6EB16B19"/>
    <w:rsid w:val="6EC13C6B"/>
    <w:rsid w:val="6EC657A5"/>
    <w:rsid w:val="6EC66036"/>
    <w:rsid w:val="6EC82210"/>
    <w:rsid w:val="6EC86939"/>
    <w:rsid w:val="6ED84BE7"/>
    <w:rsid w:val="6EE96EFB"/>
    <w:rsid w:val="6EF5016D"/>
    <w:rsid w:val="6EF616C6"/>
    <w:rsid w:val="6F073FFE"/>
    <w:rsid w:val="6F0B7190"/>
    <w:rsid w:val="6F103656"/>
    <w:rsid w:val="6F1A06E2"/>
    <w:rsid w:val="6F2425A9"/>
    <w:rsid w:val="6F400FDC"/>
    <w:rsid w:val="6F582D16"/>
    <w:rsid w:val="6F9709EB"/>
    <w:rsid w:val="6FA86872"/>
    <w:rsid w:val="6FE06262"/>
    <w:rsid w:val="6FE40273"/>
    <w:rsid w:val="6FF60F27"/>
    <w:rsid w:val="6FFE28A4"/>
    <w:rsid w:val="6FFE352B"/>
    <w:rsid w:val="7002780E"/>
    <w:rsid w:val="70065B08"/>
    <w:rsid w:val="700F5C96"/>
    <w:rsid w:val="70245EE7"/>
    <w:rsid w:val="702B3F6E"/>
    <w:rsid w:val="702D3D75"/>
    <w:rsid w:val="70485252"/>
    <w:rsid w:val="704F2C5F"/>
    <w:rsid w:val="706B3F49"/>
    <w:rsid w:val="707E2B59"/>
    <w:rsid w:val="708B7220"/>
    <w:rsid w:val="7097209D"/>
    <w:rsid w:val="70A82C64"/>
    <w:rsid w:val="70B7187C"/>
    <w:rsid w:val="70BB0172"/>
    <w:rsid w:val="70C07899"/>
    <w:rsid w:val="70C31D88"/>
    <w:rsid w:val="70D8212E"/>
    <w:rsid w:val="70DC17D6"/>
    <w:rsid w:val="70DF68B2"/>
    <w:rsid w:val="70E4170B"/>
    <w:rsid w:val="70E70875"/>
    <w:rsid w:val="70FE5348"/>
    <w:rsid w:val="7107709F"/>
    <w:rsid w:val="71121DAC"/>
    <w:rsid w:val="71155C0F"/>
    <w:rsid w:val="712611F6"/>
    <w:rsid w:val="71324154"/>
    <w:rsid w:val="71364248"/>
    <w:rsid w:val="7146408D"/>
    <w:rsid w:val="71464906"/>
    <w:rsid w:val="71636A0F"/>
    <w:rsid w:val="71665066"/>
    <w:rsid w:val="718C4929"/>
    <w:rsid w:val="719240FB"/>
    <w:rsid w:val="71B70A5F"/>
    <w:rsid w:val="71C106D2"/>
    <w:rsid w:val="71C13A44"/>
    <w:rsid w:val="71CB31EF"/>
    <w:rsid w:val="71E048E5"/>
    <w:rsid w:val="71F922B5"/>
    <w:rsid w:val="721649EA"/>
    <w:rsid w:val="7219323C"/>
    <w:rsid w:val="72314349"/>
    <w:rsid w:val="72413F3B"/>
    <w:rsid w:val="724B557E"/>
    <w:rsid w:val="727B1ECD"/>
    <w:rsid w:val="728032AF"/>
    <w:rsid w:val="72804CE4"/>
    <w:rsid w:val="728E29C9"/>
    <w:rsid w:val="7290103C"/>
    <w:rsid w:val="72A31402"/>
    <w:rsid w:val="72AE40F7"/>
    <w:rsid w:val="72BB1130"/>
    <w:rsid w:val="72D46492"/>
    <w:rsid w:val="72D46ED0"/>
    <w:rsid w:val="72DA772B"/>
    <w:rsid w:val="72E47E46"/>
    <w:rsid w:val="72F43B72"/>
    <w:rsid w:val="73087680"/>
    <w:rsid w:val="731A65A4"/>
    <w:rsid w:val="732228BC"/>
    <w:rsid w:val="73365292"/>
    <w:rsid w:val="733B028F"/>
    <w:rsid w:val="73510A37"/>
    <w:rsid w:val="73547CB3"/>
    <w:rsid w:val="736869C9"/>
    <w:rsid w:val="73694025"/>
    <w:rsid w:val="73731521"/>
    <w:rsid w:val="73786F73"/>
    <w:rsid w:val="737E6DF5"/>
    <w:rsid w:val="73911943"/>
    <w:rsid w:val="73932794"/>
    <w:rsid w:val="73934075"/>
    <w:rsid w:val="739A7DBC"/>
    <w:rsid w:val="73A45F3D"/>
    <w:rsid w:val="73A6587A"/>
    <w:rsid w:val="73AC7712"/>
    <w:rsid w:val="73AF6AF2"/>
    <w:rsid w:val="73B1433C"/>
    <w:rsid w:val="73C37B3A"/>
    <w:rsid w:val="73CF6046"/>
    <w:rsid w:val="73E5397F"/>
    <w:rsid w:val="73EA70F6"/>
    <w:rsid w:val="73F95ABB"/>
    <w:rsid w:val="740021F6"/>
    <w:rsid w:val="740474CD"/>
    <w:rsid w:val="740A4FCB"/>
    <w:rsid w:val="74132F8E"/>
    <w:rsid w:val="74276502"/>
    <w:rsid w:val="742E073F"/>
    <w:rsid w:val="743349EB"/>
    <w:rsid w:val="74477C79"/>
    <w:rsid w:val="74517D5E"/>
    <w:rsid w:val="747002C6"/>
    <w:rsid w:val="74770302"/>
    <w:rsid w:val="74782812"/>
    <w:rsid w:val="74954F0E"/>
    <w:rsid w:val="74A265F8"/>
    <w:rsid w:val="74C17235"/>
    <w:rsid w:val="74CA18F4"/>
    <w:rsid w:val="74DA76D2"/>
    <w:rsid w:val="74DB7C52"/>
    <w:rsid w:val="74E61978"/>
    <w:rsid w:val="74EC798A"/>
    <w:rsid w:val="74F66DC3"/>
    <w:rsid w:val="75006202"/>
    <w:rsid w:val="7501087F"/>
    <w:rsid w:val="750851BB"/>
    <w:rsid w:val="750F26E3"/>
    <w:rsid w:val="750F793A"/>
    <w:rsid w:val="751838B1"/>
    <w:rsid w:val="751C16B7"/>
    <w:rsid w:val="752555BC"/>
    <w:rsid w:val="753B4F07"/>
    <w:rsid w:val="75436CC1"/>
    <w:rsid w:val="755C6395"/>
    <w:rsid w:val="75737DB4"/>
    <w:rsid w:val="75762E02"/>
    <w:rsid w:val="75787FC9"/>
    <w:rsid w:val="757929B0"/>
    <w:rsid w:val="759304D8"/>
    <w:rsid w:val="75A17E72"/>
    <w:rsid w:val="75A27EB4"/>
    <w:rsid w:val="75B874F9"/>
    <w:rsid w:val="75BA25D2"/>
    <w:rsid w:val="75C61EBF"/>
    <w:rsid w:val="75C81720"/>
    <w:rsid w:val="75CF6153"/>
    <w:rsid w:val="75D133D0"/>
    <w:rsid w:val="75D90882"/>
    <w:rsid w:val="75ED0D82"/>
    <w:rsid w:val="75EE1CC7"/>
    <w:rsid w:val="75F949F0"/>
    <w:rsid w:val="75FC4FD5"/>
    <w:rsid w:val="76270F7B"/>
    <w:rsid w:val="762E15BE"/>
    <w:rsid w:val="76373553"/>
    <w:rsid w:val="763E0C8B"/>
    <w:rsid w:val="764023FB"/>
    <w:rsid w:val="766E24AD"/>
    <w:rsid w:val="76786F2E"/>
    <w:rsid w:val="76823FA8"/>
    <w:rsid w:val="768B7841"/>
    <w:rsid w:val="76A90763"/>
    <w:rsid w:val="76AA36E7"/>
    <w:rsid w:val="76C06CD6"/>
    <w:rsid w:val="76C843B6"/>
    <w:rsid w:val="76D62345"/>
    <w:rsid w:val="76E526E6"/>
    <w:rsid w:val="76E8018C"/>
    <w:rsid w:val="76E93C52"/>
    <w:rsid w:val="76F6143F"/>
    <w:rsid w:val="770409D2"/>
    <w:rsid w:val="770F1726"/>
    <w:rsid w:val="77110CA9"/>
    <w:rsid w:val="771F336F"/>
    <w:rsid w:val="77287EFE"/>
    <w:rsid w:val="77332D82"/>
    <w:rsid w:val="773C1C27"/>
    <w:rsid w:val="7748371D"/>
    <w:rsid w:val="77572120"/>
    <w:rsid w:val="77770F1E"/>
    <w:rsid w:val="778F63EE"/>
    <w:rsid w:val="77955D69"/>
    <w:rsid w:val="77B45926"/>
    <w:rsid w:val="77C94015"/>
    <w:rsid w:val="77D03508"/>
    <w:rsid w:val="77D77920"/>
    <w:rsid w:val="77EA0A36"/>
    <w:rsid w:val="77F90795"/>
    <w:rsid w:val="77FE1DD9"/>
    <w:rsid w:val="783867B8"/>
    <w:rsid w:val="783F1F68"/>
    <w:rsid w:val="78534F6C"/>
    <w:rsid w:val="78540336"/>
    <w:rsid w:val="785A3395"/>
    <w:rsid w:val="787904DB"/>
    <w:rsid w:val="78B02B78"/>
    <w:rsid w:val="78B23628"/>
    <w:rsid w:val="78B44C3B"/>
    <w:rsid w:val="78E818E5"/>
    <w:rsid w:val="79003818"/>
    <w:rsid w:val="791632E4"/>
    <w:rsid w:val="79241396"/>
    <w:rsid w:val="792D3274"/>
    <w:rsid w:val="792E31D1"/>
    <w:rsid w:val="79485AAB"/>
    <w:rsid w:val="795131BB"/>
    <w:rsid w:val="79581D0A"/>
    <w:rsid w:val="797F60D5"/>
    <w:rsid w:val="79824C12"/>
    <w:rsid w:val="798878A3"/>
    <w:rsid w:val="799750A2"/>
    <w:rsid w:val="799B0265"/>
    <w:rsid w:val="79A640D1"/>
    <w:rsid w:val="79B35314"/>
    <w:rsid w:val="79E470AB"/>
    <w:rsid w:val="79FC7C4F"/>
    <w:rsid w:val="79FF16A0"/>
    <w:rsid w:val="7A1C5AB2"/>
    <w:rsid w:val="7A2549EA"/>
    <w:rsid w:val="7A265114"/>
    <w:rsid w:val="7A276518"/>
    <w:rsid w:val="7A434E36"/>
    <w:rsid w:val="7A5D19BC"/>
    <w:rsid w:val="7A71383E"/>
    <w:rsid w:val="7A7209EB"/>
    <w:rsid w:val="7A8554DB"/>
    <w:rsid w:val="7A877999"/>
    <w:rsid w:val="7A881CBB"/>
    <w:rsid w:val="7A8B5075"/>
    <w:rsid w:val="7AAA4759"/>
    <w:rsid w:val="7AAD738B"/>
    <w:rsid w:val="7AB2166F"/>
    <w:rsid w:val="7AB86224"/>
    <w:rsid w:val="7AD03DBE"/>
    <w:rsid w:val="7AD37530"/>
    <w:rsid w:val="7AD50A97"/>
    <w:rsid w:val="7AE84E94"/>
    <w:rsid w:val="7B08319E"/>
    <w:rsid w:val="7B0927D2"/>
    <w:rsid w:val="7B311619"/>
    <w:rsid w:val="7B396895"/>
    <w:rsid w:val="7B3E6109"/>
    <w:rsid w:val="7B4E5B97"/>
    <w:rsid w:val="7B523A26"/>
    <w:rsid w:val="7B586E00"/>
    <w:rsid w:val="7B5B594D"/>
    <w:rsid w:val="7B693721"/>
    <w:rsid w:val="7B6D0D62"/>
    <w:rsid w:val="7B7944EC"/>
    <w:rsid w:val="7BA63C09"/>
    <w:rsid w:val="7BA70EA8"/>
    <w:rsid w:val="7BAB3C26"/>
    <w:rsid w:val="7BAE1F99"/>
    <w:rsid w:val="7BB63ACA"/>
    <w:rsid w:val="7BC440F8"/>
    <w:rsid w:val="7BCF36F1"/>
    <w:rsid w:val="7BD24E35"/>
    <w:rsid w:val="7BD54D61"/>
    <w:rsid w:val="7BE23A26"/>
    <w:rsid w:val="7BF44028"/>
    <w:rsid w:val="7BF927B5"/>
    <w:rsid w:val="7C190EA3"/>
    <w:rsid w:val="7C284B20"/>
    <w:rsid w:val="7C2D09C7"/>
    <w:rsid w:val="7C3A0D51"/>
    <w:rsid w:val="7C43295E"/>
    <w:rsid w:val="7C5E096D"/>
    <w:rsid w:val="7C612D6D"/>
    <w:rsid w:val="7C63588E"/>
    <w:rsid w:val="7C71093B"/>
    <w:rsid w:val="7C7A0A92"/>
    <w:rsid w:val="7C7B6FFF"/>
    <w:rsid w:val="7CA237BA"/>
    <w:rsid w:val="7CA3399B"/>
    <w:rsid w:val="7CA52ABC"/>
    <w:rsid w:val="7CA5378F"/>
    <w:rsid w:val="7CAF2E99"/>
    <w:rsid w:val="7CC66B6B"/>
    <w:rsid w:val="7CDC0DAB"/>
    <w:rsid w:val="7CE11BCC"/>
    <w:rsid w:val="7CE96125"/>
    <w:rsid w:val="7CFD5BA5"/>
    <w:rsid w:val="7D0B0E05"/>
    <w:rsid w:val="7D1A2B02"/>
    <w:rsid w:val="7D28399B"/>
    <w:rsid w:val="7D300F52"/>
    <w:rsid w:val="7D332259"/>
    <w:rsid w:val="7D3846C5"/>
    <w:rsid w:val="7D50212B"/>
    <w:rsid w:val="7D533014"/>
    <w:rsid w:val="7D5928AF"/>
    <w:rsid w:val="7D664D84"/>
    <w:rsid w:val="7D6B16D3"/>
    <w:rsid w:val="7D784C4C"/>
    <w:rsid w:val="7D790677"/>
    <w:rsid w:val="7D976A42"/>
    <w:rsid w:val="7DA62B1B"/>
    <w:rsid w:val="7DB746CA"/>
    <w:rsid w:val="7DC04C9F"/>
    <w:rsid w:val="7DC7346A"/>
    <w:rsid w:val="7DD1067F"/>
    <w:rsid w:val="7DDD45B3"/>
    <w:rsid w:val="7DF04624"/>
    <w:rsid w:val="7DF9519C"/>
    <w:rsid w:val="7E164215"/>
    <w:rsid w:val="7E262414"/>
    <w:rsid w:val="7E285C43"/>
    <w:rsid w:val="7E375C98"/>
    <w:rsid w:val="7E540C4B"/>
    <w:rsid w:val="7E610332"/>
    <w:rsid w:val="7E6B00DB"/>
    <w:rsid w:val="7E843559"/>
    <w:rsid w:val="7E8555A7"/>
    <w:rsid w:val="7EA14844"/>
    <w:rsid w:val="7EB732BD"/>
    <w:rsid w:val="7EB87A55"/>
    <w:rsid w:val="7EBF6474"/>
    <w:rsid w:val="7EC674E1"/>
    <w:rsid w:val="7EC67D9E"/>
    <w:rsid w:val="7ECC38E6"/>
    <w:rsid w:val="7EDB5EE1"/>
    <w:rsid w:val="7EE45D07"/>
    <w:rsid w:val="7EFA6D8A"/>
    <w:rsid w:val="7EFD57B4"/>
    <w:rsid w:val="7F055B73"/>
    <w:rsid w:val="7F2B39DA"/>
    <w:rsid w:val="7F2E628D"/>
    <w:rsid w:val="7F3C2146"/>
    <w:rsid w:val="7F5A785F"/>
    <w:rsid w:val="7F610380"/>
    <w:rsid w:val="7F6301A1"/>
    <w:rsid w:val="7F6A4725"/>
    <w:rsid w:val="7F6D4B70"/>
    <w:rsid w:val="7F7221AE"/>
    <w:rsid w:val="7F723ED2"/>
    <w:rsid w:val="7F740489"/>
    <w:rsid w:val="7F8114C5"/>
    <w:rsid w:val="7FA70930"/>
    <w:rsid w:val="7FB04424"/>
    <w:rsid w:val="7FB64BBD"/>
    <w:rsid w:val="7FCD321E"/>
    <w:rsid w:val="7FCF066E"/>
    <w:rsid w:val="7FFF2F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285"/>
    <w:qFormat/>
    <w:uiPriority w:val="0"/>
    <w:pPr>
      <w:keepNext/>
      <w:jc w:val="center"/>
      <w:outlineLvl w:val="0"/>
    </w:pPr>
    <w:rPr>
      <w:rFonts w:ascii="楷体_GB2312" w:hAnsi="Tahoma" w:eastAsia="楷体_GB2312"/>
      <w:b/>
      <w:bCs/>
    </w:rPr>
  </w:style>
  <w:style w:type="paragraph" w:styleId="5">
    <w:name w:val="heading 2"/>
    <w:basedOn w:val="1"/>
    <w:next w:val="6"/>
    <w:link w:val="142"/>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432"/>
    <w:qFormat/>
    <w:uiPriority w:val="0"/>
    <w:pPr>
      <w:keepNext/>
      <w:keepLines/>
      <w:spacing w:before="260" w:after="260" w:line="415" w:lineRule="auto"/>
      <w:outlineLvl w:val="2"/>
    </w:pPr>
    <w:rPr>
      <w:b/>
      <w:bCs/>
      <w:sz w:val="32"/>
      <w:szCs w:val="32"/>
    </w:rPr>
  </w:style>
  <w:style w:type="paragraph" w:styleId="8">
    <w:name w:val="heading 4"/>
    <w:basedOn w:val="1"/>
    <w:next w:val="1"/>
    <w:link w:val="296"/>
    <w:qFormat/>
    <w:uiPriority w:val="0"/>
    <w:pPr>
      <w:keepNext/>
      <w:keepLines/>
      <w:spacing w:before="280" w:after="290" w:line="372" w:lineRule="auto"/>
      <w:outlineLvl w:val="3"/>
    </w:pPr>
    <w:rPr>
      <w:rFonts w:ascii="Cambria" w:hAnsi="Cambria"/>
      <w:b/>
      <w:bCs/>
      <w:sz w:val="28"/>
      <w:szCs w:val="28"/>
    </w:rPr>
  </w:style>
  <w:style w:type="paragraph" w:styleId="9">
    <w:name w:val="heading 5"/>
    <w:basedOn w:val="1"/>
    <w:next w:val="1"/>
    <w:link w:val="162"/>
    <w:qFormat/>
    <w:uiPriority w:val="0"/>
    <w:pPr>
      <w:keepNext/>
      <w:keepLines/>
      <w:spacing w:before="280" w:after="290" w:line="372" w:lineRule="auto"/>
      <w:outlineLvl w:val="4"/>
    </w:pPr>
    <w:rPr>
      <w:rFonts w:ascii="仿宋_GB2312" w:hAnsi="Tahoma"/>
      <w:b/>
      <w:bCs/>
      <w:sz w:val="28"/>
      <w:szCs w:val="28"/>
    </w:rPr>
  </w:style>
  <w:style w:type="paragraph" w:styleId="10">
    <w:name w:val="heading 6"/>
    <w:basedOn w:val="1"/>
    <w:next w:val="1"/>
    <w:link w:val="392"/>
    <w:qFormat/>
    <w:uiPriority w:val="0"/>
    <w:pPr>
      <w:keepNext/>
      <w:keepLines/>
      <w:spacing w:before="240" w:after="64" w:line="319" w:lineRule="auto"/>
      <w:outlineLvl w:val="5"/>
    </w:pPr>
    <w:rPr>
      <w:rFonts w:ascii="Arial" w:hAnsi="Arial" w:eastAsia="黑体"/>
      <w:b/>
      <w:bCs/>
      <w:sz w:val="24"/>
    </w:rPr>
  </w:style>
  <w:style w:type="paragraph" w:styleId="11">
    <w:name w:val="heading 7"/>
    <w:basedOn w:val="1"/>
    <w:next w:val="1"/>
    <w:link w:val="340"/>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2">
    <w:name w:val="heading 8"/>
    <w:basedOn w:val="1"/>
    <w:next w:val="1"/>
    <w:link w:val="303"/>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3">
    <w:name w:val="heading 9"/>
    <w:basedOn w:val="1"/>
    <w:next w:val="1"/>
    <w:link w:val="416"/>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8">
    <w:name w:val="Default Paragraph Font"/>
    <w:unhideWhenUsed/>
    <w:qFormat/>
    <w:uiPriority w:val="1"/>
  </w:style>
  <w:style w:type="table" w:default="1" w:styleId="56">
    <w:name w:val="Normal Table"/>
    <w:unhideWhenUsed/>
    <w:qFormat/>
    <w:uiPriority w:val="99"/>
    <w:tblPr>
      <w:tblStyle w:val="56"/>
      <w:tblCellMar>
        <w:top w:w="0" w:type="dxa"/>
        <w:left w:w="108" w:type="dxa"/>
        <w:bottom w:w="0" w:type="dxa"/>
        <w:right w:w="108" w:type="dxa"/>
      </w:tblCellMar>
    </w:tblPr>
  </w:style>
  <w:style w:type="paragraph" w:styleId="2">
    <w:name w:val="Title"/>
    <w:basedOn w:val="1"/>
    <w:next w:val="1"/>
    <w:link w:val="398"/>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3">
    <w:name w:val="macro"/>
    <w:link w:val="37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lang w:val="en-US" w:eastAsia="zh-CN" w:bidi="ar-SA"/>
    </w:rPr>
  </w:style>
  <w:style w:type="paragraph" w:styleId="6">
    <w:name w:val="Normal Indent"/>
    <w:basedOn w:val="1"/>
    <w:link w:val="309"/>
    <w:qFormat/>
    <w:uiPriority w:val="0"/>
    <w:pPr>
      <w:adjustRightInd w:val="0"/>
      <w:spacing w:line="312" w:lineRule="atLeast"/>
      <w:ind w:firstLine="420"/>
      <w:textAlignment w:val="baseline"/>
    </w:pPr>
    <w:rPr>
      <w:kern w:val="0"/>
      <w:szCs w:val="20"/>
    </w:rPr>
  </w:style>
  <w:style w:type="paragraph" w:styleId="14">
    <w:name w:val="toc 7"/>
    <w:basedOn w:val="1"/>
    <w:next w:val="1"/>
    <w:qFormat/>
    <w:uiPriority w:val="39"/>
    <w:pPr>
      <w:autoSpaceDE w:val="0"/>
      <w:autoSpaceDN w:val="0"/>
      <w:adjustRightInd w:val="0"/>
      <w:ind w:left="2520" w:leftChars="1200"/>
      <w:jc w:val="left"/>
    </w:pPr>
    <w:rPr>
      <w:kern w:val="0"/>
      <w:sz w:val="20"/>
      <w:szCs w:val="20"/>
    </w:rPr>
  </w:style>
  <w:style w:type="paragraph" w:styleId="15">
    <w:name w:val="Note Heading"/>
    <w:basedOn w:val="1"/>
    <w:next w:val="1"/>
    <w:link w:val="232"/>
    <w:qFormat/>
    <w:uiPriority w:val="0"/>
    <w:pPr>
      <w:jc w:val="left"/>
    </w:pPr>
    <w:rPr>
      <w:rFonts w:eastAsia="黑体"/>
      <w:sz w:val="28"/>
      <w:szCs w:val="20"/>
    </w:rPr>
  </w:style>
  <w:style w:type="paragraph" w:styleId="16">
    <w:name w:val="List Number"/>
    <w:basedOn w:val="1"/>
    <w:qFormat/>
    <w:uiPriority w:val="0"/>
    <w:pPr>
      <w:tabs>
        <w:tab w:val="left" w:pos="360"/>
      </w:tabs>
      <w:ind w:left="360" w:hanging="360" w:hangingChars="200"/>
    </w:pPr>
  </w:style>
  <w:style w:type="paragraph" w:styleId="17">
    <w:name w:val="caption"/>
    <w:basedOn w:val="1"/>
    <w:next w:val="1"/>
    <w:link w:val="234"/>
    <w:qFormat/>
    <w:uiPriority w:val="0"/>
    <w:pPr>
      <w:autoSpaceDE w:val="0"/>
      <w:autoSpaceDN w:val="0"/>
      <w:adjustRightInd w:val="0"/>
      <w:jc w:val="left"/>
    </w:pPr>
    <w:rPr>
      <w:rFonts w:ascii="Arial" w:hAnsi="Arial" w:eastAsia="黑体"/>
      <w:kern w:val="0"/>
      <w:sz w:val="20"/>
      <w:szCs w:val="20"/>
    </w:rPr>
  </w:style>
  <w:style w:type="paragraph" w:styleId="18">
    <w:name w:val="List Bullet"/>
    <w:basedOn w:val="1"/>
    <w:qFormat/>
    <w:uiPriority w:val="0"/>
    <w:pPr>
      <w:numPr>
        <w:ilvl w:val="0"/>
        <w:numId w:val="1"/>
      </w:numPr>
      <w:tabs>
        <w:tab w:val="left" w:pos="360"/>
        <w:tab w:val="clear" w:pos="1080"/>
      </w:tabs>
    </w:pPr>
    <w:rPr>
      <w:rFonts w:ascii="Calibri" w:hAnsi="Calibri"/>
      <w:szCs w:val="22"/>
    </w:rPr>
  </w:style>
  <w:style w:type="paragraph" w:styleId="19">
    <w:name w:val="Document Map"/>
    <w:basedOn w:val="1"/>
    <w:link w:val="254"/>
    <w:qFormat/>
    <w:uiPriority w:val="0"/>
    <w:pPr>
      <w:shd w:val="clear" w:color="auto" w:fill="000080"/>
    </w:pPr>
  </w:style>
  <w:style w:type="paragraph" w:styleId="20">
    <w:name w:val="annotation text"/>
    <w:basedOn w:val="1"/>
    <w:link w:val="171"/>
    <w:qFormat/>
    <w:uiPriority w:val="0"/>
    <w:pPr>
      <w:jc w:val="left"/>
    </w:pPr>
  </w:style>
  <w:style w:type="paragraph" w:styleId="21">
    <w:name w:val="Salutation"/>
    <w:basedOn w:val="1"/>
    <w:next w:val="1"/>
    <w:link w:val="237"/>
    <w:qFormat/>
    <w:uiPriority w:val="0"/>
    <w:pPr>
      <w:tabs>
        <w:tab w:val="left" w:pos="840"/>
      </w:tabs>
      <w:autoSpaceDE w:val="0"/>
      <w:autoSpaceDN w:val="0"/>
      <w:adjustRightInd w:val="0"/>
      <w:jc w:val="left"/>
    </w:pPr>
    <w:rPr>
      <w:kern w:val="0"/>
      <w:sz w:val="20"/>
      <w:szCs w:val="20"/>
    </w:rPr>
  </w:style>
  <w:style w:type="paragraph" w:styleId="22">
    <w:name w:val="Body Text 3"/>
    <w:basedOn w:val="1"/>
    <w:link w:val="157"/>
    <w:qFormat/>
    <w:uiPriority w:val="0"/>
    <w:pPr>
      <w:autoSpaceDE w:val="0"/>
      <w:autoSpaceDN w:val="0"/>
      <w:adjustRightInd w:val="0"/>
      <w:jc w:val="center"/>
    </w:pPr>
    <w:rPr>
      <w:kern w:val="0"/>
      <w:sz w:val="20"/>
      <w:szCs w:val="20"/>
    </w:rPr>
  </w:style>
  <w:style w:type="paragraph" w:styleId="23">
    <w:name w:val="Body Text"/>
    <w:basedOn w:val="1"/>
    <w:next w:val="24"/>
    <w:link w:val="275"/>
    <w:qFormat/>
    <w:uiPriority w:val="0"/>
    <w:pPr>
      <w:spacing w:after="120"/>
    </w:pPr>
    <w:rPr>
      <w:rFonts w:ascii="Tahoma" w:hAnsi="Tahoma"/>
    </w:rPr>
  </w:style>
  <w:style w:type="paragraph" w:styleId="24">
    <w:name w:val="Body Text First Indent"/>
    <w:basedOn w:val="23"/>
    <w:link w:val="327"/>
    <w:qFormat/>
    <w:uiPriority w:val="0"/>
    <w:pPr>
      <w:autoSpaceDE w:val="0"/>
      <w:autoSpaceDN w:val="0"/>
      <w:adjustRightInd w:val="0"/>
      <w:ind w:firstLine="420" w:firstLineChars="100"/>
      <w:jc w:val="left"/>
    </w:pPr>
    <w:rPr>
      <w:rFonts w:ascii="仿宋_GB2312" w:hAnsi="Calibri"/>
      <w:b/>
      <w:kern w:val="0"/>
      <w:sz w:val="32"/>
      <w:szCs w:val="32"/>
    </w:rPr>
  </w:style>
  <w:style w:type="paragraph" w:styleId="25">
    <w:name w:val="Body Text Indent"/>
    <w:basedOn w:val="1"/>
    <w:link w:val="183"/>
    <w:qFormat/>
    <w:uiPriority w:val="0"/>
    <w:pPr>
      <w:adjustRightInd w:val="0"/>
      <w:spacing w:line="360" w:lineRule="auto"/>
      <w:ind w:firstLine="490"/>
      <w:jc w:val="left"/>
    </w:pPr>
    <w:rPr>
      <w:rFonts w:ascii="宋体" w:hAnsi="宋体"/>
      <w:sz w:val="24"/>
      <w:szCs w:val="20"/>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99"/>
    <w:pPr>
      <w:spacing w:after="120"/>
      <w:ind w:left="1440" w:leftChars="700" w:right="1440" w:rightChars="700"/>
    </w:pPr>
    <w:rPr>
      <w:szCs w:val="22"/>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39"/>
    <w:pPr>
      <w:autoSpaceDE w:val="0"/>
      <w:autoSpaceDN w:val="0"/>
      <w:adjustRightInd w:val="0"/>
      <w:ind w:left="1680" w:leftChars="800"/>
      <w:jc w:val="left"/>
    </w:pPr>
    <w:rPr>
      <w:kern w:val="0"/>
      <w:sz w:val="20"/>
      <w:szCs w:val="20"/>
    </w:rPr>
  </w:style>
  <w:style w:type="paragraph" w:styleId="30">
    <w:name w:val="toc 3"/>
    <w:basedOn w:val="1"/>
    <w:next w:val="1"/>
    <w:qFormat/>
    <w:uiPriority w:val="39"/>
    <w:pPr>
      <w:ind w:left="840" w:leftChars="400"/>
    </w:pPr>
  </w:style>
  <w:style w:type="paragraph" w:styleId="31">
    <w:name w:val="Plain Text"/>
    <w:basedOn w:val="1"/>
    <w:link w:val="79"/>
    <w:qFormat/>
    <w:uiPriority w:val="0"/>
    <w:rPr>
      <w:rFonts w:ascii="宋体" w:hAnsi="Courier New"/>
      <w:szCs w:val="20"/>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39"/>
    <w:pPr>
      <w:autoSpaceDE w:val="0"/>
      <w:autoSpaceDN w:val="0"/>
      <w:adjustRightInd w:val="0"/>
      <w:ind w:left="2940" w:leftChars="1400"/>
      <w:jc w:val="left"/>
    </w:pPr>
    <w:rPr>
      <w:kern w:val="0"/>
      <w:sz w:val="20"/>
      <w:szCs w:val="20"/>
    </w:rPr>
  </w:style>
  <w:style w:type="paragraph" w:styleId="34">
    <w:name w:val="Date"/>
    <w:basedOn w:val="1"/>
    <w:next w:val="1"/>
    <w:link w:val="130"/>
    <w:qFormat/>
    <w:uiPriority w:val="99"/>
    <w:pPr>
      <w:spacing w:line="440" w:lineRule="exact"/>
    </w:pPr>
    <w:rPr>
      <w:spacing w:val="12"/>
      <w:sz w:val="24"/>
      <w:szCs w:val="20"/>
    </w:rPr>
  </w:style>
  <w:style w:type="paragraph" w:styleId="35">
    <w:name w:val="Body Text Indent 2"/>
    <w:basedOn w:val="1"/>
    <w:link w:val="257"/>
    <w:qFormat/>
    <w:uiPriority w:val="0"/>
    <w:pPr>
      <w:spacing w:after="120" w:line="480" w:lineRule="auto"/>
      <w:ind w:left="420" w:leftChars="200"/>
    </w:pPr>
  </w:style>
  <w:style w:type="paragraph" w:styleId="36">
    <w:name w:val="Balloon Text"/>
    <w:basedOn w:val="1"/>
    <w:link w:val="80"/>
    <w:qFormat/>
    <w:uiPriority w:val="99"/>
    <w:rPr>
      <w:sz w:val="18"/>
      <w:szCs w:val="18"/>
    </w:rPr>
  </w:style>
  <w:style w:type="paragraph" w:styleId="37">
    <w:name w:val="footer"/>
    <w:basedOn w:val="1"/>
    <w:link w:val="282"/>
    <w:qFormat/>
    <w:uiPriority w:val="0"/>
    <w:pPr>
      <w:tabs>
        <w:tab w:val="center" w:pos="4153"/>
        <w:tab w:val="right" w:pos="8306"/>
      </w:tabs>
      <w:snapToGrid w:val="0"/>
      <w:jc w:val="left"/>
    </w:pPr>
    <w:rPr>
      <w:sz w:val="18"/>
      <w:szCs w:val="18"/>
    </w:rPr>
  </w:style>
  <w:style w:type="paragraph" w:styleId="38">
    <w:name w:val="header"/>
    <w:basedOn w:val="1"/>
    <w:link w:val="228"/>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361"/>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0">
    <w:name w:val="toc 1"/>
    <w:basedOn w:val="1"/>
    <w:next w:val="1"/>
    <w:qFormat/>
    <w:uiPriority w:val="39"/>
    <w:pPr>
      <w:spacing w:line="360" w:lineRule="exact"/>
      <w:ind w:left="718" w:hanging="718" w:hangingChars="342"/>
    </w:pPr>
    <w:rPr>
      <w:rFonts w:ascii="Arial" w:hAnsi="Arial" w:eastAsia="楷体_GB2312" w:cs="Arial"/>
    </w:rPr>
  </w:style>
  <w:style w:type="paragraph" w:styleId="41">
    <w:name w:val="toc 4"/>
    <w:basedOn w:val="1"/>
    <w:next w:val="1"/>
    <w:qFormat/>
    <w:uiPriority w:val="39"/>
    <w:pPr>
      <w:autoSpaceDE w:val="0"/>
      <w:autoSpaceDN w:val="0"/>
      <w:adjustRightInd w:val="0"/>
      <w:ind w:left="1260" w:leftChars="600"/>
      <w:jc w:val="left"/>
    </w:pPr>
    <w:rPr>
      <w:kern w:val="0"/>
      <w:sz w:val="20"/>
      <w:szCs w:val="20"/>
    </w:rPr>
  </w:style>
  <w:style w:type="paragraph" w:styleId="42">
    <w:name w:val="Subtitle"/>
    <w:basedOn w:val="1"/>
    <w:next w:val="1"/>
    <w:link w:val="231"/>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rPr>
      <w:sz w:val="28"/>
    </w:rPr>
  </w:style>
  <w:style w:type="paragraph" w:styleId="45">
    <w:name w:val="footnote text"/>
    <w:basedOn w:val="1"/>
    <w:link w:val="166"/>
    <w:unhideWhenUsed/>
    <w:qFormat/>
    <w:uiPriority w:val="99"/>
    <w:pPr>
      <w:snapToGrid w:val="0"/>
      <w:spacing w:line="360" w:lineRule="auto"/>
      <w:jc w:val="left"/>
    </w:pPr>
    <w:rPr>
      <w:sz w:val="18"/>
      <w:szCs w:val="18"/>
    </w:rPr>
  </w:style>
  <w:style w:type="paragraph" w:styleId="46">
    <w:name w:val="toc 6"/>
    <w:basedOn w:val="1"/>
    <w:next w:val="1"/>
    <w:qFormat/>
    <w:uiPriority w:val="39"/>
    <w:pPr>
      <w:autoSpaceDE w:val="0"/>
      <w:autoSpaceDN w:val="0"/>
      <w:adjustRightInd w:val="0"/>
      <w:ind w:left="2100" w:leftChars="1000"/>
      <w:jc w:val="left"/>
    </w:pPr>
    <w:rPr>
      <w:kern w:val="0"/>
      <w:sz w:val="20"/>
      <w:szCs w:val="20"/>
    </w:rPr>
  </w:style>
  <w:style w:type="paragraph" w:styleId="47">
    <w:name w:val="Body Text Indent 3"/>
    <w:basedOn w:val="1"/>
    <w:link w:val="271"/>
    <w:qFormat/>
    <w:uiPriority w:val="99"/>
    <w:pPr>
      <w:spacing w:after="120"/>
      <w:ind w:left="420" w:leftChars="200"/>
    </w:pPr>
    <w:rPr>
      <w:sz w:val="16"/>
      <w:szCs w:val="16"/>
    </w:rPr>
  </w:style>
  <w:style w:type="paragraph" w:styleId="48">
    <w:name w:val="toc 2"/>
    <w:basedOn w:val="1"/>
    <w:next w:val="1"/>
    <w:qFormat/>
    <w:uiPriority w:val="39"/>
    <w:pPr>
      <w:ind w:left="420" w:leftChars="200"/>
    </w:pPr>
  </w:style>
  <w:style w:type="paragraph" w:styleId="49">
    <w:name w:val="toc 9"/>
    <w:basedOn w:val="1"/>
    <w:next w:val="1"/>
    <w:qFormat/>
    <w:uiPriority w:val="39"/>
    <w:pPr>
      <w:autoSpaceDE w:val="0"/>
      <w:autoSpaceDN w:val="0"/>
      <w:adjustRightInd w:val="0"/>
      <w:ind w:left="3360" w:leftChars="1600"/>
      <w:jc w:val="left"/>
    </w:pPr>
    <w:rPr>
      <w:kern w:val="0"/>
      <w:sz w:val="20"/>
      <w:szCs w:val="20"/>
    </w:rPr>
  </w:style>
  <w:style w:type="paragraph" w:styleId="50">
    <w:name w:val="Body Text 2"/>
    <w:basedOn w:val="1"/>
    <w:link w:val="111"/>
    <w:qFormat/>
    <w:uiPriority w:val="0"/>
    <w:pPr>
      <w:autoSpaceDE w:val="0"/>
      <w:autoSpaceDN w:val="0"/>
      <w:adjustRightInd w:val="0"/>
      <w:spacing w:after="120" w:line="480" w:lineRule="auto"/>
      <w:jc w:val="left"/>
    </w:pPr>
    <w:rPr>
      <w:kern w:val="0"/>
      <w:sz w:val="20"/>
      <w:szCs w:val="20"/>
    </w:rPr>
  </w:style>
  <w:style w:type="paragraph" w:styleId="51">
    <w:name w:val="HTML Preformatted"/>
    <w:basedOn w:val="1"/>
    <w:link w:val="38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2">
    <w:name w:val="Normal (Web)"/>
    <w:basedOn w:val="1"/>
    <w:link w:val="401"/>
    <w:qFormat/>
    <w:uiPriority w:val="99"/>
    <w:pPr>
      <w:widowControl/>
      <w:spacing w:before="100" w:beforeAutospacing="1" w:after="100" w:afterAutospacing="1"/>
      <w:jc w:val="left"/>
    </w:pPr>
    <w:rPr>
      <w:rFonts w:ascii="宋体" w:hAnsi="宋体"/>
      <w:color w:val="000000"/>
      <w:kern w:val="0"/>
      <w:sz w:val="24"/>
    </w:rPr>
  </w:style>
  <w:style w:type="paragraph" w:styleId="53">
    <w:name w:val="index 1"/>
    <w:basedOn w:val="1"/>
    <w:next w:val="1"/>
    <w:qFormat/>
    <w:uiPriority w:val="0"/>
    <w:pPr>
      <w:spacing w:line="220" w:lineRule="exact"/>
      <w:jc w:val="center"/>
    </w:pPr>
    <w:rPr>
      <w:rFonts w:ascii="仿宋_GB2312" w:eastAsia="仿宋_GB2312"/>
      <w:szCs w:val="21"/>
    </w:rPr>
  </w:style>
  <w:style w:type="paragraph" w:styleId="54">
    <w:name w:val="annotation subject"/>
    <w:basedOn w:val="20"/>
    <w:next w:val="20"/>
    <w:link w:val="138"/>
    <w:qFormat/>
    <w:uiPriority w:val="0"/>
    <w:rPr>
      <w:b/>
      <w:bCs/>
    </w:rPr>
  </w:style>
  <w:style w:type="paragraph" w:styleId="55">
    <w:name w:val="Body Text First Indent 2"/>
    <w:basedOn w:val="25"/>
    <w:link w:val="182"/>
    <w:unhideWhenUsed/>
    <w:qFormat/>
    <w:uiPriority w:val="0"/>
    <w:pPr>
      <w:adjustRightInd/>
      <w:spacing w:after="120"/>
      <w:ind w:left="420" w:leftChars="200" w:firstLine="420" w:firstLineChars="200"/>
      <w:jc w:val="both"/>
    </w:pPr>
    <w:rPr>
      <w:szCs w:val="24"/>
    </w:rPr>
  </w:style>
  <w:style w:type="table" w:styleId="57">
    <w:name w:val="Table Grid"/>
    <w:basedOn w:val="56"/>
    <w:qFormat/>
    <w:uiPriority w:val="99"/>
    <w:tblPr>
      <w:tblStyle w:val="5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22"/>
    <w:rPr>
      <w:rFonts w:ascii="仿宋_GB2312" w:eastAsia="仿宋_GB2312"/>
      <w:bCs/>
      <w:sz w:val="32"/>
      <w:szCs w:val="32"/>
    </w:rPr>
  </w:style>
  <w:style w:type="character" w:styleId="60">
    <w:name w:val="page number"/>
    <w:qFormat/>
    <w:uiPriority w:val="0"/>
    <w:rPr>
      <w:szCs w:val="20"/>
    </w:rPr>
  </w:style>
  <w:style w:type="character" w:styleId="61">
    <w:name w:val="FollowedHyperlink"/>
    <w:qFormat/>
    <w:uiPriority w:val="99"/>
    <w:rPr>
      <w:rFonts w:ascii="仿宋_GB2312" w:eastAsia="仿宋_GB2312"/>
      <w:b/>
      <w:color w:val="800080"/>
      <w:sz w:val="32"/>
      <w:szCs w:val="32"/>
      <w:u w:val="single"/>
    </w:rPr>
  </w:style>
  <w:style w:type="character" w:styleId="62">
    <w:name w:val="Emphasis"/>
    <w:qFormat/>
    <w:uiPriority w:val="20"/>
    <w:rPr>
      <w:i/>
      <w:iCs/>
    </w:rPr>
  </w:style>
  <w:style w:type="character" w:styleId="63">
    <w:name w:val="line number"/>
    <w:qFormat/>
    <w:uiPriority w:val="0"/>
    <w:rPr>
      <w:rFonts w:ascii="仿宋_GB2312" w:hAnsi="Tahoma" w:eastAsia="仿宋_GB2312"/>
      <w:b/>
      <w:sz w:val="32"/>
      <w:szCs w:val="32"/>
    </w:rPr>
  </w:style>
  <w:style w:type="character" w:styleId="64">
    <w:name w:val="HTML Definition"/>
    <w:unhideWhenUsed/>
    <w:qFormat/>
    <w:uiPriority w:val="99"/>
    <w:rPr>
      <w:szCs w:val="20"/>
    </w:rPr>
  </w:style>
  <w:style w:type="character" w:styleId="65">
    <w:name w:val="HTML Typewriter"/>
    <w:qFormat/>
    <w:uiPriority w:val="0"/>
    <w:rPr>
      <w:rFonts w:ascii="宋体" w:hAnsi="宋体" w:eastAsia="宋体" w:cs="宋体"/>
      <w:sz w:val="24"/>
      <w:szCs w:val="24"/>
    </w:rPr>
  </w:style>
  <w:style w:type="character" w:styleId="66">
    <w:name w:val="HTML Acronym"/>
    <w:unhideWhenUsed/>
    <w:qFormat/>
    <w:uiPriority w:val="99"/>
    <w:rPr>
      <w:szCs w:val="20"/>
    </w:rPr>
  </w:style>
  <w:style w:type="character" w:styleId="67">
    <w:name w:val="HTML Variable"/>
    <w:unhideWhenUsed/>
    <w:qFormat/>
    <w:uiPriority w:val="99"/>
    <w:rPr>
      <w:szCs w:val="20"/>
    </w:rPr>
  </w:style>
  <w:style w:type="character" w:styleId="68">
    <w:name w:val="Hyperlink"/>
    <w:qFormat/>
    <w:uiPriority w:val="99"/>
    <w:rPr>
      <w:rFonts w:ascii="仿宋_GB2312" w:eastAsia="仿宋_GB2312"/>
      <w:color w:val="000000"/>
      <w:sz w:val="20"/>
      <w:szCs w:val="20"/>
      <w:u w:val="none"/>
    </w:rPr>
  </w:style>
  <w:style w:type="character" w:styleId="69">
    <w:name w:val="HTML Code"/>
    <w:unhideWhenUsed/>
    <w:qFormat/>
    <w:uiPriority w:val="99"/>
    <w:rPr>
      <w:rFonts w:hint="eastAsia" w:ascii="微软雅黑" w:hAnsi="微软雅黑" w:eastAsia="微软雅黑" w:cs="微软雅黑"/>
      <w:sz w:val="20"/>
      <w:szCs w:val="20"/>
    </w:rPr>
  </w:style>
  <w:style w:type="character" w:styleId="70">
    <w:name w:val="annotation reference"/>
    <w:qFormat/>
    <w:uiPriority w:val="0"/>
    <w:rPr>
      <w:sz w:val="21"/>
      <w:szCs w:val="21"/>
    </w:rPr>
  </w:style>
  <w:style w:type="character" w:styleId="71">
    <w:name w:val="HTML Cite"/>
    <w:qFormat/>
    <w:uiPriority w:val="0"/>
    <w:rPr>
      <w:color w:val="008000"/>
    </w:rPr>
  </w:style>
  <w:style w:type="character" w:styleId="72">
    <w:name w:val="footnote reference"/>
    <w:qFormat/>
    <w:uiPriority w:val="99"/>
    <w:rPr>
      <w:vertAlign w:val="superscript"/>
    </w:rPr>
  </w:style>
  <w:style w:type="character" w:styleId="73">
    <w:name w:val="HTML Keyboard"/>
    <w:unhideWhenUsed/>
    <w:qFormat/>
    <w:uiPriority w:val="99"/>
    <w:rPr>
      <w:rFonts w:hint="eastAsia" w:ascii="微软雅黑" w:hAnsi="微软雅黑" w:eastAsia="微软雅黑" w:cs="微软雅黑"/>
      <w:sz w:val="20"/>
      <w:szCs w:val="20"/>
    </w:rPr>
  </w:style>
  <w:style w:type="character" w:styleId="74">
    <w:name w:val="HTML Sample"/>
    <w:unhideWhenUsed/>
    <w:qFormat/>
    <w:uiPriority w:val="0"/>
    <w:rPr>
      <w:rFonts w:hint="eastAsia" w:ascii="微软雅黑" w:hAnsi="微软雅黑" w:eastAsia="微软雅黑" w:cs="微软雅黑"/>
      <w:szCs w:val="20"/>
    </w:rPr>
  </w:style>
  <w:style w:type="character" w:customStyle="1" w:styleId="75">
    <w:name w:val="正文（首行缩进2字符） Char"/>
    <w:link w:val="76"/>
    <w:qFormat/>
    <w:uiPriority w:val="0"/>
    <w:rPr>
      <w:kern w:val="2"/>
      <w:sz w:val="22"/>
      <w:szCs w:val="24"/>
    </w:rPr>
  </w:style>
  <w:style w:type="paragraph" w:customStyle="1" w:styleId="76">
    <w:name w:val="正文（首行缩进2字符）"/>
    <w:basedOn w:val="1"/>
    <w:link w:val="75"/>
    <w:qFormat/>
    <w:uiPriority w:val="0"/>
    <w:pPr>
      <w:jc w:val="center"/>
    </w:pPr>
    <w:rPr>
      <w:sz w:val="22"/>
    </w:rPr>
  </w:style>
  <w:style w:type="character" w:customStyle="1" w:styleId="77">
    <w:name w:val="符号正文缩进 Char Char"/>
    <w:qFormat/>
    <w:uiPriority w:val="0"/>
    <w:rPr>
      <w:sz w:val="24"/>
    </w:rPr>
  </w:style>
  <w:style w:type="character" w:customStyle="1" w:styleId="78">
    <w:name w:val="A3"/>
    <w:qFormat/>
    <w:uiPriority w:val="0"/>
    <w:rPr>
      <w:rFonts w:ascii="ZapfDingbatsNr2EFOP-Regular" w:eastAsia="ZapfDingbatsNr2EFOP-Regular" w:cs="ZapfDingbatsNr2EFOP-Regular"/>
      <w:color w:val="211D1E"/>
      <w:sz w:val="14"/>
      <w:szCs w:val="14"/>
    </w:rPr>
  </w:style>
  <w:style w:type="character" w:customStyle="1" w:styleId="79">
    <w:name w:val="纯文本 Char Char Char"/>
    <w:aliases w:val="普通文字 Char Char Char1,Texte Char,小 Char,普通文字 Char,普通文字1 Char1,普通文字2 Char,普通文字3 Char,普通文字4 Char,普通文字5 Char,普通文字6 Char,普通文字11 Char,普通文字21 Char,普通文字31 Char,普通文字41 Char,普通文字7 Char,正 文 1 Char,0921 Char1,普通文字 Char Char Char Char Char1,小 Char1"/>
    <w:link w:val="31"/>
    <w:qFormat/>
    <w:uiPriority w:val="0"/>
    <w:rPr>
      <w:rFonts w:ascii="宋体" w:hAnsi="Courier New" w:eastAsia="宋体"/>
      <w:kern w:val="2"/>
      <w:sz w:val="21"/>
      <w:lang w:val="en-US" w:eastAsia="zh-CN" w:bidi="ar-SA"/>
    </w:rPr>
  </w:style>
  <w:style w:type="character" w:customStyle="1" w:styleId="80">
    <w:name w:val=" Char Char4"/>
    <w:link w:val="36"/>
    <w:qFormat/>
    <w:uiPriority w:val="99"/>
    <w:rPr>
      <w:kern w:val="2"/>
      <w:sz w:val="18"/>
      <w:szCs w:val="18"/>
    </w:rPr>
  </w:style>
  <w:style w:type="character" w:customStyle="1" w:styleId="81">
    <w:name w:val="font01"/>
    <w:qFormat/>
    <w:uiPriority w:val="0"/>
    <w:rPr>
      <w:rFonts w:hint="eastAsia" w:ascii="宋体" w:hAnsi="宋体" w:eastAsia="宋体" w:cs="宋体"/>
      <w:color w:val="000000"/>
      <w:sz w:val="22"/>
      <w:szCs w:val="22"/>
      <w:u w:val="none"/>
    </w:rPr>
  </w:style>
  <w:style w:type="character" w:customStyle="1" w:styleId="82">
    <w:name w:val="注释标题 Char"/>
    <w:qFormat/>
    <w:uiPriority w:val="0"/>
    <w:rPr>
      <w:rFonts w:eastAsia="黑体"/>
      <w:kern w:val="2"/>
      <w:sz w:val="28"/>
    </w:rPr>
  </w:style>
  <w:style w:type="character" w:customStyle="1" w:styleId="83">
    <w:name w:val="authcode"/>
    <w:qFormat/>
    <w:uiPriority w:val="0"/>
    <w:rPr>
      <w:szCs w:val="20"/>
    </w:rPr>
  </w:style>
  <w:style w:type="character" w:customStyle="1" w:styleId="84">
    <w:name w:val="Char Char Char1"/>
    <w:qFormat/>
    <w:uiPriority w:val="0"/>
    <w:rPr>
      <w:rFonts w:ascii="宋体" w:hAnsi="Courier New" w:eastAsia="仿宋_GB2312"/>
      <w:b/>
      <w:sz w:val="21"/>
      <w:szCs w:val="21"/>
    </w:rPr>
  </w:style>
  <w:style w:type="character" w:customStyle="1" w:styleId="85">
    <w:name w:val="文档结构图 Char3"/>
    <w:basedOn w:val="58"/>
    <w:semiHidden/>
    <w:uiPriority w:val="99"/>
    <w:rPr>
      <w:rFonts w:ascii="宋体"/>
      <w:kern w:val="2"/>
      <w:sz w:val="18"/>
      <w:szCs w:val="18"/>
    </w:rPr>
  </w:style>
  <w:style w:type="character" w:customStyle="1" w:styleId="86">
    <w:name w:val="不明显强调1"/>
    <w:qFormat/>
    <w:uiPriority w:val="0"/>
    <w:rPr>
      <w:i/>
      <w:iCs/>
      <w:color w:val="808080"/>
    </w:rPr>
  </w:style>
  <w:style w:type="character" w:customStyle="1" w:styleId="87">
    <w:name w:val="Char Char111"/>
    <w:qFormat/>
    <w:uiPriority w:val="0"/>
    <w:rPr>
      <w:rFonts w:ascii="Times New Roman" w:hAnsi="Times New Roman" w:eastAsia="宋体" w:cs="Times New Roman"/>
      <w:sz w:val="18"/>
      <w:szCs w:val="18"/>
    </w:rPr>
  </w:style>
  <w:style w:type="character" w:customStyle="1" w:styleId="88">
    <w:name w:val="Char Char201"/>
    <w:qFormat/>
    <w:uiPriority w:val="0"/>
    <w:rPr>
      <w:rFonts w:ascii="Cambria" w:hAnsi="Cambria" w:eastAsia="宋体" w:cs="Times New Roman"/>
      <w:b/>
      <w:bCs/>
      <w:sz w:val="32"/>
      <w:szCs w:val="32"/>
    </w:rPr>
  </w:style>
  <w:style w:type="character" w:customStyle="1" w:styleId="89">
    <w:name w:val="doc1"/>
    <w:qFormat/>
    <w:uiPriority w:val="0"/>
    <w:rPr>
      <w:szCs w:val="20"/>
    </w:rPr>
  </w:style>
  <w:style w:type="character" w:customStyle="1" w:styleId="90">
    <w:name w:val="font161"/>
    <w:qFormat/>
    <w:uiPriority w:val="0"/>
    <w:rPr>
      <w:b/>
      <w:bCs/>
      <w:sz w:val="32"/>
      <w:szCs w:val="32"/>
    </w:rPr>
  </w:style>
  <w:style w:type="character" w:customStyle="1" w:styleId="91">
    <w:name w:val="标题样式 Char"/>
    <w:link w:val="92"/>
    <w:qFormat/>
    <w:uiPriority w:val="0"/>
    <w:rPr>
      <w:b/>
    </w:rPr>
  </w:style>
  <w:style w:type="paragraph" w:customStyle="1" w:styleId="92">
    <w:name w:val="标题样式"/>
    <w:basedOn w:val="1"/>
    <w:link w:val="91"/>
    <w:qFormat/>
    <w:uiPriority w:val="0"/>
    <w:pPr>
      <w:spacing w:before="156" w:beforeLines="50" w:after="156" w:afterLines="50"/>
    </w:pPr>
    <w:rPr>
      <w:b/>
      <w:kern w:val="0"/>
      <w:sz w:val="20"/>
      <w:szCs w:val="20"/>
    </w:rPr>
  </w:style>
  <w:style w:type="character" w:customStyle="1" w:styleId="93">
    <w:name w:val="明显引用 Char1"/>
    <w:qFormat/>
    <w:uiPriority w:val="99"/>
    <w:rPr>
      <w:rFonts w:ascii="Tahoma" w:hAnsi="Tahoma"/>
      <w:b/>
      <w:bCs/>
      <w:i/>
      <w:iCs/>
      <w:color w:val="4F81BD"/>
      <w:kern w:val="2"/>
      <w:sz w:val="21"/>
      <w:szCs w:val="24"/>
    </w:rPr>
  </w:style>
  <w:style w:type="character" w:customStyle="1" w:styleId="94">
    <w:name w:val="日期 Char"/>
    <w:qFormat/>
    <w:uiPriority w:val="99"/>
    <w:rPr>
      <w:spacing w:val="12"/>
      <w:kern w:val="2"/>
      <w:sz w:val="24"/>
    </w:rPr>
  </w:style>
  <w:style w:type="character" w:customStyle="1" w:styleId="95">
    <w:name w:val="签名 Char1"/>
    <w:basedOn w:val="58"/>
    <w:semiHidden/>
    <w:uiPriority w:val="99"/>
    <w:rPr>
      <w:kern w:val="2"/>
      <w:sz w:val="21"/>
      <w:szCs w:val="24"/>
    </w:rPr>
  </w:style>
  <w:style w:type="character" w:customStyle="1" w:styleId="96">
    <w:name w:val="标题 7 Char"/>
    <w:basedOn w:val="58"/>
    <w:qFormat/>
    <w:uiPriority w:val="0"/>
    <w:rPr>
      <w:rFonts w:ascii="Arial" w:hAnsi="Arial" w:eastAsia="黑体"/>
      <w:b/>
      <w:sz w:val="21"/>
      <w:szCs w:val="21"/>
    </w:rPr>
  </w:style>
  <w:style w:type="character" w:customStyle="1" w:styleId="97">
    <w:name w:val="副标题 Char"/>
    <w:qFormat/>
    <w:uiPriority w:val="0"/>
    <w:rPr>
      <w:rFonts w:ascii="Cambria" w:hAnsi="Cambria"/>
      <w:b/>
      <w:bCs/>
      <w:kern w:val="28"/>
      <w:sz w:val="32"/>
      <w:szCs w:val="32"/>
    </w:rPr>
  </w:style>
  <w:style w:type="character" w:customStyle="1" w:styleId="98">
    <w:name w:val="列出段落 Char"/>
    <w:link w:val="99"/>
    <w:qFormat/>
    <w:uiPriority w:val="99"/>
    <w:rPr>
      <w:kern w:val="2"/>
      <w:sz w:val="21"/>
      <w:szCs w:val="24"/>
    </w:rPr>
  </w:style>
  <w:style w:type="paragraph" w:customStyle="1" w:styleId="99">
    <w:name w:val="List Paragraph"/>
    <w:basedOn w:val="1"/>
    <w:link w:val="98"/>
    <w:qFormat/>
    <w:uiPriority w:val="99"/>
    <w:pPr>
      <w:ind w:firstLine="420" w:firstLineChars="200"/>
    </w:pPr>
  </w:style>
  <w:style w:type="character" w:customStyle="1" w:styleId="100">
    <w:name w:val="正文靠右 Char"/>
    <w:link w:val="101"/>
    <w:qFormat/>
    <w:uiPriority w:val="0"/>
    <w:rPr>
      <w:kern w:val="2"/>
      <w:sz w:val="21"/>
      <w:szCs w:val="24"/>
    </w:rPr>
  </w:style>
  <w:style w:type="paragraph" w:customStyle="1" w:styleId="101">
    <w:name w:val="正文靠右"/>
    <w:basedOn w:val="1"/>
    <w:link w:val="100"/>
    <w:qFormat/>
    <w:uiPriority w:val="0"/>
    <w:pPr>
      <w:jc w:val="right"/>
    </w:pPr>
  </w:style>
  <w:style w:type="character" w:customStyle="1" w:styleId="102">
    <w:name w:val="正文首行缩进 2 Char"/>
    <w:qFormat/>
    <w:uiPriority w:val="0"/>
    <w:rPr>
      <w:rFonts w:ascii="宋体" w:hAnsi="宋体"/>
      <w:kern w:val="2"/>
      <w:sz w:val="24"/>
      <w:szCs w:val="24"/>
    </w:rPr>
  </w:style>
  <w:style w:type="character" w:customStyle="1" w:styleId="103">
    <w:name w:val="PI Char1"/>
    <w:qFormat/>
    <w:uiPriority w:val="0"/>
    <w:rPr>
      <w:rFonts w:ascii="仿宋_GB2312" w:eastAsia="宋体"/>
      <w:b/>
      <w:kern w:val="2"/>
      <w:sz w:val="24"/>
      <w:szCs w:val="24"/>
      <w:lang w:val="en-US" w:eastAsia="zh-CN" w:bidi="ar-SA"/>
    </w:rPr>
  </w:style>
  <w:style w:type="character" w:customStyle="1" w:styleId="104">
    <w:name w:val="样式4 Char"/>
    <w:link w:val="105"/>
    <w:qFormat/>
    <w:uiPriority w:val="0"/>
    <w:rPr>
      <w:rFonts w:ascii="Arial" w:hAnsi="Arial" w:eastAsia="黑体"/>
      <w:b/>
      <w:bCs/>
      <w:kern w:val="2"/>
      <w:sz w:val="24"/>
      <w:szCs w:val="28"/>
    </w:rPr>
  </w:style>
  <w:style w:type="paragraph" w:customStyle="1" w:styleId="105">
    <w:name w:val="样式4"/>
    <w:basedOn w:val="106"/>
    <w:next w:val="1"/>
    <w:link w:val="104"/>
    <w:qFormat/>
    <w:uiPriority w:val="0"/>
    <w:pPr>
      <w:numPr>
        <w:ilvl w:val="0"/>
        <w:numId w:val="0"/>
      </w:numPr>
      <w:spacing w:line="377" w:lineRule="auto"/>
      <w:ind w:left="851" w:right="0" w:rightChars="0" w:hanging="851"/>
      <w:jc w:val="both"/>
    </w:pPr>
    <w:rPr>
      <w:rFonts w:ascii="Arial" w:hAnsi="Arial" w:eastAsia="黑体"/>
      <w:kern w:val="2"/>
    </w:rPr>
  </w:style>
  <w:style w:type="paragraph" w:customStyle="1" w:styleId="106">
    <w:name w:val="4级"/>
    <w:basedOn w:val="8"/>
    <w:next w:val="55"/>
    <w:qFormat/>
    <w:uiPriority w:val="0"/>
    <w:pPr>
      <w:keepNext w:val="0"/>
      <w:numPr>
        <w:ilvl w:val="3"/>
        <w:numId w:val="2"/>
      </w:numPr>
      <w:adjustRightInd w:val="0"/>
      <w:spacing w:beforeLines="50" w:afterLines="50" w:line="376" w:lineRule="auto"/>
      <w:ind w:right="210" w:rightChars="100"/>
      <w:jc w:val="left"/>
      <w:textAlignment w:val="baseline"/>
    </w:pPr>
    <w:rPr>
      <w:kern w:val="0"/>
      <w:sz w:val="24"/>
    </w:rPr>
  </w:style>
  <w:style w:type="character" w:customStyle="1" w:styleId="107">
    <w:name w:val="标题 1 Char"/>
    <w:qFormat/>
    <w:uiPriority w:val="0"/>
    <w:rPr>
      <w:rFonts w:eastAsia="宋体"/>
      <w:b/>
      <w:bCs/>
      <w:kern w:val="44"/>
      <w:sz w:val="44"/>
      <w:szCs w:val="44"/>
      <w:lang w:val="en-US" w:eastAsia="zh-CN" w:bidi="ar-SA"/>
    </w:rPr>
  </w:style>
  <w:style w:type="character" w:customStyle="1" w:styleId="108">
    <w:name w:val="样式 正文文本 Char Char"/>
    <w:link w:val="109"/>
    <w:qFormat/>
    <w:uiPriority w:val="0"/>
    <w:rPr>
      <w:rFonts w:ascii="Arial" w:hAnsi="Arial" w:cs="宋体"/>
      <w:color w:val="000000"/>
      <w:kern w:val="2"/>
      <w:sz w:val="21"/>
    </w:rPr>
  </w:style>
  <w:style w:type="paragraph" w:customStyle="1" w:styleId="109">
    <w:name w:val="样式 正文文本"/>
    <w:basedOn w:val="1"/>
    <w:link w:val="108"/>
    <w:qFormat/>
    <w:uiPriority w:val="0"/>
    <w:pPr>
      <w:adjustRightInd w:val="0"/>
      <w:snapToGrid w:val="0"/>
      <w:spacing w:line="400" w:lineRule="exact"/>
      <w:ind w:firstLine="200" w:firstLineChars="200"/>
    </w:pPr>
    <w:rPr>
      <w:rFonts w:ascii="Arial" w:hAnsi="Arial"/>
      <w:color w:val="000000"/>
      <w:szCs w:val="20"/>
    </w:rPr>
  </w:style>
  <w:style w:type="character" w:customStyle="1" w:styleId="110">
    <w:name w:val="标题 3 Char1"/>
    <w:qFormat/>
    <w:uiPriority w:val="0"/>
    <w:rPr>
      <w:b/>
      <w:bCs/>
      <w:kern w:val="2"/>
      <w:sz w:val="32"/>
      <w:szCs w:val="32"/>
    </w:rPr>
  </w:style>
  <w:style w:type="character" w:customStyle="1" w:styleId="111">
    <w:name w:val=" Char Char9"/>
    <w:link w:val="50"/>
    <w:qFormat/>
    <w:uiPriority w:val="0"/>
    <w:rPr>
      <w:szCs w:val="20"/>
    </w:rPr>
  </w:style>
  <w:style w:type="character" w:customStyle="1" w:styleId="112">
    <w:name w:val="pt141"/>
    <w:qFormat/>
    <w:uiPriority w:val="0"/>
    <w:rPr>
      <w:rFonts w:ascii="仿宋_GB2312" w:eastAsia="仿宋_GB2312"/>
      <w:b/>
      <w:color w:val="330066"/>
      <w:spacing w:val="450"/>
      <w:sz w:val="22"/>
      <w:szCs w:val="22"/>
    </w:rPr>
  </w:style>
  <w:style w:type="character" w:customStyle="1" w:styleId="113">
    <w:name w:val="正文文本 3 Char"/>
    <w:qFormat/>
    <w:uiPriority w:val="0"/>
  </w:style>
  <w:style w:type="character" w:customStyle="1" w:styleId="114">
    <w:name w:val="引用 Char1"/>
    <w:qFormat/>
    <w:uiPriority w:val="99"/>
    <w:rPr>
      <w:rFonts w:ascii="Tahoma" w:hAnsi="Tahoma"/>
      <w:i/>
      <w:iCs/>
      <w:color w:val="000000"/>
      <w:kern w:val="2"/>
      <w:sz w:val="21"/>
      <w:szCs w:val="24"/>
    </w:rPr>
  </w:style>
  <w:style w:type="character" w:customStyle="1" w:styleId="115">
    <w:name w:val="A6"/>
    <w:qFormat/>
    <w:uiPriority w:val="0"/>
    <w:rPr>
      <w:rFonts w:cs="Helvetica Neue"/>
      <w:color w:val="3E667A"/>
      <w:sz w:val="14"/>
      <w:szCs w:val="14"/>
    </w:rPr>
  </w:style>
  <w:style w:type="character" w:customStyle="1" w:styleId="116">
    <w:name w:val="正文文本缩进 2 Char"/>
    <w:qFormat/>
    <w:uiPriority w:val="0"/>
    <w:rPr>
      <w:kern w:val="2"/>
      <w:sz w:val="21"/>
      <w:szCs w:val="24"/>
    </w:rPr>
  </w:style>
  <w:style w:type="character" w:customStyle="1" w:styleId="117">
    <w:name w:val="正文文本缩进 3 Char2"/>
    <w:basedOn w:val="58"/>
    <w:semiHidden/>
    <w:uiPriority w:val="99"/>
    <w:rPr>
      <w:kern w:val="2"/>
      <w:sz w:val="16"/>
      <w:szCs w:val="16"/>
    </w:rPr>
  </w:style>
  <w:style w:type="character" w:customStyle="1" w:styleId="118">
    <w:name w:val="强调划线"/>
    <w:qFormat/>
    <w:uiPriority w:val="0"/>
    <w:rPr>
      <w:u w:val="single"/>
    </w:rPr>
  </w:style>
  <w:style w:type="character" w:customStyle="1" w:styleId="119">
    <w:name w:val="注释正文＋下划线 Char Char"/>
    <w:qFormat/>
    <w:uiPriority w:val="0"/>
    <w:rPr>
      <w:rFonts w:ascii="宋体" w:hAnsi="宋体"/>
      <w:kern w:val="2"/>
      <w:sz w:val="28"/>
      <w:szCs w:val="28"/>
      <w:u w:val="single"/>
    </w:rPr>
  </w:style>
  <w:style w:type="character" w:customStyle="1" w:styleId="120">
    <w:name w:val="heading 2 Char2"/>
    <w:qFormat/>
    <w:uiPriority w:val="0"/>
    <w:rPr>
      <w:rFonts w:ascii="Cambria" w:hAnsi="Cambria" w:eastAsia="仿宋_GB2312"/>
      <w:b/>
      <w:bCs/>
      <w:kern w:val="2"/>
      <w:sz w:val="32"/>
      <w:szCs w:val="32"/>
    </w:rPr>
  </w:style>
  <w:style w:type="character" w:customStyle="1" w:styleId="121">
    <w:name w:val="Footer-Even Char1"/>
    <w:qFormat/>
    <w:uiPriority w:val="0"/>
    <w:rPr>
      <w:rFonts w:ascii="仿宋_GB2312" w:eastAsia="宋体"/>
      <w:b/>
      <w:kern w:val="2"/>
      <w:sz w:val="18"/>
      <w:szCs w:val="18"/>
      <w:lang w:val="en-US" w:eastAsia="zh-CN" w:bidi="ar-SA"/>
    </w:rPr>
  </w:style>
  <w:style w:type="character" w:customStyle="1" w:styleId="122">
    <w:name w:val="副标题 Char2"/>
    <w:basedOn w:val="58"/>
    <w:uiPriority w:val="11"/>
    <w:rPr>
      <w:rFonts w:ascii="Cambria" w:hAnsi="Cambria" w:cs="Times New Roman"/>
      <w:b/>
      <w:bCs/>
      <w:kern w:val="28"/>
      <w:sz w:val="32"/>
      <w:szCs w:val="32"/>
    </w:rPr>
  </w:style>
  <w:style w:type="character" w:customStyle="1" w:styleId="123">
    <w:name w:val="heading 2 Char"/>
    <w:qFormat/>
    <w:uiPriority w:val="0"/>
    <w:rPr>
      <w:rFonts w:ascii="Arial" w:hAnsi="Arial" w:eastAsia="黑体" w:cs="Times New Roman"/>
      <w:b/>
      <w:sz w:val="30"/>
      <w:szCs w:val="24"/>
    </w:rPr>
  </w:style>
  <w:style w:type="character" w:customStyle="1" w:styleId="124">
    <w:name w:val="目录标题 Char"/>
    <w:link w:val="125"/>
    <w:qFormat/>
    <w:uiPriority w:val="0"/>
    <w:rPr>
      <w:rFonts w:eastAsia="黑体"/>
      <w:b/>
      <w:bCs/>
      <w:kern w:val="2"/>
      <w:sz w:val="44"/>
      <w:szCs w:val="44"/>
    </w:rPr>
  </w:style>
  <w:style w:type="paragraph" w:customStyle="1" w:styleId="125">
    <w:name w:val="目录标题1"/>
    <w:basedOn w:val="1"/>
    <w:link w:val="124"/>
    <w:qFormat/>
    <w:uiPriority w:val="0"/>
    <w:pPr>
      <w:jc w:val="center"/>
    </w:pPr>
    <w:rPr>
      <w:rFonts w:eastAsia="黑体"/>
      <w:b/>
      <w:bCs/>
      <w:sz w:val="44"/>
      <w:szCs w:val="44"/>
    </w:rPr>
  </w:style>
  <w:style w:type="character" w:customStyle="1" w:styleId="126">
    <w:name w:val="脚注文本 Char1"/>
    <w:basedOn w:val="58"/>
    <w:semiHidden/>
    <w:uiPriority w:val="99"/>
    <w:rPr>
      <w:kern w:val="2"/>
      <w:sz w:val="18"/>
      <w:szCs w:val="18"/>
    </w:rPr>
  </w:style>
  <w:style w:type="character" w:customStyle="1" w:styleId="127">
    <w:name w:val="hui"/>
    <w:qFormat/>
    <w:uiPriority w:val="0"/>
    <w:rPr>
      <w:rFonts w:ascii="仿宋_GB2312" w:hAnsi="Tahoma" w:eastAsia="仿宋_GB2312"/>
      <w:b/>
      <w:sz w:val="32"/>
      <w:szCs w:val="32"/>
    </w:rPr>
  </w:style>
  <w:style w:type="character" w:customStyle="1" w:styleId="128">
    <w:name w:val="普通文字1 Char"/>
    <w:qFormat/>
    <w:uiPriority w:val="0"/>
    <w:rPr>
      <w:rFonts w:ascii="宋体" w:hAnsi="Courier New" w:eastAsia="宋体" w:cs="Courier New"/>
      <w:kern w:val="2"/>
      <w:sz w:val="21"/>
      <w:szCs w:val="21"/>
      <w:lang w:val="en-US" w:eastAsia="zh-CN" w:bidi="ar-SA"/>
    </w:rPr>
  </w:style>
  <w:style w:type="character" w:customStyle="1" w:styleId="129">
    <w:name w:val="style111"/>
    <w:qFormat/>
    <w:uiPriority w:val="0"/>
    <w:rPr>
      <w:sz w:val="27"/>
      <w:szCs w:val="27"/>
    </w:rPr>
  </w:style>
  <w:style w:type="character" w:customStyle="1" w:styleId="130">
    <w:name w:val=" Char Char19"/>
    <w:link w:val="34"/>
    <w:qFormat/>
    <w:uiPriority w:val="99"/>
    <w:rPr>
      <w:spacing w:val="12"/>
      <w:kern w:val="2"/>
      <w:sz w:val="24"/>
    </w:rPr>
  </w:style>
  <w:style w:type="character" w:customStyle="1" w:styleId="131">
    <w:name w:val="批注框文本 Char"/>
    <w:qFormat/>
    <w:uiPriority w:val="99"/>
    <w:rPr>
      <w:kern w:val="2"/>
      <w:sz w:val="18"/>
      <w:szCs w:val="18"/>
    </w:rPr>
  </w:style>
  <w:style w:type="character" w:customStyle="1" w:styleId="132">
    <w:name w:val="表格题注 Char"/>
    <w:link w:val="133"/>
    <w:qFormat/>
    <w:uiPriority w:val="0"/>
    <w:rPr>
      <w:rFonts w:ascii="Calibri Light" w:hAnsi="Calibri Light" w:eastAsia="黑体" w:cs="黑体"/>
      <w:bCs/>
      <w:kern w:val="2"/>
      <w:sz w:val="21"/>
      <w:szCs w:val="21"/>
    </w:rPr>
  </w:style>
  <w:style w:type="paragraph" w:customStyle="1" w:styleId="133">
    <w:name w:val="表格题注"/>
    <w:basedOn w:val="17"/>
    <w:link w:val="132"/>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134">
    <w:name w:val="heading 6 Char1"/>
    <w:qFormat/>
    <w:uiPriority w:val="0"/>
    <w:rPr>
      <w:rFonts w:ascii="Arial" w:hAnsi="Arial" w:eastAsia="黑体"/>
      <w:b/>
      <w:kern w:val="2"/>
      <w:sz w:val="24"/>
      <w:szCs w:val="24"/>
      <w:lang w:val="en-US" w:eastAsia="zh-CN" w:bidi="ar-SA"/>
    </w:rPr>
  </w:style>
  <w:style w:type="character" w:customStyle="1" w:styleId="135">
    <w:name w:val="文档结构图 Char2"/>
    <w:semiHidden/>
    <w:qFormat/>
    <w:uiPriority w:val="0"/>
    <w:rPr>
      <w:rFonts w:ascii="Microsoft YaHei UI" w:eastAsia="Microsoft YaHei UI"/>
      <w:sz w:val="18"/>
      <w:szCs w:val="18"/>
    </w:rPr>
  </w:style>
  <w:style w:type="character" w:customStyle="1" w:styleId="136">
    <w:name w:val="Style1"/>
    <w:qFormat/>
    <w:uiPriority w:val="0"/>
    <w:rPr>
      <w:rFonts w:ascii="Calibri" w:hAnsi="宋体" w:eastAsia="宋体" w:cs="Times New Roman"/>
      <w:sz w:val="22"/>
      <w:szCs w:val="22"/>
      <w:lang w:eastAsia="zh-CN"/>
    </w:rPr>
  </w:style>
  <w:style w:type="character" w:customStyle="1" w:styleId="137">
    <w:name w:val="正文文本缩进 Char1"/>
    <w:basedOn w:val="58"/>
    <w:semiHidden/>
    <w:uiPriority w:val="99"/>
    <w:rPr>
      <w:kern w:val="2"/>
      <w:sz w:val="21"/>
      <w:szCs w:val="24"/>
    </w:rPr>
  </w:style>
  <w:style w:type="character" w:customStyle="1" w:styleId="138">
    <w:name w:val=" Char Char25"/>
    <w:link w:val="54"/>
    <w:qFormat/>
    <w:uiPriority w:val="0"/>
    <w:rPr>
      <w:b/>
      <w:bCs/>
      <w:kern w:val="2"/>
      <w:sz w:val="21"/>
      <w:szCs w:val="24"/>
    </w:rPr>
  </w:style>
  <w:style w:type="character" w:customStyle="1" w:styleId="139">
    <w:name w:val="legend"/>
    <w:qFormat/>
    <w:uiPriority w:val="0"/>
    <w:rPr>
      <w:rFonts w:ascii="Arial" w:hAnsi="Arial" w:cs="Arial"/>
      <w:b/>
      <w:color w:val="73B304"/>
      <w:sz w:val="16"/>
      <w:szCs w:val="16"/>
      <w:shd w:val="clear" w:color="auto" w:fill="FFFFFF"/>
    </w:rPr>
  </w:style>
  <w:style w:type="character" w:customStyle="1" w:styleId="140">
    <w:name w:val="正文文本缩进 3 Char"/>
    <w:qFormat/>
    <w:uiPriority w:val="99"/>
    <w:rPr>
      <w:kern w:val="2"/>
      <w:sz w:val="16"/>
      <w:szCs w:val="16"/>
    </w:rPr>
  </w:style>
  <w:style w:type="character" w:customStyle="1" w:styleId="141">
    <w:name w:val="正文首行缩进 2 Char3"/>
    <w:basedOn w:val="137"/>
    <w:semiHidden/>
    <w:uiPriority w:val="99"/>
  </w:style>
  <w:style w:type="character" w:customStyle="1" w:styleId="142">
    <w:name w:val=" Char Char33"/>
    <w:link w:val="5"/>
    <w:qFormat/>
    <w:uiPriority w:val="0"/>
    <w:rPr>
      <w:rFonts w:ascii="Arial" w:hAnsi="Arial" w:eastAsia="黑体"/>
      <w:b/>
      <w:bCs/>
      <w:kern w:val="2"/>
      <w:sz w:val="32"/>
      <w:szCs w:val="32"/>
    </w:rPr>
  </w:style>
  <w:style w:type="character" w:customStyle="1" w:styleId="143">
    <w:name w:val="update"/>
    <w:qFormat/>
    <w:uiPriority w:val="0"/>
    <w:rPr>
      <w:szCs w:val="20"/>
    </w:rPr>
  </w:style>
  <w:style w:type="character" w:customStyle="1" w:styleId="144">
    <w:name w:val="宏文本 Char2"/>
    <w:basedOn w:val="58"/>
    <w:semiHidden/>
    <w:uiPriority w:val="99"/>
    <w:rPr>
      <w:rFonts w:ascii="Courier New" w:hAnsi="Courier New" w:cs="Courier New"/>
      <w:kern w:val="2"/>
      <w:sz w:val="24"/>
      <w:szCs w:val="24"/>
    </w:rPr>
  </w:style>
  <w:style w:type="character" w:customStyle="1" w:styleId="145">
    <w:name w:val="栏目标题 Char Char"/>
    <w:qFormat/>
    <w:uiPriority w:val="0"/>
    <w:rPr>
      <w:rFonts w:ascii="黑体" w:hAnsi="黑体" w:eastAsia="黑体"/>
      <w:b/>
      <w:kern w:val="2"/>
      <w:sz w:val="21"/>
      <w:szCs w:val="24"/>
    </w:rPr>
  </w:style>
  <w:style w:type="character" w:customStyle="1" w:styleId="146">
    <w:name w:val="Char Char"/>
    <w:qFormat/>
    <w:uiPriority w:val="0"/>
    <w:rPr>
      <w:rFonts w:ascii="宋体" w:hAnsi="Courier New" w:eastAsia="宋体"/>
      <w:kern w:val="2"/>
      <w:sz w:val="21"/>
      <w:lang w:val="en-US" w:eastAsia="zh-CN" w:bidi="ar-SA"/>
    </w:rPr>
  </w:style>
  <w:style w:type="character" w:customStyle="1" w:styleId="147">
    <w:name w:val="size31"/>
    <w:qFormat/>
    <w:uiPriority w:val="0"/>
    <w:rPr>
      <w:rFonts w:hint="default" w:ascii="Arial" w:hAnsi="Arial" w:cs="Arial"/>
      <w:color w:val="2D2D2D"/>
      <w:spacing w:val="285"/>
      <w:sz w:val="18"/>
      <w:szCs w:val="18"/>
    </w:rPr>
  </w:style>
  <w:style w:type="character" w:customStyle="1" w:styleId="148">
    <w:name w:val="页眉注释 Char Char"/>
    <w:qFormat/>
    <w:uiPriority w:val="0"/>
    <w:rPr>
      <w:rFonts w:ascii="华文细黑" w:hAnsi="华文细黑" w:eastAsia="华文细黑"/>
      <w:b/>
      <w:color w:val="FFFFFF"/>
      <w:kern w:val="2"/>
      <w:sz w:val="18"/>
      <w:szCs w:val="18"/>
    </w:rPr>
  </w:style>
  <w:style w:type="character" w:customStyle="1" w:styleId="149">
    <w:name w:val="页眉注释 Char"/>
    <w:link w:val="150"/>
    <w:qFormat/>
    <w:uiPriority w:val="0"/>
    <w:rPr>
      <w:rFonts w:ascii="华文细黑" w:hAnsi="华文细黑" w:eastAsia="华文细黑"/>
      <w:b/>
      <w:color w:val="FFFFFF"/>
      <w:kern w:val="2"/>
      <w:sz w:val="18"/>
      <w:szCs w:val="18"/>
    </w:rPr>
  </w:style>
  <w:style w:type="paragraph" w:customStyle="1" w:styleId="150">
    <w:name w:val="页眉注释"/>
    <w:basedOn w:val="1"/>
    <w:link w:val="149"/>
    <w:qFormat/>
    <w:uiPriority w:val="0"/>
    <w:pPr>
      <w:spacing w:line="0" w:lineRule="atLeast"/>
      <w:jc w:val="center"/>
    </w:pPr>
    <w:rPr>
      <w:rFonts w:ascii="华文细黑" w:hAnsi="华文细黑" w:eastAsia="华文细黑"/>
      <w:b/>
      <w:color w:val="FFFFFF"/>
      <w:sz w:val="18"/>
      <w:szCs w:val="18"/>
    </w:rPr>
  </w:style>
  <w:style w:type="character" w:customStyle="1" w:styleId="151">
    <w:name w:val="样式1 Char"/>
    <w:link w:val="152"/>
    <w:qFormat/>
    <w:uiPriority w:val="0"/>
    <w:rPr>
      <w:rFonts w:ascii="宋体" w:hAnsi="宋体"/>
      <w:kern w:val="2"/>
      <w:sz w:val="21"/>
      <w:szCs w:val="21"/>
    </w:rPr>
  </w:style>
  <w:style w:type="paragraph" w:customStyle="1" w:styleId="152">
    <w:name w:val="样式1"/>
    <w:basedOn w:val="1"/>
    <w:next w:val="8"/>
    <w:link w:val="151"/>
    <w:qFormat/>
    <w:uiPriority w:val="0"/>
    <w:pPr>
      <w:spacing w:line="360" w:lineRule="auto"/>
      <w:ind w:firstLine="420" w:firstLineChars="200"/>
    </w:pPr>
    <w:rPr>
      <w:rFonts w:ascii="宋体" w:hAnsi="宋体"/>
      <w:szCs w:val="21"/>
    </w:rPr>
  </w:style>
  <w:style w:type="character" w:customStyle="1" w:styleId="153">
    <w:name w:val="宏文本 Char1"/>
    <w:semiHidden/>
    <w:qFormat/>
    <w:uiPriority w:val="99"/>
    <w:rPr>
      <w:rFonts w:ascii="Courier New" w:hAnsi="Courier New" w:cs="Courier New"/>
      <w:kern w:val="2"/>
      <w:sz w:val="24"/>
      <w:szCs w:val="24"/>
    </w:rPr>
  </w:style>
  <w:style w:type="character" w:customStyle="1" w:styleId="154">
    <w:name w:val="heading 1 Char"/>
    <w:qFormat/>
    <w:uiPriority w:val="0"/>
    <w:rPr>
      <w:rFonts w:ascii="Arial" w:hAnsi="Arial" w:eastAsia="黑体"/>
      <w:b/>
      <w:sz w:val="36"/>
      <w:szCs w:val="36"/>
    </w:rPr>
  </w:style>
  <w:style w:type="character" w:customStyle="1" w:styleId="155">
    <w:name w:val="Title1"/>
    <w:qFormat/>
    <w:uiPriority w:val="0"/>
  </w:style>
  <w:style w:type="character" w:customStyle="1" w:styleId="156">
    <w:name w:val="zbggmain style9"/>
    <w:qFormat/>
    <w:uiPriority w:val="0"/>
    <w:rPr>
      <w:szCs w:val="20"/>
    </w:rPr>
  </w:style>
  <w:style w:type="character" w:customStyle="1" w:styleId="157">
    <w:name w:val=" Char Char6"/>
    <w:link w:val="22"/>
    <w:qFormat/>
    <w:uiPriority w:val="0"/>
    <w:rPr>
      <w:szCs w:val="20"/>
    </w:rPr>
  </w:style>
  <w:style w:type="character" w:customStyle="1" w:styleId="158">
    <w:name w:val="Char Char15"/>
    <w:qFormat/>
    <w:uiPriority w:val="0"/>
    <w:rPr>
      <w:rFonts w:ascii="Arial" w:hAnsi="Arial" w:eastAsia="黑体"/>
      <w:b/>
      <w:sz w:val="24"/>
      <w:szCs w:val="24"/>
    </w:rPr>
  </w:style>
  <w:style w:type="character" w:customStyle="1" w:styleId="159">
    <w:name w:val="Style5"/>
    <w:qFormat/>
    <w:uiPriority w:val="0"/>
    <w:rPr>
      <w:rFonts w:ascii="Calibri" w:hAnsi="宋体" w:eastAsia="宋体" w:cs="Times New Roman"/>
      <w:sz w:val="22"/>
      <w:szCs w:val="22"/>
      <w:lang w:eastAsia="zh-CN"/>
    </w:rPr>
  </w:style>
  <w:style w:type="character" w:customStyle="1" w:styleId="160">
    <w:name w:val="页脚 Char2"/>
    <w:basedOn w:val="58"/>
    <w:semiHidden/>
    <w:uiPriority w:val="99"/>
    <w:rPr>
      <w:kern w:val="2"/>
      <w:sz w:val="18"/>
      <w:szCs w:val="18"/>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 Char Char30"/>
    <w:link w:val="9"/>
    <w:qFormat/>
    <w:uiPriority w:val="0"/>
    <w:rPr>
      <w:rFonts w:ascii="仿宋_GB2312" w:hAnsi="Tahoma"/>
      <w:b/>
      <w:bCs/>
      <w:kern w:val="2"/>
      <w:sz w:val="28"/>
      <w:szCs w:val="28"/>
    </w:rPr>
  </w:style>
  <w:style w:type="character" w:customStyle="1" w:styleId="163">
    <w:name w:val="注释正文＋下划线 Char"/>
    <w:link w:val="164"/>
    <w:qFormat/>
    <w:uiPriority w:val="0"/>
    <w:rPr>
      <w:rFonts w:ascii="宋体" w:hAnsi="宋体"/>
      <w:kern w:val="2"/>
      <w:sz w:val="28"/>
      <w:szCs w:val="28"/>
      <w:u w:val="single"/>
    </w:rPr>
  </w:style>
  <w:style w:type="paragraph" w:customStyle="1" w:styleId="164">
    <w:name w:val="注释正文＋下划线"/>
    <w:basedOn w:val="1"/>
    <w:link w:val="163"/>
    <w:qFormat/>
    <w:uiPriority w:val="0"/>
    <w:rPr>
      <w:rFonts w:ascii="宋体" w:hAnsi="宋体"/>
      <w:sz w:val="28"/>
      <w:szCs w:val="28"/>
      <w:u w:val="single"/>
    </w:rPr>
  </w:style>
  <w:style w:type="character" w:customStyle="1" w:styleId="165">
    <w:name w:val="Footer-Even Char2"/>
    <w:qFormat/>
    <w:uiPriority w:val="0"/>
    <w:rPr>
      <w:rFonts w:ascii="仿宋_GB2312" w:eastAsia="仿宋_GB2312"/>
      <w:b/>
      <w:kern w:val="2"/>
      <w:sz w:val="18"/>
      <w:szCs w:val="18"/>
    </w:rPr>
  </w:style>
  <w:style w:type="character" w:customStyle="1" w:styleId="166">
    <w:name w:val=" Char Char2"/>
    <w:link w:val="45"/>
    <w:qFormat/>
    <w:uiPriority w:val="99"/>
    <w:rPr>
      <w:kern w:val="2"/>
      <w:sz w:val="18"/>
      <w:szCs w:val="18"/>
    </w:rPr>
  </w:style>
  <w:style w:type="character" w:customStyle="1" w:styleId="167">
    <w:name w:val="Char Char11"/>
    <w:qFormat/>
    <w:uiPriority w:val="0"/>
    <w:rPr>
      <w:rFonts w:ascii="Times New Roman" w:hAnsi="Times New Roman" w:eastAsia="宋体" w:cs="Times New Roman"/>
      <w:sz w:val="18"/>
      <w:szCs w:val="18"/>
    </w:rPr>
  </w:style>
  <w:style w:type="character" w:customStyle="1" w:styleId="168">
    <w:name w:val="标题1"/>
    <w:qFormat/>
    <w:uiPriority w:val="0"/>
  </w:style>
  <w:style w:type="character" w:customStyle="1" w:styleId="169">
    <w:name w:val="heading 3 Char2"/>
    <w:qFormat/>
    <w:uiPriority w:val="0"/>
    <w:rPr>
      <w:rFonts w:ascii="仿宋_GB2312" w:eastAsia="仿宋_GB2312"/>
      <w:b/>
      <w:bCs/>
      <w:kern w:val="2"/>
      <w:sz w:val="32"/>
      <w:szCs w:val="32"/>
    </w:rPr>
  </w:style>
  <w:style w:type="character" w:customStyle="1" w:styleId="170">
    <w:name w:val="font11"/>
    <w:qFormat/>
    <w:uiPriority w:val="0"/>
    <w:rPr>
      <w:rFonts w:hint="eastAsia" w:ascii="宋体" w:hAnsi="宋体" w:eastAsia="宋体" w:cs="宋体"/>
      <w:color w:val="000000"/>
      <w:sz w:val="20"/>
      <w:szCs w:val="20"/>
      <w:u w:val="none"/>
      <w:vertAlign w:val="superscript"/>
    </w:rPr>
  </w:style>
  <w:style w:type="character" w:customStyle="1" w:styleId="171">
    <w:name w:val=" Char Char10"/>
    <w:link w:val="20"/>
    <w:qFormat/>
    <w:uiPriority w:val="0"/>
    <w:rPr>
      <w:kern w:val="2"/>
      <w:sz w:val="21"/>
      <w:szCs w:val="24"/>
    </w:rPr>
  </w:style>
  <w:style w:type="character" w:customStyle="1" w:styleId="172">
    <w:name w:val="内容文本 Char"/>
    <w:link w:val="173"/>
    <w:qFormat/>
    <w:uiPriority w:val="0"/>
    <w:rPr>
      <w:rFonts w:ascii="宋体" w:hAnsi="宋体"/>
      <w:sz w:val="24"/>
      <w:szCs w:val="24"/>
      <w:lang w:eastAsia="en-US" w:bidi="en-US"/>
    </w:rPr>
  </w:style>
  <w:style w:type="paragraph" w:customStyle="1" w:styleId="173">
    <w:name w:val="内容文本"/>
    <w:basedOn w:val="99"/>
    <w:link w:val="172"/>
    <w:qFormat/>
    <w:uiPriority w:val="0"/>
    <w:pPr>
      <w:spacing w:line="360" w:lineRule="auto"/>
      <w:ind w:firstLine="200"/>
      <w:contextualSpacing/>
      <w:jc w:val="left"/>
    </w:pPr>
    <w:rPr>
      <w:rFonts w:ascii="宋体" w:hAnsi="宋体"/>
      <w:kern w:val="0"/>
      <w:sz w:val="24"/>
      <w:lang w:eastAsia="en-US" w:bidi="en-US"/>
    </w:rPr>
  </w:style>
  <w:style w:type="character" w:customStyle="1" w:styleId="174">
    <w:name w:val="正文文本 2 Char1"/>
    <w:qFormat/>
    <w:uiPriority w:val="0"/>
    <w:rPr>
      <w:rFonts w:ascii="Calibri" w:hAnsi="Calibri" w:cs="黑体"/>
      <w:kern w:val="2"/>
      <w:sz w:val="24"/>
      <w:szCs w:val="22"/>
    </w:rPr>
  </w:style>
  <w:style w:type="character" w:customStyle="1" w:styleId="175">
    <w:name w:val="正文缩进 Char1"/>
    <w:qFormat/>
    <w:uiPriority w:val="0"/>
    <w:rPr>
      <w:sz w:val="21"/>
    </w:rPr>
  </w:style>
  <w:style w:type="character" w:customStyle="1" w:styleId="176">
    <w:name w:val="页眉 Char2"/>
    <w:basedOn w:val="58"/>
    <w:semiHidden/>
    <w:uiPriority w:val="99"/>
    <w:rPr>
      <w:kern w:val="2"/>
      <w:sz w:val="18"/>
      <w:szCs w:val="18"/>
    </w:rPr>
  </w:style>
  <w:style w:type="character" w:customStyle="1" w:styleId="177">
    <w:name w:val="med1"/>
    <w:qFormat/>
    <w:uiPriority w:val="0"/>
  </w:style>
  <w:style w:type="character" w:customStyle="1" w:styleId="178">
    <w:name w:val="标题 2 Char"/>
    <w:qFormat/>
    <w:uiPriority w:val="0"/>
    <w:rPr>
      <w:rFonts w:ascii="Arial" w:hAnsi="Arial" w:eastAsia="黑体"/>
      <w:b/>
      <w:bCs/>
      <w:kern w:val="2"/>
      <w:sz w:val="32"/>
      <w:szCs w:val="32"/>
      <w:lang w:val="en-US" w:eastAsia="zh-CN" w:bidi="ar-SA"/>
    </w:rPr>
  </w:style>
  <w:style w:type="character" w:customStyle="1" w:styleId="179">
    <w:name w:val="副标题 Char1"/>
    <w:qFormat/>
    <w:uiPriority w:val="11"/>
    <w:rPr>
      <w:rFonts w:ascii="Cambria" w:hAnsi="Cambria" w:cs="Times New Roman"/>
      <w:b/>
      <w:bCs/>
      <w:kern w:val="28"/>
      <w:sz w:val="32"/>
      <w:szCs w:val="32"/>
    </w:rPr>
  </w:style>
  <w:style w:type="character" w:customStyle="1" w:styleId="180">
    <w:name w:val="heading 4 Char"/>
    <w:qFormat/>
    <w:uiPriority w:val="0"/>
    <w:rPr>
      <w:rFonts w:ascii="Arial" w:hAnsi="Arial" w:eastAsia="黑体" w:cs="Times New Roman"/>
      <w:b/>
      <w:sz w:val="21"/>
      <w:szCs w:val="21"/>
    </w:rPr>
  </w:style>
  <w:style w:type="character" w:customStyle="1" w:styleId="181">
    <w:name w:val="文档结构图 Char1"/>
    <w:qFormat/>
    <w:uiPriority w:val="0"/>
    <w:rPr>
      <w:kern w:val="2"/>
      <w:sz w:val="21"/>
      <w:szCs w:val="24"/>
      <w:shd w:val="clear" w:color="auto" w:fill="000080"/>
    </w:rPr>
  </w:style>
  <w:style w:type="character" w:customStyle="1" w:styleId="182">
    <w:name w:val=" Char Char12"/>
    <w:link w:val="55"/>
    <w:qFormat/>
    <w:uiPriority w:val="0"/>
    <w:rPr>
      <w:rFonts w:ascii="宋体" w:hAnsi="宋体"/>
      <w:kern w:val="2"/>
      <w:sz w:val="24"/>
      <w:szCs w:val="24"/>
    </w:rPr>
  </w:style>
  <w:style w:type="character" w:customStyle="1" w:styleId="183">
    <w:name w:val=" Char Char7"/>
    <w:link w:val="25"/>
    <w:qFormat/>
    <w:uiPriority w:val="0"/>
    <w:rPr>
      <w:rFonts w:ascii="宋体" w:hAnsi="宋体"/>
      <w:kern w:val="2"/>
      <w:sz w:val="24"/>
    </w:rPr>
  </w:style>
  <w:style w:type="character" w:customStyle="1" w:styleId="184">
    <w:name w:val="签名 Char"/>
    <w:qFormat/>
    <w:uiPriority w:val="0"/>
    <w:rPr>
      <w:rFonts w:ascii="Tahoma" w:hAnsi="Tahoma" w:eastAsia="仿宋_GB2312"/>
      <w:sz w:val="24"/>
    </w:rPr>
  </w:style>
  <w:style w:type="character" w:customStyle="1" w:styleId="185">
    <w:name w:val="普通(网站) Char"/>
    <w:qFormat/>
    <w:uiPriority w:val="99"/>
    <w:rPr>
      <w:rFonts w:ascii="宋体" w:hAnsi="宋体"/>
      <w:color w:val="000000"/>
      <w:sz w:val="24"/>
      <w:szCs w:val="24"/>
    </w:rPr>
  </w:style>
  <w:style w:type="character" w:customStyle="1" w:styleId="186">
    <w:name w:val="标题 6 字符"/>
    <w:qFormat/>
    <w:uiPriority w:val="0"/>
    <w:rPr>
      <w:rFonts w:ascii="黑体" w:hAnsi="黑体" w:eastAsia="黑体" w:cs="黑体"/>
      <w:b/>
      <w:bCs/>
      <w:kern w:val="2"/>
      <w:sz w:val="24"/>
      <w:szCs w:val="28"/>
    </w:rPr>
  </w:style>
  <w:style w:type="character" w:customStyle="1" w:styleId="187">
    <w:name w:val="p91"/>
    <w:qFormat/>
    <w:uiPriority w:val="0"/>
    <w:rPr>
      <w:rFonts w:hint="eastAsia" w:ascii="宋体" w:hAnsi="宋体" w:eastAsia="宋体"/>
      <w:spacing w:val="360"/>
      <w:sz w:val="18"/>
      <w:szCs w:val="18"/>
    </w:rPr>
  </w:style>
  <w:style w:type="character" w:customStyle="1" w:styleId="188">
    <w:name w:val="正文1 Char Char"/>
    <w:link w:val="189"/>
    <w:qFormat/>
    <w:uiPriority w:val="0"/>
    <w:rPr>
      <w:rFonts w:ascii="宋体" w:hAnsi="宋体" w:cs="宋体"/>
      <w:b/>
      <w:sz w:val="21"/>
      <w:szCs w:val="32"/>
    </w:rPr>
  </w:style>
  <w:style w:type="paragraph" w:customStyle="1" w:styleId="189">
    <w:name w:val="正文1"/>
    <w:basedOn w:val="1"/>
    <w:link w:val="188"/>
    <w:qFormat/>
    <w:uiPriority w:val="0"/>
    <w:pPr>
      <w:widowControl/>
      <w:spacing w:line="360" w:lineRule="auto"/>
      <w:ind w:left="360" w:firstLine="420"/>
      <w:jc w:val="left"/>
    </w:pPr>
    <w:rPr>
      <w:rFonts w:ascii="宋体" w:hAnsi="宋体"/>
      <w:b/>
      <w:kern w:val="0"/>
      <w:szCs w:val="32"/>
    </w:rPr>
  </w:style>
  <w:style w:type="character" w:customStyle="1" w:styleId="190">
    <w:name w:val="HTML 预设格式 Char"/>
    <w:qFormat/>
    <w:uiPriority w:val="0"/>
    <w:rPr>
      <w:rFonts w:ascii="微软雅黑" w:hAnsi="微软雅黑" w:eastAsia="微软雅黑"/>
      <w:sz w:val="24"/>
      <w:szCs w:val="24"/>
    </w:rPr>
  </w:style>
  <w:style w:type="character" w:customStyle="1" w:styleId="191">
    <w:name w:val="纯文本 Char"/>
    <w:aliases w:val="普通文字 Char Char1,普通文字 Char Char Char,普通文字 Char1,0921 Char,普通文字 Char Char Char Char Char"/>
    <w:qFormat/>
    <w:uiPriority w:val="0"/>
    <w:rPr>
      <w:rFonts w:ascii="仿宋_GB2312" w:hAnsi="Wingdings" w:eastAsia="仿宋_GB2312"/>
      <w:sz w:val="21"/>
      <w:szCs w:val="21"/>
      <w:lang w:val="en-US" w:eastAsia="zh-CN" w:bidi="ar-SA"/>
    </w:rPr>
  </w:style>
  <w:style w:type="character" w:customStyle="1" w:styleId="192">
    <w:name w:val="正文首行缩进 Char1"/>
    <w:qFormat/>
    <w:uiPriority w:val="0"/>
    <w:rPr>
      <w:rFonts w:ascii="Tahoma" w:hAnsi="Tahoma"/>
      <w:kern w:val="2"/>
      <w:sz w:val="21"/>
      <w:szCs w:val="24"/>
    </w:rPr>
  </w:style>
  <w:style w:type="character" w:customStyle="1" w:styleId="193">
    <w:name w:val="op-map-singlepoint-info-right1"/>
    <w:qFormat/>
    <w:uiPriority w:val="0"/>
    <w:rPr>
      <w:szCs w:val="20"/>
    </w:rPr>
  </w:style>
  <w:style w:type="character" w:customStyle="1" w:styleId="194">
    <w:name w:val="注释题目"/>
    <w:qFormat/>
    <w:uiPriority w:val="0"/>
    <w:rPr>
      <w:rFonts w:eastAsia="黑体"/>
      <w:sz w:val="28"/>
      <w:u w:val="none"/>
    </w:rPr>
  </w:style>
  <w:style w:type="character" w:customStyle="1" w:styleId="195">
    <w:name w:val="正文文本 3 Char1"/>
    <w:basedOn w:val="58"/>
    <w:semiHidden/>
    <w:uiPriority w:val="99"/>
    <w:rPr>
      <w:kern w:val="2"/>
      <w:sz w:val="16"/>
      <w:szCs w:val="16"/>
    </w:rPr>
  </w:style>
  <w:style w:type="character" w:customStyle="1" w:styleId="196">
    <w:name w:val="2级 Char"/>
    <w:link w:val="197"/>
    <w:qFormat/>
    <w:uiPriority w:val="0"/>
    <w:rPr>
      <w:rFonts w:ascii="Cambria" w:hAnsi="Cambria"/>
      <w:b/>
      <w:bCs/>
      <w:sz w:val="28"/>
      <w:szCs w:val="32"/>
    </w:rPr>
  </w:style>
  <w:style w:type="paragraph" w:customStyle="1" w:styleId="197">
    <w:name w:val="2级"/>
    <w:basedOn w:val="5"/>
    <w:next w:val="55"/>
    <w:link w:val="196"/>
    <w:qFormat/>
    <w:uiPriority w:val="0"/>
    <w:pPr>
      <w:spacing w:line="416" w:lineRule="auto"/>
    </w:pPr>
    <w:rPr>
      <w:rFonts w:ascii="Cambria" w:hAnsi="Cambria" w:eastAsia="宋体"/>
      <w:kern w:val="0"/>
      <w:sz w:val="28"/>
    </w:rPr>
  </w:style>
  <w:style w:type="character" w:customStyle="1" w:styleId="198">
    <w:name w:val="heading 5 Char2"/>
    <w:qFormat/>
    <w:uiPriority w:val="0"/>
    <w:rPr>
      <w:rFonts w:ascii="仿宋_GB2312" w:eastAsia="仿宋_GB2312"/>
      <w:b/>
      <w:bCs/>
      <w:kern w:val="2"/>
      <w:sz w:val="28"/>
      <w:szCs w:val="28"/>
    </w:rPr>
  </w:style>
  <w:style w:type="character" w:customStyle="1" w:styleId="199">
    <w:name w:val="图片题注 Char"/>
    <w:link w:val="200"/>
    <w:qFormat/>
    <w:uiPriority w:val="0"/>
    <w:rPr>
      <w:rFonts w:ascii="Calibri Light" w:hAnsi="Calibri Light" w:eastAsia="黑体" w:cs="黑体"/>
      <w:bCs/>
      <w:kern w:val="2"/>
    </w:rPr>
  </w:style>
  <w:style w:type="paragraph" w:customStyle="1" w:styleId="200">
    <w:name w:val="图片题注"/>
    <w:basedOn w:val="17"/>
    <w:link w:val="199"/>
    <w:qFormat/>
    <w:uiPriority w:val="0"/>
    <w:pPr>
      <w:autoSpaceDE/>
      <w:autoSpaceDN/>
      <w:adjustRightInd/>
      <w:spacing w:line="360" w:lineRule="auto"/>
      <w:jc w:val="center"/>
    </w:pPr>
    <w:rPr>
      <w:rFonts w:ascii="Calibri Light" w:hAnsi="Calibri Light"/>
      <w:bCs/>
      <w:kern w:val="2"/>
    </w:rPr>
  </w:style>
  <w:style w:type="character" w:customStyle="1" w:styleId="201">
    <w:name w:val="hover15"/>
    <w:qFormat/>
    <w:uiPriority w:val="0"/>
    <w:rPr>
      <w:szCs w:val="20"/>
      <w:u w:val="single"/>
    </w:rPr>
  </w:style>
  <w:style w:type="character" w:customStyle="1" w:styleId="202">
    <w:name w:val="标题 6 Char"/>
    <w:basedOn w:val="58"/>
    <w:qFormat/>
    <w:uiPriority w:val="0"/>
    <w:rPr>
      <w:rFonts w:ascii="Arial" w:hAnsi="Arial" w:eastAsia="黑体"/>
      <w:b/>
      <w:bCs/>
      <w:kern w:val="2"/>
      <w:sz w:val="24"/>
      <w:szCs w:val="24"/>
    </w:rPr>
  </w:style>
  <w:style w:type="character" w:customStyle="1" w:styleId="203">
    <w:name w:val="表格 Char"/>
    <w:qFormat/>
    <w:uiPriority w:val="0"/>
    <w:rPr>
      <w:rFonts w:ascii="Calibri" w:hAnsi="Calibri" w:cs="黑体"/>
      <w:kern w:val="2"/>
      <w:sz w:val="21"/>
      <w:szCs w:val="21"/>
    </w:rPr>
  </w:style>
  <w:style w:type="character" w:customStyle="1" w:styleId="204">
    <w:name w:val="称呼 Char"/>
    <w:qFormat/>
    <w:uiPriority w:val="0"/>
  </w:style>
  <w:style w:type="character" w:customStyle="1" w:styleId="205">
    <w:name w:val="heading 5 Char1"/>
    <w:qFormat/>
    <w:uiPriority w:val="0"/>
    <w:rPr>
      <w:rFonts w:ascii="仿宋_GB2312" w:eastAsia="宋体"/>
      <w:b/>
      <w:bCs/>
      <w:kern w:val="2"/>
      <w:sz w:val="28"/>
      <w:szCs w:val="28"/>
      <w:lang w:val="en-US" w:eastAsia="zh-CN" w:bidi="ar-SA"/>
    </w:rPr>
  </w:style>
  <w:style w:type="character" w:customStyle="1" w:styleId="206">
    <w:name w:val="日期 Char2"/>
    <w:basedOn w:val="58"/>
    <w:semiHidden/>
    <w:uiPriority w:val="99"/>
    <w:rPr>
      <w:kern w:val="2"/>
      <w:sz w:val="21"/>
      <w:szCs w:val="24"/>
    </w:rPr>
  </w:style>
  <w:style w:type="character" w:customStyle="1" w:styleId="207">
    <w:name w:val="heading 9 Char1"/>
    <w:qFormat/>
    <w:uiPriority w:val="0"/>
    <w:rPr>
      <w:rFonts w:ascii="Arial" w:hAnsi="Arial" w:eastAsia="黑体"/>
      <w:b/>
      <w:sz w:val="21"/>
      <w:szCs w:val="32"/>
      <w:lang w:val="en-US" w:eastAsia="zh-CN" w:bidi="ar-SA"/>
    </w:rPr>
  </w:style>
  <w:style w:type="character" w:customStyle="1" w:styleId="208">
    <w:name w:val="明显参考1"/>
    <w:qFormat/>
    <w:uiPriority w:val="0"/>
    <w:rPr>
      <w:b/>
      <w:bCs/>
      <w:smallCaps/>
      <w:color w:val="C0504D"/>
      <w:spacing w:val="5"/>
      <w:u w:val="single"/>
    </w:rPr>
  </w:style>
  <w:style w:type="character" w:customStyle="1" w:styleId="209">
    <w:name w:val="批注主题 Char"/>
    <w:qFormat/>
    <w:uiPriority w:val="99"/>
    <w:rPr>
      <w:rFonts w:eastAsia="宋体"/>
      <w:b/>
      <w:bCs/>
      <w:kern w:val="2"/>
      <w:sz w:val="21"/>
      <w:szCs w:val="24"/>
      <w:lang w:val="en-US" w:eastAsia="zh-CN" w:bidi="ar-SA"/>
    </w:rPr>
  </w:style>
  <w:style w:type="character" w:customStyle="1" w:styleId="210">
    <w:name w:val="正文文本 Char Char"/>
    <w:qFormat/>
    <w:uiPriority w:val="0"/>
    <w:rPr>
      <w:rFonts w:ascii="Times New Roman" w:hAnsi="Times New Roman"/>
      <w:kern w:val="2"/>
      <w:sz w:val="21"/>
      <w:szCs w:val="24"/>
    </w:rPr>
  </w:style>
  <w:style w:type="character" w:customStyle="1" w:styleId="211">
    <w:name w:val="明显强调1"/>
    <w:qFormat/>
    <w:uiPriority w:val="0"/>
    <w:rPr>
      <w:b/>
      <w:bCs/>
      <w:i/>
      <w:iCs/>
      <w:color w:val="4F81BD"/>
    </w:rPr>
  </w:style>
  <w:style w:type="character" w:customStyle="1" w:styleId="212">
    <w:name w:val="标题 4 Char"/>
    <w:qFormat/>
    <w:uiPriority w:val="9"/>
    <w:rPr>
      <w:rFonts w:ascii="Arial" w:hAnsi="Arial" w:eastAsia="黑体"/>
      <w:b/>
      <w:bCs/>
      <w:kern w:val="2"/>
      <w:sz w:val="28"/>
      <w:szCs w:val="28"/>
      <w:lang w:val="en-US" w:eastAsia="zh-CN" w:bidi="ar-SA"/>
    </w:rPr>
  </w:style>
  <w:style w:type="character" w:customStyle="1" w:styleId="213">
    <w:name w:val="headline-content"/>
    <w:qFormat/>
    <w:uiPriority w:val="0"/>
  </w:style>
  <w:style w:type="character" w:customStyle="1" w:styleId="214">
    <w:name w:val="批注主题 Char1"/>
    <w:qFormat/>
    <w:uiPriority w:val="0"/>
    <w:rPr>
      <w:b/>
      <w:bCs/>
      <w:kern w:val="2"/>
      <w:sz w:val="21"/>
      <w:szCs w:val="24"/>
    </w:rPr>
  </w:style>
  <w:style w:type="character" w:customStyle="1" w:styleId="215">
    <w:name w:val="blue1"/>
    <w:qFormat/>
    <w:uiPriority w:val="0"/>
    <w:rPr>
      <w:rFonts w:ascii="仿宋_GB2312" w:hAnsi="Tahoma" w:eastAsia="仿宋_GB2312"/>
      <w:b/>
      <w:sz w:val="32"/>
      <w:szCs w:val="32"/>
    </w:rPr>
  </w:style>
  <w:style w:type="character" w:customStyle="1" w:styleId="216">
    <w:name w:val="heading 3 Char1"/>
    <w:qFormat/>
    <w:uiPriority w:val="0"/>
    <w:rPr>
      <w:rFonts w:ascii="仿宋_GB2312" w:eastAsia="宋体"/>
      <w:b/>
      <w:bCs/>
      <w:kern w:val="2"/>
      <w:sz w:val="32"/>
      <w:szCs w:val="32"/>
      <w:lang w:val="en-US" w:eastAsia="zh-CN" w:bidi="ar-SA"/>
    </w:rPr>
  </w:style>
  <w:style w:type="character" w:customStyle="1" w:styleId="217">
    <w:name w:val="Ò³Ã¼ Char Char1"/>
    <w:qFormat/>
    <w:uiPriority w:val="0"/>
    <w:rPr>
      <w:rFonts w:ascii="仿宋_GB2312" w:eastAsia="宋体"/>
      <w:b/>
      <w:kern w:val="2"/>
      <w:sz w:val="18"/>
      <w:szCs w:val="18"/>
      <w:lang w:val="en-US" w:eastAsia="zh-CN" w:bidi="ar-SA"/>
    </w:rPr>
  </w:style>
  <w:style w:type="character" w:customStyle="1" w:styleId="218">
    <w:name w:val="书籍标题1"/>
    <w:qFormat/>
    <w:uiPriority w:val="0"/>
    <w:rPr>
      <w:b/>
      <w:bCs/>
      <w:smallCaps/>
      <w:spacing w:val="5"/>
    </w:rPr>
  </w:style>
  <w:style w:type="character" w:customStyle="1" w:styleId="219">
    <w:name w:val="称呼 Char1"/>
    <w:basedOn w:val="58"/>
    <w:semiHidden/>
    <w:uiPriority w:val="99"/>
    <w:rPr>
      <w:kern w:val="2"/>
      <w:sz w:val="21"/>
      <w:szCs w:val="24"/>
    </w:rPr>
  </w:style>
  <w:style w:type="character" w:customStyle="1" w:styleId="220">
    <w:name w:val="smalltxt1"/>
    <w:qFormat/>
    <w:uiPriority w:val="0"/>
    <w:rPr>
      <w:rFonts w:hint="default" w:ascii="ˎ̥" w:hAnsi="ˎ̥" w:eastAsia="仿宋_GB2312"/>
      <w:b/>
      <w:sz w:val="24"/>
      <w:szCs w:val="24"/>
    </w:rPr>
  </w:style>
  <w:style w:type="character" w:customStyle="1" w:styleId="221">
    <w:name w:val="明显引用 Char"/>
    <w:link w:val="222"/>
    <w:qFormat/>
    <w:uiPriority w:val="0"/>
    <w:rPr>
      <w:rFonts w:ascii="Calibri" w:hAnsi="Calibri"/>
      <w:b/>
      <w:bCs/>
      <w:i/>
      <w:iCs/>
      <w:color w:val="4F81BD"/>
      <w:sz w:val="32"/>
      <w:szCs w:val="32"/>
    </w:rPr>
  </w:style>
  <w:style w:type="paragraph" w:customStyle="1" w:styleId="222">
    <w:name w:val="Intense Quote"/>
    <w:basedOn w:val="1"/>
    <w:next w:val="1"/>
    <w:link w:val="221"/>
    <w:qFormat/>
    <w:uiPriority w:val="0"/>
    <w:pPr>
      <w:pBdr>
        <w:bottom w:val="single" w:color="4F81BD" w:sz="4" w:space="4"/>
      </w:pBdr>
      <w:spacing w:before="200" w:after="280"/>
      <w:ind w:left="936" w:right="936"/>
    </w:pPr>
    <w:rPr>
      <w:b/>
      <w:bCs/>
      <w:i/>
      <w:iCs/>
      <w:color w:val="4F81BD"/>
      <w:kern w:val="0"/>
      <w:sz w:val="32"/>
      <w:szCs w:val="32"/>
    </w:rPr>
  </w:style>
  <w:style w:type="character" w:customStyle="1" w:styleId="223">
    <w:name w:val="不明显参考1"/>
    <w:qFormat/>
    <w:uiPriority w:val="0"/>
    <w:rPr>
      <w:smallCaps/>
      <w:color w:val="C0504D"/>
      <w:u w:val="single"/>
    </w:rPr>
  </w:style>
  <w:style w:type="character" w:customStyle="1" w:styleId="224">
    <w:name w:val="Char Char Char"/>
    <w:qFormat/>
    <w:uiPriority w:val="0"/>
    <w:rPr>
      <w:rFonts w:ascii="宋体" w:hAnsi="宋体" w:eastAsia="宋体"/>
      <w:kern w:val="2"/>
      <w:sz w:val="18"/>
      <w:szCs w:val="18"/>
      <w:lang w:val="en-US" w:eastAsia="zh-CN" w:bidi="ar-SA"/>
    </w:rPr>
  </w:style>
  <w:style w:type="character" w:customStyle="1" w:styleId="225">
    <w:name w:val="Char Char61"/>
    <w:qFormat/>
    <w:uiPriority w:val="0"/>
    <w:rPr>
      <w:rFonts w:ascii="Times New Roman" w:hAnsi="Times New Roman" w:eastAsia="宋体" w:cs="Times New Roman"/>
      <w:szCs w:val="24"/>
    </w:rPr>
  </w:style>
  <w:style w:type="character" w:customStyle="1" w:styleId="226">
    <w:name w:val="heading 3 Char"/>
    <w:qFormat/>
    <w:uiPriority w:val="0"/>
    <w:rPr>
      <w:rFonts w:ascii="Arial" w:hAnsi="Arial" w:eastAsia="黑体"/>
      <w:b/>
      <w:sz w:val="28"/>
      <w:szCs w:val="24"/>
    </w:rPr>
  </w:style>
  <w:style w:type="character" w:customStyle="1" w:styleId="227">
    <w:name w:val="Plain Text Char"/>
    <w:qFormat/>
    <w:uiPriority w:val="0"/>
    <w:rPr>
      <w:rFonts w:ascii="宋体" w:hAnsi="Courier New" w:eastAsia="宋体" w:cs="Times New Roman"/>
      <w:sz w:val="21"/>
      <w:szCs w:val="21"/>
    </w:rPr>
  </w:style>
  <w:style w:type="character" w:customStyle="1" w:styleId="228">
    <w:name w:val=" Char Char20"/>
    <w:link w:val="38"/>
    <w:qFormat/>
    <w:uiPriority w:val="0"/>
    <w:rPr>
      <w:kern w:val="2"/>
      <w:sz w:val="18"/>
      <w:szCs w:val="18"/>
    </w:rPr>
  </w:style>
  <w:style w:type="character" w:customStyle="1" w:styleId="229">
    <w:name w:val="Texte Char Char"/>
    <w:qFormat/>
    <w:uiPriority w:val="0"/>
    <w:rPr>
      <w:rFonts w:ascii="宋体" w:hAnsi="Courier New" w:eastAsia="宋体"/>
      <w:b/>
      <w:sz w:val="21"/>
      <w:szCs w:val="21"/>
      <w:lang w:val="en-US" w:eastAsia="zh-CN" w:bidi="ar-SA"/>
    </w:rPr>
  </w:style>
  <w:style w:type="character" w:customStyle="1" w:styleId="230">
    <w:name w:val="正文缩进 字符"/>
    <w:qFormat/>
    <w:uiPriority w:val="0"/>
    <w:rPr>
      <w:rFonts w:eastAsia="宋体"/>
      <w:sz w:val="21"/>
      <w:lang w:val="en-US" w:eastAsia="zh-CN" w:bidi="ar-SA"/>
    </w:rPr>
  </w:style>
  <w:style w:type="character" w:customStyle="1" w:styleId="231">
    <w:name w:val=" Char Char23"/>
    <w:link w:val="42"/>
    <w:qFormat/>
    <w:uiPriority w:val="0"/>
    <w:rPr>
      <w:rFonts w:ascii="Cambria" w:hAnsi="Cambria"/>
      <w:b/>
      <w:bCs/>
      <w:kern w:val="28"/>
      <w:sz w:val="32"/>
      <w:szCs w:val="32"/>
    </w:rPr>
  </w:style>
  <w:style w:type="character" w:customStyle="1" w:styleId="232">
    <w:name w:val=" Char Char5"/>
    <w:link w:val="15"/>
    <w:qFormat/>
    <w:uiPriority w:val="0"/>
    <w:rPr>
      <w:rFonts w:eastAsia="黑体"/>
      <w:kern w:val="2"/>
      <w:sz w:val="28"/>
    </w:rPr>
  </w:style>
  <w:style w:type="character" w:customStyle="1" w:styleId="233">
    <w:name w:val="Ò³Ã¼ Char Char"/>
    <w:qFormat/>
    <w:uiPriority w:val="0"/>
    <w:rPr>
      <w:rFonts w:ascii="仿宋_GB2312" w:eastAsia="仿宋_GB2312"/>
      <w:b/>
      <w:sz w:val="18"/>
      <w:szCs w:val="18"/>
    </w:rPr>
  </w:style>
  <w:style w:type="character" w:customStyle="1" w:styleId="234">
    <w:name w:val=" Char Char"/>
    <w:link w:val="17"/>
    <w:qFormat/>
    <w:uiPriority w:val="0"/>
    <w:rPr>
      <w:rFonts w:ascii="Arial" w:hAnsi="Arial" w:eastAsia="黑体" w:cs="Arial"/>
    </w:rPr>
  </w:style>
  <w:style w:type="character" w:customStyle="1" w:styleId="235">
    <w:name w:val="aaaaaaaaaaaaaa Char Char"/>
    <w:link w:val="236"/>
    <w:qFormat/>
    <w:uiPriority w:val="0"/>
    <w:rPr>
      <w:kern w:val="2"/>
    </w:rPr>
  </w:style>
  <w:style w:type="paragraph" w:customStyle="1" w:styleId="236">
    <w:name w:val="aaaaaaaaaaaaaa"/>
    <w:basedOn w:val="1"/>
    <w:link w:val="235"/>
    <w:qFormat/>
    <w:uiPriority w:val="0"/>
    <w:pPr>
      <w:spacing w:line="360" w:lineRule="auto"/>
      <w:ind w:firstLine="485" w:firstLineChars="202"/>
    </w:pPr>
    <w:rPr>
      <w:sz w:val="20"/>
      <w:szCs w:val="20"/>
    </w:rPr>
  </w:style>
  <w:style w:type="character" w:customStyle="1" w:styleId="237">
    <w:name w:val=" Char Char1"/>
    <w:link w:val="21"/>
    <w:qFormat/>
    <w:uiPriority w:val="0"/>
    <w:rPr>
      <w:szCs w:val="20"/>
    </w:rPr>
  </w:style>
  <w:style w:type="character" w:customStyle="1" w:styleId="238">
    <w:name w:val="文档正文 Char"/>
    <w:link w:val="239"/>
    <w:qFormat/>
    <w:locked/>
    <w:uiPriority w:val="0"/>
    <w:rPr>
      <w:sz w:val="24"/>
    </w:rPr>
  </w:style>
  <w:style w:type="paragraph" w:customStyle="1" w:styleId="239">
    <w:name w:val="文档正文"/>
    <w:basedOn w:val="1"/>
    <w:link w:val="238"/>
    <w:qFormat/>
    <w:uiPriority w:val="0"/>
    <w:pPr>
      <w:adjustRightInd w:val="0"/>
      <w:spacing w:line="300" w:lineRule="auto"/>
      <w:ind w:firstLine="567"/>
      <w:textAlignment w:val="baseline"/>
    </w:pPr>
    <w:rPr>
      <w:kern w:val="0"/>
      <w:sz w:val="24"/>
      <w:szCs w:val="20"/>
    </w:rPr>
  </w:style>
  <w:style w:type="character" w:customStyle="1" w:styleId="240">
    <w:name w:val="gray6"/>
    <w:qFormat/>
    <w:uiPriority w:val="0"/>
    <w:rPr>
      <w:rFonts w:ascii="仿宋_GB2312" w:hAnsi="Tahoma" w:eastAsia="仿宋_GB2312"/>
      <w:b/>
      <w:sz w:val="32"/>
      <w:szCs w:val="32"/>
    </w:rPr>
  </w:style>
  <w:style w:type="character" w:customStyle="1" w:styleId="241">
    <w:name w:val="样式2 Char"/>
    <w:qFormat/>
    <w:uiPriority w:val="0"/>
    <w:rPr>
      <w:rFonts w:ascii="Arial" w:hAnsi="Arial" w:eastAsia="黑体"/>
      <w:b/>
      <w:bCs/>
      <w:sz w:val="36"/>
      <w:szCs w:val="32"/>
    </w:rPr>
  </w:style>
  <w:style w:type="character" w:customStyle="1" w:styleId="242">
    <w:name w:val="font12"/>
    <w:uiPriority w:val="0"/>
    <w:rPr>
      <w:rFonts w:hint="eastAsia" w:ascii="宋体" w:hAnsi="宋体" w:eastAsia="宋体" w:cs="宋体"/>
      <w:color w:val="000000"/>
      <w:sz w:val="20"/>
      <w:szCs w:val="20"/>
      <w:u w:val="none"/>
    </w:rPr>
  </w:style>
  <w:style w:type="character" w:customStyle="1" w:styleId="243">
    <w:name w:val="标题 Char1"/>
    <w:qFormat/>
    <w:uiPriority w:val="0"/>
    <w:rPr>
      <w:rFonts w:ascii="Cambria" w:hAnsi="Cambria" w:cs="Times New Roman"/>
      <w:b/>
      <w:bCs/>
      <w:kern w:val="2"/>
      <w:sz w:val="32"/>
      <w:szCs w:val="32"/>
    </w:rPr>
  </w:style>
  <w:style w:type="character" w:customStyle="1" w:styleId="244">
    <w:name w:val="hover30"/>
    <w:qFormat/>
    <w:uiPriority w:val="0"/>
    <w:rPr>
      <w:szCs w:val="20"/>
    </w:rPr>
  </w:style>
  <w:style w:type="character" w:customStyle="1" w:styleId="245">
    <w:name w:val="栏目标题 Char"/>
    <w:link w:val="246"/>
    <w:qFormat/>
    <w:uiPriority w:val="0"/>
    <w:rPr>
      <w:rFonts w:ascii="黑体" w:hAnsi="黑体" w:eastAsia="黑体"/>
      <w:b/>
      <w:kern w:val="2"/>
      <w:sz w:val="21"/>
      <w:szCs w:val="24"/>
    </w:rPr>
  </w:style>
  <w:style w:type="paragraph" w:customStyle="1" w:styleId="246">
    <w:name w:val="栏目标题"/>
    <w:basedOn w:val="1"/>
    <w:link w:val="245"/>
    <w:qFormat/>
    <w:uiPriority w:val="0"/>
    <w:pPr>
      <w:jc w:val="center"/>
    </w:pPr>
    <w:rPr>
      <w:rFonts w:ascii="黑体" w:hAnsi="黑体" w:eastAsia="黑体"/>
      <w:b/>
    </w:rPr>
  </w:style>
  <w:style w:type="character" w:customStyle="1" w:styleId="247">
    <w:name w:val="标题 Char2"/>
    <w:basedOn w:val="58"/>
    <w:uiPriority w:val="10"/>
    <w:rPr>
      <w:rFonts w:ascii="Cambria" w:hAnsi="Cambria" w:cs="Times New Roman"/>
      <w:b/>
      <w:bCs/>
      <w:kern w:val="2"/>
      <w:sz w:val="32"/>
      <w:szCs w:val="32"/>
    </w:rPr>
  </w:style>
  <w:style w:type="character" w:customStyle="1" w:styleId="248">
    <w:name w:val="宏文本 Char"/>
    <w:qFormat/>
    <w:uiPriority w:val="0"/>
    <w:rPr>
      <w:rFonts w:ascii="Courier New" w:hAnsi="Courier New"/>
      <w:kern w:val="2"/>
      <w:sz w:val="24"/>
      <w:szCs w:val="24"/>
    </w:rPr>
  </w:style>
  <w:style w:type="character" w:customStyle="1" w:styleId="249">
    <w:name w:val="标题 2 Char1"/>
    <w:qFormat/>
    <w:uiPriority w:val="0"/>
    <w:rPr>
      <w:rFonts w:ascii="Arial" w:hAnsi="Arial" w:eastAsia="黑体"/>
      <w:b/>
      <w:bCs/>
      <w:kern w:val="2"/>
      <w:sz w:val="32"/>
      <w:szCs w:val="32"/>
    </w:rPr>
  </w:style>
  <w:style w:type="character" w:customStyle="1" w:styleId="250">
    <w:name w:val="正文缩进 Char2"/>
    <w:qFormat/>
    <w:uiPriority w:val="0"/>
    <w:rPr>
      <w:rFonts w:ascii="Tahoma" w:hAnsi="Tahoma" w:eastAsia="宋体"/>
      <w:b/>
      <w:bCs/>
      <w:kern w:val="2"/>
      <w:sz w:val="24"/>
      <w:szCs w:val="24"/>
      <w:lang w:val="en-US" w:eastAsia="zh-CN" w:bidi="ar-SA"/>
    </w:rPr>
  </w:style>
  <w:style w:type="character" w:customStyle="1" w:styleId="251">
    <w:name w:val="样式 宋体1"/>
    <w:qFormat/>
    <w:uiPriority w:val="0"/>
    <w:rPr>
      <w:rFonts w:ascii="宋体" w:hAnsi="宋体" w:eastAsia="宋体"/>
      <w:sz w:val="24"/>
    </w:rPr>
  </w:style>
  <w:style w:type="character" w:customStyle="1" w:styleId="252">
    <w:name w:val="box-header-con"/>
    <w:qFormat/>
    <w:uiPriority w:val="0"/>
  </w:style>
  <w:style w:type="character" w:customStyle="1" w:styleId="253">
    <w:name w:val="upload"/>
    <w:qFormat/>
    <w:uiPriority w:val="0"/>
    <w:rPr>
      <w:szCs w:val="20"/>
    </w:rPr>
  </w:style>
  <w:style w:type="character" w:customStyle="1" w:styleId="254">
    <w:name w:val=" Char Char15"/>
    <w:link w:val="19"/>
    <w:qFormat/>
    <w:uiPriority w:val="0"/>
    <w:rPr>
      <w:kern w:val="2"/>
      <w:sz w:val="21"/>
      <w:szCs w:val="24"/>
      <w:shd w:val="clear" w:color="auto" w:fill="000080"/>
    </w:rPr>
  </w:style>
  <w:style w:type="character" w:customStyle="1" w:styleId="255">
    <w:name w:val="font31"/>
    <w:qFormat/>
    <w:uiPriority w:val="0"/>
    <w:rPr>
      <w:rFonts w:hint="eastAsia" w:ascii="宋体" w:hAnsi="宋体" w:eastAsia="宋体" w:cs="宋体"/>
      <w:color w:val="000000"/>
      <w:sz w:val="20"/>
      <w:szCs w:val="20"/>
      <w:u w:val="none"/>
    </w:rPr>
  </w:style>
  <w:style w:type="character" w:customStyle="1" w:styleId="256">
    <w:name w:val="标题 4 Char1"/>
    <w:qFormat/>
    <w:uiPriority w:val="0"/>
    <w:rPr>
      <w:rFonts w:ascii="Cambria" w:hAnsi="Cambria"/>
      <w:b/>
      <w:bCs/>
      <w:kern w:val="2"/>
      <w:sz w:val="28"/>
      <w:szCs w:val="28"/>
    </w:rPr>
  </w:style>
  <w:style w:type="character" w:customStyle="1" w:styleId="257">
    <w:name w:val=" Char Char22"/>
    <w:link w:val="35"/>
    <w:qFormat/>
    <w:uiPriority w:val="0"/>
    <w:rPr>
      <w:kern w:val="2"/>
      <w:sz w:val="21"/>
      <w:szCs w:val="24"/>
    </w:rPr>
  </w:style>
  <w:style w:type="character" w:customStyle="1" w:styleId="258">
    <w:name w:val="Char1"/>
    <w:qFormat/>
    <w:uiPriority w:val="0"/>
    <w:rPr>
      <w:rFonts w:ascii="宋体" w:hAnsi="宋体" w:eastAsia="宋体"/>
      <w:b/>
      <w:kern w:val="2"/>
      <w:sz w:val="24"/>
      <w:szCs w:val="24"/>
      <w:lang w:val="en-US" w:eastAsia="zh-CN" w:bidi="ar-SA"/>
    </w:rPr>
  </w:style>
  <w:style w:type="character" w:customStyle="1" w:styleId="259">
    <w:name w:val="ändrad Char"/>
    <w:qFormat/>
    <w:uiPriority w:val="0"/>
    <w:rPr>
      <w:rFonts w:ascii="仿宋_GB2312" w:eastAsia="宋体"/>
      <w:b/>
      <w:kern w:val="2"/>
      <w:sz w:val="21"/>
      <w:szCs w:val="24"/>
      <w:lang w:val="en-US" w:eastAsia="zh-CN" w:bidi="ar-SA"/>
    </w:rPr>
  </w:style>
  <w:style w:type="character" w:customStyle="1" w:styleId="260">
    <w:name w:val="标书标题 3 Char Char Char"/>
    <w:link w:val="261"/>
    <w:qFormat/>
    <w:uiPriority w:val="0"/>
    <w:rPr>
      <w:rFonts w:ascii="Arial" w:hAnsi="Arial" w:eastAsia="仿宋_GB2312" w:cs="Times New Roman"/>
      <w:b/>
      <w:kern w:val="2"/>
      <w:sz w:val="24"/>
      <w:szCs w:val="32"/>
    </w:rPr>
  </w:style>
  <w:style w:type="paragraph" w:customStyle="1" w:styleId="261">
    <w:name w:val="标书标题 3 Char"/>
    <w:basedOn w:val="1"/>
    <w:link w:val="260"/>
    <w:qFormat/>
    <w:uiPriority w:val="0"/>
    <w:pPr>
      <w:tabs>
        <w:tab w:val="left" w:pos="720"/>
      </w:tabs>
      <w:spacing w:line="360" w:lineRule="auto"/>
      <w:outlineLvl w:val="2"/>
    </w:pPr>
    <w:rPr>
      <w:rFonts w:ascii="Arial" w:hAnsi="Arial" w:eastAsia="仿宋_GB2312"/>
      <w:b/>
      <w:sz w:val="24"/>
      <w:szCs w:val="32"/>
    </w:rPr>
  </w:style>
  <w:style w:type="character" w:customStyle="1" w:styleId="262">
    <w:name w:val="apple-style-span"/>
    <w:qFormat/>
    <w:uiPriority w:val="0"/>
  </w:style>
  <w:style w:type="character" w:customStyle="1" w:styleId="263">
    <w:name w:val="编号正文缩进 Char Char"/>
    <w:qFormat/>
    <w:uiPriority w:val="0"/>
    <w:rPr>
      <w:sz w:val="24"/>
    </w:rPr>
  </w:style>
  <w:style w:type="character" w:customStyle="1" w:styleId="264">
    <w:name w:val="red"/>
    <w:qFormat/>
    <w:uiPriority w:val="0"/>
    <w:rPr>
      <w:color w:val="FF0000"/>
      <w:szCs w:val="20"/>
    </w:rPr>
  </w:style>
  <w:style w:type="character" w:customStyle="1" w:styleId="265">
    <w:name w:val="样式 样式 正文首行缩进 + 首行缩进:  2 字符 + 首行缩进:  2 字符 Char"/>
    <w:link w:val="266"/>
    <w:qFormat/>
    <w:uiPriority w:val="0"/>
    <w:rPr>
      <w:rFonts w:cs="宋体"/>
      <w:kern w:val="2"/>
      <w:sz w:val="24"/>
    </w:rPr>
  </w:style>
  <w:style w:type="paragraph" w:customStyle="1" w:styleId="266">
    <w:name w:val="样式 样式 正文首行缩进 + 首行缩进:  2 字符 + 首行缩进:  2 字符"/>
    <w:basedOn w:val="1"/>
    <w:link w:val="265"/>
    <w:qFormat/>
    <w:uiPriority w:val="0"/>
    <w:pPr>
      <w:spacing w:line="440" w:lineRule="exact"/>
      <w:ind w:firstLine="200" w:firstLineChars="200"/>
    </w:pPr>
    <w:rPr>
      <w:sz w:val="24"/>
      <w:szCs w:val="20"/>
    </w:rPr>
  </w:style>
  <w:style w:type="character" w:customStyle="1" w:styleId="267">
    <w:name w:val="题注(图注) Char"/>
    <w:qFormat/>
    <w:uiPriority w:val="0"/>
    <w:rPr>
      <w:rFonts w:ascii="Arial Unicode MS" w:hAnsi="Arial Unicode MS" w:eastAsia="宋体" w:cs="宋体"/>
      <w:szCs w:val="20"/>
      <w:lang w:val="en-US" w:eastAsia="zh-CN"/>
    </w:rPr>
  </w:style>
  <w:style w:type="character" w:customStyle="1" w:styleId="268">
    <w:name w:val="Style4"/>
    <w:qFormat/>
    <w:uiPriority w:val="0"/>
    <w:rPr>
      <w:rFonts w:ascii="Calibri" w:hAnsi="宋体" w:eastAsia="宋体" w:cs="Times New Roman"/>
      <w:szCs w:val="22"/>
      <w:lang w:eastAsia="zh-CN"/>
    </w:rPr>
  </w:style>
  <w:style w:type="character" w:customStyle="1" w:styleId="269">
    <w:name w:val="注释正文"/>
    <w:qFormat/>
    <w:uiPriority w:val="0"/>
    <w:rPr>
      <w:rFonts w:eastAsia="宋体"/>
      <w:sz w:val="28"/>
      <w:u w:val="single"/>
    </w:rPr>
  </w:style>
  <w:style w:type="character" w:customStyle="1" w:styleId="270">
    <w:name w:val="纯文本 Char1"/>
    <w:qFormat/>
    <w:uiPriority w:val="0"/>
    <w:rPr>
      <w:rFonts w:ascii="宋体" w:hAnsi="Courier New"/>
      <w:kern w:val="2"/>
      <w:sz w:val="21"/>
    </w:rPr>
  </w:style>
  <w:style w:type="character" w:customStyle="1" w:styleId="271">
    <w:name w:val=" Char Char8"/>
    <w:link w:val="47"/>
    <w:qFormat/>
    <w:uiPriority w:val="99"/>
    <w:rPr>
      <w:kern w:val="2"/>
      <w:sz w:val="16"/>
      <w:szCs w:val="16"/>
    </w:rPr>
  </w:style>
  <w:style w:type="character" w:customStyle="1" w:styleId="272">
    <w:name w:val="批注文字 Char2"/>
    <w:basedOn w:val="58"/>
    <w:semiHidden/>
    <w:uiPriority w:val="99"/>
    <w:rPr>
      <w:kern w:val="2"/>
      <w:sz w:val="21"/>
      <w:szCs w:val="24"/>
    </w:rPr>
  </w:style>
  <w:style w:type="character" w:customStyle="1" w:styleId="273">
    <w:name w:val="HTML 预设格式 Char1"/>
    <w:qFormat/>
    <w:uiPriority w:val="99"/>
    <w:rPr>
      <w:rFonts w:ascii="Courier New" w:hAnsi="Courier New" w:cs="Courier New"/>
      <w:kern w:val="2"/>
    </w:rPr>
  </w:style>
  <w:style w:type="character" w:customStyle="1" w:styleId="274">
    <w:name w:val="列出段落 Char1"/>
    <w:qFormat/>
    <w:uiPriority w:val="0"/>
    <w:rPr>
      <w:kern w:val="2"/>
      <w:sz w:val="21"/>
    </w:rPr>
  </w:style>
  <w:style w:type="character" w:customStyle="1" w:styleId="275">
    <w:name w:val=" Char Char11"/>
    <w:link w:val="23"/>
    <w:qFormat/>
    <w:uiPriority w:val="0"/>
    <w:rPr>
      <w:rFonts w:ascii="Tahoma" w:hAnsi="Tahoma"/>
      <w:kern w:val="2"/>
      <w:sz w:val="21"/>
      <w:szCs w:val="24"/>
    </w:rPr>
  </w:style>
  <w:style w:type="character" w:customStyle="1" w:styleId="276">
    <w:name w:val="正文首行缩进 Char"/>
    <w:qFormat/>
    <w:uiPriority w:val="0"/>
    <w:rPr>
      <w:rFonts w:ascii="仿宋_GB2312" w:eastAsia="宋体"/>
      <w:b/>
      <w:kern w:val="2"/>
      <w:sz w:val="21"/>
      <w:szCs w:val="24"/>
      <w:lang w:val="en-US" w:eastAsia="zh-CN" w:bidi="ar-SA"/>
    </w:rPr>
  </w:style>
  <w:style w:type="character" w:customStyle="1" w:styleId="277">
    <w:name w:val="表格 Char Char"/>
    <w:link w:val="278"/>
    <w:qFormat/>
    <w:uiPriority w:val="0"/>
    <w:rPr>
      <w:rFonts w:ascii="宋体" w:hAnsi="宋体"/>
      <w:b/>
      <w:sz w:val="32"/>
      <w:szCs w:val="32"/>
    </w:rPr>
  </w:style>
  <w:style w:type="paragraph" w:customStyle="1" w:styleId="278">
    <w:name w:val="表格"/>
    <w:basedOn w:val="1"/>
    <w:link w:val="277"/>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279">
    <w:name w:val="heading 8 Char1"/>
    <w:qFormat/>
    <w:uiPriority w:val="0"/>
    <w:rPr>
      <w:rFonts w:ascii="Arial" w:hAnsi="Arial" w:eastAsia="黑体"/>
      <w:b/>
      <w:sz w:val="24"/>
      <w:szCs w:val="32"/>
      <w:lang w:val="en-US" w:eastAsia="zh-CN" w:bidi="ar-SA"/>
    </w:rPr>
  </w:style>
  <w:style w:type="character" w:customStyle="1" w:styleId="280">
    <w:name w:val="Char Char Char Char Char Char Char Char Char"/>
    <w:qFormat/>
    <w:uiPriority w:val="0"/>
    <w:rPr>
      <w:rFonts w:ascii="宋体" w:hAnsi="Courier New" w:eastAsia="宋体"/>
      <w:b/>
      <w:sz w:val="21"/>
      <w:szCs w:val="21"/>
      <w:lang w:val="en-US" w:eastAsia="zh-CN" w:bidi="ar-SA"/>
    </w:rPr>
  </w:style>
  <w:style w:type="character" w:customStyle="1" w:styleId="281">
    <w:name w:val="PI Char2"/>
    <w:qFormat/>
    <w:uiPriority w:val="0"/>
    <w:rPr>
      <w:rFonts w:ascii="仿宋_GB2312" w:eastAsia="仿宋_GB2312"/>
      <w:b/>
      <w:kern w:val="2"/>
      <w:sz w:val="24"/>
      <w:szCs w:val="24"/>
    </w:rPr>
  </w:style>
  <w:style w:type="character" w:customStyle="1" w:styleId="282">
    <w:name w:val=" Char Char24"/>
    <w:link w:val="37"/>
    <w:qFormat/>
    <w:uiPriority w:val="0"/>
    <w:rPr>
      <w:kern w:val="2"/>
      <w:sz w:val="18"/>
      <w:szCs w:val="18"/>
    </w:rPr>
  </w:style>
  <w:style w:type="character" w:customStyle="1" w:styleId="283">
    <w:name w:val="count"/>
    <w:qFormat/>
    <w:uiPriority w:val="0"/>
  </w:style>
  <w:style w:type="character" w:customStyle="1" w:styleId="284">
    <w:name w:val="页脚 Char1"/>
    <w:qFormat/>
    <w:uiPriority w:val="0"/>
    <w:rPr>
      <w:kern w:val="2"/>
      <w:sz w:val="18"/>
      <w:szCs w:val="18"/>
    </w:rPr>
  </w:style>
  <w:style w:type="character" w:customStyle="1" w:styleId="285">
    <w:name w:val=" Char Char34"/>
    <w:link w:val="4"/>
    <w:qFormat/>
    <w:uiPriority w:val="0"/>
    <w:rPr>
      <w:rFonts w:ascii="楷体_GB2312" w:hAnsi="Tahoma" w:eastAsia="楷体_GB2312"/>
      <w:b/>
      <w:bCs/>
      <w:kern w:val="2"/>
      <w:sz w:val="21"/>
      <w:szCs w:val="24"/>
    </w:rPr>
  </w:style>
  <w:style w:type="character" w:customStyle="1" w:styleId="286">
    <w:name w:val="dandyren_title1"/>
    <w:qFormat/>
    <w:uiPriority w:val="0"/>
    <w:rPr>
      <w:rFonts w:ascii="仿宋_GB2312" w:eastAsia="仿宋_GB2312"/>
      <w:b/>
      <w:bCs/>
      <w:color w:val="FF6633"/>
      <w:sz w:val="18"/>
      <w:szCs w:val="18"/>
    </w:rPr>
  </w:style>
  <w:style w:type="character" w:customStyle="1" w:styleId="287">
    <w:name w:val="Heading 2 Hidden Char1 Char"/>
    <w:qFormat/>
    <w:uiPriority w:val="0"/>
    <w:rPr>
      <w:rFonts w:ascii="宋体" w:hAnsi="Times New Roman" w:eastAsia="宋体" w:cs="Times New Roman"/>
      <w:kern w:val="0"/>
      <w:sz w:val="24"/>
      <w:szCs w:val="24"/>
    </w:rPr>
  </w:style>
  <w:style w:type="character" w:customStyle="1" w:styleId="288">
    <w:name w:val="Footer-Even Char"/>
    <w:qFormat/>
    <w:uiPriority w:val="0"/>
    <w:rPr>
      <w:rFonts w:ascii="仿宋_GB2312" w:eastAsia="仿宋_GB2312"/>
      <w:b/>
      <w:sz w:val="18"/>
      <w:szCs w:val="18"/>
    </w:rPr>
  </w:style>
  <w:style w:type="character" w:customStyle="1" w:styleId="289">
    <w:name w:val="小标题 Char Char"/>
    <w:qFormat/>
    <w:uiPriority w:val="0"/>
    <w:rPr>
      <w:rFonts w:ascii="黑体" w:hAnsi="黑体" w:eastAsia="黑体"/>
      <w:b/>
      <w:bCs/>
      <w:kern w:val="2"/>
      <w:sz w:val="48"/>
      <w:szCs w:val="48"/>
    </w:rPr>
  </w:style>
  <w:style w:type="character" w:customStyle="1" w:styleId="290">
    <w:name w:val="Char Char19"/>
    <w:qFormat/>
    <w:uiPriority w:val="0"/>
    <w:rPr>
      <w:rFonts w:ascii="Cambria" w:hAnsi="Cambria" w:eastAsia="仿宋_GB2312"/>
      <w:b/>
      <w:bCs/>
      <w:kern w:val="2"/>
      <w:sz w:val="32"/>
      <w:szCs w:val="32"/>
    </w:rPr>
  </w:style>
  <w:style w:type="character" w:customStyle="1" w:styleId="291">
    <w:name w:val="正文首行缩进 Char3"/>
    <w:basedOn w:val="292"/>
    <w:semiHidden/>
    <w:uiPriority w:val="99"/>
  </w:style>
  <w:style w:type="character" w:customStyle="1" w:styleId="292">
    <w:name w:val="正文文本 Char"/>
    <w:qFormat/>
    <w:uiPriority w:val="99"/>
    <w:rPr>
      <w:rFonts w:ascii="仿宋_GB2312" w:eastAsia="宋体"/>
      <w:b/>
      <w:kern w:val="2"/>
      <w:sz w:val="21"/>
      <w:szCs w:val="24"/>
      <w:lang w:val="en-US" w:eastAsia="zh-CN" w:bidi="ar-SA"/>
    </w:rPr>
  </w:style>
  <w:style w:type="character" w:customStyle="1" w:styleId="293">
    <w:name w:val="正文居中 Char"/>
    <w:link w:val="294"/>
    <w:qFormat/>
    <w:uiPriority w:val="0"/>
    <w:rPr>
      <w:kern w:val="2"/>
      <w:sz w:val="21"/>
      <w:szCs w:val="24"/>
    </w:rPr>
  </w:style>
  <w:style w:type="paragraph" w:customStyle="1" w:styleId="294">
    <w:name w:val="正文居中"/>
    <w:basedOn w:val="1"/>
    <w:link w:val="293"/>
    <w:qFormat/>
    <w:uiPriority w:val="0"/>
    <w:pPr>
      <w:jc w:val="center"/>
    </w:pPr>
  </w:style>
  <w:style w:type="character" w:customStyle="1" w:styleId="295">
    <w:name w:val="pages"/>
    <w:qFormat/>
    <w:uiPriority w:val="0"/>
    <w:rPr>
      <w:color w:val="999999"/>
      <w:szCs w:val="20"/>
    </w:rPr>
  </w:style>
  <w:style w:type="character" w:customStyle="1" w:styleId="296">
    <w:name w:val=" Char Char31"/>
    <w:link w:val="8"/>
    <w:qFormat/>
    <w:uiPriority w:val="0"/>
    <w:rPr>
      <w:rFonts w:ascii="Cambria" w:hAnsi="Cambria"/>
      <w:b/>
      <w:bCs/>
      <w:kern w:val="2"/>
      <w:sz w:val="28"/>
      <w:szCs w:val="28"/>
    </w:rPr>
  </w:style>
  <w:style w:type="character" w:customStyle="1" w:styleId="297">
    <w:name w:val="heading 4 Char2"/>
    <w:qFormat/>
    <w:uiPriority w:val="0"/>
    <w:rPr>
      <w:rFonts w:ascii="Cambria" w:hAnsi="Cambria" w:eastAsia="仿宋_GB2312"/>
      <w:b/>
      <w:bCs/>
      <w:kern w:val="2"/>
      <w:sz w:val="28"/>
      <w:szCs w:val="28"/>
    </w:rPr>
  </w:style>
  <w:style w:type="character" w:customStyle="1" w:styleId="298">
    <w:name w:val="批注框文本 Char2"/>
    <w:basedOn w:val="58"/>
    <w:semiHidden/>
    <w:uiPriority w:val="99"/>
    <w:rPr>
      <w:kern w:val="2"/>
      <w:sz w:val="18"/>
      <w:szCs w:val="18"/>
    </w:rPr>
  </w:style>
  <w:style w:type="character" w:customStyle="1" w:styleId="299">
    <w:name w:val="小标题 Char"/>
    <w:link w:val="300"/>
    <w:qFormat/>
    <w:uiPriority w:val="0"/>
    <w:rPr>
      <w:rFonts w:eastAsia="黑体"/>
    </w:rPr>
  </w:style>
  <w:style w:type="paragraph" w:customStyle="1" w:styleId="300">
    <w:name w:val="小标题"/>
    <w:basedOn w:val="1"/>
    <w:link w:val="299"/>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301">
    <w:name w:val="Char Char20"/>
    <w:qFormat/>
    <w:uiPriority w:val="0"/>
    <w:rPr>
      <w:rFonts w:ascii="仿宋_GB2312" w:eastAsia="仿宋_GB2312"/>
      <w:b/>
      <w:bCs/>
      <w:kern w:val="44"/>
      <w:sz w:val="44"/>
      <w:szCs w:val="44"/>
    </w:rPr>
  </w:style>
  <w:style w:type="character" w:customStyle="1" w:styleId="302">
    <w:name w:val="样式 正文文本 Char Char Char"/>
    <w:qFormat/>
    <w:uiPriority w:val="0"/>
    <w:rPr>
      <w:rFonts w:ascii="Arial" w:hAnsi="Arial" w:eastAsia="宋体"/>
      <w:color w:val="000000"/>
      <w:kern w:val="2"/>
      <w:sz w:val="21"/>
      <w:lang w:val="en-US" w:eastAsia="zh-CN" w:bidi="ar-SA"/>
    </w:rPr>
  </w:style>
  <w:style w:type="character" w:customStyle="1" w:styleId="303">
    <w:name w:val=" Char Char27"/>
    <w:link w:val="12"/>
    <w:qFormat/>
    <w:uiPriority w:val="0"/>
    <w:rPr>
      <w:rFonts w:ascii="Arial" w:hAnsi="Arial" w:eastAsia="黑体"/>
      <w:b/>
      <w:sz w:val="24"/>
      <w:szCs w:val="32"/>
    </w:rPr>
  </w:style>
  <w:style w:type="character" w:customStyle="1" w:styleId="304">
    <w:name w:val="正文首行缩进 Char2"/>
    <w:qFormat/>
    <w:uiPriority w:val="0"/>
    <w:rPr>
      <w:rFonts w:ascii="仿宋_GB2312"/>
      <w:b/>
      <w:sz w:val="32"/>
      <w:szCs w:val="32"/>
    </w:rPr>
  </w:style>
  <w:style w:type="character" w:customStyle="1" w:styleId="305">
    <w:name w:val="大标题 Char"/>
    <w:link w:val="306"/>
    <w:qFormat/>
    <w:uiPriority w:val="0"/>
    <w:rPr>
      <w:rFonts w:ascii="黑体" w:hAnsi="黑体" w:eastAsia="黑体"/>
      <w:b/>
      <w:bCs/>
      <w:kern w:val="2"/>
      <w:sz w:val="72"/>
      <w:szCs w:val="72"/>
    </w:rPr>
  </w:style>
  <w:style w:type="paragraph" w:customStyle="1" w:styleId="306">
    <w:name w:val="大标题"/>
    <w:basedOn w:val="1"/>
    <w:link w:val="305"/>
    <w:qFormat/>
    <w:uiPriority w:val="0"/>
    <w:pPr>
      <w:spacing w:line="40" w:lineRule="atLeast"/>
    </w:pPr>
    <w:rPr>
      <w:rFonts w:ascii="黑体" w:hAnsi="黑体" w:eastAsia="黑体"/>
      <w:b/>
      <w:bCs/>
      <w:sz w:val="72"/>
      <w:szCs w:val="72"/>
    </w:rPr>
  </w:style>
  <w:style w:type="character" w:customStyle="1" w:styleId="307">
    <w:name w:val="heading 1 Char1"/>
    <w:qFormat/>
    <w:uiPriority w:val="0"/>
    <w:rPr>
      <w:rFonts w:ascii="仿宋_GB2312" w:eastAsia="宋体"/>
      <w:b/>
      <w:bCs/>
      <w:kern w:val="44"/>
      <w:sz w:val="44"/>
      <w:szCs w:val="44"/>
      <w:lang w:val="en-US" w:eastAsia="zh-CN" w:bidi="ar-SA"/>
    </w:rPr>
  </w:style>
  <w:style w:type="character" w:customStyle="1" w:styleId="308">
    <w:name w:val="num"/>
    <w:qFormat/>
    <w:uiPriority w:val="0"/>
    <w:rPr>
      <w:b/>
      <w:color w:val="FF7800"/>
      <w:szCs w:val="20"/>
    </w:rPr>
  </w:style>
  <w:style w:type="character" w:customStyle="1" w:styleId="309">
    <w:name w:val=" Char Char18"/>
    <w:link w:val="6"/>
    <w:qFormat/>
    <w:uiPriority w:val="0"/>
    <w:rPr>
      <w:rFonts w:eastAsia="宋体"/>
      <w:sz w:val="21"/>
      <w:lang w:val="en-US" w:eastAsia="zh-CN" w:bidi="ar-SA"/>
    </w:rPr>
  </w:style>
  <w:style w:type="character" w:customStyle="1" w:styleId="310">
    <w:name w:val="正文4 Char Char"/>
    <w:link w:val="311"/>
    <w:qFormat/>
    <w:uiPriority w:val="0"/>
    <w:rPr>
      <w:kern w:val="2"/>
    </w:rPr>
  </w:style>
  <w:style w:type="paragraph" w:customStyle="1" w:styleId="311">
    <w:name w:val="正文4"/>
    <w:basedOn w:val="1"/>
    <w:link w:val="310"/>
    <w:qFormat/>
    <w:uiPriority w:val="0"/>
    <w:pPr>
      <w:numPr>
        <w:ilvl w:val="0"/>
        <w:numId w:val="3"/>
      </w:numPr>
      <w:spacing w:before="60" w:after="60" w:line="360" w:lineRule="auto"/>
      <w:ind w:firstLine="0"/>
    </w:pPr>
    <w:rPr>
      <w:sz w:val="20"/>
      <w:szCs w:val="20"/>
    </w:rPr>
  </w:style>
  <w:style w:type="character" w:customStyle="1" w:styleId="312">
    <w:name w:val="注释标题 Char1"/>
    <w:qFormat/>
    <w:uiPriority w:val="0"/>
    <w:rPr>
      <w:kern w:val="2"/>
      <w:sz w:val="21"/>
      <w:szCs w:val="24"/>
    </w:rPr>
  </w:style>
  <w:style w:type="character" w:customStyle="1" w:styleId="313">
    <w:name w:val="标题 1 Char1"/>
    <w:qFormat/>
    <w:uiPriority w:val="0"/>
    <w:rPr>
      <w:rFonts w:ascii="楷体_GB2312" w:hAnsi="Tahoma" w:eastAsia="楷体_GB2312"/>
      <w:b/>
      <w:bCs/>
      <w:kern w:val="2"/>
      <w:sz w:val="21"/>
      <w:szCs w:val="24"/>
    </w:rPr>
  </w:style>
  <w:style w:type="character" w:customStyle="1" w:styleId="314">
    <w:name w:val="样式 宋体"/>
    <w:qFormat/>
    <w:uiPriority w:val="0"/>
    <w:rPr>
      <w:rFonts w:ascii="宋体" w:hAnsi="宋体" w:eastAsia="宋体"/>
      <w:b/>
      <w:sz w:val="24"/>
      <w:szCs w:val="24"/>
    </w:rPr>
  </w:style>
  <w:style w:type="character" w:customStyle="1" w:styleId="315">
    <w:name w:val="编号正文缩进 Char"/>
    <w:link w:val="316"/>
    <w:qFormat/>
    <w:uiPriority w:val="0"/>
    <w:rPr>
      <w:sz w:val="24"/>
    </w:rPr>
  </w:style>
  <w:style w:type="paragraph" w:customStyle="1" w:styleId="316">
    <w:name w:val="编号正文缩进"/>
    <w:basedOn w:val="6"/>
    <w:link w:val="315"/>
    <w:qFormat/>
    <w:uiPriority w:val="0"/>
    <w:pPr>
      <w:numPr>
        <w:ilvl w:val="0"/>
        <w:numId w:val="4"/>
      </w:numPr>
      <w:spacing w:line="400" w:lineRule="atLeast"/>
    </w:pPr>
    <w:rPr>
      <w:sz w:val="24"/>
    </w:rPr>
  </w:style>
  <w:style w:type="character" w:customStyle="1" w:styleId="317">
    <w:name w:val="heading 5 Char"/>
    <w:qFormat/>
    <w:uiPriority w:val="0"/>
    <w:rPr>
      <w:rFonts w:ascii="Arial" w:hAnsi="Arial" w:eastAsia="黑体"/>
      <w:b/>
      <w:sz w:val="21"/>
      <w:szCs w:val="21"/>
    </w:rPr>
  </w:style>
  <w:style w:type="character" w:customStyle="1" w:styleId="318">
    <w:name w:val="标题 9 Char"/>
    <w:basedOn w:val="58"/>
    <w:qFormat/>
    <w:uiPriority w:val="0"/>
    <w:rPr>
      <w:rFonts w:ascii="Arial" w:hAnsi="Arial" w:eastAsia="黑体"/>
      <w:b/>
      <w:sz w:val="21"/>
      <w:szCs w:val="32"/>
    </w:rPr>
  </w:style>
  <w:style w:type="character" w:customStyle="1" w:styleId="319">
    <w:name w:val="3级 Char"/>
    <w:link w:val="320"/>
    <w:qFormat/>
    <w:uiPriority w:val="0"/>
    <w:rPr>
      <w:rFonts w:ascii="Calibri" w:hAnsi="Calibri"/>
      <w:b/>
      <w:bCs/>
      <w:sz w:val="28"/>
      <w:szCs w:val="32"/>
    </w:rPr>
  </w:style>
  <w:style w:type="paragraph" w:customStyle="1" w:styleId="320">
    <w:name w:val="3级"/>
    <w:basedOn w:val="7"/>
    <w:next w:val="24"/>
    <w:link w:val="319"/>
    <w:qFormat/>
    <w:uiPriority w:val="0"/>
    <w:pPr>
      <w:spacing w:line="416" w:lineRule="auto"/>
      <w:ind w:right="100" w:rightChars="100"/>
    </w:pPr>
    <w:rPr>
      <w:kern w:val="0"/>
      <w:sz w:val="28"/>
    </w:rPr>
  </w:style>
  <w:style w:type="character" w:customStyle="1" w:styleId="321">
    <w:name w:val="符号正文缩进 Char"/>
    <w:link w:val="322"/>
    <w:qFormat/>
    <w:uiPriority w:val="0"/>
    <w:rPr>
      <w:sz w:val="24"/>
    </w:rPr>
  </w:style>
  <w:style w:type="paragraph" w:customStyle="1" w:styleId="322">
    <w:name w:val="符号正文缩进"/>
    <w:basedOn w:val="6"/>
    <w:link w:val="321"/>
    <w:qFormat/>
    <w:uiPriority w:val="0"/>
    <w:pPr>
      <w:numPr>
        <w:ilvl w:val="0"/>
        <w:numId w:val="5"/>
      </w:numPr>
      <w:spacing w:line="400" w:lineRule="atLeast"/>
    </w:pPr>
    <w:rPr>
      <w:sz w:val="24"/>
    </w:rPr>
  </w:style>
  <w:style w:type="character" w:customStyle="1" w:styleId="323">
    <w:name w:val="正文缩进 Char"/>
    <w:qFormat/>
    <w:uiPriority w:val="99"/>
    <w:rPr>
      <w:rFonts w:eastAsia="仿宋_GB2312"/>
      <w:sz w:val="21"/>
      <w:lang w:val="en-US" w:eastAsia="zh-CN" w:bidi="ar-SA"/>
    </w:rPr>
  </w:style>
  <w:style w:type="character" w:customStyle="1" w:styleId="324">
    <w:name w:val="PI Char"/>
    <w:qFormat/>
    <w:uiPriority w:val="0"/>
    <w:rPr>
      <w:rFonts w:ascii="宋体" w:hAnsi="宋体" w:eastAsia="仿宋_GB2312"/>
      <w:b/>
      <w:sz w:val="24"/>
      <w:szCs w:val="32"/>
    </w:rPr>
  </w:style>
  <w:style w:type="character" w:customStyle="1" w:styleId="325">
    <w:name w:val="页脚 Char"/>
    <w:qFormat/>
    <w:uiPriority w:val="99"/>
    <w:rPr>
      <w:rFonts w:eastAsia="仿宋_GB2312"/>
      <w:kern w:val="2"/>
      <w:sz w:val="18"/>
      <w:szCs w:val="18"/>
      <w:lang w:val="en-US" w:eastAsia="zh-CN" w:bidi="ar-SA"/>
    </w:rPr>
  </w:style>
  <w:style w:type="character" w:customStyle="1" w:styleId="326">
    <w:name w:val="占位符文本"/>
    <w:semiHidden/>
    <w:qFormat/>
    <w:uiPriority w:val="99"/>
    <w:rPr>
      <w:color w:val="808080"/>
    </w:rPr>
  </w:style>
  <w:style w:type="character" w:customStyle="1" w:styleId="327">
    <w:name w:val=" Char Char13"/>
    <w:link w:val="24"/>
    <w:qFormat/>
    <w:uiPriority w:val="0"/>
    <w:rPr>
      <w:rFonts w:ascii="仿宋_GB2312"/>
      <w:b/>
      <w:sz w:val="32"/>
      <w:szCs w:val="32"/>
    </w:rPr>
  </w:style>
  <w:style w:type="character" w:customStyle="1" w:styleId="328">
    <w:name w:val="*正文 Char"/>
    <w:link w:val="329"/>
    <w:qFormat/>
    <w:uiPriority w:val="0"/>
    <w:rPr>
      <w:rFonts w:ascii="仿宋_GB2312" w:eastAsia="仿宋_GB2312"/>
      <w:kern w:val="2"/>
      <w:sz w:val="24"/>
      <w:szCs w:val="28"/>
      <w:lang w:val="zh-CN"/>
    </w:rPr>
  </w:style>
  <w:style w:type="paragraph" w:customStyle="1" w:styleId="329">
    <w:name w:val="*正文"/>
    <w:basedOn w:val="1"/>
    <w:link w:val="328"/>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330">
    <w:name w:val="正文文本 2 Char"/>
    <w:qFormat/>
    <w:uiPriority w:val="0"/>
  </w:style>
  <w:style w:type="character" w:customStyle="1" w:styleId="331">
    <w:name w:val="正文2 Char"/>
    <w:link w:val="332"/>
    <w:qFormat/>
    <w:uiPriority w:val="0"/>
    <w:rPr>
      <w:sz w:val="24"/>
    </w:rPr>
  </w:style>
  <w:style w:type="paragraph" w:customStyle="1" w:styleId="332">
    <w:name w:val="正文2"/>
    <w:basedOn w:val="1"/>
    <w:link w:val="331"/>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333">
    <w:name w:val="正文首行缩进 2 Char2"/>
    <w:qFormat/>
    <w:uiPriority w:val="0"/>
    <w:rPr>
      <w:rFonts w:ascii="Calibri" w:hAnsi="Calibri" w:cs="黑体"/>
      <w:kern w:val="2"/>
      <w:sz w:val="21"/>
      <w:szCs w:val="24"/>
    </w:rPr>
  </w:style>
  <w:style w:type="character" w:customStyle="1" w:styleId="334">
    <w:name w:val="正文缩进 Char1 Char"/>
    <w:qFormat/>
    <w:uiPriority w:val="0"/>
    <w:rPr>
      <w:rFonts w:ascii="仿宋_GB2312" w:eastAsia="宋体"/>
      <w:b/>
      <w:sz w:val="21"/>
      <w:szCs w:val="32"/>
      <w:lang w:val="en-US" w:eastAsia="zh-CN" w:bidi="ar-SA"/>
    </w:rPr>
  </w:style>
  <w:style w:type="character" w:customStyle="1" w:styleId="335">
    <w:name w:val="标题 8 Char"/>
    <w:basedOn w:val="58"/>
    <w:qFormat/>
    <w:uiPriority w:val="0"/>
    <w:rPr>
      <w:rFonts w:ascii="Arial" w:hAnsi="Arial" w:eastAsia="黑体"/>
      <w:b/>
      <w:sz w:val="24"/>
      <w:szCs w:val="32"/>
    </w:rPr>
  </w:style>
  <w:style w:type="character" w:customStyle="1" w:styleId="336">
    <w:name w:val="段落 Char"/>
    <w:link w:val="337"/>
    <w:qFormat/>
    <w:uiPriority w:val="0"/>
    <w:rPr>
      <w:kern w:val="2"/>
    </w:rPr>
  </w:style>
  <w:style w:type="paragraph" w:customStyle="1" w:styleId="337">
    <w:name w:val="段落"/>
    <w:basedOn w:val="1"/>
    <w:link w:val="336"/>
    <w:qFormat/>
    <w:uiPriority w:val="0"/>
    <w:pPr>
      <w:spacing w:line="360" w:lineRule="auto"/>
      <w:ind w:firstLine="200" w:firstLineChars="200"/>
    </w:pPr>
    <w:rPr>
      <w:sz w:val="20"/>
      <w:szCs w:val="20"/>
    </w:rPr>
  </w:style>
  <w:style w:type="character" w:customStyle="1" w:styleId="338">
    <w:name w:val="样式2 Char Char"/>
    <w:link w:val="339"/>
    <w:qFormat/>
    <w:uiPriority w:val="0"/>
    <w:rPr>
      <w:rFonts w:ascii="宋体" w:hAnsi="宋体"/>
      <w:b/>
      <w:bCs/>
      <w:kern w:val="2"/>
      <w:sz w:val="28"/>
      <w:szCs w:val="28"/>
    </w:rPr>
  </w:style>
  <w:style w:type="paragraph" w:customStyle="1" w:styleId="339">
    <w:name w:val="样式2"/>
    <w:basedOn w:val="5"/>
    <w:link w:val="338"/>
    <w:qFormat/>
    <w:uiPriority w:val="0"/>
    <w:pPr>
      <w:snapToGrid w:val="0"/>
      <w:spacing w:after="156" w:afterLines="50" w:line="480" w:lineRule="exact"/>
      <w:ind w:firstLine="556"/>
    </w:pPr>
    <w:rPr>
      <w:rFonts w:ascii="宋体" w:hAnsi="宋体" w:eastAsia="宋体"/>
      <w:sz w:val="28"/>
      <w:szCs w:val="28"/>
    </w:rPr>
  </w:style>
  <w:style w:type="character" w:customStyle="1" w:styleId="340">
    <w:name w:val=" Char Char28"/>
    <w:link w:val="11"/>
    <w:qFormat/>
    <w:uiPriority w:val="0"/>
    <w:rPr>
      <w:rFonts w:ascii="Arial" w:hAnsi="Arial" w:eastAsia="黑体"/>
      <w:b/>
      <w:sz w:val="21"/>
      <w:szCs w:val="21"/>
    </w:rPr>
  </w:style>
  <w:style w:type="character" w:customStyle="1" w:styleId="341">
    <w:name w:val="正文居中 Char Char"/>
    <w:qFormat/>
    <w:uiPriority w:val="0"/>
    <w:rPr>
      <w:kern w:val="2"/>
      <w:sz w:val="21"/>
      <w:szCs w:val="24"/>
    </w:rPr>
  </w:style>
  <w:style w:type="character" w:customStyle="1" w:styleId="342">
    <w:name w:val="release-day"/>
    <w:qFormat/>
    <w:uiPriority w:val="0"/>
    <w:rPr>
      <w:szCs w:val="20"/>
      <w:bdr w:val="single" w:color="BDEBB0" w:sz="4" w:space="0"/>
      <w:shd w:val="clear" w:color="auto" w:fill="F5FFF1"/>
    </w:rPr>
  </w:style>
  <w:style w:type="character" w:customStyle="1" w:styleId="343">
    <w:name w:val="apple-converted-space"/>
    <w:qFormat/>
    <w:uiPriority w:val="0"/>
  </w:style>
  <w:style w:type="character" w:customStyle="1" w:styleId="344">
    <w:name w:val="表格标题 Char"/>
    <w:link w:val="345"/>
    <w:qFormat/>
    <w:uiPriority w:val="0"/>
    <w:rPr>
      <w:rFonts w:ascii="黑体" w:hAnsi="黑体" w:eastAsia="黑体"/>
      <w:b/>
      <w:color w:val="FFFFFF"/>
      <w:kern w:val="2"/>
      <w:sz w:val="21"/>
      <w:szCs w:val="24"/>
    </w:rPr>
  </w:style>
  <w:style w:type="paragraph" w:customStyle="1" w:styleId="345">
    <w:name w:val="表格标题"/>
    <w:basedOn w:val="1"/>
    <w:link w:val="344"/>
    <w:qFormat/>
    <w:uiPriority w:val="0"/>
    <w:rPr>
      <w:rFonts w:ascii="黑体" w:hAnsi="黑体" w:eastAsia="黑体"/>
      <w:b/>
      <w:color w:val="FFFFFF"/>
    </w:rPr>
  </w:style>
  <w:style w:type="character" w:customStyle="1" w:styleId="346">
    <w:name w:val="1.1.1.1.1 Char"/>
    <w:link w:val="347"/>
    <w:qFormat/>
    <w:uiPriority w:val="0"/>
    <w:rPr>
      <w:rFonts w:ascii="Arial" w:hAnsi="Arial" w:eastAsia="黑体"/>
      <w:b/>
      <w:bCs/>
      <w:kern w:val="2"/>
      <w:sz w:val="24"/>
      <w:szCs w:val="28"/>
    </w:rPr>
  </w:style>
  <w:style w:type="paragraph" w:customStyle="1" w:styleId="347">
    <w:name w:val="1.1.1.1.1"/>
    <w:basedOn w:val="348"/>
    <w:next w:val="6"/>
    <w:link w:val="346"/>
    <w:qFormat/>
    <w:uiPriority w:val="0"/>
    <w:pPr>
      <w:keepLines/>
      <w:numPr>
        <w:ilvl w:val="0"/>
        <w:numId w:val="6"/>
      </w:numPr>
      <w:spacing w:before="240" w:after="240" w:line="377" w:lineRule="auto"/>
      <w:ind w:firstLine="0" w:firstLineChars="0"/>
      <w:outlineLvl w:val="4"/>
    </w:pPr>
    <w:rPr>
      <w:rFonts w:ascii="Arial" w:hAnsi="Arial" w:eastAsia="黑体"/>
      <w:bCs/>
      <w:sz w:val="24"/>
      <w:szCs w:val="28"/>
    </w:rPr>
  </w:style>
  <w:style w:type="paragraph" w:customStyle="1" w:styleId="348">
    <w:name w:val="样式5"/>
    <w:basedOn w:val="6"/>
    <w:link w:val="368"/>
    <w:qFormat/>
    <w:uiPriority w:val="0"/>
    <w:pPr>
      <w:adjustRightInd/>
      <w:spacing w:line="360" w:lineRule="auto"/>
      <w:ind w:firstLine="200" w:firstLineChars="200"/>
      <w:textAlignment w:val="auto"/>
    </w:pPr>
    <w:rPr>
      <w:rFonts w:ascii="仿宋_GB2312"/>
      <w:b/>
      <w:kern w:val="2"/>
      <w:sz w:val="28"/>
      <w:szCs w:val="21"/>
    </w:rPr>
  </w:style>
  <w:style w:type="character" w:customStyle="1" w:styleId="349">
    <w:name w:val="_正文段落 Char"/>
    <w:link w:val="350"/>
    <w:qFormat/>
    <w:uiPriority w:val="0"/>
    <w:rPr>
      <w:kern w:val="2"/>
      <w:sz w:val="21"/>
      <w:szCs w:val="24"/>
    </w:rPr>
  </w:style>
  <w:style w:type="paragraph" w:customStyle="1" w:styleId="350">
    <w:name w:val="_正文段落"/>
    <w:basedOn w:val="1"/>
    <w:link w:val="349"/>
    <w:qFormat/>
    <w:uiPriority w:val="0"/>
    <w:pPr>
      <w:spacing w:before="15" w:beforeLines="15" w:after="15" w:afterLines="15" w:line="360" w:lineRule="auto"/>
      <w:ind w:firstLine="200" w:firstLineChars="200"/>
    </w:pPr>
  </w:style>
  <w:style w:type="character" w:customStyle="1" w:styleId="351">
    <w:name w:val="表格用 Char Char"/>
    <w:link w:val="352"/>
    <w:qFormat/>
    <w:locked/>
    <w:uiPriority w:val="0"/>
    <w:rPr>
      <w:sz w:val="21"/>
      <w:szCs w:val="24"/>
    </w:rPr>
  </w:style>
  <w:style w:type="paragraph" w:customStyle="1" w:styleId="352">
    <w:name w:val="表格用"/>
    <w:basedOn w:val="1"/>
    <w:link w:val="351"/>
    <w:qFormat/>
    <w:uiPriority w:val="0"/>
    <w:pPr>
      <w:ind w:firstLine="0" w:firstLineChars="0"/>
    </w:pPr>
    <w:rPr>
      <w:kern w:val="0"/>
    </w:rPr>
  </w:style>
  <w:style w:type="character" w:customStyle="1" w:styleId="353">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354">
    <w:name w:val="正文文本缩进 Char"/>
    <w:qFormat/>
    <w:uiPriority w:val="0"/>
    <w:rPr>
      <w:rFonts w:ascii="宋体" w:hAnsi="宋体"/>
      <w:kern w:val="2"/>
      <w:sz w:val="24"/>
    </w:rPr>
  </w:style>
  <w:style w:type="character" w:customStyle="1" w:styleId="355">
    <w:name w:val="投标正文 Char"/>
    <w:link w:val="356"/>
    <w:qFormat/>
    <w:uiPriority w:val="0"/>
    <w:rPr>
      <w:rFonts w:ascii="Calibri" w:hAnsi="Calibri"/>
      <w:sz w:val="24"/>
      <w:szCs w:val="24"/>
    </w:rPr>
  </w:style>
  <w:style w:type="paragraph" w:customStyle="1" w:styleId="356">
    <w:name w:val="投标正文"/>
    <w:basedOn w:val="1"/>
    <w:link w:val="355"/>
    <w:qFormat/>
    <w:uiPriority w:val="0"/>
    <w:pPr>
      <w:spacing w:line="360" w:lineRule="auto"/>
      <w:ind w:left="100" w:firstLine="480" w:firstLineChars="200"/>
    </w:pPr>
    <w:rPr>
      <w:kern w:val="0"/>
      <w:sz w:val="24"/>
    </w:rPr>
  </w:style>
  <w:style w:type="character" w:customStyle="1" w:styleId="357">
    <w:name w:val="heading 1 Char2"/>
    <w:qFormat/>
    <w:uiPriority w:val="0"/>
    <w:rPr>
      <w:rFonts w:ascii="仿宋_GB2312" w:eastAsia="仿宋_GB2312"/>
      <w:b/>
      <w:bCs/>
      <w:kern w:val="44"/>
      <w:sz w:val="44"/>
      <w:szCs w:val="44"/>
    </w:rPr>
  </w:style>
  <w:style w:type="character" w:customStyle="1" w:styleId="358">
    <w:name w:val="正文首行缩进 2 Char1"/>
    <w:qFormat/>
    <w:uiPriority w:val="0"/>
  </w:style>
  <w:style w:type="character" w:customStyle="1" w:styleId="359">
    <w:name w:val="heading 2 Char1"/>
    <w:qFormat/>
    <w:uiPriority w:val="0"/>
    <w:rPr>
      <w:rFonts w:ascii="Cambria" w:hAnsi="Cambria" w:eastAsia="宋体"/>
      <w:b/>
      <w:bCs/>
      <w:kern w:val="2"/>
      <w:sz w:val="32"/>
      <w:szCs w:val="32"/>
      <w:lang w:val="en-US" w:eastAsia="zh-CN" w:bidi="ar-SA"/>
    </w:rPr>
  </w:style>
  <w:style w:type="character" w:customStyle="1" w:styleId="360">
    <w:name w:val="批注文字 字符"/>
    <w:qFormat/>
    <w:uiPriority w:val="0"/>
    <w:rPr>
      <w:rFonts w:eastAsia="宋体"/>
      <w:kern w:val="2"/>
      <w:sz w:val="36"/>
      <w:szCs w:val="24"/>
      <w:lang w:val="en-US" w:eastAsia="zh-CN" w:bidi="ar-SA"/>
    </w:rPr>
  </w:style>
  <w:style w:type="character" w:customStyle="1" w:styleId="361">
    <w:name w:val=" Char Char3"/>
    <w:link w:val="39"/>
    <w:qFormat/>
    <w:uiPriority w:val="0"/>
    <w:rPr>
      <w:rFonts w:ascii="Tahoma" w:hAnsi="Tahoma" w:eastAsia="仿宋_GB2312"/>
      <w:sz w:val="24"/>
      <w:szCs w:val="20"/>
    </w:rPr>
  </w:style>
  <w:style w:type="character" w:customStyle="1" w:styleId="362">
    <w:name w:val="脚注文本 Char"/>
    <w:qFormat/>
    <w:uiPriority w:val="99"/>
    <w:rPr>
      <w:kern w:val="2"/>
      <w:sz w:val="18"/>
      <w:szCs w:val="18"/>
    </w:rPr>
  </w:style>
  <w:style w:type="character" w:customStyle="1" w:styleId="363">
    <w:name w:val="Char Char17"/>
    <w:qFormat/>
    <w:uiPriority w:val="0"/>
    <w:rPr>
      <w:rFonts w:ascii="Cambria" w:hAnsi="Cambria" w:eastAsia="仿宋_GB2312"/>
      <w:b/>
      <w:bCs/>
      <w:kern w:val="2"/>
      <w:sz w:val="28"/>
      <w:szCs w:val="28"/>
    </w:rPr>
  </w:style>
  <w:style w:type="character" w:customStyle="1" w:styleId="364">
    <w:name w:val="无间隔 Char"/>
    <w:link w:val="365"/>
    <w:qFormat/>
    <w:uiPriority w:val="0"/>
    <w:rPr>
      <w:sz w:val="22"/>
      <w:szCs w:val="22"/>
      <w:lang w:val="en-US" w:eastAsia="zh-CN" w:bidi="ar-SA"/>
    </w:rPr>
  </w:style>
  <w:style w:type="paragraph" w:customStyle="1" w:styleId="365">
    <w:name w:val="No Spacing"/>
    <w:link w:val="364"/>
    <w:qFormat/>
    <w:uiPriority w:val="0"/>
    <w:rPr>
      <w:sz w:val="22"/>
      <w:szCs w:val="22"/>
      <w:lang w:val="en-US" w:eastAsia="zh-CN" w:bidi="ar-SA"/>
    </w:rPr>
  </w:style>
  <w:style w:type="character" w:customStyle="1" w:styleId="366">
    <w:name w:val="样式 样式 四号 首行缩进:  0.74 厘米 行距: 1.5 倍行距 + 宋体 四号 行距: 1.5 倍行距 Char"/>
    <w:link w:val="367"/>
    <w:qFormat/>
    <w:uiPriority w:val="0"/>
    <w:rPr>
      <w:rFonts w:ascii="宋体" w:hAnsi="宋体" w:cs="宋体"/>
      <w:kern w:val="2"/>
      <w:sz w:val="28"/>
    </w:rPr>
  </w:style>
  <w:style w:type="paragraph" w:customStyle="1" w:styleId="367">
    <w:name w:val="样式 样式 四号 首行缩进:  0.74 厘米 行距: 1.5 倍行距 + 宋体 四号 行距: 1.5 倍行距"/>
    <w:basedOn w:val="1"/>
    <w:link w:val="366"/>
    <w:qFormat/>
    <w:uiPriority w:val="0"/>
    <w:pPr>
      <w:spacing w:line="360" w:lineRule="auto"/>
      <w:ind w:firstLine="560" w:firstLineChars="200"/>
    </w:pPr>
    <w:rPr>
      <w:rFonts w:ascii="宋体" w:hAnsi="宋体"/>
      <w:sz w:val="28"/>
      <w:szCs w:val="20"/>
    </w:rPr>
  </w:style>
  <w:style w:type="character" w:customStyle="1" w:styleId="368">
    <w:name w:val="样式5 Char"/>
    <w:link w:val="348"/>
    <w:qFormat/>
    <w:uiPriority w:val="0"/>
    <w:rPr>
      <w:rFonts w:ascii="仿宋_GB2312"/>
      <w:b/>
      <w:kern w:val="2"/>
      <w:sz w:val="28"/>
      <w:szCs w:val="21"/>
    </w:rPr>
  </w:style>
  <w:style w:type="character" w:customStyle="1" w:styleId="369">
    <w:name w:val="font21"/>
    <w:qFormat/>
    <w:uiPriority w:val="0"/>
    <w:rPr>
      <w:rFonts w:hint="default" w:ascii="Times New Roman" w:hAnsi="Times New Roman" w:cs="Times New Roman"/>
      <w:color w:val="000000"/>
      <w:sz w:val="20"/>
      <w:szCs w:val="20"/>
      <w:u w:val="none"/>
    </w:rPr>
  </w:style>
  <w:style w:type="character" w:customStyle="1" w:styleId="370">
    <w:name w:val="引用 Char"/>
    <w:link w:val="371"/>
    <w:qFormat/>
    <w:uiPriority w:val="29"/>
    <w:rPr>
      <w:rFonts w:ascii="Calibri" w:hAnsi="Calibri"/>
      <w:b/>
      <w:i/>
      <w:iCs/>
      <w:color w:val="000000"/>
      <w:sz w:val="32"/>
      <w:szCs w:val="32"/>
    </w:rPr>
  </w:style>
  <w:style w:type="paragraph" w:customStyle="1" w:styleId="371">
    <w:name w:val="Quote"/>
    <w:basedOn w:val="1"/>
    <w:next w:val="1"/>
    <w:link w:val="370"/>
    <w:qFormat/>
    <w:uiPriority w:val="29"/>
    <w:rPr>
      <w:b/>
      <w:i/>
      <w:iCs/>
      <w:color w:val="000000"/>
      <w:kern w:val="0"/>
      <w:sz w:val="32"/>
      <w:szCs w:val="32"/>
    </w:rPr>
  </w:style>
  <w:style w:type="character" w:customStyle="1" w:styleId="372">
    <w:name w:val="Table Text Char Char"/>
    <w:link w:val="373"/>
    <w:qFormat/>
    <w:uiPriority w:val="0"/>
    <w:rPr>
      <w:sz w:val="24"/>
    </w:rPr>
  </w:style>
  <w:style w:type="paragraph" w:customStyle="1" w:styleId="373">
    <w:name w:val="Table Text"/>
    <w:basedOn w:val="1"/>
    <w:link w:val="372"/>
    <w:qFormat/>
    <w:uiPriority w:val="0"/>
    <w:pPr>
      <w:widowControl/>
      <w:autoSpaceDE w:val="0"/>
      <w:autoSpaceDN w:val="0"/>
      <w:adjustRightInd w:val="0"/>
      <w:spacing w:before="60" w:after="60"/>
      <w:jc w:val="left"/>
    </w:pPr>
    <w:rPr>
      <w:kern w:val="0"/>
      <w:sz w:val="24"/>
      <w:szCs w:val="20"/>
    </w:rPr>
  </w:style>
  <w:style w:type="character" w:customStyle="1" w:styleId="374">
    <w:name w:val="表格标题 Char Char"/>
    <w:qFormat/>
    <w:uiPriority w:val="0"/>
    <w:rPr>
      <w:rFonts w:ascii="黑体" w:hAnsi="黑体" w:eastAsia="黑体"/>
      <w:b/>
      <w:color w:val="FFFFFF"/>
      <w:kern w:val="2"/>
      <w:sz w:val="21"/>
      <w:szCs w:val="24"/>
    </w:rPr>
  </w:style>
  <w:style w:type="character" w:customStyle="1" w:styleId="375">
    <w:name w:val="Char Char6"/>
    <w:qFormat/>
    <w:uiPriority w:val="0"/>
    <w:rPr>
      <w:rFonts w:ascii="Times New Roman" w:hAnsi="Times New Roman" w:eastAsia="宋体" w:cs="Times New Roman"/>
      <w:szCs w:val="24"/>
    </w:rPr>
  </w:style>
  <w:style w:type="character" w:customStyle="1" w:styleId="376">
    <w:name w:val="heading 4 Char1"/>
    <w:qFormat/>
    <w:uiPriority w:val="0"/>
    <w:rPr>
      <w:rFonts w:ascii="Cambria" w:hAnsi="Cambria" w:eastAsia="宋体"/>
      <w:b/>
      <w:bCs/>
      <w:kern w:val="2"/>
      <w:sz w:val="28"/>
      <w:szCs w:val="28"/>
      <w:lang w:val="en-US" w:eastAsia="zh-CN" w:bidi="ar-SA"/>
    </w:rPr>
  </w:style>
  <w:style w:type="character" w:customStyle="1" w:styleId="377">
    <w:name w:val=" Char Char16"/>
    <w:link w:val="3"/>
    <w:qFormat/>
    <w:uiPriority w:val="0"/>
    <w:rPr>
      <w:rFonts w:ascii="Courier New" w:hAnsi="Courier New"/>
      <w:kern w:val="2"/>
      <w:sz w:val="24"/>
      <w:szCs w:val="24"/>
      <w:lang w:val="en-US" w:eastAsia="zh-CN" w:bidi="ar-SA"/>
    </w:rPr>
  </w:style>
  <w:style w:type="character" w:customStyle="1" w:styleId="378">
    <w:name w:val="red1"/>
    <w:qFormat/>
    <w:uiPriority w:val="0"/>
    <w:rPr>
      <w:color w:val="FF0000"/>
      <w:szCs w:val="20"/>
    </w:rPr>
  </w:style>
  <w:style w:type="character" w:customStyle="1" w:styleId="379">
    <w:name w:val="Char Char1"/>
    <w:qFormat/>
    <w:uiPriority w:val="0"/>
    <w:rPr>
      <w:rFonts w:ascii="宋体" w:hAnsi="Courier New" w:eastAsia="宋体"/>
      <w:kern w:val="2"/>
      <w:sz w:val="21"/>
      <w:lang w:val="en-US" w:eastAsia="zh-CN" w:bidi="ar-SA"/>
    </w:rPr>
  </w:style>
  <w:style w:type="character" w:customStyle="1" w:styleId="380">
    <w:name w:val="题注 Char"/>
    <w:qFormat/>
    <w:uiPriority w:val="0"/>
    <w:rPr>
      <w:rFonts w:ascii="Arial" w:hAnsi="Arial" w:eastAsia="黑体" w:cs="Arial"/>
    </w:rPr>
  </w:style>
  <w:style w:type="character" w:customStyle="1" w:styleId="381">
    <w:name w:val="Char Char22"/>
    <w:qFormat/>
    <w:uiPriority w:val="0"/>
    <w:rPr>
      <w:rFonts w:ascii="Arial" w:hAnsi="Arial" w:eastAsia="黑体"/>
      <w:b/>
      <w:bCs/>
      <w:kern w:val="44"/>
      <w:sz w:val="30"/>
      <w:szCs w:val="44"/>
      <w:lang w:val="en-US" w:eastAsia="zh-CN" w:bidi="ar-SA"/>
    </w:rPr>
  </w:style>
  <w:style w:type="character" w:customStyle="1" w:styleId="382">
    <w:name w:val="Char Char16"/>
    <w:qFormat/>
    <w:uiPriority w:val="0"/>
    <w:rPr>
      <w:rFonts w:ascii="仿宋_GB2312" w:eastAsia="仿宋_GB2312"/>
      <w:b/>
      <w:bCs/>
      <w:kern w:val="2"/>
      <w:sz w:val="28"/>
      <w:szCs w:val="28"/>
    </w:rPr>
  </w:style>
  <w:style w:type="character" w:customStyle="1" w:styleId="383">
    <w:name w:val="注释标题 Char2"/>
    <w:basedOn w:val="58"/>
    <w:semiHidden/>
    <w:uiPriority w:val="99"/>
    <w:rPr>
      <w:kern w:val="2"/>
      <w:sz w:val="21"/>
      <w:szCs w:val="24"/>
    </w:rPr>
  </w:style>
  <w:style w:type="character" w:customStyle="1" w:styleId="384">
    <w:name w:val="input"/>
    <w:qFormat/>
    <w:uiPriority w:val="0"/>
    <w:rPr>
      <w:szCs w:val="20"/>
    </w:rPr>
  </w:style>
  <w:style w:type="character" w:customStyle="1" w:styleId="385">
    <w:name w:val="目录标题 Char Char"/>
    <w:qFormat/>
    <w:uiPriority w:val="0"/>
    <w:rPr>
      <w:rFonts w:eastAsia="黑体"/>
      <w:b/>
      <w:bCs/>
      <w:kern w:val="2"/>
      <w:sz w:val="44"/>
      <w:szCs w:val="44"/>
    </w:rPr>
  </w:style>
  <w:style w:type="character" w:customStyle="1" w:styleId="386">
    <w:name w:val="批注文字 Char"/>
    <w:qFormat/>
    <w:uiPriority w:val="0"/>
    <w:rPr>
      <w:rFonts w:eastAsia="宋体"/>
      <w:kern w:val="2"/>
      <w:sz w:val="21"/>
      <w:szCs w:val="24"/>
      <w:lang w:val="en-US" w:eastAsia="zh-CN" w:bidi="ar-SA"/>
    </w:rPr>
  </w:style>
  <w:style w:type="character" w:customStyle="1" w:styleId="387">
    <w:name w:val="标题 5 Char"/>
    <w:basedOn w:val="58"/>
    <w:qFormat/>
    <w:uiPriority w:val="0"/>
    <w:rPr>
      <w:rFonts w:ascii="仿宋_GB2312" w:hAnsi="Tahoma"/>
      <w:b/>
      <w:bCs/>
      <w:kern w:val="2"/>
      <w:sz w:val="28"/>
      <w:szCs w:val="28"/>
    </w:rPr>
  </w:style>
  <w:style w:type="character" w:customStyle="1" w:styleId="388">
    <w:name w:val=" Char Char21"/>
    <w:link w:val="51"/>
    <w:qFormat/>
    <w:uiPriority w:val="0"/>
    <w:rPr>
      <w:rFonts w:ascii="微软雅黑" w:hAnsi="微软雅黑" w:eastAsia="微软雅黑"/>
      <w:sz w:val="24"/>
      <w:szCs w:val="24"/>
    </w:rPr>
  </w:style>
  <w:style w:type="character" w:customStyle="1" w:styleId="389">
    <w:name w:val="Ò³Ã¼ Char Char2"/>
    <w:qFormat/>
    <w:uiPriority w:val="0"/>
    <w:rPr>
      <w:rFonts w:ascii="仿宋_GB2312" w:eastAsia="仿宋_GB2312"/>
      <w:b/>
      <w:kern w:val="2"/>
      <w:sz w:val="18"/>
      <w:szCs w:val="18"/>
    </w:rPr>
  </w:style>
  <w:style w:type="character" w:customStyle="1" w:styleId="390">
    <w:name w:val="Char Char2"/>
    <w:qFormat/>
    <w:uiPriority w:val="0"/>
    <w:rPr>
      <w:rFonts w:ascii="Arial" w:hAnsi="Arial" w:eastAsia="黑体"/>
      <w:b/>
      <w:bCs/>
      <w:kern w:val="44"/>
      <w:sz w:val="30"/>
      <w:szCs w:val="44"/>
      <w:lang w:val="en-US" w:eastAsia="zh-CN" w:bidi="ar-SA"/>
    </w:rPr>
  </w:style>
  <w:style w:type="character" w:customStyle="1" w:styleId="391">
    <w:name w:val="param_td1"/>
    <w:qFormat/>
    <w:uiPriority w:val="0"/>
    <w:rPr>
      <w:rFonts w:ascii="仿宋_GB2312" w:hAnsi="Tahoma" w:eastAsia="仿宋_GB2312"/>
      <w:b/>
      <w:sz w:val="32"/>
      <w:szCs w:val="32"/>
    </w:rPr>
  </w:style>
  <w:style w:type="character" w:customStyle="1" w:styleId="392">
    <w:name w:val=" Char Char29"/>
    <w:link w:val="10"/>
    <w:qFormat/>
    <w:uiPriority w:val="0"/>
    <w:rPr>
      <w:rFonts w:ascii="Arial" w:hAnsi="Arial" w:eastAsia="黑体"/>
      <w:b/>
      <w:bCs/>
      <w:kern w:val="2"/>
      <w:sz w:val="24"/>
      <w:szCs w:val="24"/>
    </w:rPr>
  </w:style>
  <w:style w:type="character" w:customStyle="1" w:styleId="393">
    <w:name w:val="正文文本 2 Char2"/>
    <w:basedOn w:val="58"/>
    <w:semiHidden/>
    <w:uiPriority w:val="99"/>
    <w:rPr>
      <w:kern w:val="2"/>
      <w:sz w:val="21"/>
      <w:szCs w:val="24"/>
    </w:rPr>
  </w:style>
  <w:style w:type="character" w:customStyle="1" w:styleId="394">
    <w:name w:val="正文文本缩进 2 Char2"/>
    <w:basedOn w:val="58"/>
    <w:semiHidden/>
    <w:uiPriority w:val="99"/>
    <w:rPr>
      <w:kern w:val="2"/>
      <w:sz w:val="21"/>
      <w:szCs w:val="24"/>
    </w:rPr>
  </w:style>
  <w:style w:type="character" w:customStyle="1" w:styleId="395">
    <w:name w:val="文档结构图 Char"/>
    <w:qFormat/>
    <w:uiPriority w:val="99"/>
    <w:rPr>
      <w:rFonts w:eastAsia="宋体"/>
      <w:kern w:val="2"/>
      <w:sz w:val="21"/>
      <w:szCs w:val="24"/>
      <w:lang w:val="en-US" w:eastAsia="zh-CN" w:bidi="ar-SA"/>
    </w:rPr>
  </w:style>
  <w:style w:type="character" w:customStyle="1" w:styleId="396">
    <w:name w:val="标题 3 Char"/>
    <w:qFormat/>
    <w:uiPriority w:val="0"/>
    <w:rPr>
      <w:rFonts w:ascii="黑体" w:hAnsi="宋体" w:eastAsia="黑体"/>
      <w:bCs/>
      <w:kern w:val="2"/>
      <w:sz w:val="28"/>
      <w:szCs w:val="28"/>
      <w:lang w:val="en-US" w:eastAsia="zh-CN" w:bidi="ar-SA"/>
    </w:rPr>
  </w:style>
  <w:style w:type="character" w:customStyle="1" w:styleId="397">
    <w:name w:val="正文文本缩进 2 Char1"/>
    <w:qFormat/>
    <w:uiPriority w:val="0"/>
    <w:rPr>
      <w:kern w:val="2"/>
      <w:sz w:val="21"/>
      <w:szCs w:val="24"/>
    </w:rPr>
  </w:style>
  <w:style w:type="character" w:customStyle="1" w:styleId="398">
    <w:name w:val=" Char Char17"/>
    <w:link w:val="2"/>
    <w:qFormat/>
    <w:uiPriority w:val="0"/>
    <w:rPr>
      <w:rFonts w:ascii="Cambria" w:hAnsi="Cambria"/>
      <w:b/>
      <w:bCs/>
      <w:sz w:val="32"/>
      <w:szCs w:val="32"/>
    </w:rPr>
  </w:style>
  <w:style w:type="character" w:customStyle="1" w:styleId="399">
    <w:name w:val="style41"/>
    <w:qFormat/>
    <w:uiPriority w:val="0"/>
    <w:rPr>
      <w:rFonts w:ascii="仿宋_GB2312" w:eastAsia="仿宋_GB2312"/>
      <w:b/>
      <w:color w:val="auto"/>
      <w:sz w:val="32"/>
      <w:szCs w:val="32"/>
    </w:rPr>
  </w:style>
  <w:style w:type="character" w:customStyle="1" w:styleId="400">
    <w:name w:val="批注主题 Char2"/>
    <w:basedOn w:val="272"/>
    <w:semiHidden/>
    <w:uiPriority w:val="99"/>
    <w:rPr>
      <w:b/>
      <w:bCs/>
    </w:rPr>
  </w:style>
  <w:style w:type="character" w:customStyle="1" w:styleId="401">
    <w:name w:val=" Char Char14"/>
    <w:link w:val="52"/>
    <w:qFormat/>
    <w:uiPriority w:val="99"/>
    <w:rPr>
      <w:rFonts w:ascii="宋体" w:hAnsi="宋体"/>
      <w:color w:val="000000"/>
      <w:sz w:val="24"/>
      <w:szCs w:val="24"/>
    </w:rPr>
  </w:style>
  <w:style w:type="character" w:customStyle="1" w:styleId="402">
    <w:name w:val="style21"/>
    <w:qFormat/>
    <w:uiPriority w:val="0"/>
    <w:rPr>
      <w:rFonts w:ascii="仿宋_GB2312" w:eastAsia="仿宋_GB2312"/>
      <w:b/>
      <w:sz w:val="15"/>
      <w:szCs w:val="15"/>
    </w:rPr>
  </w:style>
  <w:style w:type="character" w:customStyle="1" w:styleId="403">
    <w:name w:val="正文00 Char"/>
    <w:link w:val="404"/>
    <w:qFormat/>
    <w:uiPriority w:val="0"/>
    <w:rPr>
      <w:rFonts w:ascii="宋体" w:hAnsi="宋体"/>
      <w:kern w:val="2"/>
      <w:sz w:val="24"/>
      <w:szCs w:val="24"/>
    </w:rPr>
  </w:style>
  <w:style w:type="paragraph" w:customStyle="1" w:styleId="404">
    <w:name w:val="正文00"/>
    <w:basedOn w:val="1"/>
    <w:link w:val="403"/>
    <w:qFormat/>
    <w:uiPriority w:val="0"/>
    <w:pPr>
      <w:spacing w:line="360" w:lineRule="auto"/>
      <w:ind w:firstLine="480" w:firstLineChars="200"/>
    </w:pPr>
    <w:rPr>
      <w:rFonts w:ascii="宋体" w:hAnsi="宋体"/>
      <w:sz w:val="24"/>
    </w:rPr>
  </w:style>
  <w:style w:type="character" w:customStyle="1" w:styleId="405">
    <w:name w:val="纯文本 Char2"/>
    <w:basedOn w:val="58"/>
    <w:semiHidden/>
    <w:uiPriority w:val="99"/>
    <w:rPr>
      <w:rFonts w:ascii="宋体" w:hAnsi="Courier New" w:cs="Courier New"/>
      <w:kern w:val="2"/>
      <w:sz w:val="21"/>
      <w:szCs w:val="21"/>
    </w:rPr>
  </w:style>
  <w:style w:type="character" w:customStyle="1" w:styleId="406">
    <w:name w:val="表正文 Char2"/>
    <w:qFormat/>
    <w:uiPriority w:val="0"/>
    <w:rPr>
      <w:rFonts w:ascii="Times New Roman" w:hAnsi="Times New Roman" w:eastAsia="宋体" w:cs="Times New Roman"/>
      <w:szCs w:val="24"/>
    </w:rPr>
  </w:style>
  <w:style w:type="character" w:customStyle="1" w:styleId="407">
    <w:name w:val="me04"/>
    <w:qFormat/>
    <w:uiPriority w:val="0"/>
    <w:rPr>
      <w:rFonts w:ascii="仿宋_GB2312" w:hAnsi="Tahoma" w:eastAsia="仿宋_GB2312"/>
      <w:b/>
      <w:sz w:val="32"/>
      <w:szCs w:val="32"/>
    </w:rPr>
  </w:style>
  <w:style w:type="character" w:customStyle="1" w:styleId="408">
    <w:name w:val="Style2"/>
    <w:qFormat/>
    <w:uiPriority w:val="0"/>
    <w:rPr>
      <w:rFonts w:ascii="Calibri" w:hAnsi="宋体" w:eastAsia="宋体" w:cs="Times New Roman"/>
      <w:sz w:val="22"/>
      <w:szCs w:val="22"/>
      <w:lang w:eastAsia="zh-CN"/>
    </w:rPr>
  </w:style>
  <w:style w:type="character" w:customStyle="1" w:styleId="409">
    <w:name w:val="Char Char18"/>
    <w:qFormat/>
    <w:uiPriority w:val="0"/>
    <w:rPr>
      <w:rFonts w:ascii="仿宋_GB2312" w:eastAsia="仿宋_GB2312"/>
      <w:b/>
      <w:bCs/>
      <w:kern w:val="2"/>
      <w:sz w:val="32"/>
      <w:szCs w:val="32"/>
    </w:rPr>
  </w:style>
  <w:style w:type="character" w:customStyle="1" w:styleId="410">
    <w:name w:val="fr"/>
    <w:qFormat/>
    <w:uiPriority w:val="0"/>
    <w:rPr>
      <w:szCs w:val="20"/>
    </w:rPr>
  </w:style>
  <w:style w:type="character" w:customStyle="1" w:styleId="411">
    <w:name w:val="题注 Char1"/>
    <w:qFormat/>
    <w:uiPriority w:val="0"/>
    <w:rPr>
      <w:rFonts w:ascii="Arial" w:hAnsi="Arial" w:eastAsia="黑体" w:cs="Arial"/>
      <w:kern w:val="2"/>
    </w:rPr>
  </w:style>
  <w:style w:type="character" w:customStyle="1" w:styleId="412">
    <w:name w:val="HTML 预设格式 Char2"/>
    <w:basedOn w:val="58"/>
    <w:semiHidden/>
    <w:uiPriority w:val="99"/>
    <w:rPr>
      <w:rFonts w:ascii="Courier New" w:hAnsi="Courier New" w:cs="Courier New"/>
      <w:kern w:val="2"/>
    </w:rPr>
  </w:style>
  <w:style w:type="character" w:customStyle="1" w:styleId="413">
    <w:name w:val="password"/>
    <w:qFormat/>
    <w:uiPriority w:val="0"/>
    <w:rPr>
      <w:szCs w:val="20"/>
    </w:rPr>
  </w:style>
  <w:style w:type="character" w:customStyle="1" w:styleId="414">
    <w:name w:val="页眉 Char1"/>
    <w:qFormat/>
    <w:uiPriority w:val="0"/>
    <w:rPr>
      <w:kern w:val="2"/>
      <w:sz w:val="18"/>
      <w:szCs w:val="18"/>
    </w:rPr>
  </w:style>
  <w:style w:type="character" w:customStyle="1" w:styleId="415">
    <w:name w:val="正文文本 Char1"/>
    <w:qFormat/>
    <w:uiPriority w:val="0"/>
    <w:rPr>
      <w:rFonts w:ascii="Tahoma" w:hAnsi="Tahoma"/>
      <w:kern w:val="2"/>
      <w:sz w:val="21"/>
      <w:szCs w:val="24"/>
    </w:rPr>
  </w:style>
  <w:style w:type="character" w:customStyle="1" w:styleId="416">
    <w:name w:val=" Char Char26"/>
    <w:link w:val="13"/>
    <w:qFormat/>
    <w:uiPriority w:val="0"/>
    <w:rPr>
      <w:rFonts w:ascii="Arial" w:hAnsi="Arial" w:eastAsia="黑体"/>
      <w:b/>
      <w:sz w:val="21"/>
      <w:szCs w:val="32"/>
    </w:rPr>
  </w:style>
  <w:style w:type="character" w:customStyle="1" w:styleId="417">
    <w:name w:val="111 Char"/>
    <w:link w:val="418"/>
    <w:qFormat/>
    <w:uiPriority w:val="0"/>
    <w:rPr>
      <w:kern w:val="2"/>
    </w:rPr>
  </w:style>
  <w:style w:type="paragraph" w:customStyle="1" w:styleId="418">
    <w:name w:val="111"/>
    <w:basedOn w:val="337"/>
    <w:link w:val="417"/>
    <w:qFormat/>
    <w:uiPriority w:val="0"/>
    <w:pPr>
      <w:numPr>
        <w:ilvl w:val="0"/>
        <w:numId w:val="7"/>
      </w:numPr>
      <w:ind w:firstLine="0" w:firstLineChars="0"/>
    </w:pPr>
  </w:style>
  <w:style w:type="character" w:customStyle="1" w:styleId="419">
    <w:name w:val="批注框文本 Char1"/>
    <w:semiHidden/>
    <w:qFormat/>
    <w:locked/>
    <w:uiPriority w:val="99"/>
    <w:rPr>
      <w:rFonts w:hint="eastAsia" w:ascii="Heiti SC Light" w:hAnsi="宋体" w:eastAsia="Heiti SC Light" w:cs="Times New Roman"/>
      <w:sz w:val="18"/>
      <w:szCs w:val="18"/>
    </w:rPr>
  </w:style>
  <w:style w:type="character" w:customStyle="1" w:styleId="420">
    <w:name w:val="批注文字 Char1"/>
    <w:qFormat/>
    <w:uiPriority w:val="0"/>
    <w:rPr>
      <w:kern w:val="2"/>
      <w:sz w:val="21"/>
      <w:szCs w:val="24"/>
    </w:rPr>
  </w:style>
  <w:style w:type="character" w:customStyle="1" w:styleId="421">
    <w:name w:val="Char Char21"/>
    <w:qFormat/>
    <w:uiPriority w:val="0"/>
    <w:rPr>
      <w:rFonts w:ascii="Times New Roman" w:hAnsi="Times New Roman" w:eastAsia="宋体" w:cs="Times New Roman"/>
      <w:b/>
      <w:bCs/>
      <w:kern w:val="44"/>
      <w:sz w:val="44"/>
      <w:szCs w:val="44"/>
    </w:rPr>
  </w:style>
  <w:style w:type="character" w:customStyle="1" w:styleId="422">
    <w:name w:val="heading 7 Char1"/>
    <w:qFormat/>
    <w:uiPriority w:val="0"/>
    <w:rPr>
      <w:rFonts w:ascii="Arial" w:hAnsi="Arial" w:eastAsia="黑体"/>
      <w:b/>
      <w:sz w:val="21"/>
      <w:szCs w:val="21"/>
      <w:lang w:val="en-US" w:eastAsia="zh-CN" w:bidi="ar-SA"/>
    </w:rPr>
  </w:style>
  <w:style w:type="character" w:customStyle="1" w:styleId="423">
    <w:name w:val="标题 Char"/>
    <w:qFormat/>
    <w:uiPriority w:val="0"/>
    <w:rPr>
      <w:rFonts w:ascii="宋体,Verdana,Arial" w:hAnsi="宋体,Verdana,Arial" w:eastAsia="Cambria"/>
      <w:b/>
      <w:bCs/>
      <w:sz w:val="32"/>
      <w:szCs w:val="32"/>
    </w:rPr>
  </w:style>
  <w:style w:type="character" w:customStyle="1" w:styleId="424">
    <w:name w:val="大标题 Char Char"/>
    <w:qFormat/>
    <w:uiPriority w:val="0"/>
    <w:rPr>
      <w:rFonts w:ascii="黑体" w:hAnsi="黑体" w:eastAsia="黑体"/>
      <w:b/>
      <w:bCs/>
      <w:kern w:val="2"/>
      <w:sz w:val="72"/>
      <w:szCs w:val="72"/>
    </w:rPr>
  </w:style>
  <w:style w:type="character" w:customStyle="1" w:styleId="425">
    <w:name w:val="样式 标题 3 + 黑体 小四 Char Char"/>
    <w:link w:val="426"/>
    <w:qFormat/>
    <w:uiPriority w:val="0"/>
    <w:rPr>
      <w:rFonts w:ascii="黑体" w:hAnsi="Arial" w:eastAsia="黑体"/>
      <w:bCs/>
      <w:sz w:val="24"/>
      <w:szCs w:val="24"/>
    </w:rPr>
  </w:style>
  <w:style w:type="paragraph" w:customStyle="1" w:styleId="426">
    <w:name w:val="样式 标题 3 + 黑体 小四"/>
    <w:basedOn w:val="7"/>
    <w:link w:val="425"/>
    <w:qFormat/>
    <w:uiPriority w:val="0"/>
    <w:pPr>
      <w:spacing w:line="413" w:lineRule="auto"/>
    </w:pPr>
    <w:rPr>
      <w:rFonts w:ascii="黑体" w:hAnsi="Arial" w:eastAsia="黑体"/>
      <w:b w:val="0"/>
      <w:kern w:val="0"/>
      <w:sz w:val="24"/>
      <w:szCs w:val="24"/>
    </w:rPr>
  </w:style>
  <w:style w:type="character" w:customStyle="1" w:styleId="427">
    <w:name w:val="哈哈正文 Char"/>
    <w:link w:val="428"/>
    <w:qFormat/>
    <w:uiPriority w:val="0"/>
    <w:rPr>
      <w:rFonts w:ascii="宋体" w:hAnsi="宋体" w:cs="宋体"/>
      <w:kern w:val="2"/>
      <w:sz w:val="24"/>
    </w:rPr>
  </w:style>
  <w:style w:type="paragraph" w:customStyle="1" w:styleId="428">
    <w:name w:val="哈哈正文"/>
    <w:basedOn w:val="1"/>
    <w:link w:val="427"/>
    <w:qFormat/>
    <w:uiPriority w:val="0"/>
    <w:pPr>
      <w:spacing w:line="360" w:lineRule="auto"/>
      <w:ind w:firstLine="200" w:firstLineChars="200"/>
    </w:pPr>
    <w:rPr>
      <w:rFonts w:ascii="宋体" w:hAnsi="宋体"/>
      <w:sz w:val="24"/>
      <w:szCs w:val="20"/>
    </w:rPr>
  </w:style>
  <w:style w:type="character" w:customStyle="1" w:styleId="429">
    <w:name w:val="正文靠右 Char Char"/>
    <w:qFormat/>
    <w:uiPriority w:val="0"/>
    <w:rPr>
      <w:kern w:val="2"/>
      <w:sz w:val="21"/>
      <w:szCs w:val="24"/>
    </w:rPr>
  </w:style>
  <w:style w:type="character" w:customStyle="1" w:styleId="430">
    <w:name w:val="正文文本缩进 3 Char1"/>
    <w:qFormat/>
    <w:uiPriority w:val="0"/>
    <w:rPr>
      <w:rFonts w:ascii="Calibri" w:hAnsi="Calibri" w:cs="黑体"/>
      <w:kern w:val="2"/>
      <w:sz w:val="16"/>
      <w:szCs w:val="16"/>
    </w:rPr>
  </w:style>
  <w:style w:type="character" w:customStyle="1" w:styleId="431">
    <w:name w:val="doc"/>
    <w:qFormat/>
    <w:uiPriority w:val="0"/>
    <w:rPr>
      <w:szCs w:val="20"/>
    </w:rPr>
  </w:style>
  <w:style w:type="character" w:customStyle="1" w:styleId="432">
    <w:name w:val=" Char Char32"/>
    <w:link w:val="7"/>
    <w:qFormat/>
    <w:uiPriority w:val="0"/>
    <w:rPr>
      <w:b/>
      <w:bCs/>
      <w:kern w:val="2"/>
      <w:sz w:val="32"/>
      <w:szCs w:val="32"/>
    </w:rPr>
  </w:style>
  <w:style w:type="character" w:customStyle="1" w:styleId="433">
    <w:name w:val="日期 Char1"/>
    <w:qFormat/>
    <w:uiPriority w:val="0"/>
    <w:rPr>
      <w:rFonts w:ascii="Calibri" w:hAnsi="Calibri" w:cs="黑体"/>
      <w:kern w:val="2"/>
      <w:sz w:val="24"/>
      <w:szCs w:val="22"/>
    </w:rPr>
  </w:style>
  <w:style w:type="character" w:customStyle="1" w:styleId="434">
    <w:name w:val="页眉 Char"/>
    <w:qFormat/>
    <w:uiPriority w:val="99"/>
    <w:rPr>
      <w:rFonts w:eastAsia="仿宋_GB2312"/>
      <w:kern w:val="2"/>
      <w:sz w:val="18"/>
      <w:szCs w:val="18"/>
      <w:lang w:val="en-US" w:eastAsia="zh-CN" w:bidi="ar-SA"/>
    </w:rPr>
  </w:style>
  <w:style w:type="character" w:customStyle="1" w:styleId="435">
    <w:name w:val="Style3"/>
    <w:qFormat/>
    <w:uiPriority w:val="0"/>
    <w:rPr>
      <w:rFonts w:ascii="Calibri" w:hAnsi="宋体" w:eastAsia="宋体" w:cs="Times New Roman"/>
      <w:szCs w:val="22"/>
      <w:lang w:eastAsia="zh-CN"/>
    </w:rPr>
  </w:style>
  <w:style w:type="paragraph" w:customStyle="1" w:styleId="436">
    <w:name w:val="列表段落"/>
    <w:basedOn w:val="1"/>
    <w:qFormat/>
    <w:uiPriority w:val="99"/>
    <w:pPr>
      <w:ind w:firstLine="420" w:firstLineChars="200"/>
    </w:pPr>
    <w:rPr>
      <w:rFonts w:ascii="Calibri" w:hAnsi="Calibri" w:eastAsia="宋体" w:cs="Times New Roman"/>
      <w:szCs w:val="22"/>
    </w:rPr>
  </w:style>
  <w:style w:type="paragraph" w:customStyle="1" w:styleId="437">
    <w:name w:val="Char Char Char Char Char Char Char Char Char1 Char"/>
    <w:basedOn w:val="1"/>
    <w:qFormat/>
    <w:uiPriority w:val="0"/>
  </w:style>
  <w:style w:type="paragraph" w:customStyle="1" w:styleId="438">
    <w:name w:val="方案"/>
    <w:basedOn w:val="1"/>
    <w:uiPriority w:val="0"/>
    <w:pPr>
      <w:jc w:val="right"/>
    </w:pPr>
    <w:rPr>
      <w:rFonts w:ascii="Times New Roman" w:hAnsi="Times New Roman" w:eastAsia="黑体"/>
      <w:b/>
      <w:sz w:val="52"/>
    </w:rPr>
  </w:style>
  <w:style w:type="paragraph" w:customStyle="1" w:styleId="43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440">
    <w:name w:val="Normal Indent1"/>
    <w:basedOn w:val="1"/>
    <w:qFormat/>
    <w:uiPriority w:val="0"/>
    <w:pPr>
      <w:ind w:firstLine="420" w:firstLineChars="200"/>
    </w:pPr>
  </w:style>
  <w:style w:type="paragraph" w:customStyle="1" w:styleId="441">
    <w:name w:val="无间隔1"/>
    <w:qFormat/>
    <w:uiPriority w:val="0"/>
    <w:pPr>
      <w:widowControl w:val="0"/>
      <w:jc w:val="both"/>
    </w:pPr>
    <w:rPr>
      <w:kern w:val="2"/>
      <w:sz w:val="21"/>
      <w:szCs w:val="22"/>
      <w:lang w:val="en-US" w:eastAsia="zh-CN" w:bidi="ar-SA"/>
    </w:rPr>
  </w:style>
  <w:style w:type="paragraph" w:customStyle="1" w:styleId="442">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44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444">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445">
    <w:name w:val="样式 标题 3 + (中文) 黑体 小四 非加粗 段前: 7.8 磅 段后: 0 磅 行距: 固定值 20 磅"/>
    <w:basedOn w:val="7"/>
    <w:qFormat/>
    <w:uiPriority w:val="0"/>
    <w:pPr>
      <w:spacing w:before="0" w:after="0" w:line="400" w:lineRule="exact"/>
    </w:pPr>
    <w:rPr>
      <w:rFonts w:ascii="仿宋_GB2312" w:eastAsia="黑体" w:cs="宋体"/>
      <w:b w:val="0"/>
      <w:bCs w:val="0"/>
      <w:sz w:val="24"/>
      <w:szCs w:val="20"/>
    </w:rPr>
  </w:style>
  <w:style w:type="paragraph" w:customStyle="1" w:styleId="446">
    <w:name w:val="章标题"/>
    <w:next w:val="1"/>
    <w:qFormat/>
    <w:uiPriority w:val="0"/>
    <w:pPr>
      <w:numPr>
        <w:ilvl w:val="1"/>
        <w:numId w:val="8"/>
      </w:numPr>
      <w:spacing w:before="156" w:beforeLines="50" w:after="156" w:afterLines="50"/>
      <w:jc w:val="both"/>
      <w:outlineLvl w:val="1"/>
    </w:pPr>
    <w:rPr>
      <w:rFonts w:ascii="黑体" w:eastAsia="黑体"/>
      <w:sz w:val="21"/>
      <w:lang w:val="en-US" w:eastAsia="zh-CN" w:bidi="ar-SA"/>
    </w:rPr>
  </w:style>
  <w:style w:type="paragraph" w:customStyle="1" w:styleId="447">
    <w:name w:val="标题 2P"/>
    <w:basedOn w:val="5"/>
    <w:next w:val="6"/>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448">
    <w:name w:val="文字"/>
    <w:basedOn w:val="1"/>
    <w:qFormat/>
    <w:uiPriority w:val="0"/>
    <w:pPr>
      <w:tabs>
        <w:tab w:val="left" w:pos="8520"/>
      </w:tabs>
      <w:spacing w:line="312" w:lineRule="auto"/>
      <w:ind w:right="-210" w:firstLine="556"/>
    </w:pPr>
    <w:rPr>
      <w:rFonts w:ascii="宋体"/>
      <w:sz w:val="28"/>
      <w:szCs w:val="20"/>
    </w:rPr>
  </w:style>
  <w:style w:type="paragraph" w:customStyle="1" w:styleId="449">
    <w:name w:val="_Style 33"/>
    <w:basedOn w:val="1"/>
    <w:qFormat/>
    <w:uiPriority w:val="0"/>
  </w:style>
  <w:style w:type="paragraph" w:customStyle="1" w:styleId="450">
    <w:name w:val="样式 四号 行距: 1.5 倍行距"/>
    <w:basedOn w:val="1"/>
    <w:qFormat/>
    <w:uiPriority w:val="0"/>
    <w:pPr>
      <w:spacing w:line="312" w:lineRule="auto"/>
      <w:ind w:firstLine="202" w:firstLineChars="202"/>
    </w:pPr>
    <w:rPr>
      <w:rFonts w:cs="宋体"/>
      <w:sz w:val="24"/>
      <w:szCs w:val="20"/>
    </w:rPr>
  </w:style>
  <w:style w:type="paragraph" w:customStyle="1" w:styleId="451">
    <w:name w:val="正文文字表格居中"/>
    <w:basedOn w:val="1"/>
    <w:next w:val="50"/>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452">
    <w:name w:val="subtitle 2"/>
    <w:basedOn w:val="1"/>
    <w:uiPriority w:val="0"/>
    <w:pPr>
      <w:spacing w:before="240" w:after="240" w:line="312" w:lineRule="atLeast"/>
    </w:pPr>
    <w:rPr>
      <w:rFonts w:ascii="Times New Roman" w:hAnsi="Times New Roman" w:eastAsia="黑体"/>
      <w:snapToGrid w:val="0"/>
      <w:kern w:val="0"/>
      <w:sz w:val="24"/>
      <w:szCs w:val="20"/>
    </w:rPr>
  </w:style>
  <w:style w:type="paragraph" w:customStyle="1" w:styleId="453">
    <w:name w:val="Blockquote"/>
    <w:basedOn w:val="1"/>
    <w:qFormat/>
    <w:uiPriority w:val="0"/>
    <w:pPr>
      <w:autoSpaceDE w:val="0"/>
      <w:autoSpaceDN w:val="0"/>
      <w:spacing w:before="100" w:after="100"/>
      <w:ind w:left="360" w:right="360"/>
      <w:jc w:val="left"/>
    </w:pPr>
    <w:rPr>
      <w:szCs w:val="20"/>
    </w:rPr>
  </w:style>
  <w:style w:type="paragraph" w:customStyle="1" w:styleId="454">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455">
    <w:name w:val="普通 (Web)"/>
    <w:basedOn w:val="1"/>
    <w:qFormat/>
    <w:uiPriority w:val="0"/>
    <w:pPr>
      <w:widowControl/>
      <w:spacing w:before="100" w:after="100"/>
      <w:jc w:val="left"/>
    </w:pPr>
    <w:rPr>
      <w:rFonts w:ascii="宋体" w:hAnsi="宋体"/>
      <w:kern w:val="0"/>
      <w:sz w:val="24"/>
    </w:rPr>
  </w:style>
  <w:style w:type="paragraph" w:customStyle="1" w:styleId="456">
    <w:name w:val="xl98"/>
    <w:basedOn w:val="1"/>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457">
    <w:name w:val="内文正文"/>
    <w:basedOn w:val="31"/>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45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459">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6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1">
    <w:name w:val="Char Char Char Char Char Char Char Char Char Char Char Char Char Char"/>
    <w:basedOn w:val="1"/>
    <w:qFormat/>
    <w:uiPriority w:val="0"/>
    <w:pPr>
      <w:widowControl/>
      <w:spacing w:after="160" w:line="240" w:lineRule="exact"/>
      <w:jc w:val="left"/>
    </w:pPr>
    <w:rPr>
      <w:bCs/>
    </w:rPr>
  </w:style>
  <w:style w:type="paragraph" w:customStyle="1" w:styleId="462">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46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64">
    <w:name w:val="Body text|22"/>
    <w:basedOn w:val="1"/>
    <w:qFormat/>
    <w:uiPriority w:val="0"/>
    <w:pPr>
      <w:widowControl w:val="0"/>
      <w:shd w:val="clear" w:color="auto" w:fill="FFFFFF"/>
      <w:spacing w:before="140" w:line="403" w:lineRule="exact"/>
      <w:ind w:hanging="580"/>
    </w:pPr>
    <w:rPr>
      <w:rFonts w:ascii="PMingLiU" w:hAnsi="PMingLiU" w:eastAsia="PMingLiU"/>
      <w:spacing w:val="20"/>
      <w:kern w:val="0"/>
      <w:sz w:val="20"/>
      <w:szCs w:val="20"/>
    </w:rPr>
  </w:style>
  <w:style w:type="paragraph" w:customStyle="1" w:styleId="465">
    <w:name w:val="[Normal]"/>
    <w:qFormat/>
    <w:uiPriority w:val="0"/>
    <w:rPr>
      <w:rFonts w:ascii="宋体" w:hAnsi="宋体"/>
      <w:sz w:val="24"/>
      <w:szCs w:val="22"/>
      <w:lang w:val="zh-CN" w:eastAsia="zh-CN" w:bidi="ar-SA"/>
    </w:rPr>
  </w:style>
  <w:style w:type="paragraph" w:customStyle="1" w:styleId="466">
    <w:name w:val="xl106"/>
    <w:basedOn w:val="1"/>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467">
    <w:name w:val="1"/>
    <w:basedOn w:val="1"/>
    <w:qFormat/>
    <w:uiPriority w:val="0"/>
  </w:style>
  <w:style w:type="paragraph" w:customStyle="1" w:styleId="468">
    <w:name w:val="xl95"/>
    <w:basedOn w:val="1"/>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469">
    <w:name w:val="※正文"/>
    <w:basedOn w:val="1"/>
    <w:next w:val="1"/>
    <w:qFormat/>
    <w:uiPriority w:val="0"/>
    <w:pPr>
      <w:widowControl/>
      <w:wordWrap w:val="0"/>
      <w:spacing w:line="400" w:lineRule="exact"/>
    </w:pPr>
    <w:rPr>
      <w:rFonts w:ascii="Calibri Light" w:hAnsi="Calibri Light" w:eastAsia="华文仿宋" w:cs="Times New Roman"/>
      <w:sz w:val="28"/>
      <w:szCs w:val="28"/>
    </w:rPr>
  </w:style>
  <w:style w:type="paragraph" w:customStyle="1" w:styleId="470">
    <w:name w:val="xl97"/>
    <w:basedOn w:val="1"/>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471">
    <w:name w:val="样式 首行缩进:  2 字符"/>
    <w:basedOn w:val="1"/>
    <w:qFormat/>
    <w:uiPriority w:val="0"/>
    <w:pPr>
      <w:widowControl/>
      <w:numPr>
        <w:ilvl w:val="0"/>
        <w:numId w:val="9"/>
      </w:numPr>
    </w:pPr>
    <w:rPr>
      <w:rFonts w:ascii="宋体" w:hAnsi="宋体" w:cs="宋体"/>
      <w:bCs/>
      <w:color w:val="000000"/>
      <w:kern w:val="0"/>
      <w:sz w:val="24"/>
    </w:rPr>
  </w:style>
  <w:style w:type="paragraph" w:customStyle="1" w:styleId="472">
    <w:name w:val="样式3"/>
    <w:basedOn w:val="8"/>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473">
    <w:name w:val="样式6"/>
    <w:basedOn w:val="17"/>
    <w:qFormat/>
    <w:uiPriority w:val="0"/>
    <w:pPr>
      <w:keepNext/>
      <w:autoSpaceDE/>
      <w:autoSpaceDN/>
      <w:adjustRightInd/>
      <w:jc w:val="center"/>
    </w:pPr>
    <w:rPr>
      <w:rFonts w:ascii="宋体" w:hAnsi="宋体" w:eastAsia="宋体"/>
      <w:kern w:val="2"/>
    </w:rPr>
  </w:style>
  <w:style w:type="paragraph" w:customStyle="1" w:styleId="474">
    <w:name w:val="样式 四号 首行缩进:  1 厘米"/>
    <w:basedOn w:val="1"/>
    <w:qFormat/>
    <w:uiPriority w:val="0"/>
    <w:pPr>
      <w:spacing w:line="440" w:lineRule="exact"/>
      <w:ind w:firstLine="567"/>
    </w:pPr>
    <w:rPr>
      <w:rFonts w:cs="宋体"/>
      <w:sz w:val="28"/>
      <w:szCs w:val="20"/>
    </w:rPr>
  </w:style>
  <w:style w:type="paragraph" w:customStyle="1" w:styleId="475">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476">
    <w:name w:val="Char Char Char Char Char Char Char1"/>
    <w:basedOn w:val="1"/>
    <w:qFormat/>
    <w:uiPriority w:val="0"/>
    <w:pPr>
      <w:widowControl/>
      <w:spacing w:after="160" w:line="240" w:lineRule="exact"/>
      <w:jc w:val="left"/>
    </w:pPr>
    <w:rPr>
      <w:szCs w:val="20"/>
    </w:rPr>
  </w:style>
  <w:style w:type="paragraph" w:customStyle="1" w:styleId="477">
    <w:name w:val="Char Char1 Char"/>
    <w:basedOn w:val="1"/>
    <w:qFormat/>
    <w:uiPriority w:val="0"/>
    <w:pPr>
      <w:spacing w:line="360" w:lineRule="auto"/>
    </w:pPr>
    <w:rPr>
      <w:sz w:val="24"/>
    </w:rPr>
  </w:style>
  <w:style w:type="paragraph" w:customStyle="1" w:styleId="47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479">
    <w:name w:val="示例"/>
    <w:next w:val="1"/>
    <w:qFormat/>
    <w:uiPriority w:val="0"/>
    <w:pPr>
      <w:tabs>
        <w:tab w:val="left" w:pos="425"/>
        <w:tab w:val="left" w:pos="816"/>
      </w:tabs>
      <w:ind w:left="425" w:firstLine="419" w:firstLineChars="233"/>
      <w:jc w:val="both"/>
    </w:pPr>
    <w:rPr>
      <w:rFonts w:ascii="宋体"/>
      <w:sz w:val="18"/>
      <w:lang w:val="en-US" w:eastAsia="zh-CN" w:bidi="ar-SA"/>
    </w:rPr>
  </w:style>
  <w:style w:type="paragraph" w:customStyle="1" w:styleId="480">
    <w:name w:val="样式 标题 2 + 居中"/>
    <w:basedOn w:val="5"/>
    <w:qFormat/>
    <w:uiPriority w:val="0"/>
    <w:pPr>
      <w:spacing w:before="100" w:beforeLines="50" w:beforeAutospacing="1" w:after="100" w:afterLines="50" w:afterAutospacing="1" w:line="360" w:lineRule="auto"/>
      <w:jc w:val="center"/>
    </w:pPr>
    <w:rPr>
      <w:rFonts w:cs="宋体"/>
      <w:szCs w:val="20"/>
    </w:rPr>
  </w:style>
  <w:style w:type="paragraph" w:customStyle="1" w:styleId="481">
    <w:name w:val="列出段落4"/>
    <w:basedOn w:val="1"/>
    <w:qFormat/>
    <w:uiPriority w:val="0"/>
    <w:pPr>
      <w:ind w:firstLine="420" w:firstLineChars="200"/>
    </w:pPr>
  </w:style>
  <w:style w:type="paragraph" w:customStyle="1" w:styleId="482">
    <w:name w:val="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83">
    <w:name w:val="纯文本1"/>
    <w:basedOn w:val="1"/>
    <w:qFormat/>
    <w:uiPriority w:val="0"/>
    <w:pPr>
      <w:adjustRightInd w:val="0"/>
      <w:textAlignment w:val="baseline"/>
    </w:pPr>
    <w:rPr>
      <w:rFonts w:ascii="宋体" w:hAnsi="Courier New" w:eastAsia="楷体_GB2312"/>
      <w:sz w:val="26"/>
      <w:szCs w:val="20"/>
    </w:rPr>
  </w:style>
  <w:style w:type="paragraph" w:customStyle="1" w:styleId="484">
    <w:name w:val="正文（首行缩进）"/>
    <w:basedOn w:val="25"/>
    <w:qFormat/>
    <w:uiPriority w:val="0"/>
    <w:pPr>
      <w:widowControl/>
      <w:overflowPunct w:val="0"/>
      <w:autoSpaceDE w:val="0"/>
      <w:autoSpaceDN w:val="0"/>
      <w:spacing w:before="156"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485">
    <w:name w:val="Table of contents|1"/>
    <w:basedOn w:val="1"/>
    <w:qFormat/>
    <w:uiPriority w:val="0"/>
    <w:pPr>
      <w:widowControl w:val="0"/>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486">
    <w:name w:val="xl93"/>
    <w:basedOn w:val="1"/>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487">
    <w:name w:val="样式 标题 4正文四级标题 + 宋体 小五 行距: 固定值 12 磅1"/>
    <w:basedOn w:val="1"/>
    <w:qFormat/>
    <w:uiPriority w:val="0"/>
    <w:pPr>
      <w:tabs>
        <w:tab w:val="left" w:pos="2580"/>
      </w:tabs>
      <w:ind w:left="2580" w:hanging="420"/>
    </w:pPr>
    <w:rPr>
      <w:sz w:val="20"/>
    </w:rPr>
  </w:style>
  <w:style w:type="paragraph" w:customStyle="1" w:styleId="488">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89">
    <w:name w:val="五级条标题"/>
    <w:basedOn w:val="490"/>
    <w:next w:val="1"/>
    <w:qFormat/>
    <w:uiPriority w:val="0"/>
    <w:pPr>
      <w:numPr>
        <w:ilvl w:val="6"/>
        <w:numId w:val="8"/>
      </w:numPr>
      <w:outlineLvl w:val="6"/>
    </w:pPr>
  </w:style>
  <w:style w:type="paragraph" w:customStyle="1" w:styleId="490">
    <w:name w:val="四级条标题"/>
    <w:basedOn w:val="491"/>
    <w:next w:val="1"/>
    <w:qFormat/>
    <w:uiPriority w:val="0"/>
    <w:pPr>
      <w:numPr>
        <w:ilvl w:val="5"/>
        <w:numId w:val="8"/>
      </w:numPr>
      <w:outlineLvl w:val="5"/>
    </w:pPr>
  </w:style>
  <w:style w:type="paragraph" w:customStyle="1" w:styleId="491">
    <w:name w:val="三级条标题"/>
    <w:basedOn w:val="492"/>
    <w:next w:val="1"/>
    <w:qFormat/>
    <w:uiPriority w:val="0"/>
    <w:pPr>
      <w:numPr>
        <w:ilvl w:val="4"/>
        <w:numId w:val="8"/>
      </w:numPr>
      <w:outlineLvl w:val="4"/>
    </w:pPr>
  </w:style>
  <w:style w:type="paragraph" w:customStyle="1" w:styleId="492">
    <w:name w:val="二级条标题"/>
    <w:basedOn w:val="493"/>
    <w:next w:val="1"/>
    <w:qFormat/>
    <w:uiPriority w:val="0"/>
    <w:pPr>
      <w:numPr>
        <w:ilvl w:val="3"/>
        <w:numId w:val="8"/>
      </w:numPr>
      <w:outlineLvl w:val="3"/>
    </w:pPr>
  </w:style>
  <w:style w:type="paragraph" w:customStyle="1" w:styleId="493">
    <w:name w:val="一级条标题"/>
    <w:next w:val="1"/>
    <w:qFormat/>
    <w:uiPriority w:val="0"/>
    <w:pPr>
      <w:numPr>
        <w:ilvl w:val="2"/>
        <w:numId w:val="8"/>
      </w:numPr>
      <w:outlineLvl w:val="2"/>
    </w:pPr>
    <w:rPr>
      <w:rFonts w:eastAsia="黑体"/>
      <w:sz w:val="21"/>
      <w:lang w:val="en-US" w:eastAsia="zh-CN" w:bidi="ar-SA"/>
    </w:rPr>
  </w:style>
  <w:style w:type="paragraph" w:customStyle="1" w:styleId="494">
    <w:name w:val="xl103"/>
    <w:basedOn w:val="1"/>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495">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496">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497">
    <w:name w:val="编号正文"/>
    <w:basedOn w:val="23"/>
    <w:qFormat/>
    <w:uiPriority w:val="0"/>
    <w:pPr>
      <w:numPr>
        <w:ilvl w:val="0"/>
        <w:numId w:val="10"/>
      </w:numPr>
      <w:adjustRightInd w:val="0"/>
      <w:snapToGrid w:val="0"/>
      <w:spacing w:beforeLines="30" w:after="60" w:line="300" w:lineRule="auto"/>
      <w:jc w:val="left"/>
    </w:pPr>
    <w:rPr>
      <w:rFonts w:ascii="Times New Roman" w:hAnsi="Times New Roman"/>
      <w:kern w:val="0"/>
      <w:sz w:val="24"/>
      <w:szCs w:val="20"/>
    </w:rPr>
  </w:style>
  <w:style w:type="paragraph" w:customStyle="1" w:styleId="498">
    <w:name w:val="Char Char3"/>
    <w:basedOn w:val="1"/>
    <w:qFormat/>
    <w:uiPriority w:val="0"/>
    <w:rPr>
      <w:rFonts w:ascii="仿宋_GB2312" w:eastAsia="仿宋_GB2312"/>
      <w:b/>
      <w:sz w:val="32"/>
      <w:szCs w:val="32"/>
    </w:rPr>
  </w:style>
  <w:style w:type="paragraph" w:customStyle="1" w:styleId="499">
    <w:name w:val="1 Char"/>
    <w:basedOn w:val="6"/>
    <w:qFormat/>
    <w:uiPriority w:val="0"/>
    <w:pPr>
      <w:adjustRightInd/>
      <w:spacing w:line="360" w:lineRule="auto"/>
      <w:ind w:firstLine="200" w:firstLineChars="200"/>
      <w:textAlignment w:val="auto"/>
    </w:pPr>
    <w:rPr>
      <w:rFonts w:ascii="仿宋_GB2312"/>
      <w:b/>
      <w:kern w:val="2"/>
      <w:szCs w:val="32"/>
    </w:rPr>
  </w:style>
  <w:style w:type="paragraph" w:customStyle="1" w:styleId="500">
    <w:name w:val="Char Char Char Char3"/>
    <w:basedOn w:val="19"/>
    <w:qFormat/>
    <w:uiPriority w:val="0"/>
    <w:rPr>
      <w:rFonts w:ascii="Cambria" w:hAnsi="Cambria" w:eastAsia="仿宋_GB2312" w:cs="新宋体"/>
      <w:sz w:val="24"/>
    </w:rPr>
  </w:style>
  <w:style w:type="paragraph" w:customStyle="1" w:styleId="501">
    <w:name w:val="1Text"/>
    <w:basedOn w:val="1"/>
    <w:qFormat/>
    <w:uiPriority w:val="0"/>
    <w:pPr>
      <w:spacing w:before="156" w:beforeLines="50" w:after="156" w:afterLines="50" w:line="360" w:lineRule="auto"/>
      <w:ind w:firstLine="480" w:firstLineChars="200"/>
      <w:jc w:val="left"/>
    </w:pPr>
    <w:rPr>
      <w:rFonts w:ascii="Calibri" w:hAnsi="Calibri"/>
      <w:kern w:val="0"/>
      <w:sz w:val="24"/>
    </w:rPr>
  </w:style>
  <w:style w:type="paragraph" w:customStyle="1" w:styleId="502">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503">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0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505">
    <w:name w:val="正文 首行缩进:  2 字符 Char"/>
    <w:basedOn w:val="1"/>
    <w:qFormat/>
    <w:uiPriority w:val="0"/>
    <w:pPr>
      <w:spacing w:line="360" w:lineRule="auto"/>
      <w:ind w:firstLine="480"/>
    </w:pPr>
    <w:rPr>
      <w:rFonts w:cs="宋体"/>
      <w:sz w:val="24"/>
      <w:szCs w:val="20"/>
    </w:rPr>
  </w:style>
  <w:style w:type="paragraph" w:customStyle="1" w:styleId="506">
    <w:name w:val="封面标准英文名称"/>
    <w:qFormat/>
    <w:uiPriority w:val="0"/>
    <w:pPr>
      <w:widowControl w:val="0"/>
      <w:spacing w:before="370" w:line="400" w:lineRule="exact"/>
      <w:jc w:val="center"/>
    </w:pPr>
    <w:rPr>
      <w:sz w:val="28"/>
      <w:lang w:val="en-US" w:eastAsia="zh-CN" w:bidi="ar-SA"/>
    </w:rPr>
  </w:style>
  <w:style w:type="paragraph" w:customStyle="1" w:styleId="507">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508">
    <w:name w:val="正文字缩2字"/>
    <w:basedOn w:val="1"/>
    <w:qFormat/>
    <w:uiPriority w:val="0"/>
    <w:pPr>
      <w:spacing w:before="60" w:after="60" w:line="360" w:lineRule="auto"/>
      <w:ind w:left="200" w:leftChars="200" w:firstLine="200" w:firstLineChars="200"/>
    </w:pPr>
    <w:rPr>
      <w:sz w:val="24"/>
    </w:rPr>
  </w:style>
  <w:style w:type="paragraph" w:customStyle="1" w:styleId="509">
    <w:name w:val="1级"/>
    <w:basedOn w:val="4"/>
    <w:next w:val="55"/>
    <w:qFormat/>
    <w:uiPriority w:val="0"/>
    <w:pPr>
      <w:keepLines/>
      <w:pageBreakBefore/>
      <w:numPr>
        <w:ilvl w:val="0"/>
        <w:numId w:val="2"/>
      </w:numPr>
      <w:spacing w:before="340" w:after="330" w:line="578" w:lineRule="auto"/>
      <w:jc w:val="left"/>
    </w:pPr>
    <w:rPr>
      <w:rFonts w:ascii="Calibri" w:hAnsi="Calibri" w:eastAsia="宋体"/>
      <w:kern w:val="44"/>
      <w:sz w:val="32"/>
      <w:szCs w:val="32"/>
    </w:rPr>
  </w:style>
  <w:style w:type="paragraph" w:customStyle="1" w:styleId="510">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51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2">
    <w:name w:val="【注意】"/>
    <w:basedOn w:val="1"/>
    <w:next w:val="1"/>
    <w:qFormat/>
    <w:uiPriority w:val="0"/>
    <w:pPr>
      <w:spacing w:before="120" w:after="120"/>
      <w:jc w:val="left"/>
    </w:pPr>
    <w:rPr>
      <w:rFonts w:ascii="宋体" w:hAnsi="Arial"/>
      <w:szCs w:val="20"/>
    </w:rPr>
  </w:style>
  <w:style w:type="paragraph" w:customStyle="1" w:styleId="513">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514">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515">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16">
    <w:name w:val="样式 标题 4正文四级标题 + 宋体 小五 行距: 固定值 12 磅"/>
    <w:basedOn w:val="8"/>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517">
    <w:name w:val="xl108"/>
    <w:basedOn w:val="1"/>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518">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519">
    <w:name w:val="样式 标题 2 +"/>
    <w:basedOn w:val="5"/>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520">
    <w:name w:val="前言、引言标题"/>
    <w:next w:val="1"/>
    <w:qFormat/>
    <w:uiPriority w:val="0"/>
    <w:pPr>
      <w:numPr>
        <w:ilvl w:val="0"/>
        <w:numId w:val="8"/>
      </w:numPr>
      <w:shd w:val="clear" w:color="FFFFFF" w:fill="FFFFFF"/>
      <w:spacing w:before="640" w:after="560"/>
      <w:jc w:val="center"/>
      <w:outlineLvl w:val="0"/>
    </w:pPr>
    <w:rPr>
      <w:rFonts w:ascii="黑体" w:eastAsia="黑体"/>
      <w:sz w:val="32"/>
      <w:lang w:val="en-US" w:eastAsia="zh-CN" w:bidi="ar-SA"/>
    </w:rPr>
  </w:style>
  <w:style w:type="paragraph" w:customStyle="1" w:styleId="521">
    <w:name w:val="列出段落6"/>
    <w:basedOn w:val="1"/>
    <w:qFormat/>
    <w:uiPriority w:val="0"/>
    <w:pPr>
      <w:ind w:firstLine="420" w:firstLineChars="200"/>
    </w:pPr>
  </w:style>
  <w:style w:type="paragraph" w:customStyle="1" w:styleId="522">
    <w:name w:val="Char"/>
    <w:basedOn w:val="1"/>
    <w:qFormat/>
    <w:uiPriority w:val="0"/>
    <w:pPr>
      <w:widowControl/>
      <w:spacing w:line="400" w:lineRule="exact"/>
      <w:jc w:val="center"/>
    </w:pPr>
    <w:rPr>
      <w:rFonts w:ascii="Verdana" w:hAnsi="Verdana"/>
      <w:kern w:val="0"/>
      <w:szCs w:val="20"/>
      <w:lang w:eastAsia="en-US"/>
    </w:rPr>
  </w:style>
  <w:style w:type="paragraph" w:customStyle="1" w:styleId="523">
    <w:name w:val="Table Heading"/>
    <w:qFormat/>
    <w:uiPriority w:val="0"/>
    <w:pPr>
      <w:keepNext/>
      <w:snapToGrid w:val="0"/>
      <w:spacing w:before="80" w:after="80"/>
      <w:jc w:val="center"/>
    </w:pPr>
    <w:rPr>
      <w:rFonts w:eastAsia="黑体" w:cs="Arial"/>
      <w:kern w:val="2"/>
      <w:sz w:val="18"/>
      <w:szCs w:val="18"/>
      <w:lang w:val="en-US" w:eastAsia="zh-CN" w:bidi="ar-SA"/>
    </w:rPr>
  </w:style>
  <w:style w:type="paragraph" w:customStyle="1" w:styleId="524">
    <w:name w:val="Item List in Table"/>
    <w:qFormat/>
    <w:uiPriority w:val="0"/>
    <w:pPr>
      <w:tabs>
        <w:tab w:val="left" w:pos="284"/>
        <w:tab w:val="left" w:pos="720"/>
      </w:tabs>
      <w:spacing w:before="40" w:after="40"/>
      <w:ind w:left="720" w:hanging="720"/>
      <w:jc w:val="both"/>
    </w:pPr>
    <w:rPr>
      <w:rFonts w:cs="Arial"/>
      <w:kern w:val="2"/>
      <w:sz w:val="18"/>
      <w:szCs w:val="18"/>
      <w:lang w:val="en-US" w:eastAsia="zh-CN" w:bidi="ar-SA"/>
    </w:rPr>
  </w:style>
  <w:style w:type="paragraph" w:customStyle="1" w:styleId="525">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26">
    <w:name w:val="内文"/>
    <w:qFormat/>
    <w:uiPriority w:val="0"/>
    <w:pPr>
      <w:adjustRightInd w:val="0"/>
      <w:snapToGrid w:val="0"/>
      <w:spacing w:line="400" w:lineRule="exact"/>
      <w:ind w:firstLine="200" w:firstLineChars="200"/>
      <w:jc w:val="both"/>
    </w:pPr>
    <w:rPr>
      <w:rFonts w:ascii="Arial" w:hAnsi="Arial"/>
      <w:kern w:val="2"/>
      <w:sz w:val="21"/>
      <w:lang w:val="en-US" w:eastAsia="zh-CN" w:bidi="ar-SA"/>
    </w:rPr>
  </w:style>
  <w:style w:type="paragraph" w:customStyle="1" w:styleId="527">
    <w:name w:val="正文缩进2"/>
    <w:basedOn w:val="1"/>
    <w:qFormat/>
    <w:uiPriority w:val="0"/>
    <w:pPr>
      <w:ind w:firstLine="420"/>
    </w:pPr>
    <w:rPr>
      <w:szCs w:val="20"/>
    </w:rPr>
  </w:style>
  <w:style w:type="paragraph" w:customStyle="1" w:styleId="528">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29">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530">
    <w:name w:val="样式 首行缩进:  2 字符1"/>
    <w:basedOn w:val="1"/>
    <w:qFormat/>
    <w:uiPriority w:val="0"/>
    <w:pPr>
      <w:spacing w:line="360" w:lineRule="auto"/>
      <w:ind w:firstLine="540" w:firstLineChars="225"/>
    </w:pPr>
    <w:rPr>
      <w:sz w:val="24"/>
      <w:szCs w:val="20"/>
    </w:rPr>
  </w:style>
  <w:style w:type="paragraph" w:customStyle="1" w:styleId="531">
    <w:name w:val="_Style 341"/>
    <w:next w:val="1"/>
    <w:unhideWhenUsed/>
    <w:uiPriority w:val="99"/>
    <w:pPr>
      <w:widowControl w:val="0"/>
      <w:jc w:val="both"/>
    </w:pPr>
    <w:rPr>
      <w:kern w:val="2"/>
      <w:sz w:val="21"/>
      <w:szCs w:val="24"/>
      <w:lang w:val="en-US" w:eastAsia="zh-CN" w:bidi="ar-SA"/>
    </w:rPr>
  </w:style>
  <w:style w:type="paragraph" w:customStyle="1" w:styleId="532">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533">
    <w:name w:val="列出段落1"/>
    <w:basedOn w:val="1"/>
    <w:qFormat/>
    <w:uiPriority w:val="0"/>
    <w:pPr>
      <w:ind w:firstLine="420" w:firstLineChars="200"/>
    </w:pPr>
    <w:rPr>
      <w:szCs w:val="20"/>
    </w:rPr>
  </w:style>
  <w:style w:type="paragraph" w:customStyle="1" w:styleId="534">
    <w:name w:val="正文－恩普"/>
    <w:basedOn w:val="6"/>
    <w:qFormat/>
    <w:uiPriority w:val="0"/>
    <w:pPr>
      <w:adjustRightInd/>
      <w:spacing w:line="360" w:lineRule="auto"/>
      <w:ind w:firstLine="200" w:firstLineChars="200"/>
      <w:textAlignment w:val="auto"/>
    </w:pPr>
    <w:rPr>
      <w:rFonts w:ascii="仿宋_GB2312"/>
      <w:b/>
      <w:kern w:val="2"/>
      <w:sz w:val="24"/>
      <w:szCs w:val="24"/>
    </w:rPr>
  </w:style>
  <w:style w:type="paragraph" w:customStyle="1" w:styleId="53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3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7">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538">
    <w:name w:val="Char1 Char Char Char Char"/>
    <w:basedOn w:val="19"/>
    <w:qFormat/>
    <w:uiPriority w:val="0"/>
    <w:rPr>
      <w:rFonts w:ascii="Tahoma" w:hAnsi="Tahoma" w:cs="Tahoma"/>
      <w:kern w:val="0"/>
      <w:sz w:val="18"/>
    </w:rPr>
  </w:style>
  <w:style w:type="paragraph" w:customStyle="1" w:styleId="539">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54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41">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42">
    <w:name w:val="_Style 25"/>
    <w:basedOn w:val="1"/>
    <w:qFormat/>
    <w:uiPriority w:val="0"/>
  </w:style>
  <w:style w:type="paragraph" w:customStyle="1" w:styleId="543">
    <w:name w:val="样式 标题 3h33rd level3Heading 3 - old + 居中 左侧:  9.8 毫米 首行缩进: ...1"/>
    <w:basedOn w:val="7"/>
    <w:qFormat/>
    <w:uiPriority w:val="0"/>
    <w:pPr>
      <w:keepLines w:val="0"/>
      <w:tabs>
        <w:tab w:val="left" w:pos="1275"/>
      </w:tabs>
      <w:spacing w:before="156" w:beforeLines="50" w:after="156" w:afterLines="50" w:line="240" w:lineRule="auto"/>
      <w:ind w:left="1275" w:hanging="720"/>
      <w:jc w:val="center"/>
    </w:pPr>
    <w:rPr>
      <w:rFonts w:ascii="宋体" w:cs="宋体"/>
      <w:sz w:val="28"/>
      <w:szCs w:val="20"/>
    </w:rPr>
  </w:style>
  <w:style w:type="paragraph" w:customStyle="1" w:styleId="544">
    <w:name w:val="图表1"/>
    <w:basedOn w:val="1"/>
    <w:qFormat/>
    <w:uiPriority w:val="0"/>
    <w:pPr>
      <w:jc w:val="center"/>
    </w:pPr>
    <w:rPr>
      <w:sz w:val="20"/>
    </w:rPr>
  </w:style>
  <w:style w:type="paragraph" w:customStyle="1" w:styleId="545">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546">
    <w:name w:val="xl113"/>
    <w:basedOn w:val="1"/>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47">
    <w:name w:val="Char Char Char Char Char Char"/>
    <w:basedOn w:val="1"/>
    <w:qFormat/>
    <w:uiPriority w:val="0"/>
    <w:rPr>
      <w:rFonts w:ascii="Tahoma" w:hAnsi="Tahoma"/>
      <w:sz w:val="24"/>
      <w:szCs w:val="20"/>
    </w:rPr>
  </w:style>
  <w:style w:type="paragraph" w:customStyle="1" w:styleId="548">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549">
    <w:name w:val="Revision1"/>
    <w:qFormat/>
    <w:uiPriority w:val="99"/>
    <w:rPr>
      <w:kern w:val="2"/>
      <w:sz w:val="21"/>
      <w:szCs w:val="24"/>
      <w:lang w:val="en-US" w:eastAsia="zh-CN" w:bidi="ar-SA"/>
    </w:rPr>
  </w:style>
  <w:style w:type="paragraph" w:customStyle="1" w:styleId="550">
    <w:name w:val="样式_5"/>
    <w:basedOn w:val="9"/>
    <w:qFormat/>
    <w:uiPriority w:val="0"/>
    <w:pPr>
      <w:keepNext w:val="0"/>
      <w:adjustRightInd w:val="0"/>
      <w:spacing w:line="376" w:lineRule="auto"/>
      <w:textAlignment w:val="baseline"/>
    </w:pPr>
    <w:rPr>
      <w:rFonts w:ascii="宋体" w:hAnsi="宋体"/>
      <w:kern w:val="0"/>
      <w:sz w:val="18"/>
      <w:szCs w:val="18"/>
    </w:rPr>
  </w:style>
  <w:style w:type="paragraph" w:customStyle="1" w:styleId="551">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552">
    <w:name w:val="Char Char Char2"/>
    <w:basedOn w:val="1"/>
    <w:next w:val="1"/>
    <w:qFormat/>
    <w:uiPriority w:val="0"/>
    <w:pPr>
      <w:shd w:val="clear" w:color="auto" w:fill="000080"/>
    </w:pPr>
    <w:rPr>
      <w:rFonts w:ascii="Tahoma" w:hAnsi="Tahoma"/>
      <w:sz w:val="24"/>
    </w:rPr>
  </w:style>
  <w:style w:type="paragraph" w:customStyle="1" w:styleId="553">
    <w:name w:val="Char Char Char Char1"/>
    <w:basedOn w:val="1"/>
    <w:qFormat/>
    <w:uiPriority w:val="0"/>
    <w:rPr>
      <w:szCs w:val="20"/>
    </w:rPr>
  </w:style>
  <w:style w:type="paragraph" w:customStyle="1" w:styleId="554">
    <w:name w:val="Char Char Char Char2"/>
    <w:basedOn w:val="19"/>
    <w:qFormat/>
    <w:uiPriority w:val="0"/>
    <w:pPr>
      <w:spacing w:line="360" w:lineRule="auto"/>
    </w:pPr>
    <w:rPr>
      <w:rFonts w:ascii="Tahoma" w:hAnsi="Tahoma"/>
      <w:sz w:val="24"/>
    </w:rPr>
  </w:style>
  <w:style w:type="paragraph" w:customStyle="1" w:styleId="555">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556">
    <w:name w:val=" Char1 Char Char Char Char Char"/>
    <w:basedOn w:val="1"/>
    <w:uiPriority w:val="0"/>
    <w:pPr>
      <w:tabs>
        <w:tab w:val="left" w:pos="482"/>
        <w:tab w:val="left" w:pos="2183"/>
        <w:tab w:val="left" w:pos="3884"/>
        <w:tab w:val="left" w:pos="5585"/>
      </w:tabs>
      <w:adjustRightInd w:val="0"/>
      <w:textAlignment w:val="baseline"/>
    </w:pPr>
    <w:rPr>
      <w:rFonts w:ascii="Tahoma" w:hAnsi="Tahoma"/>
      <w:kern w:val="0"/>
      <w:sz w:val="24"/>
      <w:szCs w:val="20"/>
    </w:rPr>
  </w:style>
  <w:style w:type="paragraph" w:customStyle="1" w:styleId="55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558">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559">
    <w:name w:val="1级编号"/>
    <w:basedOn w:val="1"/>
    <w:qFormat/>
    <w:uiPriority w:val="0"/>
    <w:pPr>
      <w:numPr>
        <w:ilvl w:val="0"/>
        <w:numId w:val="11"/>
      </w:numPr>
      <w:spacing w:line="276" w:lineRule="auto"/>
      <w:ind w:left="993" w:hanging="573"/>
      <w:jc w:val="left"/>
    </w:pPr>
    <w:rPr>
      <w:rFonts w:ascii="Calibri" w:hAnsi="宋体"/>
      <w:szCs w:val="21"/>
    </w:rPr>
  </w:style>
  <w:style w:type="paragraph" w:customStyle="1" w:styleId="560">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561">
    <w:name w:val="Char1 Char Char Char"/>
    <w:basedOn w:val="1"/>
    <w:qFormat/>
    <w:uiPriority w:val="0"/>
    <w:rPr>
      <w:szCs w:val="20"/>
    </w:rPr>
  </w:style>
  <w:style w:type="paragraph" w:customStyle="1" w:styleId="562">
    <w:name w:val="默认段落字体 Para Char Char Char Char Char Char Char Char Char1 Char Char Char Char Char Char Char"/>
    <w:basedOn w:val="19"/>
    <w:qFormat/>
    <w:uiPriority w:val="0"/>
    <w:rPr>
      <w:rFonts w:ascii="Tahoma" w:hAnsi="Tahoma"/>
      <w:sz w:val="24"/>
    </w:rPr>
  </w:style>
  <w:style w:type="paragraph" w:customStyle="1" w:styleId="56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6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565">
    <w:name w:val="编号1"/>
    <w:basedOn w:val="1"/>
    <w:qFormat/>
    <w:uiPriority w:val="0"/>
    <w:pPr>
      <w:spacing w:line="360" w:lineRule="auto"/>
      <w:jc w:val="left"/>
    </w:pPr>
    <w:rPr>
      <w:sz w:val="24"/>
    </w:rPr>
  </w:style>
  <w:style w:type="paragraph" w:customStyle="1" w:styleId="56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67">
    <w:name w:val="样式 标题 3 + 黑体 小四 非加粗"/>
    <w:basedOn w:val="7"/>
    <w:qFormat/>
    <w:uiPriority w:val="0"/>
    <w:pPr>
      <w:spacing w:line="413" w:lineRule="auto"/>
    </w:pPr>
    <w:rPr>
      <w:rFonts w:ascii="黑体" w:hAnsi="黑体" w:eastAsia="黑体"/>
      <w:b w:val="0"/>
      <w:bCs w:val="0"/>
      <w:kern w:val="0"/>
      <w:sz w:val="24"/>
    </w:rPr>
  </w:style>
  <w:style w:type="paragraph" w:customStyle="1" w:styleId="568">
    <w:name w:val="纯文本11"/>
    <w:basedOn w:val="1"/>
    <w:qFormat/>
    <w:uiPriority w:val="0"/>
    <w:pPr>
      <w:adjustRightInd w:val="0"/>
      <w:textAlignment w:val="baseline"/>
    </w:pPr>
    <w:rPr>
      <w:rFonts w:ascii="宋体" w:hAnsi="Courier New" w:eastAsia="楷体_GB2312"/>
      <w:sz w:val="26"/>
      <w:szCs w:val="20"/>
    </w:rPr>
  </w:style>
  <w:style w:type="paragraph" w:customStyle="1" w:styleId="569">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570">
    <w:name w:val="正文段"/>
    <w:basedOn w:val="1"/>
    <w:qFormat/>
    <w:uiPriority w:val="0"/>
    <w:pPr>
      <w:widowControl/>
      <w:snapToGrid w:val="0"/>
      <w:spacing w:after="156" w:afterLines="50"/>
      <w:ind w:firstLine="200" w:firstLineChars="200"/>
    </w:pPr>
    <w:rPr>
      <w:kern w:val="0"/>
      <w:sz w:val="24"/>
      <w:szCs w:val="20"/>
    </w:rPr>
  </w:style>
  <w:style w:type="paragraph" w:customStyle="1" w:styleId="571">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572">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73">
    <w:name w:val="Char Char Char Char Char Char Char"/>
    <w:basedOn w:val="1"/>
    <w:next w:val="1"/>
    <w:qFormat/>
    <w:uiPriority w:val="0"/>
    <w:pPr>
      <w:tabs>
        <w:tab w:val="left" w:pos="425"/>
      </w:tabs>
      <w:spacing w:before="156" w:beforeLines="50" w:after="312" w:afterLines="100" w:line="360" w:lineRule="auto"/>
      <w:ind w:left="1105" w:hanging="748"/>
      <w:jc w:val="center"/>
    </w:pPr>
    <w:rPr>
      <w:szCs w:val="20"/>
    </w:rPr>
  </w:style>
  <w:style w:type="paragraph" w:customStyle="1" w:styleId="574">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575">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76">
    <w:name w:val="默认段落字体 Para Char Char Char Char Char Char Char Char Char1 Char Char Char Char"/>
    <w:basedOn w:val="1"/>
    <w:qFormat/>
    <w:uiPriority w:val="0"/>
    <w:rPr>
      <w:rFonts w:ascii="Tahoma" w:hAnsi="Tahoma"/>
      <w:sz w:val="24"/>
      <w:szCs w:val="20"/>
    </w:rPr>
  </w:style>
  <w:style w:type="paragraph" w:customStyle="1" w:styleId="577">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578">
    <w:name w:val="哈哈表格"/>
    <w:basedOn w:val="1"/>
    <w:qFormat/>
    <w:uiPriority w:val="0"/>
    <w:pPr>
      <w:spacing w:line="360" w:lineRule="auto"/>
    </w:pPr>
    <w:rPr>
      <w:rFonts w:ascii="宋体" w:hAnsi="宋体" w:cs="宋体"/>
      <w:sz w:val="24"/>
      <w:szCs w:val="20"/>
    </w:rPr>
  </w:style>
  <w:style w:type="paragraph" w:customStyle="1" w:styleId="579">
    <w:name w:val="列出段落3"/>
    <w:basedOn w:val="1"/>
    <w:qFormat/>
    <w:uiPriority w:val="0"/>
    <w:pPr>
      <w:spacing w:line="360" w:lineRule="auto"/>
      <w:ind w:firstLine="420" w:firstLineChars="200"/>
    </w:pPr>
    <w:rPr>
      <w:rFonts w:ascii="Calibri" w:hAnsi="Calibri"/>
      <w:sz w:val="24"/>
      <w:szCs w:val="22"/>
    </w:rPr>
  </w:style>
  <w:style w:type="paragraph" w:customStyle="1" w:styleId="580">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5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582">
    <w:name w:val="NICMAN Body Text"/>
    <w:basedOn w:val="1"/>
    <w:next w:val="23"/>
    <w:qFormat/>
    <w:uiPriority w:val="0"/>
    <w:pPr>
      <w:autoSpaceDE w:val="0"/>
      <w:autoSpaceDN w:val="0"/>
      <w:adjustRightInd w:val="0"/>
      <w:spacing w:after="120"/>
      <w:jc w:val="left"/>
    </w:pPr>
    <w:rPr>
      <w:kern w:val="0"/>
      <w:sz w:val="20"/>
      <w:szCs w:val="20"/>
    </w:rPr>
  </w:style>
  <w:style w:type="paragraph" w:customStyle="1" w:styleId="583">
    <w:name w:val="标题 4P"/>
    <w:basedOn w:val="8"/>
    <w:next w:val="6"/>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58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585">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86">
    <w:name w:val="Body text|25"/>
    <w:basedOn w:val="1"/>
    <w:qFormat/>
    <w:uiPriority w:val="0"/>
    <w:pPr>
      <w:widowControl w:val="0"/>
      <w:shd w:val="clear" w:color="auto" w:fill="FFFFFF"/>
      <w:spacing w:before="120" w:line="341" w:lineRule="exact"/>
      <w:ind w:hanging="100"/>
      <w:jc w:val="distribute"/>
    </w:pPr>
    <w:rPr>
      <w:rFonts w:ascii="PMingLiU" w:hAnsi="PMingLiU" w:eastAsia="PMingLiU" w:cs="PMingLiU"/>
      <w:sz w:val="20"/>
      <w:szCs w:val="20"/>
      <w:u w:val="none"/>
    </w:rPr>
  </w:style>
  <w:style w:type="paragraph" w:customStyle="1" w:styleId="58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88">
    <w:name w:val="Char3"/>
    <w:basedOn w:val="1"/>
    <w:qFormat/>
    <w:uiPriority w:val="0"/>
    <w:rPr>
      <w:rFonts w:ascii="Tahoma" w:hAnsi="Tahoma"/>
      <w:sz w:val="24"/>
      <w:szCs w:val="20"/>
    </w:rPr>
  </w:style>
  <w:style w:type="paragraph" w:customStyle="1" w:styleId="589">
    <w:name w:val="Char1 Char Char Char Char1"/>
    <w:basedOn w:val="19"/>
    <w:qFormat/>
    <w:uiPriority w:val="0"/>
    <w:rPr>
      <w:rFonts w:ascii="Tahoma" w:hAnsi="Tahoma" w:cs="Tahoma"/>
      <w:kern w:val="0"/>
      <w:sz w:val="18"/>
    </w:rPr>
  </w:style>
  <w:style w:type="paragraph" w:customStyle="1" w:styleId="590">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59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592">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593">
    <w:name w:val="_Style 256"/>
    <w:next w:val="1"/>
    <w:qFormat/>
    <w:uiPriority w:val="99"/>
    <w:pPr>
      <w:widowControl w:val="0"/>
      <w:jc w:val="both"/>
    </w:pPr>
    <w:rPr>
      <w:kern w:val="2"/>
      <w:sz w:val="21"/>
      <w:szCs w:val="24"/>
      <w:lang w:val="en-US" w:eastAsia="zh-CN" w:bidi="ar-SA"/>
    </w:rPr>
  </w:style>
  <w:style w:type="paragraph" w:customStyle="1" w:styleId="594">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5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96">
    <w:name w:val="Char Char Char Char12"/>
    <w:basedOn w:val="1"/>
    <w:qFormat/>
    <w:uiPriority w:val="0"/>
    <w:rPr>
      <w:rFonts w:ascii="Tahoma" w:hAnsi="Tahoma"/>
      <w:sz w:val="24"/>
      <w:szCs w:val="20"/>
    </w:rPr>
  </w:style>
  <w:style w:type="paragraph" w:customStyle="1" w:styleId="597">
    <w:name w:val="_Style 11"/>
    <w:basedOn w:val="1"/>
    <w:qFormat/>
    <w:uiPriority w:val="0"/>
    <w:pPr>
      <w:tabs>
        <w:tab w:val="left" w:pos="360"/>
      </w:tabs>
    </w:pPr>
    <w:rPr>
      <w:szCs w:val="22"/>
    </w:rPr>
  </w:style>
  <w:style w:type="paragraph" w:customStyle="1" w:styleId="598">
    <w:name w:val="方案文档"/>
    <w:basedOn w:val="1"/>
    <w:uiPriority w:val="0"/>
    <w:pPr>
      <w:spacing w:before="120" w:after="120" w:line="360" w:lineRule="auto"/>
      <w:ind w:left="210" w:leftChars="100" w:right="210" w:rightChars="100" w:firstLine="567"/>
    </w:pPr>
    <w:rPr>
      <w:rFonts w:ascii="Arial" w:hAnsi="Arial"/>
      <w:sz w:val="24"/>
    </w:rPr>
  </w:style>
  <w:style w:type="paragraph" w:customStyle="1" w:styleId="599">
    <w:name w:val="Char11"/>
    <w:basedOn w:val="1"/>
    <w:qFormat/>
    <w:uiPriority w:val="0"/>
    <w:rPr>
      <w:rFonts w:ascii="Tahoma" w:hAnsi="Tahoma"/>
      <w:sz w:val="24"/>
      <w:szCs w:val="20"/>
    </w:rPr>
  </w:style>
  <w:style w:type="paragraph" w:customStyle="1" w:styleId="60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1">
    <w:name w:val="样式_4"/>
    <w:basedOn w:val="8"/>
    <w:next w:val="8"/>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602">
    <w:name w:val="blockquote"/>
    <w:basedOn w:val="1"/>
    <w:qFormat/>
    <w:uiPriority w:val="0"/>
    <w:pPr>
      <w:widowControl/>
      <w:spacing w:before="100" w:beforeAutospacing="1" w:after="100" w:afterAutospacing="1"/>
      <w:jc w:val="left"/>
    </w:pPr>
    <w:rPr>
      <w:rFonts w:ascii="宋体" w:hAnsi="宋体"/>
    </w:rPr>
  </w:style>
  <w:style w:type="paragraph" w:customStyle="1" w:styleId="603">
    <w:name w:val="Pa5"/>
    <w:basedOn w:val="539"/>
    <w:next w:val="539"/>
    <w:qFormat/>
    <w:uiPriority w:val="0"/>
    <w:pPr>
      <w:spacing w:after="60" w:line="161" w:lineRule="atLeast"/>
    </w:pPr>
    <w:rPr>
      <w:rFonts w:ascii="Univers LT Std 57 Cn" w:hAnsi="Univers LT Std 57 Cn" w:cs="Times New Roman"/>
      <w:color w:val="auto"/>
    </w:rPr>
  </w:style>
  <w:style w:type="paragraph" w:customStyle="1" w:styleId="604">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605">
    <w:name w:val="xl110"/>
    <w:basedOn w:val="1"/>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606">
    <w:name w:val="Bulleted List"/>
    <w:basedOn w:val="1"/>
    <w:qFormat/>
    <w:uiPriority w:val="0"/>
    <w:pPr>
      <w:numPr>
        <w:ilvl w:val="1"/>
        <w:numId w:val="12"/>
      </w:numPr>
      <w:tabs>
        <w:tab w:val="left" w:pos="420"/>
      </w:tabs>
    </w:pPr>
  </w:style>
  <w:style w:type="paragraph" w:customStyle="1" w:styleId="60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08">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609">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6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61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2">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613">
    <w:name w:val="修订1"/>
    <w:qFormat/>
    <w:uiPriority w:val="0"/>
    <w:rPr>
      <w:kern w:val="2"/>
      <w:sz w:val="21"/>
      <w:szCs w:val="24"/>
      <w:lang w:val="en-US" w:eastAsia="zh-CN" w:bidi="ar-SA"/>
    </w:rPr>
  </w:style>
  <w:style w:type="paragraph" w:customStyle="1" w:styleId="614">
    <w:name w:val="项目符1"/>
    <w:basedOn w:val="1"/>
    <w:next w:val="1"/>
    <w:qFormat/>
    <w:uiPriority w:val="0"/>
    <w:pPr>
      <w:numPr>
        <w:ilvl w:val="0"/>
        <w:numId w:val="13"/>
      </w:numPr>
      <w:spacing w:before="60" w:line="360" w:lineRule="auto"/>
    </w:pPr>
    <w:rPr>
      <w:spacing w:val="6"/>
      <w:szCs w:val="20"/>
    </w:rPr>
  </w:style>
  <w:style w:type="paragraph" w:customStyle="1" w:styleId="615">
    <w:name w:val="正文5"/>
    <w:qFormat/>
    <w:uiPriority w:val="0"/>
    <w:pPr>
      <w:widowControl w:val="0"/>
      <w:jc w:val="both"/>
    </w:pPr>
    <w:rPr>
      <w:rFonts w:ascii="Times New Roman" w:hAnsi="Times New Roman"/>
      <w:kern w:val="2"/>
      <w:sz w:val="21"/>
      <w:lang w:val="en-US" w:eastAsia="zh-CN" w:bidi="ar-SA"/>
    </w:rPr>
  </w:style>
  <w:style w:type="paragraph" w:customStyle="1" w:styleId="616">
    <w:name w:val="样式 标题 5正文四级标题 + 宋体 小五 行距: 固定值 12 磅1"/>
    <w:basedOn w:val="9"/>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617">
    <w:name w:val="List Paragraph2"/>
    <w:basedOn w:val="1"/>
    <w:qFormat/>
    <w:uiPriority w:val="0"/>
    <w:pPr>
      <w:ind w:firstLine="420" w:firstLineChars="200"/>
    </w:pPr>
  </w:style>
  <w:style w:type="paragraph" w:customStyle="1" w:styleId="618">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619">
    <w:name w:val="reader-word-layer reader-word-s1-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0">
    <w:name w:val="H 4"/>
    <w:basedOn w:val="8"/>
    <w:next w:val="1"/>
    <w:qFormat/>
    <w:uiPriority w:val="0"/>
    <w:pPr>
      <w:spacing w:before="120" w:after="120" w:line="240" w:lineRule="auto"/>
      <w:jc w:val="both"/>
    </w:pPr>
    <w:rPr>
      <w:rFonts w:ascii="宋体" w:hAnsi="宋体" w:cs="Times New Roman"/>
      <w:szCs w:val="24"/>
      <w:lang w:val="zh-CN"/>
    </w:rPr>
  </w:style>
  <w:style w:type="paragraph" w:customStyle="1" w:styleId="621">
    <w:name w:val="Char Char Char Char11"/>
    <w:basedOn w:val="19"/>
    <w:qFormat/>
    <w:uiPriority w:val="0"/>
    <w:rPr>
      <w:rFonts w:ascii="Tahoma" w:hAnsi="Tahoma"/>
      <w:sz w:val="24"/>
    </w:rPr>
  </w:style>
  <w:style w:type="paragraph" w:customStyle="1" w:styleId="622">
    <w:name w:val="列项——（一级）"/>
    <w:qFormat/>
    <w:uiPriority w:val="0"/>
    <w:pPr>
      <w:widowControl w:val="0"/>
      <w:tabs>
        <w:tab w:val="left" w:pos="854"/>
        <w:tab w:val="left" w:pos="1260"/>
      </w:tabs>
      <w:ind w:left="1260" w:hanging="420"/>
      <w:jc w:val="both"/>
    </w:pPr>
    <w:rPr>
      <w:rFonts w:ascii="宋体"/>
      <w:sz w:val="21"/>
      <w:lang w:val="en-US" w:eastAsia="zh-CN" w:bidi="ar-SA"/>
    </w:rPr>
  </w:style>
  <w:style w:type="paragraph" w:customStyle="1" w:styleId="623">
    <w:name w:val="表格文字"/>
    <w:basedOn w:val="1"/>
    <w:next w:val="23"/>
    <w:qFormat/>
    <w:uiPriority w:val="0"/>
    <w:pPr>
      <w:spacing w:line="420" w:lineRule="atLeast"/>
      <w:jc w:val="left"/>
    </w:pPr>
    <w:rPr>
      <w:szCs w:val="20"/>
    </w:rPr>
  </w:style>
  <w:style w:type="paragraph" w:customStyle="1" w:styleId="62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25">
    <w:name w:val="标题3"/>
    <w:basedOn w:val="7"/>
    <w:qFormat/>
    <w:uiPriority w:val="0"/>
    <w:pPr>
      <w:numPr>
        <w:ilvl w:val="2"/>
        <w:numId w:val="14"/>
      </w:numPr>
      <w:spacing w:line="416" w:lineRule="auto"/>
      <w:jc w:val="left"/>
    </w:pPr>
    <w:rPr>
      <w:rFonts w:eastAsia="黑体" w:cs="Arial"/>
    </w:rPr>
  </w:style>
  <w:style w:type="paragraph" w:customStyle="1" w:styleId="626">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6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28">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629">
    <w:name w:val="正文常用"/>
    <w:basedOn w:val="1"/>
    <w:qFormat/>
    <w:uiPriority w:val="0"/>
    <w:pPr>
      <w:spacing w:line="360" w:lineRule="auto"/>
      <w:ind w:firstLine="420"/>
    </w:pPr>
    <w:rPr>
      <w:rFonts w:ascii="宋体" w:hAnsi="宋体"/>
      <w:color w:val="000000"/>
      <w:sz w:val="24"/>
      <w:szCs w:val="21"/>
    </w:rPr>
  </w:style>
  <w:style w:type="paragraph" w:customStyle="1" w:styleId="630">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631">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32">
    <w:name w:val="表格正文"/>
    <w:basedOn w:val="6"/>
    <w:qFormat/>
    <w:uiPriority w:val="0"/>
    <w:pPr>
      <w:adjustRightInd/>
      <w:spacing w:before="30" w:beforeLines="30" w:after="20" w:afterLines="20" w:line="360" w:lineRule="auto"/>
      <w:ind w:firstLine="0"/>
      <w:textAlignment w:val="auto"/>
    </w:pPr>
    <w:rPr>
      <w:rFonts w:ascii="Arial" w:hAnsi="Arial"/>
      <w:kern w:val="2"/>
      <w:szCs w:val="21"/>
    </w:rPr>
  </w:style>
  <w:style w:type="paragraph" w:customStyle="1" w:styleId="633">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634">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635">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636">
    <w:name w:val="简单回函地址"/>
    <w:basedOn w:val="1"/>
    <w:qFormat/>
    <w:uiPriority w:val="0"/>
  </w:style>
  <w:style w:type="paragraph" w:customStyle="1" w:styleId="637">
    <w:name w:val="保留正文"/>
    <w:basedOn w:val="23"/>
    <w:qFormat/>
    <w:uiPriority w:val="0"/>
    <w:pPr>
      <w:keepNext/>
      <w:spacing w:after="160"/>
    </w:pPr>
    <w:rPr>
      <w:rFonts w:ascii="仿宋_GB2312"/>
      <w:b/>
    </w:rPr>
  </w:style>
  <w:style w:type="paragraph" w:customStyle="1" w:styleId="638">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63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640">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641">
    <w:name w:val="Test2"/>
    <w:basedOn w:val="5"/>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42">
    <w:name w:val="样式 正文缩进 + 首行缩进:  2 字符"/>
    <w:basedOn w:val="6"/>
    <w:qFormat/>
    <w:uiPriority w:val="0"/>
    <w:pPr>
      <w:adjustRightInd/>
      <w:spacing w:line="360" w:lineRule="auto"/>
      <w:ind w:firstLine="200" w:firstLineChars="200"/>
      <w:textAlignment w:val="auto"/>
    </w:pPr>
    <w:rPr>
      <w:rFonts w:cs="宋体"/>
      <w:kern w:val="2"/>
      <w:sz w:val="24"/>
    </w:rPr>
  </w:style>
  <w:style w:type="paragraph" w:customStyle="1" w:styleId="643">
    <w:name w:val="Body text|3"/>
    <w:basedOn w:val="1"/>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paragraph" w:customStyle="1" w:styleId="644">
    <w:name w:val="表格文字加粗"/>
    <w:basedOn w:val="623"/>
    <w:qFormat/>
    <w:uiPriority w:val="0"/>
    <w:pPr>
      <w:spacing w:line="240" w:lineRule="auto"/>
    </w:pPr>
    <w:rPr>
      <w:rFonts w:ascii="宋体" w:hAnsi="宋体" w:cs="宋体"/>
      <w:b/>
      <w:bCs/>
      <w:sz w:val="18"/>
      <w:szCs w:val="18"/>
    </w:rPr>
  </w:style>
  <w:style w:type="paragraph" w:customStyle="1" w:styleId="645">
    <w:name w:val="标题2"/>
    <w:basedOn w:val="5"/>
    <w:qFormat/>
    <w:uiPriority w:val="0"/>
    <w:pPr>
      <w:numPr>
        <w:ilvl w:val="1"/>
        <w:numId w:val="14"/>
      </w:numPr>
      <w:spacing w:before="240" w:after="240" w:line="360" w:lineRule="auto"/>
    </w:pPr>
    <w:rPr>
      <w:rFonts w:ascii="Times New Roman" w:hAnsi="Times New Roman"/>
      <w:sz w:val="36"/>
    </w:rPr>
  </w:style>
  <w:style w:type="paragraph" w:customStyle="1" w:styleId="646">
    <w:name w:val="标题 3H"/>
    <w:basedOn w:val="7"/>
    <w:next w:val="6"/>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647">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648">
    <w:name w:val="Char12"/>
    <w:basedOn w:val="1"/>
    <w:qFormat/>
    <w:uiPriority w:val="0"/>
    <w:rPr>
      <w:rFonts w:ascii="Tahoma" w:hAnsi="Tahoma"/>
      <w:sz w:val="24"/>
      <w:szCs w:val="20"/>
    </w:rPr>
  </w:style>
  <w:style w:type="paragraph" w:customStyle="1" w:styleId="649">
    <w:name w:val="font0"/>
    <w:basedOn w:val="1"/>
    <w:uiPriority w:val="0"/>
    <w:pPr>
      <w:widowControl/>
      <w:spacing w:before="100" w:beforeAutospacing="1" w:after="100" w:afterAutospacing="1"/>
      <w:jc w:val="left"/>
    </w:pPr>
    <w:rPr>
      <w:rFonts w:ascii="宋体" w:hAnsi="宋体" w:cs="宋体"/>
      <w:kern w:val="0"/>
      <w:sz w:val="24"/>
    </w:rPr>
  </w:style>
  <w:style w:type="paragraph" w:customStyle="1" w:styleId="650">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651">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652">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653">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654">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655">
    <w:name w:val="默认段落字体 Para Char"/>
    <w:basedOn w:val="1"/>
    <w:qFormat/>
    <w:uiPriority w:val="0"/>
    <w:pPr>
      <w:spacing w:before="156" w:beforeLines="50" w:after="156" w:afterLines="50"/>
    </w:pPr>
    <w:rPr>
      <w:rFonts w:ascii="Tahoma" w:hAnsi="Tahoma"/>
      <w:sz w:val="24"/>
      <w:szCs w:val="20"/>
    </w:rPr>
  </w:style>
  <w:style w:type="paragraph" w:customStyle="1" w:styleId="656">
    <w:name w:val="List Paragraph1"/>
    <w:basedOn w:val="1"/>
    <w:qFormat/>
    <w:uiPriority w:val="0"/>
    <w:pPr>
      <w:spacing w:line="360" w:lineRule="auto"/>
      <w:ind w:firstLine="420" w:firstLineChars="200"/>
    </w:pPr>
    <w:rPr>
      <w:rFonts w:ascii="Calibri" w:hAnsi="Calibri"/>
      <w:sz w:val="24"/>
      <w:szCs w:val="22"/>
    </w:rPr>
  </w:style>
  <w:style w:type="paragraph" w:customStyle="1" w:styleId="65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58">
    <w:name w:val="段"/>
    <w:qFormat/>
    <w:uiPriority w:val="0"/>
    <w:pPr>
      <w:autoSpaceDE w:val="0"/>
      <w:autoSpaceDN w:val="0"/>
      <w:ind w:firstLine="200" w:firstLineChars="200"/>
      <w:jc w:val="both"/>
    </w:pPr>
    <w:rPr>
      <w:rFonts w:ascii="宋体"/>
      <w:sz w:val="21"/>
      <w:lang w:val="en-US" w:eastAsia="zh-CN" w:bidi="ar-SA"/>
    </w:rPr>
  </w:style>
  <w:style w:type="paragraph" w:customStyle="1" w:styleId="659">
    <w:name w:val="xl109"/>
    <w:basedOn w:val="1"/>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60">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661">
    <w:name w:val="正文内容"/>
    <w:basedOn w:val="1"/>
    <w:qFormat/>
    <w:uiPriority w:val="0"/>
    <w:pPr>
      <w:spacing w:line="360" w:lineRule="auto"/>
      <w:ind w:firstLine="480"/>
    </w:pPr>
    <w:rPr>
      <w:rFonts w:ascii="宋体" w:hAnsi="宋体"/>
      <w:sz w:val="24"/>
      <w:szCs w:val="20"/>
    </w:rPr>
  </w:style>
  <w:style w:type="paragraph" w:customStyle="1" w:styleId="662">
    <w:name w:val="招标文件－标准正文"/>
    <w:basedOn w:val="31"/>
    <w:qFormat/>
    <w:uiPriority w:val="0"/>
    <w:pPr>
      <w:spacing w:line="360" w:lineRule="auto"/>
    </w:pPr>
    <w:rPr>
      <w:rFonts w:ascii="Times New Roman" w:hAnsi="Times New Roman" w:cs="宋体"/>
      <w:color w:val="000000"/>
      <w:sz w:val="24"/>
    </w:rPr>
  </w:style>
  <w:style w:type="paragraph" w:customStyle="1" w:styleId="66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664">
    <w:name w:val="编号，小四"/>
    <w:basedOn w:val="1"/>
    <w:qFormat/>
    <w:uiPriority w:val="0"/>
    <w:pPr>
      <w:numPr>
        <w:ilvl w:val="0"/>
        <w:numId w:val="15"/>
      </w:numPr>
      <w:spacing w:line="360" w:lineRule="auto"/>
    </w:pPr>
    <w:rPr>
      <w:rFonts w:ascii="Arial" w:hAnsi="Arial" w:cs="宋体"/>
      <w:sz w:val="24"/>
      <w:szCs w:val="20"/>
    </w:rPr>
  </w:style>
  <w:style w:type="paragraph" w:customStyle="1" w:styleId="665">
    <w:name w:val="列出段落2"/>
    <w:basedOn w:val="1"/>
    <w:qFormat/>
    <w:uiPriority w:val="0"/>
    <w:pPr>
      <w:spacing w:line="360" w:lineRule="auto"/>
      <w:ind w:firstLine="420" w:firstLineChars="200"/>
    </w:pPr>
    <w:rPr>
      <w:rFonts w:ascii="Calibri" w:hAnsi="Calibri"/>
      <w:sz w:val="24"/>
      <w:szCs w:val="22"/>
    </w:rPr>
  </w:style>
  <w:style w:type="paragraph" w:customStyle="1" w:styleId="666">
    <w:name w:val="TOC 标题1"/>
    <w:basedOn w:val="4"/>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6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68">
    <w:name w:val="默认段落字体 Para Char Char Char Char"/>
    <w:basedOn w:val="1"/>
    <w:qFormat/>
    <w:uiPriority w:val="0"/>
    <w:rPr>
      <w:sz w:val="20"/>
    </w:rPr>
  </w:style>
  <w:style w:type="paragraph" w:customStyle="1" w:styleId="669">
    <w:name w:val="Heading #2|1"/>
    <w:basedOn w:val="1"/>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 w:type="paragraph" w:customStyle="1" w:styleId="670">
    <w:name w:val="符号2"/>
    <w:basedOn w:val="1"/>
    <w:qFormat/>
    <w:uiPriority w:val="0"/>
    <w:pPr>
      <w:widowControl/>
      <w:numPr>
        <w:ilvl w:val="0"/>
        <w:numId w:val="16"/>
      </w:numPr>
      <w:spacing w:line="360" w:lineRule="auto"/>
      <w:jc w:val="left"/>
    </w:pPr>
    <w:rPr>
      <w:rFonts w:ascii="仿宋_GB2312" w:eastAsia="仿宋_GB2312"/>
      <w:sz w:val="28"/>
    </w:rPr>
  </w:style>
  <w:style w:type="paragraph" w:customStyle="1" w:styleId="671">
    <w:name w:val="xl99"/>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72">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73">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674">
    <w:name w:val="四级目录 Char Char Char Char Char"/>
    <w:next w:val="1"/>
    <w:qFormat/>
    <w:uiPriority w:val="0"/>
    <w:pPr>
      <w:spacing w:line="360" w:lineRule="auto"/>
      <w:ind w:left="200" w:leftChars="200"/>
    </w:pPr>
    <w:rPr>
      <w:lang w:val="en-US" w:eastAsia="zh-CN" w:bidi="ar-SA"/>
    </w:rPr>
  </w:style>
  <w:style w:type="paragraph" w:customStyle="1" w:styleId="675">
    <w:name w:val="Char Char Char Char Char Char Char Char Char Char Char Char Char"/>
    <w:basedOn w:val="1"/>
    <w:qFormat/>
    <w:uiPriority w:val="0"/>
  </w:style>
  <w:style w:type="paragraph" w:customStyle="1" w:styleId="676">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677">
    <w:name w:val="xl101"/>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678">
    <w:name w:val="样式 标题 1 + 黑体 三号 非加粗 居中 段前: 6 磅 段后: 6 磅 行距: 固定值 20 磅"/>
    <w:basedOn w:val="4"/>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79">
    <w:name w:val="xl94"/>
    <w:basedOn w:val="1"/>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80">
    <w:name w:val="xl107"/>
    <w:basedOn w:val="1"/>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681">
    <w:name w:val="样式 标题 4 + 非加粗"/>
    <w:basedOn w:val="8"/>
    <w:qFormat/>
    <w:uiPriority w:val="0"/>
    <w:pPr>
      <w:keepNext w:val="0"/>
      <w:tabs>
        <w:tab w:val="left" w:pos="0"/>
      </w:tabs>
      <w:adjustRightInd w:val="0"/>
      <w:textAlignment w:val="baseline"/>
    </w:pPr>
    <w:rPr>
      <w:rFonts w:ascii="Arial" w:hAnsi="Arial" w:eastAsia="黑体"/>
      <w:sz w:val="24"/>
      <w:szCs w:val="20"/>
    </w:rPr>
  </w:style>
  <w:style w:type="paragraph" w:customStyle="1" w:styleId="682">
    <w:name w:val="正文缩进1"/>
    <w:basedOn w:val="1"/>
    <w:next w:val="25"/>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68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84">
    <w:name w:val="缩正文"/>
    <w:basedOn w:val="55"/>
    <w:uiPriority w:val="0"/>
    <w:pPr>
      <w:spacing w:line="240" w:lineRule="auto"/>
      <w:ind w:left="2268" w:leftChars="0" w:firstLine="0" w:firstLineChars="0"/>
    </w:pPr>
    <w:rPr>
      <w:rFonts w:ascii="Times New Roman" w:hAnsi="Times New Roman"/>
      <w:sz w:val="21"/>
      <w:szCs w:val="20"/>
      <w:lang w:val="en-US" w:eastAsia="zh-CN"/>
    </w:rPr>
  </w:style>
  <w:style w:type="paragraph" w:customStyle="1" w:styleId="685">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686">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687">
    <w:name w:val="样式 标题 3正文三级标题 + 小五 左 行距: 固定值 12 磅"/>
    <w:basedOn w:val="7"/>
    <w:qFormat/>
    <w:uiPriority w:val="0"/>
    <w:pPr>
      <w:spacing w:line="240" w:lineRule="exact"/>
      <w:jc w:val="left"/>
    </w:pPr>
    <w:rPr>
      <w:rFonts w:cs="宋体"/>
      <w:sz w:val="18"/>
      <w:szCs w:val="20"/>
    </w:rPr>
  </w:style>
  <w:style w:type="paragraph" w:customStyle="1" w:styleId="68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89">
    <w:name w:val="xl105"/>
    <w:basedOn w:val="1"/>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90">
    <w:name w:val="Char Char Char Char Char Char Char Char Char Char Char Char Char1"/>
    <w:basedOn w:val="1"/>
    <w:qFormat/>
    <w:uiPriority w:val="0"/>
    <w:rPr>
      <w:rFonts w:ascii="Tahoma" w:hAnsi="Tahoma"/>
      <w:sz w:val="24"/>
      <w:szCs w:val="20"/>
    </w:rPr>
  </w:style>
  <w:style w:type="paragraph" w:customStyle="1" w:styleId="691">
    <w:name w:val="xl10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9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93">
    <w:name w:val="Table Paragraph"/>
    <w:basedOn w:val="1"/>
    <w:qFormat/>
    <w:uiPriority w:val="1"/>
    <w:pPr>
      <w:autoSpaceDE w:val="0"/>
      <w:autoSpaceDN w:val="0"/>
      <w:adjustRightInd w:val="0"/>
      <w:jc w:val="left"/>
    </w:pPr>
    <w:rPr>
      <w:kern w:val="0"/>
      <w:sz w:val="24"/>
    </w:rPr>
  </w:style>
  <w:style w:type="paragraph" w:customStyle="1" w:styleId="694">
    <w:name w:val="列出段落5"/>
    <w:basedOn w:val="1"/>
    <w:qFormat/>
    <w:uiPriority w:val="0"/>
    <w:pPr>
      <w:ind w:firstLine="420" w:firstLineChars="200"/>
    </w:pPr>
  </w:style>
  <w:style w:type="paragraph" w:customStyle="1" w:styleId="695">
    <w:name w:val="百姓X"/>
    <w:basedOn w:val="1"/>
    <w:uiPriority w:val="0"/>
    <w:pPr>
      <w:spacing w:before="120" w:after="120" w:line="360" w:lineRule="auto"/>
      <w:ind w:firstLine="540"/>
    </w:pPr>
    <w:rPr>
      <w:rFonts w:ascii="宋体" w:hAnsi="宋体"/>
      <w:sz w:val="24"/>
      <w:szCs w:val="28"/>
    </w:rPr>
  </w:style>
  <w:style w:type="paragraph" w:customStyle="1" w:styleId="69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697">
    <w:name w:val="T4"/>
    <w:basedOn w:val="1"/>
    <w:uiPriority w:val="0"/>
    <w:pPr>
      <w:adjustRightInd w:val="0"/>
      <w:spacing w:line="360" w:lineRule="atLeast"/>
    </w:pPr>
    <w:rPr>
      <w:rFonts w:ascii="宋体" w:hAnsi="Times New Roman"/>
      <w:kern w:val="0"/>
      <w:sz w:val="22"/>
      <w:szCs w:val="20"/>
    </w:rPr>
  </w:style>
  <w:style w:type="paragraph" w:customStyle="1" w:styleId="698">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699">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700">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70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02">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703">
    <w:name w:val="xl96"/>
    <w:basedOn w:val="1"/>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704">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705">
    <w:name w:val="CM106"/>
    <w:basedOn w:val="539"/>
    <w:next w:val="539"/>
    <w:qFormat/>
    <w:uiPriority w:val="0"/>
    <w:rPr>
      <w:rFonts w:cs="Times New Roman"/>
      <w:color w:val="auto"/>
    </w:rPr>
  </w:style>
  <w:style w:type="paragraph" w:customStyle="1" w:styleId="706">
    <w:name w:val="图表脚注"/>
    <w:next w:val="658"/>
    <w:qFormat/>
    <w:uiPriority w:val="0"/>
    <w:pPr>
      <w:tabs>
        <w:tab w:val="left" w:pos="3080"/>
      </w:tabs>
      <w:ind w:left="300" w:leftChars="200" w:hanging="100" w:hangingChars="100"/>
      <w:jc w:val="both"/>
    </w:pPr>
    <w:rPr>
      <w:rFonts w:ascii="宋体"/>
      <w:sz w:val="18"/>
      <w:lang w:val="en-US" w:eastAsia="zh-CN" w:bidi="ar-SA"/>
    </w:rPr>
  </w:style>
  <w:style w:type="paragraph" w:customStyle="1" w:styleId="707">
    <w:name w:val="样式 标题 3 + 黑色 段前: 5 磅 段后: 5 磅 行距: 1.5 倍行距"/>
    <w:basedOn w:val="1"/>
    <w:qFormat/>
    <w:uiPriority w:val="0"/>
    <w:pPr>
      <w:ind w:left="855" w:hanging="855"/>
    </w:pPr>
    <w:rPr>
      <w:sz w:val="24"/>
      <w:szCs w:val="20"/>
    </w:rPr>
  </w:style>
  <w:style w:type="table" w:customStyle="1" w:styleId="708">
    <w:name w:val="网格表 5 深色 - 着色 21"/>
    <w:basedOn w:val="56"/>
    <w:qFormat/>
    <w:uiPriority w:val="50"/>
    <w:tblPr>
      <w:tblStyle w:val="56"/>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blPr>
        <w:tblStyle w:val="56"/>
      </w:tbl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blPr>
        <w:tblStyle w:val="56"/>
      </w:tbl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blPr>
        <w:tblStyle w:val="56"/>
      </w:tbl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blPr>
        <w:tblStyle w:val="56"/>
      </w:tbl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blPr>
        <w:tblStyle w:val="56"/>
      </w:tblPr>
      <w:tcPr>
        <w:shd w:val="clear" w:color="auto" w:fill="F7CAAC"/>
      </w:tcPr>
    </w:tblStylePr>
    <w:tblStylePr w:type="band1Horz">
      <w:tblPr>
        <w:tblStyle w:val="56"/>
      </w:tblPr>
      <w:tcPr>
        <w:shd w:val="clear" w:color="auto" w:fill="F7CAAC"/>
      </w:tcPr>
    </w:tblStylePr>
  </w:style>
  <w:style w:type="table" w:customStyle="1" w:styleId="709">
    <w:name w:val="网格型浅色2"/>
    <w:basedOn w:val="56"/>
    <w:qFormat/>
    <w:uiPriority w:val="40"/>
    <w:rPr>
      <w:sz w:val="24"/>
      <w:szCs w:val="24"/>
    </w:rPr>
    <w:tblPr>
      <w:tblStyle w:val="56"/>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0">
    <w:name w:val="清单表 3 - 着色 11"/>
    <w:basedOn w:val="56"/>
    <w:qFormat/>
    <w:uiPriority w:val="48"/>
    <w:rPr>
      <w:rFonts w:ascii="Calibri" w:hAnsi="Calibri"/>
      <w:kern w:val="2"/>
      <w:sz w:val="21"/>
      <w:szCs w:val="22"/>
    </w:rPr>
    <w:tblPr>
      <w:tblStyle w:val="56"/>
      <w:tblBorders>
        <w:top w:val="single" w:color="5B9BD5" w:sz="4" w:space="0"/>
        <w:left w:val="single" w:color="5B9BD5" w:sz="4" w:space="0"/>
        <w:bottom w:val="single" w:color="5B9BD5" w:sz="4" w:space="0"/>
        <w:right w:val="single" w:color="5B9BD5" w:sz="4" w:space="0"/>
      </w:tblBorders>
    </w:tblPr>
    <w:tblStylePr w:type="firstRow">
      <w:rPr>
        <w:b/>
        <w:bCs/>
        <w:color w:val="FFFFFF"/>
      </w:rPr>
      <w:tblPr>
        <w:tblStyle w:val="56"/>
      </w:tblPr>
      <w:tcPr>
        <w:shd w:val="clear" w:color="auto" w:fill="5B9BD5"/>
      </w:tcPr>
    </w:tblStylePr>
    <w:tblStylePr w:type="lastRow">
      <w:rPr>
        <w:b/>
        <w:bCs/>
      </w:rPr>
      <w:tblPr>
        <w:tblStyle w:val="56"/>
      </w:tbl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blPr>
        <w:tblStyle w:val="56"/>
      </w:tblPr>
      <w:tcPr>
        <w:tcBorders>
          <w:top w:val="nil"/>
          <w:left w:val="nil"/>
          <w:bottom w:val="nil"/>
          <w:right w:val="nil"/>
          <w:insideH w:val="nil"/>
          <w:insideV w:val="nil"/>
          <w:tl2br w:val="nil"/>
          <w:tr2bl w:val="nil"/>
        </w:tcBorders>
        <w:shd w:val="clear" w:color="auto" w:fill="FFFFFF"/>
      </w:tcPr>
    </w:tblStylePr>
    <w:tblStylePr w:type="lastCol">
      <w:rPr>
        <w:b/>
        <w:bCs/>
      </w:rPr>
      <w:tblPr>
        <w:tblStyle w:val="56"/>
      </w:tblPr>
      <w:tcPr>
        <w:tcBorders>
          <w:top w:val="nil"/>
          <w:left w:val="nil"/>
          <w:bottom w:val="nil"/>
          <w:right w:val="nil"/>
          <w:insideH w:val="nil"/>
          <w:insideV w:val="nil"/>
          <w:tl2br w:val="nil"/>
          <w:tr2bl w:val="nil"/>
        </w:tcBorders>
        <w:shd w:val="clear" w:color="auto" w:fill="FFFFFF"/>
      </w:tcPr>
    </w:tblStylePr>
    <w:tblStylePr w:type="band1Vert">
      <w:tblPr>
        <w:tblStyle w:val="56"/>
      </w:tblPr>
      <w:tcPr>
        <w:tcBorders>
          <w:top w:val="nil"/>
          <w:left w:val="single" w:color="5B9BD5" w:sz="4" w:space="0"/>
          <w:bottom w:val="nil"/>
          <w:right w:val="single" w:color="5B9BD5" w:sz="4" w:space="0"/>
          <w:insideH w:val="nil"/>
          <w:insideV w:val="nil"/>
          <w:tl2br w:val="nil"/>
          <w:tr2bl w:val="nil"/>
        </w:tcBorders>
      </w:tcPr>
    </w:tblStylePr>
    <w:tblStylePr w:type="band1Horz">
      <w:tblPr>
        <w:tblStyle w:val="56"/>
      </w:tblPr>
      <w:tcPr>
        <w:tcBorders>
          <w:top w:val="single" w:color="5B9BD5" w:sz="4" w:space="0"/>
          <w:left w:val="nil"/>
          <w:bottom w:val="single" w:color="5B9BD5" w:sz="4" w:space="0"/>
          <w:right w:val="nil"/>
          <w:insideH w:val="nil"/>
          <w:insideV w:val="nil"/>
          <w:tl2br w:val="nil"/>
          <w:tr2bl w:val="nil"/>
        </w:tcBorders>
      </w:tcPr>
    </w:tblStylePr>
    <w:tblStylePr w:type="neCell">
      <w:tblPr>
        <w:tblStyle w:val="56"/>
      </w:tblPr>
      <w:tcPr>
        <w:tcBorders>
          <w:top w:val="nil"/>
          <w:left w:val="nil"/>
          <w:bottom w:val="nil"/>
          <w:right w:val="nil"/>
          <w:insideH w:val="nil"/>
          <w:insideV w:val="nil"/>
          <w:tl2br w:val="nil"/>
          <w:tr2bl w:val="nil"/>
        </w:tcBorders>
      </w:tcPr>
    </w:tblStylePr>
    <w:tblStylePr w:type="nwCell">
      <w:tblPr>
        <w:tblStyle w:val="56"/>
      </w:tblPr>
      <w:tcPr>
        <w:tcBorders>
          <w:top w:val="nil"/>
          <w:left w:val="nil"/>
          <w:bottom w:val="nil"/>
          <w:right w:val="nil"/>
          <w:insideH w:val="nil"/>
          <w:insideV w:val="nil"/>
          <w:tl2br w:val="nil"/>
          <w:tr2bl w:val="nil"/>
        </w:tcBorders>
      </w:tcPr>
    </w:tblStylePr>
    <w:tblStylePr w:type="seCell">
      <w:tblPr>
        <w:tblStyle w:val="56"/>
      </w:tblPr>
      <w:tcPr>
        <w:tcBorders>
          <w:top w:val="double" w:color="5B9BD5" w:sz="4" w:space="0"/>
          <w:left w:val="nil"/>
          <w:bottom w:val="nil"/>
          <w:right w:val="nil"/>
          <w:insideH w:val="nil"/>
          <w:insideV w:val="nil"/>
          <w:tl2br w:val="nil"/>
          <w:tr2bl w:val="nil"/>
        </w:tcBorders>
      </w:tcPr>
    </w:tblStylePr>
    <w:tblStylePr w:type="swCell">
      <w:tblPr>
        <w:tblStyle w:val="56"/>
      </w:tblPr>
      <w:tcPr>
        <w:tcBorders>
          <w:top w:val="double" w:color="5B9BD5" w:sz="4" w:space="0"/>
          <w:left w:val="nil"/>
          <w:bottom w:val="nil"/>
          <w:right w:val="nil"/>
          <w:insideH w:val="nil"/>
          <w:insideV w:val="nil"/>
          <w:tl2br w:val="nil"/>
          <w:tr2bl w:val="nil"/>
        </w:tcBorders>
      </w:tcPr>
    </w:tblStylePr>
  </w:style>
  <w:style w:type="table" w:customStyle="1" w:styleId="711">
    <w:name w:val="网格型浅色1"/>
    <w:basedOn w:val="56"/>
    <w:qFormat/>
    <w:uiPriority w:val="40"/>
    <w:rPr>
      <w:rFonts w:ascii="Calibri" w:hAnsi="Calibri"/>
    </w:rPr>
    <w:tblPr>
      <w:tblStyle w:val="56"/>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2">
    <w:name w:val="清单表 3 - 着色 31"/>
    <w:basedOn w:val="56"/>
    <w:qFormat/>
    <w:uiPriority w:val="48"/>
    <w:rPr>
      <w:rFonts w:ascii="Calibri" w:hAnsi="Calibri"/>
      <w:kern w:val="2"/>
      <w:sz w:val="21"/>
      <w:szCs w:val="22"/>
    </w:rPr>
    <w:tblPr>
      <w:tblStyle w:val="56"/>
      <w:tblBorders>
        <w:top w:val="single" w:color="A5A5A5" w:sz="4" w:space="0"/>
        <w:left w:val="single" w:color="A5A5A5" w:sz="4" w:space="0"/>
        <w:bottom w:val="single" w:color="A5A5A5" w:sz="4" w:space="0"/>
        <w:right w:val="single" w:color="A5A5A5" w:sz="4" w:space="0"/>
      </w:tblBorders>
    </w:tblPr>
    <w:tblStylePr w:type="firstRow">
      <w:rPr>
        <w:b/>
        <w:bCs/>
        <w:color w:val="FFFFFF"/>
      </w:rPr>
      <w:tblPr>
        <w:tblStyle w:val="56"/>
      </w:tblPr>
      <w:tcPr>
        <w:shd w:val="clear" w:color="auto" w:fill="A5A5A5"/>
      </w:tcPr>
    </w:tblStylePr>
    <w:tblStylePr w:type="lastRow">
      <w:rPr>
        <w:b/>
        <w:bCs/>
      </w:rPr>
      <w:tblPr>
        <w:tblStyle w:val="56"/>
      </w:tbl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blPr>
        <w:tblStyle w:val="56"/>
      </w:tblPr>
      <w:tcPr>
        <w:tcBorders>
          <w:top w:val="nil"/>
          <w:left w:val="nil"/>
          <w:bottom w:val="nil"/>
          <w:right w:val="nil"/>
          <w:insideH w:val="nil"/>
          <w:insideV w:val="nil"/>
          <w:tl2br w:val="nil"/>
          <w:tr2bl w:val="nil"/>
        </w:tcBorders>
        <w:shd w:val="clear" w:color="auto" w:fill="FFFFFF"/>
      </w:tcPr>
    </w:tblStylePr>
    <w:tblStylePr w:type="lastCol">
      <w:rPr>
        <w:b/>
        <w:bCs/>
      </w:rPr>
      <w:tblPr>
        <w:tblStyle w:val="56"/>
      </w:tblPr>
      <w:tcPr>
        <w:tcBorders>
          <w:top w:val="nil"/>
          <w:left w:val="nil"/>
          <w:bottom w:val="nil"/>
          <w:right w:val="nil"/>
          <w:insideH w:val="nil"/>
          <w:insideV w:val="nil"/>
          <w:tl2br w:val="nil"/>
          <w:tr2bl w:val="nil"/>
        </w:tcBorders>
        <w:shd w:val="clear" w:color="auto" w:fill="FFFFFF"/>
      </w:tcPr>
    </w:tblStylePr>
    <w:tblStylePr w:type="band1Vert">
      <w:tblPr>
        <w:tblStyle w:val="56"/>
      </w:tblPr>
      <w:tcPr>
        <w:tcBorders>
          <w:top w:val="nil"/>
          <w:left w:val="single" w:color="A5A5A5" w:sz="4" w:space="0"/>
          <w:bottom w:val="nil"/>
          <w:right w:val="single" w:color="A5A5A5" w:sz="4" w:space="0"/>
          <w:insideH w:val="nil"/>
          <w:insideV w:val="nil"/>
          <w:tl2br w:val="nil"/>
          <w:tr2bl w:val="nil"/>
        </w:tcBorders>
      </w:tcPr>
    </w:tblStylePr>
    <w:tblStylePr w:type="band1Horz">
      <w:tblPr>
        <w:tblStyle w:val="56"/>
      </w:tblPr>
      <w:tcPr>
        <w:tcBorders>
          <w:top w:val="single" w:color="A5A5A5" w:sz="4" w:space="0"/>
          <w:left w:val="nil"/>
          <w:bottom w:val="single" w:color="A5A5A5" w:sz="4" w:space="0"/>
          <w:right w:val="nil"/>
          <w:insideH w:val="nil"/>
          <w:insideV w:val="nil"/>
          <w:tl2br w:val="nil"/>
          <w:tr2bl w:val="nil"/>
        </w:tcBorders>
      </w:tcPr>
    </w:tblStylePr>
    <w:tblStylePr w:type="neCell">
      <w:tblPr>
        <w:tblStyle w:val="56"/>
      </w:tblPr>
      <w:tcPr>
        <w:tcBorders>
          <w:top w:val="nil"/>
          <w:left w:val="nil"/>
          <w:bottom w:val="nil"/>
          <w:right w:val="nil"/>
          <w:insideH w:val="nil"/>
          <w:insideV w:val="nil"/>
          <w:tl2br w:val="nil"/>
          <w:tr2bl w:val="nil"/>
        </w:tcBorders>
      </w:tcPr>
    </w:tblStylePr>
    <w:tblStylePr w:type="nwCell">
      <w:tblPr>
        <w:tblStyle w:val="56"/>
      </w:tblPr>
      <w:tcPr>
        <w:tcBorders>
          <w:top w:val="nil"/>
          <w:left w:val="nil"/>
          <w:bottom w:val="nil"/>
          <w:right w:val="nil"/>
          <w:insideH w:val="nil"/>
          <w:insideV w:val="nil"/>
          <w:tl2br w:val="nil"/>
          <w:tr2bl w:val="nil"/>
        </w:tcBorders>
      </w:tcPr>
    </w:tblStylePr>
    <w:tblStylePr w:type="seCell">
      <w:tblPr>
        <w:tblStyle w:val="56"/>
      </w:tblPr>
      <w:tcPr>
        <w:tcBorders>
          <w:top w:val="double" w:color="A5A5A5" w:sz="4" w:space="0"/>
          <w:left w:val="nil"/>
          <w:bottom w:val="nil"/>
          <w:right w:val="nil"/>
          <w:insideH w:val="nil"/>
          <w:insideV w:val="nil"/>
          <w:tl2br w:val="nil"/>
          <w:tr2bl w:val="nil"/>
        </w:tcBorders>
      </w:tcPr>
    </w:tblStylePr>
    <w:tblStylePr w:type="swCell">
      <w:tblPr>
        <w:tblStyle w:val="56"/>
      </w:tblPr>
      <w:tcPr>
        <w:tcBorders>
          <w:top w:val="double" w:color="A5A5A5" w:sz="4" w:space="0"/>
          <w:left w:val="nil"/>
          <w:bottom w:val="nil"/>
          <w:right w:val="nil"/>
          <w:insideH w:val="nil"/>
          <w:insideV w:val="nil"/>
          <w:tl2br w:val="nil"/>
          <w:tr2bl w:val="nil"/>
        </w:tcBorders>
      </w:tcPr>
    </w:tblStylePr>
  </w:style>
  <w:style w:type="table" w:customStyle="1" w:styleId="713">
    <w:name w:val="清单表 4 - 着色 11"/>
    <w:basedOn w:val="56"/>
    <w:qFormat/>
    <w:uiPriority w:val="49"/>
    <w:rPr>
      <w:rFonts w:ascii="Calibri" w:hAnsi="Calibri"/>
      <w:kern w:val="2"/>
      <w:sz w:val="21"/>
      <w:szCs w:val="22"/>
    </w:rPr>
    <w:tblPr>
      <w:tblStyle w:val="56"/>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blPr>
        <w:tblStyle w:val="56"/>
      </w:tbl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blPr>
        <w:tblStyle w:val="56"/>
      </w:tblPr>
      <w:tcPr>
        <w:tcBorders>
          <w:top w:val="double" w:color="9CC2E5" w:sz="4" w:space="0"/>
          <w:left w:val="nil"/>
          <w:bottom w:val="nil"/>
          <w:right w:val="nil"/>
          <w:insideH w:val="nil"/>
          <w:insideV w:val="nil"/>
          <w:tl2br w:val="nil"/>
          <w:tr2bl w:val="nil"/>
        </w:tcBorders>
      </w:tcPr>
    </w:tblStylePr>
    <w:tblStylePr w:type="firstCol">
      <w:rPr>
        <w:b/>
        <w:bCs/>
      </w:rPr>
      <w:tblPr>
        <w:tblStyle w:val="56"/>
      </w:tblPr>
    </w:tblStylePr>
    <w:tblStylePr w:type="lastCol">
      <w:rPr>
        <w:b/>
        <w:bCs/>
      </w:rPr>
      <w:tblPr>
        <w:tblStyle w:val="56"/>
      </w:tblPr>
    </w:tblStylePr>
    <w:tblStylePr w:type="band1Vert">
      <w:tblPr>
        <w:tblStyle w:val="56"/>
      </w:tblPr>
      <w:tcPr>
        <w:shd w:val="clear" w:color="auto" w:fill="DEEAF6"/>
      </w:tcPr>
    </w:tblStylePr>
    <w:tblStylePr w:type="band1Horz">
      <w:tblPr>
        <w:tblStyle w:val="56"/>
      </w:tblPr>
      <w:tcPr>
        <w:shd w:val="clear" w:color="auto" w:fill="DEEAF6"/>
      </w:tcPr>
    </w:tblStylePr>
  </w:style>
  <w:style w:type="table" w:customStyle="1" w:styleId="714">
    <w:name w:val="浅色列表 - 强调文字颜色 51"/>
    <w:basedOn w:val="56"/>
    <w:qFormat/>
    <w:uiPriority w:val="61"/>
    <w:rPr>
      <w:rFonts w:ascii="Calibri" w:hAnsi="Calibri"/>
      <w:kern w:val="2"/>
      <w:sz w:val="21"/>
      <w:szCs w:val="22"/>
    </w:rPr>
    <w:tblPr>
      <w:tblStyle w:val="56"/>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blStyle w:val="56"/>
      </w:tblPr>
      <w:tcPr>
        <w:shd w:val="clear" w:color="auto" w:fill="4BACC6"/>
      </w:tcPr>
    </w:tblStylePr>
    <w:tblStylePr w:type="lastRow">
      <w:pPr>
        <w:spacing w:before="0" w:after="0" w:line="240" w:lineRule="auto"/>
      </w:pPr>
      <w:rPr>
        <w:b/>
        <w:bCs/>
      </w:rPr>
      <w:tblPr>
        <w:tblStyle w:val="56"/>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Pr>
        <w:tblStyle w:val="56"/>
      </w:tblPr>
    </w:tblStylePr>
    <w:tblStylePr w:type="lastCol">
      <w:rPr>
        <w:b/>
        <w:bCs/>
      </w:rPr>
      <w:tblPr>
        <w:tblStyle w:val="56"/>
      </w:tblPr>
    </w:tblStylePr>
    <w:tblStylePr w:type="band1Vert">
      <w:tblPr>
        <w:tblStyle w:val="56"/>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blStyle w:val="56"/>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15">
    <w:name w:val="网格表 4 - 着色 11"/>
    <w:basedOn w:val="56"/>
    <w:qFormat/>
    <w:uiPriority w:val="49"/>
    <w:rPr>
      <w:rFonts w:ascii="Calibri" w:hAnsi="Calibri"/>
      <w:kern w:val="2"/>
      <w:sz w:val="21"/>
      <w:szCs w:val="22"/>
    </w:rPr>
    <w:tblPr>
      <w:tblStyle w:val="56"/>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blPr>
        <w:tblStyle w:val="56"/>
      </w:tbl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blPr>
        <w:tblStyle w:val="56"/>
      </w:tblPr>
      <w:tcPr>
        <w:tcBorders>
          <w:top w:val="double" w:color="5B9BD5" w:sz="4" w:space="0"/>
          <w:left w:val="nil"/>
          <w:bottom w:val="nil"/>
          <w:right w:val="nil"/>
          <w:insideH w:val="nil"/>
          <w:insideV w:val="nil"/>
          <w:tl2br w:val="nil"/>
          <w:tr2bl w:val="nil"/>
        </w:tcBorders>
      </w:tcPr>
    </w:tblStylePr>
    <w:tblStylePr w:type="firstCol">
      <w:rPr>
        <w:b/>
        <w:bCs/>
      </w:rPr>
      <w:tblPr>
        <w:tblStyle w:val="56"/>
      </w:tblPr>
    </w:tblStylePr>
    <w:tblStylePr w:type="lastCol">
      <w:rPr>
        <w:b/>
        <w:bCs/>
      </w:rPr>
      <w:tblPr>
        <w:tblStyle w:val="56"/>
      </w:tblPr>
    </w:tblStylePr>
    <w:tblStylePr w:type="band1Vert">
      <w:tblPr>
        <w:tblStyle w:val="56"/>
      </w:tblPr>
      <w:tcPr>
        <w:shd w:val="clear" w:color="auto" w:fill="DEEAF6"/>
      </w:tcPr>
    </w:tblStylePr>
    <w:tblStylePr w:type="band1Horz">
      <w:tblPr>
        <w:tblStyle w:val="56"/>
      </w:tblPr>
      <w:tcPr>
        <w:shd w:val="clear" w:color="auto" w:fill="DEEAF6"/>
      </w:tcPr>
    </w:tblStylePr>
  </w:style>
  <w:style w:type="table" w:customStyle="1" w:styleId="716">
    <w:name w:val="浅色底纹1"/>
    <w:basedOn w:val="56"/>
    <w:qFormat/>
    <w:uiPriority w:val="60"/>
    <w:rPr>
      <w:rFonts w:ascii="Calibri" w:hAnsi="Calibri"/>
      <w:color w:val="000000"/>
    </w:rPr>
    <w:tblPr>
      <w:tblStyle w:val="56"/>
      <w:tblBorders>
        <w:top w:val="single" w:color="000000" w:sz="8" w:space="0"/>
        <w:bottom w:val="single" w:color="000000" w:sz="8" w:space="0"/>
      </w:tblBorders>
    </w:tblPr>
    <w:tblStylePr w:type="firstRow">
      <w:pPr>
        <w:spacing w:before="0" w:after="0" w:line="240" w:lineRule="auto"/>
      </w:pPr>
      <w:rPr>
        <w:b/>
        <w:bCs/>
      </w:rPr>
      <w:tblPr>
        <w:tblStyle w:val="56"/>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blStyle w:val="56"/>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Pr>
        <w:tblStyle w:val="56"/>
      </w:tblPr>
    </w:tblStylePr>
    <w:tblStylePr w:type="lastCol">
      <w:rPr>
        <w:b/>
        <w:bCs/>
      </w:rPr>
      <w:tblPr>
        <w:tblStyle w:val="56"/>
      </w:tblPr>
    </w:tblStylePr>
    <w:tblStylePr w:type="band1Vert">
      <w:tblPr>
        <w:tblStyle w:val="56"/>
      </w:tblPr>
      <w:tcPr>
        <w:tcBorders>
          <w:top w:val="nil"/>
          <w:left w:val="nil"/>
          <w:bottom w:val="nil"/>
          <w:right w:val="nil"/>
          <w:insideH w:val="nil"/>
          <w:insideV w:val="nil"/>
          <w:tl2br w:val="nil"/>
          <w:tr2bl w:val="nil"/>
        </w:tcBorders>
        <w:shd w:val="clear" w:color="auto" w:fill="C0C0C0"/>
      </w:tcPr>
    </w:tblStylePr>
    <w:tblStylePr w:type="band1Horz">
      <w:tblPr>
        <w:tblStyle w:val="56"/>
      </w:tblPr>
      <w:tcPr>
        <w:tcBorders>
          <w:top w:val="nil"/>
          <w:left w:val="nil"/>
          <w:bottom w:val="nil"/>
          <w:right w:val="nil"/>
          <w:insideH w:val="nil"/>
          <w:insideV w:val="nil"/>
          <w:tl2br w:val="nil"/>
          <w:tr2bl w:val="nil"/>
        </w:tcBorders>
        <w:shd w:val="clear" w:color="auto" w:fill="C0C0C0"/>
      </w:tcPr>
    </w:tblStylePr>
  </w:style>
  <w:style w:type="table" w:customStyle="1" w:styleId="717">
    <w:name w:val="网格表 4 - 着色 31"/>
    <w:basedOn w:val="56"/>
    <w:qFormat/>
    <w:uiPriority w:val="49"/>
    <w:tblPr>
      <w:tblStyle w:val="56"/>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blStyle w:val="56"/>
      </w:tbl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blPr>
        <w:tblStyle w:val="56"/>
      </w:tblPr>
      <w:tcPr>
        <w:tcBorders>
          <w:top w:val="double" w:color="A5A5A5" w:sz="4" w:space="0"/>
          <w:left w:val="nil"/>
          <w:bottom w:val="nil"/>
          <w:right w:val="nil"/>
          <w:insideH w:val="nil"/>
          <w:insideV w:val="nil"/>
          <w:tl2br w:val="nil"/>
          <w:tr2bl w:val="nil"/>
        </w:tcBorders>
      </w:tcPr>
    </w:tblStylePr>
    <w:tblStylePr w:type="firstCol">
      <w:rPr>
        <w:b/>
        <w:bCs/>
      </w:rPr>
      <w:tblPr>
        <w:tblStyle w:val="56"/>
      </w:tblPr>
    </w:tblStylePr>
    <w:tblStylePr w:type="lastCol">
      <w:rPr>
        <w:b/>
        <w:bCs/>
      </w:rPr>
      <w:tblPr>
        <w:tblStyle w:val="56"/>
      </w:tblPr>
    </w:tblStylePr>
    <w:tblStylePr w:type="band1Vert">
      <w:tblPr>
        <w:tblStyle w:val="56"/>
      </w:tblPr>
      <w:tcPr>
        <w:shd w:val="clear" w:color="auto" w:fill="EDEDED"/>
      </w:tcPr>
    </w:tblStylePr>
    <w:tblStylePr w:type="band1Horz">
      <w:tblPr>
        <w:tblStyle w:val="56"/>
      </w:tblPr>
      <w:tcPr>
        <w:shd w:val="clear" w:color="auto" w:fill="EDEDED"/>
      </w:tcPr>
    </w:tblStylePr>
  </w:style>
  <w:style w:type="table" w:customStyle="1" w:styleId="718">
    <w:name w:val="中等深浅底纹 2 - 强调文字颜色 11"/>
    <w:basedOn w:val="56"/>
    <w:qFormat/>
    <w:uiPriority w:val="64"/>
    <w:rPr>
      <w:rFonts w:ascii="Calibri" w:hAnsi="Calibri"/>
      <w:kern w:val="2"/>
      <w:sz w:val="21"/>
      <w:szCs w:val="22"/>
    </w:rPr>
    <w:tblPr>
      <w:tblStyle w:val="56"/>
      <w:tblBorders>
        <w:top w:val="single" w:color="auto" w:sz="18" w:space="0"/>
        <w:bottom w:val="single" w:color="auto" w:sz="18" w:space="0"/>
      </w:tblBorders>
    </w:tblPr>
    <w:tblStylePr w:type="firstRow">
      <w:pPr>
        <w:spacing w:before="0" w:after="0" w:line="240" w:lineRule="auto"/>
      </w:pPr>
      <w:rPr>
        <w:b/>
        <w:bCs/>
        <w:color w:val="FFFFFF"/>
      </w:rPr>
      <w:tblPr>
        <w:tblStyle w:val="56"/>
      </w:tbl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blPr>
        <w:tblStyle w:val="56"/>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blStyle w:val="56"/>
      </w:tbl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blPr>
        <w:tblStyle w:val="56"/>
      </w:tblPr>
      <w:tcPr>
        <w:tcBorders>
          <w:top w:val="nil"/>
          <w:left w:val="nil"/>
          <w:bottom w:val="nil"/>
          <w:right w:val="nil"/>
          <w:insideH w:val="nil"/>
          <w:insideV w:val="nil"/>
          <w:tl2br w:val="nil"/>
          <w:tr2bl w:val="nil"/>
        </w:tcBorders>
        <w:shd w:val="clear" w:color="auto" w:fill="4F81BD"/>
      </w:tcPr>
    </w:tblStylePr>
    <w:tblStylePr w:type="band1Vert">
      <w:tblPr>
        <w:tblStyle w:val="56"/>
      </w:tblPr>
      <w:tcPr>
        <w:tcBorders>
          <w:top w:val="nil"/>
          <w:left w:val="nil"/>
          <w:bottom w:val="nil"/>
          <w:right w:val="nil"/>
          <w:insideH w:val="nil"/>
          <w:insideV w:val="nil"/>
          <w:tl2br w:val="nil"/>
          <w:tr2bl w:val="nil"/>
        </w:tcBorders>
        <w:shd w:val="clear" w:color="auto" w:fill="D8D8D8"/>
      </w:tcPr>
    </w:tblStylePr>
    <w:tblStylePr w:type="band1Horz">
      <w:tblPr>
        <w:tblStyle w:val="56"/>
      </w:tblPr>
      <w:tcPr>
        <w:shd w:val="clear" w:color="auto" w:fill="D8D8D8"/>
      </w:tcPr>
    </w:tblStylePr>
    <w:tblStylePr w:type="neCell">
      <w:tblPr>
        <w:tblStyle w:val="56"/>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blStyle w:val="56"/>
      </w:tblPr>
      <w:tcPr>
        <w:tcBorders>
          <w:top w:val="single" w:color="auto" w:sz="18" w:space="0"/>
          <w:left w:val="nil"/>
          <w:bottom w:val="single" w:color="auto" w:sz="18" w:space="0"/>
          <w:right w:val="nil"/>
          <w:insideH w:val="nil"/>
          <w:insideV w:val="nil"/>
          <w:tl2br w:val="nil"/>
          <w:tr2bl w:val="nil"/>
        </w:tcBorders>
      </w:tcPr>
    </w:tblStylePr>
  </w:style>
  <w:style w:type="table" w:customStyle="1" w:styleId="719">
    <w:name w:val="浅色网格 - 强调文字颜色 11"/>
    <w:basedOn w:val="56"/>
    <w:qFormat/>
    <w:uiPriority w:val="62"/>
    <w:rPr>
      <w:rFonts w:ascii="Calibri" w:hAnsi="Calibri"/>
      <w:kern w:val="2"/>
      <w:sz w:val="21"/>
      <w:szCs w:val="22"/>
    </w:rPr>
    <w:tblPr>
      <w:tblStyle w:val="56"/>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eastAsia="Century Gothic" w:cs="Times New Roman"/>
        <w:b/>
        <w:bCs/>
      </w:rPr>
      <w:tblPr>
        <w:tblStyle w:val="56"/>
      </w:tbl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Century Gothic" w:cs="Times New Roman"/>
        <w:b/>
        <w:bCs/>
      </w:rPr>
      <w:tblPr>
        <w:tblStyle w:val="56"/>
      </w:tbl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Century Gothic" w:cs="Times New Roman"/>
        <w:b/>
        <w:bCs/>
      </w:rPr>
      <w:tblPr>
        <w:tblStyle w:val="56"/>
      </w:tblPr>
    </w:tblStylePr>
    <w:tblStylePr w:type="lastCol">
      <w:rPr>
        <w:rFonts w:eastAsia="Century Gothic" w:cs="Times New Roman"/>
        <w:b/>
        <w:bCs/>
      </w:rPr>
      <w:tblPr>
        <w:tblStyle w:val="56"/>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blPr>
        <w:tblStyle w:val="56"/>
      </w:tblPr>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blPr>
        <w:tblStyle w:val="56"/>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blPr>
        <w:tblStyle w:val="56"/>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20">
    <w:name w:val="网格表 4 - 着色 51"/>
    <w:basedOn w:val="56"/>
    <w:qFormat/>
    <w:uiPriority w:val="49"/>
    <w:rPr>
      <w:rFonts w:ascii="Calibri" w:hAnsi="Calibri"/>
      <w:kern w:val="2"/>
      <w:sz w:val="21"/>
      <w:szCs w:val="22"/>
    </w:rPr>
    <w:tblPr>
      <w:tblStyle w:val="56"/>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blPr>
        <w:tblStyle w:val="56"/>
      </w:tbl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blPr>
        <w:tblStyle w:val="56"/>
      </w:tblPr>
      <w:tcPr>
        <w:tcBorders>
          <w:top w:val="double" w:color="4BACC6" w:sz="4" w:space="0"/>
          <w:left w:val="nil"/>
          <w:bottom w:val="nil"/>
          <w:right w:val="nil"/>
          <w:insideH w:val="nil"/>
          <w:insideV w:val="nil"/>
          <w:tl2br w:val="nil"/>
          <w:tr2bl w:val="nil"/>
        </w:tcBorders>
      </w:tcPr>
    </w:tblStylePr>
    <w:tblStylePr w:type="firstCol">
      <w:rPr>
        <w:b/>
        <w:bCs/>
      </w:rPr>
      <w:tblPr>
        <w:tblStyle w:val="56"/>
      </w:tblPr>
    </w:tblStylePr>
    <w:tblStylePr w:type="lastCol">
      <w:rPr>
        <w:b/>
        <w:bCs/>
      </w:rPr>
      <w:tblPr>
        <w:tblStyle w:val="56"/>
      </w:tblPr>
    </w:tblStylePr>
    <w:tblStylePr w:type="band1Vert">
      <w:tblPr>
        <w:tblStyle w:val="56"/>
      </w:tblPr>
      <w:tcPr>
        <w:shd w:val="clear" w:color="auto" w:fill="DAEEF3"/>
      </w:tcPr>
    </w:tblStylePr>
    <w:tblStylePr w:type="band1Horz">
      <w:tblPr>
        <w:tblStyle w:val="56"/>
      </w:tblPr>
      <w:tcPr>
        <w:shd w:val="clear" w:color="auto" w:fill="DAEEF3"/>
      </w:tcPr>
    </w:tblStylePr>
  </w:style>
  <w:style w:type="table" w:customStyle="1" w:styleId="721">
    <w:name w:val="浅色列表 - 强调文字颜色 11"/>
    <w:basedOn w:val="56"/>
    <w:qFormat/>
    <w:uiPriority w:val="61"/>
    <w:rPr>
      <w:rFonts w:ascii="Calibri" w:hAnsi="Calibri"/>
      <w:kern w:val="2"/>
      <w:sz w:val="21"/>
      <w:szCs w:val="22"/>
    </w:rPr>
    <w:tblPr>
      <w:tblStyle w:val="56"/>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blStyle w:val="56"/>
      </w:tblPr>
      <w:tcPr>
        <w:shd w:val="clear" w:color="auto" w:fill="4F81BD"/>
      </w:tcPr>
    </w:tblStylePr>
    <w:tblStylePr w:type="lastRow">
      <w:pPr>
        <w:spacing w:before="0" w:after="0" w:line="240" w:lineRule="auto"/>
      </w:pPr>
      <w:rPr>
        <w:b/>
        <w:bCs/>
      </w:rPr>
      <w:tblPr>
        <w:tblStyle w:val="56"/>
      </w:tbl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Pr>
        <w:tblStyle w:val="56"/>
      </w:tblPr>
    </w:tblStylePr>
    <w:tblStylePr w:type="lastCol">
      <w:rPr>
        <w:b/>
        <w:bCs/>
      </w:rPr>
      <w:tblPr>
        <w:tblStyle w:val="56"/>
      </w:tblPr>
    </w:tblStylePr>
    <w:tblStylePr w:type="band1Vert">
      <w:tblPr>
        <w:tblStyle w:val="56"/>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blPr>
        <w:tblStyle w:val="56"/>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footer6.xml" Type="http://schemas.openxmlformats.org/officeDocument/2006/relationships/footer"/><Relationship Id="rId13" Target="footer7.xml" Type="http://schemas.openxmlformats.org/officeDocument/2006/relationships/footer"/><Relationship Id="rId14" Target="theme/theme1.xml" Type="http://schemas.openxmlformats.org/officeDocument/2006/relationships/them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nbgt</Company>
  <Pages>1</Pages>
  <Words>6164</Words>
  <Characters>35138</Characters>
  <Lines>292</Lines>
  <Paragraphs>82</Paragraphs>
  <TotalTime>50</TotalTime>
  <ScaleCrop>false</ScaleCrop>
  <LinksUpToDate>false</LinksUpToDate>
  <CharactersWithSpaces>41220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2020-01-14T08:32:00Z</dcterms:created>
  <dc:creator>h</dc:creator>
  <cp:lastModifiedBy>WPS_1701756769</cp:lastModifiedBy>
  <cp:lastPrinted>2020-03-26T07:46:00Z</cp:lastPrinted>
  <dcterms:modified xsi:type="dcterms:W3CDTF">2024-02-26T03:57:10Z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4D49F95B1D8647169E2D0F20B103ADA5_13</vt:lpwstr>
  </property>
</Properties>
</file>