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pacing w:val="100"/>
          <w:sz w:val="84"/>
          <w:szCs w:val="84"/>
        </w:rPr>
      </w:pPr>
      <w:bookmarkStart w:id="150" w:name="_GoBack"/>
      <w:bookmarkEnd w:id="150"/>
      <w:r>
        <w:rPr>
          <w:rFonts w:hint="eastAsia" w:ascii="新宋体" w:hAnsi="新宋体" w:eastAsia="新宋体" w:cs="新宋体"/>
          <w:b/>
          <w:bCs/>
          <w:spacing w:val="100"/>
          <w:sz w:val="84"/>
          <w:szCs w:val="84"/>
        </w:rPr>
        <w:t>鹿城区政府（分散）采购</w:t>
      </w:r>
    </w:p>
    <w:p>
      <w:pPr>
        <w:jc w:val="center"/>
        <w:rPr>
          <w:rFonts w:hint="eastAsia" w:ascii="新宋体" w:hAnsi="新宋体" w:eastAsia="新宋体" w:cs="新宋体"/>
          <w:b/>
          <w:bCs/>
          <w:spacing w:val="26"/>
          <w:sz w:val="52"/>
        </w:rPr>
      </w:pPr>
    </w:p>
    <w:p>
      <w:pPr>
        <w:jc w:val="center"/>
        <w:rPr>
          <w:rFonts w:hint="eastAsia" w:ascii="新宋体" w:hAnsi="新宋体" w:eastAsia="新宋体" w:cs="新宋体"/>
          <w:b/>
          <w:bCs/>
          <w:spacing w:val="140"/>
          <w:sz w:val="84"/>
          <w:szCs w:val="84"/>
        </w:rPr>
      </w:pPr>
    </w:p>
    <w:p>
      <w:pPr>
        <w:pStyle w:val="5"/>
        <w:rPr>
          <w:rFonts w:hint="eastAsia"/>
        </w:rPr>
      </w:pPr>
    </w:p>
    <w:p>
      <w:pPr>
        <w:jc w:val="center"/>
        <w:rPr>
          <w:rFonts w:hint="eastAsia" w:ascii="新宋体" w:hAnsi="新宋体" w:eastAsia="新宋体" w:cs="新宋体"/>
          <w:b/>
          <w:bCs/>
          <w:spacing w:val="140"/>
          <w:sz w:val="84"/>
          <w:szCs w:val="84"/>
        </w:rPr>
      </w:pPr>
      <w:r>
        <w:rPr>
          <w:rFonts w:hint="eastAsia" w:ascii="新宋体" w:hAnsi="新宋体" w:eastAsia="新宋体" w:cs="新宋体"/>
          <w:b/>
          <w:bCs/>
          <w:spacing w:val="140"/>
          <w:sz w:val="84"/>
          <w:szCs w:val="84"/>
        </w:rPr>
        <w:t>招标文件</w:t>
      </w:r>
    </w:p>
    <w:p>
      <w:pPr>
        <w:spacing w:line="600" w:lineRule="exact"/>
        <w:jc w:val="center"/>
        <w:rPr>
          <w:rFonts w:hint="eastAsia" w:ascii="新宋体" w:hAnsi="新宋体" w:eastAsia="新宋体" w:cs="新宋体"/>
          <w:b/>
          <w:bCs/>
          <w:spacing w:val="140"/>
          <w:sz w:val="84"/>
          <w:szCs w:val="84"/>
        </w:rPr>
      </w:pPr>
    </w:p>
    <w:p>
      <w:pPr>
        <w:spacing w:line="400" w:lineRule="exact"/>
        <w:jc w:val="center"/>
        <w:rPr>
          <w:rFonts w:hint="eastAsia" w:ascii="新宋体" w:hAnsi="新宋体" w:eastAsia="新宋体" w:cs="新宋体"/>
          <w:b/>
          <w:bCs/>
          <w:sz w:val="32"/>
          <w:szCs w:val="32"/>
        </w:rPr>
      </w:pPr>
    </w:p>
    <w:p>
      <w:pPr>
        <w:pStyle w:val="3"/>
        <w:rPr>
          <w:rFonts w:hint="eastAsia"/>
        </w:rPr>
      </w:pPr>
    </w:p>
    <w:p>
      <w:pPr>
        <w:jc w:val="center"/>
        <w:rPr>
          <w:rFonts w:hint="eastAsia" w:ascii="新宋体" w:hAnsi="新宋体" w:eastAsia="新宋体" w:cs="新宋体"/>
          <w:spacing w:val="40"/>
          <w:sz w:val="30"/>
          <w:szCs w:val="30"/>
        </w:rPr>
      </w:pPr>
    </w:p>
    <w:p>
      <w:pPr>
        <w:jc w:val="center"/>
        <w:rPr>
          <w:rFonts w:hint="eastAsia" w:ascii="新宋体" w:hAnsi="新宋体" w:eastAsia="新宋体" w:cs="新宋体"/>
          <w:spacing w:val="40"/>
          <w:sz w:val="30"/>
          <w:szCs w:val="30"/>
        </w:rPr>
      </w:pPr>
    </w:p>
    <w:p>
      <w:pPr>
        <w:jc w:val="center"/>
        <w:rPr>
          <w:rFonts w:hint="eastAsia" w:ascii="新宋体" w:hAnsi="新宋体" w:eastAsia="新宋体" w:cs="新宋体"/>
          <w:spacing w:val="40"/>
          <w:sz w:val="30"/>
          <w:szCs w:val="30"/>
        </w:rPr>
      </w:pPr>
    </w:p>
    <w:tbl>
      <w:tblPr>
        <w:tblStyle w:val="56"/>
        <w:tblW w:w="0" w:type="auto"/>
        <w:jc w:val="center"/>
        <w:tblLayout w:type="fixed"/>
        <w:tblCellMar>
          <w:top w:w="0" w:type="dxa"/>
          <w:left w:w="108" w:type="dxa"/>
          <w:bottom w:w="0" w:type="dxa"/>
          <w:right w:w="108" w:type="dxa"/>
        </w:tblCellMar>
      </w:tblPr>
      <w:tblGrid>
        <w:gridCol w:w="1483"/>
        <w:gridCol w:w="3657"/>
      </w:tblGrid>
      <w:tr>
        <w:tblPrEx>
          <w:tblCellMar>
            <w:top w:w="0" w:type="dxa"/>
            <w:left w:w="108" w:type="dxa"/>
            <w:bottom w:w="0" w:type="dxa"/>
            <w:right w:w="108" w:type="dxa"/>
          </w:tblCellMar>
        </w:tblPrEx>
        <w:trPr>
          <w:trHeight w:val="707" w:hRule="atLeast"/>
          <w:jc w:val="center"/>
        </w:trPr>
        <w:tc>
          <w:tcPr>
            <w:tcW w:w="1483" w:type="dxa"/>
            <w:noWrap w:val="0"/>
            <w:vAlign w:val="center"/>
          </w:tcPr>
          <w:p>
            <w:pPr>
              <w:rPr>
                <w:rFonts w:hint="eastAsia" w:ascii="新宋体" w:hAnsi="新宋体" w:eastAsia="新宋体" w:cs="新宋体"/>
                <w:b/>
                <w:sz w:val="28"/>
                <w:szCs w:val="28"/>
              </w:rPr>
            </w:pPr>
            <w:r>
              <w:rPr>
                <w:rFonts w:hint="eastAsia" w:ascii="新宋体" w:hAnsi="新宋体" w:eastAsia="新宋体" w:cs="新宋体"/>
                <w:b/>
                <w:sz w:val="28"/>
                <w:szCs w:val="28"/>
              </w:rPr>
              <w:t>项目编号：</w:t>
            </w:r>
          </w:p>
        </w:tc>
        <w:tc>
          <w:tcPr>
            <w:tcW w:w="3657" w:type="dxa"/>
            <w:noWrap w:val="0"/>
            <w:vAlign w:val="center"/>
          </w:tcPr>
          <w:p>
            <w:pPr>
              <w:rPr>
                <w:rFonts w:hint="eastAsia" w:ascii="新宋体" w:hAnsi="新宋体" w:eastAsia="新宋体" w:cs="新宋体"/>
                <w:b/>
                <w:sz w:val="28"/>
                <w:szCs w:val="28"/>
              </w:rPr>
            </w:pPr>
            <w:r>
              <w:rPr>
                <w:rFonts w:hint="eastAsia" w:ascii="新宋体" w:hAnsi="新宋体" w:eastAsia="新宋体" w:cs="新宋体"/>
                <w:b/>
                <w:sz w:val="28"/>
                <w:szCs w:val="28"/>
              </w:rPr>
              <w:t>GZWZ[2020]029</w:t>
            </w:r>
          </w:p>
        </w:tc>
      </w:tr>
      <w:tr>
        <w:tblPrEx>
          <w:tblCellMar>
            <w:top w:w="0" w:type="dxa"/>
            <w:left w:w="108" w:type="dxa"/>
            <w:bottom w:w="0" w:type="dxa"/>
            <w:right w:w="108" w:type="dxa"/>
          </w:tblCellMar>
        </w:tblPrEx>
        <w:trPr>
          <w:trHeight w:val="942" w:hRule="atLeast"/>
          <w:jc w:val="center"/>
        </w:trPr>
        <w:tc>
          <w:tcPr>
            <w:tcW w:w="1483" w:type="dxa"/>
            <w:noWrap w:val="0"/>
            <w:vAlign w:val="center"/>
          </w:tcPr>
          <w:p>
            <w:pPr>
              <w:rPr>
                <w:rFonts w:hint="eastAsia" w:ascii="新宋体" w:hAnsi="新宋体" w:eastAsia="新宋体" w:cs="新宋体"/>
                <w:b/>
                <w:sz w:val="28"/>
                <w:szCs w:val="28"/>
              </w:rPr>
            </w:pPr>
            <w:r>
              <w:rPr>
                <w:rFonts w:hint="eastAsia" w:ascii="新宋体" w:hAnsi="新宋体" w:eastAsia="新宋体" w:cs="新宋体"/>
                <w:b/>
                <w:sz w:val="28"/>
                <w:szCs w:val="28"/>
              </w:rPr>
              <w:t>项目名称：</w:t>
            </w:r>
          </w:p>
        </w:tc>
        <w:tc>
          <w:tcPr>
            <w:tcW w:w="3657" w:type="dxa"/>
            <w:noWrap w:val="0"/>
            <w:vAlign w:val="center"/>
          </w:tcPr>
          <w:p>
            <w:pPr>
              <w:rPr>
                <w:rFonts w:hint="eastAsia" w:ascii="新宋体" w:hAnsi="新宋体" w:eastAsia="新宋体" w:cs="新宋体"/>
                <w:b/>
                <w:sz w:val="28"/>
                <w:szCs w:val="28"/>
              </w:rPr>
            </w:pPr>
            <w:r>
              <w:rPr>
                <w:rFonts w:hint="eastAsia" w:ascii="新宋体" w:hAnsi="新宋体" w:eastAsia="新宋体" w:cs="新宋体"/>
                <w:b/>
                <w:sz w:val="28"/>
                <w:szCs w:val="28"/>
              </w:rPr>
              <w:t>鹿城区政法智控一张网建设项目</w:t>
            </w:r>
          </w:p>
        </w:tc>
      </w:tr>
      <w:tr>
        <w:tblPrEx>
          <w:tblCellMar>
            <w:top w:w="0" w:type="dxa"/>
            <w:left w:w="108" w:type="dxa"/>
            <w:bottom w:w="0" w:type="dxa"/>
            <w:right w:w="108" w:type="dxa"/>
          </w:tblCellMar>
        </w:tblPrEx>
        <w:trPr>
          <w:trHeight w:val="707" w:hRule="atLeast"/>
          <w:jc w:val="center"/>
        </w:trPr>
        <w:tc>
          <w:tcPr>
            <w:tcW w:w="1483" w:type="dxa"/>
            <w:noWrap w:val="0"/>
            <w:vAlign w:val="center"/>
          </w:tcPr>
          <w:p>
            <w:pPr>
              <w:rPr>
                <w:rFonts w:hint="eastAsia" w:ascii="新宋体" w:hAnsi="新宋体" w:eastAsia="新宋体" w:cs="新宋体"/>
                <w:b/>
                <w:sz w:val="28"/>
                <w:szCs w:val="28"/>
              </w:rPr>
            </w:pPr>
            <w:r>
              <w:rPr>
                <w:rFonts w:hint="eastAsia" w:ascii="新宋体" w:hAnsi="新宋体" w:eastAsia="新宋体" w:cs="新宋体"/>
                <w:b/>
                <w:sz w:val="28"/>
                <w:szCs w:val="28"/>
              </w:rPr>
              <w:t>采购方式：</w:t>
            </w:r>
          </w:p>
        </w:tc>
        <w:tc>
          <w:tcPr>
            <w:tcW w:w="3657" w:type="dxa"/>
            <w:noWrap w:val="0"/>
            <w:vAlign w:val="center"/>
          </w:tcPr>
          <w:p>
            <w:pPr>
              <w:rPr>
                <w:rFonts w:hint="eastAsia" w:ascii="新宋体" w:hAnsi="新宋体" w:eastAsia="新宋体" w:cs="新宋体"/>
                <w:b/>
                <w:sz w:val="28"/>
                <w:szCs w:val="28"/>
              </w:rPr>
            </w:pPr>
            <w:r>
              <w:rPr>
                <w:rFonts w:hint="eastAsia" w:ascii="新宋体" w:hAnsi="新宋体" w:eastAsia="新宋体" w:cs="新宋体"/>
                <w:b/>
                <w:sz w:val="28"/>
                <w:szCs w:val="28"/>
              </w:rPr>
              <w:t>公开招标</w:t>
            </w:r>
          </w:p>
        </w:tc>
      </w:tr>
    </w:tbl>
    <w:p>
      <w:pPr>
        <w:spacing w:line="600" w:lineRule="exact"/>
        <w:rPr>
          <w:rFonts w:hint="eastAsia" w:ascii="新宋体" w:hAnsi="新宋体" w:eastAsia="新宋体" w:cs="新宋体"/>
          <w:b/>
          <w:sz w:val="30"/>
          <w:szCs w:val="30"/>
        </w:rPr>
      </w:pPr>
    </w:p>
    <w:p>
      <w:pPr>
        <w:spacing w:line="600" w:lineRule="exact"/>
        <w:jc w:val="center"/>
        <w:rPr>
          <w:rFonts w:hint="eastAsia" w:ascii="新宋体" w:hAnsi="新宋体" w:eastAsia="新宋体" w:cs="新宋体"/>
          <w:b/>
          <w:sz w:val="30"/>
          <w:szCs w:val="30"/>
        </w:rPr>
      </w:pPr>
    </w:p>
    <w:tbl>
      <w:tblPr>
        <w:tblStyle w:val="56"/>
        <w:tblW w:w="0" w:type="auto"/>
        <w:jc w:val="center"/>
        <w:tblLayout w:type="fixed"/>
        <w:tblCellMar>
          <w:top w:w="0" w:type="dxa"/>
          <w:left w:w="108" w:type="dxa"/>
          <w:bottom w:w="0" w:type="dxa"/>
          <w:right w:w="108" w:type="dxa"/>
        </w:tblCellMar>
      </w:tblPr>
      <w:tblGrid>
        <w:gridCol w:w="1533"/>
        <w:gridCol w:w="268"/>
        <w:gridCol w:w="4458"/>
      </w:tblGrid>
      <w:tr>
        <w:tblPrEx>
          <w:tblCellMar>
            <w:top w:w="0" w:type="dxa"/>
            <w:left w:w="108" w:type="dxa"/>
            <w:bottom w:w="0" w:type="dxa"/>
            <w:right w:w="108" w:type="dxa"/>
          </w:tblCellMar>
        </w:tblPrEx>
        <w:trPr>
          <w:wBefore w:w="0" w:type="dxa"/>
          <w:wAfter w:w="0" w:type="dxa"/>
          <w:trHeight w:val="729" w:hRule="atLeast"/>
          <w:jc w:val="center"/>
        </w:trPr>
        <w:tc>
          <w:tcPr>
            <w:tcW w:w="1533" w:type="dxa"/>
            <w:noWrap w:val="0"/>
            <w:vAlign w:val="center"/>
          </w:tcPr>
          <w:p>
            <w:pPr>
              <w:jc w:val="distribute"/>
              <w:rPr>
                <w:rFonts w:hint="eastAsia" w:ascii="新宋体" w:hAnsi="新宋体" w:eastAsia="新宋体" w:cs="新宋体"/>
                <w:b/>
                <w:sz w:val="28"/>
                <w:szCs w:val="28"/>
              </w:rPr>
            </w:pPr>
            <w:r>
              <w:rPr>
                <w:rFonts w:hint="eastAsia" w:ascii="新宋体" w:hAnsi="新宋体" w:eastAsia="新宋体" w:cs="新宋体"/>
                <w:b/>
                <w:sz w:val="28"/>
                <w:szCs w:val="28"/>
              </w:rPr>
              <w:t>采购人</w:t>
            </w:r>
          </w:p>
        </w:tc>
        <w:tc>
          <w:tcPr>
            <w:tcW w:w="268" w:type="dxa"/>
            <w:noWrap w:val="0"/>
            <w:vAlign w:val="center"/>
          </w:tcPr>
          <w:p>
            <w:pPr>
              <w:jc w:val="distribute"/>
              <w:rPr>
                <w:rFonts w:hint="eastAsia" w:ascii="新宋体" w:hAnsi="新宋体" w:eastAsia="新宋体" w:cs="新宋体"/>
                <w:b/>
                <w:sz w:val="28"/>
                <w:szCs w:val="28"/>
              </w:rPr>
            </w:pPr>
            <w:r>
              <w:rPr>
                <w:rFonts w:hint="eastAsia" w:ascii="新宋体" w:hAnsi="新宋体" w:eastAsia="新宋体" w:cs="新宋体"/>
                <w:b/>
                <w:sz w:val="28"/>
                <w:szCs w:val="28"/>
              </w:rPr>
              <w:t>：</w:t>
            </w:r>
          </w:p>
        </w:tc>
        <w:tc>
          <w:tcPr>
            <w:tcW w:w="4458" w:type="dxa"/>
            <w:noWrap w:val="0"/>
            <w:vAlign w:val="center"/>
          </w:tcPr>
          <w:p>
            <w:pPr>
              <w:jc w:val="distribute"/>
              <w:rPr>
                <w:rFonts w:hint="eastAsia" w:ascii="新宋体" w:hAnsi="新宋体" w:eastAsia="新宋体" w:cs="新宋体"/>
                <w:b/>
                <w:sz w:val="28"/>
                <w:szCs w:val="28"/>
              </w:rPr>
            </w:pPr>
            <w:r>
              <w:rPr>
                <w:rFonts w:hint="eastAsia" w:ascii="新宋体" w:hAnsi="新宋体" w:eastAsia="新宋体" w:cs="新宋体"/>
                <w:b/>
                <w:sz w:val="28"/>
                <w:szCs w:val="28"/>
              </w:rPr>
              <w:t>中共温州市鹿城区委政法委员会</w:t>
            </w:r>
          </w:p>
        </w:tc>
      </w:tr>
      <w:tr>
        <w:tblPrEx>
          <w:tblCellMar>
            <w:top w:w="0" w:type="dxa"/>
            <w:left w:w="108" w:type="dxa"/>
            <w:bottom w:w="0" w:type="dxa"/>
            <w:right w:w="108" w:type="dxa"/>
          </w:tblCellMar>
        </w:tblPrEx>
        <w:trPr>
          <w:wBefore w:w="0" w:type="dxa"/>
          <w:wAfter w:w="0" w:type="dxa"/>
          <w:trHeight w:val="748" w:hRule="atLeast"/>
          <w:jc w:val="center"/>
        </w:trPr>
        <w:tc>
          <w:tcPr>
            <w:tcW w:w="1533" w:type="dxa"/>
            <w:noWrap w:val="0"/>
            <w:vAlign w:val="center"/>
          </w:tcPr>
          <w:p>
            <w:pPr>
              <w:jc w:val="distribute"/>
              <w:rPr>
                <w:rFonts w:hint="eastAsia" w:ascii="新宋体" w:hAnsi="新宋体" w:eastAsia="新宋体" w:cs="新宋体"/>
                <w:b/>
                <w:sz w:val="28"/>
                <w:szCs w:val="28"/>
              </w:rPr>
            </w:pPr>
            <w:r>
              <w:rPr>
                <w:rFonts w:hint="eastAsia" w:ascii="新宋体" w:hAnsi="新宋体" w:eastAsia="新宋体" w:cs="新宋体"/>
                <w:b/>
                <w:sz w:val="28"/>
                <w:szCs w:val="28"/>
              </w:rPr>
              <w:t>代理机构</w:t>
            </w:r>
          </w:p>
        </w:tc>
        <w:tc>
          <w:tcPr>
            <w:tcW w:w="268" w:type="dxa"/>
            <w:noWrap w:val="0"/>
            <w:vAlign w:val="center"/>
          </w:tcPr>
          <w:p>
            <w:pPr>
              <w:jc w:val="distribute"/>
              <w:rPr>
                <w:rFonts w:hint="eastAsia" w:ascii="新宋体" w:hAnsi="新宋体" w:eastAsia="新宋体" w:cs="新宋体"/>
                <w:b/>
                <w:sz w:val="28"/>
                <w:szCs w:val="28"/>
              </w:rPr>
            </w:pPr>
            <w:r>
              <w:rPr>
                <w:rFonts w:hint="eastAsia" w:ascii="新宋体" w:hAnsi="新宋体" w:eastAsia="新宋体" w:cs="新宋体"/>
                <w:b/>
                <w:sz w:val="28"/>
                <w:szCs w:val="28"/>
              </w:rPr>
              <w:t>：</w:t>
            </w:r>
          </w:p>
        </w:tc>
        <w:tc>
          <w:tcPr>
            <w:tcW w:w="4458" w:type="dxa"/>
            <w:noWrap w:val="0"/>
            <w:vAlign w:val="center"/>
          </w:tcPr>
          <w:p>
            <w:pPr>
              <w:jc w:val="distribute"/>
              <w:rPr>
                <w:rFonts w:hint="eastAsia" w:ascii="新宋体" w:hAnsi="新宋体" w:eastAsia="新宋体" w:cs="新宋体"/>
                <w:b/>
                <w:sz w:val="28"/>
                <w:szCs w:val="28"/>
              </w:rPr>
            </w:pPr>
            <w:r>
              <w:rPr>
                <w:rFonts w:hint="eastAsia" w:ascii="新宋体" w:hAnsi="新宋体" w:eastAsia="新宋体" w:cs="新宋体"/>
                <w:b/>
                <w:sz w:val="28"/>
                <w:szCs w:val="28"/>
              </w:rPr>
              <w:t>宁波国咨工程造价咨询有限公司</w:t>
            </w:r>
          </w:p>
        </w:tc>
      </w:tr>
    </w:tbl>
    <w:p>
      <w:pPr>
        <w:spacing w:line="600" w:lineRule="exact"/>
        <w:jc w:val="center"/>
        <w:rPr>
          <w:rFonts w:hint="eastAsia" w:ascii="新宋体" w:hAnsi="新宋体" w:eastAsia="新宋体" w:cs="新宋体"/>
          <w:b/>
          <w:sz w:val="30"/>
          <w:szCs w:val="30"/>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linePitch="312" w:charSpace="0"/>
        </w:sectPr>
      </w:pPr>
      <w:r>
        <w:rPr>
          <w:rFonts w:hint="eastAsia" w:ascii="新宋体" w:hAnsi="新宋体" w:eastAsia="新宋体" w:cs="新宋体"/>
          <w:b/>
          <w:sz w:val="30"/>
          <w:szCs w:val="30"/>
        </w:rPr>
        <w:t xml:space="preserve">     二○二○年十一月</w:t>
      </w:r>
    </w:p>
    <w:p>
      <w:pPr>
        <w:pStyle w:val="39"/>
        <w:tabs>
          <w:tab w:val="right" w:leader="dot" w:pos="9638"/>
        </w:tabs>
        <w:ind w:left="1030" w:hanging="1030"/>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目 录</w:t>
      </w:r>
    </w:p>
    <w:p>
      <w:pPr>
        <w:rPr>
          <w:rFonts w:hint="eastAsia"/>
        </w:rPr>
      </w:pPr>
    </w:p>
    <w:p>
      <w:pPr>
        <w:pStyle w:val="39"/>
        <w:tabs>
          <w:tab w:val="right" w:leader="dot" w:pos="9628"/>
        </w:tabs>
        <w:spacing w:line="480" w:lineRule="auto"/>
        <w:ind w:left="1" w:firstLine="0" w:firstLineChars="0"/>
        <w:rPr>
          <w:rFonts w:hint="eastAsia" w:ascii="新宋体" w:hAnsi="新宋体" w:eastAsia="新宋体" w:cs="新宋体"/>
          <w:b/>
          <w:bCs/>
          <w:szCs w:val="21"/>
        </w:rPr>
      </w:pPr>
    </w:p>
    <w:p>
      <w:pPr>
        <w:pStyle w:val="39"/>
        <w:tabs>
          <w:tab w:val="right" w:leader="dot" w:pos="9628"/>
        </w:tabs>
        <w:spacing w:line="480" w:lineRule="auto"/>
        <w:ind w:left="1" w:firstLine="0" w:firstLineChars="0"/>
        <w:rPr>
          <w:rFonts w:ascii="新宋体" w:hAnsi="新宋体" w:eastAsia="新宋体" w:cs="Times New Roman"/>
          <w:sz w:val="24"/>
          <w:lang/>
        </w:rPr>
      </w:pPr>
      <w:r>
        <w:rPr>
          <w:rFonts w:hint="eastAsia" w:ascii="新宋体" w:hAnsi="新宋体" w:eastAsia="新宋体" w:cs="新宋体"/>
          <w:b/>
          <w:bCs/>
          <w:sz w:val="24"/>
        </w:rPr>
        <w:fldChar w:fldCharType="begin"/>
      </w:r>
      <w:r>
        <w:rPr>
          <w:rFonts w:hint="eastAsia" w:ascii="新宋体" w:hAnsi="新宋体" w:eastAsia="新宋体" w:cs="新宋体"/>
          <w:b/>
          <w:bCs/>
          <w:sz w:val="24"/>
        </w:rPr>
        <w:instrText xml:space="preserve">TOC \o "1-3" \h \u </w:instrText>
      </w:r>
      <w:r>
        <w:rPr>
          <w:rFonts w:hint="eastAsia" w:ascii="新宋体" w:hAnsi="新宋体" w:eastAsia="新宋体" w:cs="新宋体"/>
          <w:b/>
          <w:bCs/>
          <w:sz w:val="24"/>
        </w:rPr>
        <w:fldChar w:fldCharType="separate"/>
      </w: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"_Toc34572026"</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关于鹿城区政法智控一张网建设项目的公开招标公告</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_Toc34572026 \h </w:instrText>
      </w:r>
      <w:r>
        <w:rPr>
          <w:rFonts w:ascii="新宋体" w:hAnsi="新宋体" w:eastAsia="新宋体"/>
          <w:sz w:val="24"/>
          <w:lang/>
        </w:rPr>
        <w:fldChar w:fldCharType="separate"/>
      </w:r>
      <w:r>
        <w:rPr>
          <w:rFonts w:ascii="新宋体" w:hAnsi="新宋体" w:eastAsia="新宋体"/>
          <w:sz w:val="24"/>
          <w:lang/>
        </w:rPr>
        <w:t>2</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"_Toc34572027"</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第一部分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投标人须知</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_Toc34572027 \h </w:instrText>
      </w:r>
      <w:r>
        <w:rPr>
          <w:rFonts w:ascii="新宋体" w:hAnsi="新宋体" w:eastAsia="新宋体"/>
          <w:sz w:val="24"/>
          <w:lang/>
        </w:rPr>
        <w:fldChar w:fldCharType="separate"/>
      </w:r>
      <w:r>
        <w:rPr>
          <w:rFonts w:ascii="新宋体" w:hAnsi="新宋体" w:eastAsia="新宋体"/>
          <w:sz w:val="24"/>
          <w:lang/>
        </w:rPr>
        <w:t>5</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"_Toc34572028"</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投标人须知前附表</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_Toc34572028 \h </w:instrText>
      </w:r>
      <w:r>
        <w:rPr>
          <w:rFonts w:ascii="新宋体" w:hAnsi="新宋体" w:eastAsia="新宋体"/>
          <w:sz w:val="24"/>
          <w:lang/>
        </w:rPr>
        <w:fldChar w:fldCharType="separate"/>
      </w:r>
      <w:r>
        <w:rPr>
          <w:rFonts w:ascii="新宋体" w:hAnsi="新宋体" w:eastAsia="新宋体"/>
          <w:sz w:val="24"/>
          <w:lang/>
        </w:rPr>
        <w:t>5</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"_Toc34572029"</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一、</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说明</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_Toc34572029 \h </w:instrText>
      </w:r>
      <w:r>
        <w:rPr>
          <w:rFonts w:ascii="新宋体" w:hAnsi="新宋体" w:eastAsia="新宋体"/>
          <w:sz w:val="24"/>
          <w:lang/>
        </w:rPr>
        <w:fldChar w:fldCharType="separate"/>
      </w:r>
      <w:r>
        <w:rPr>
          <w:rFonts w:ascii="新宋体" w:hAnsi="新宋体" w:eastAsia="新宋体"/>
          <w:sz w:val="24"/>
          <w:lang/>
        </w:rPr>
        <w:t>9</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"_Toc34572030"</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二、</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采购文件</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_Toc34572030 \h </w:instrText>
      </w:r>
      <w:r>
        <w:rPr>
          <w:rFonts w:ascii="新宋体" w:hAnsi="新宋体" w:eastAsia="新宋体"/>
          <w:sz w:val="24"/>
          <w:lang/>
        </w:rPr>
        <w:fldChar w:fldCharType="separate"/>
      </w:r>
      <w:r>
        <w:rPr>
          <w:rFonts w:ascii="新宋体" w:hAnsi="新宋体" w:eastAsia="新宋体"/>
          <w:sz w:val="24"/>
          <w:lang/>
        </w:rPr>
        <w:t>10</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"_Toc34572031"</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三、</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投标文件的编制</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_Toc34572031 \h </w:instrText>
      </w:r>
      <w:r>
        <w:rPr>
          <w:rFonts w:ascii="新宋体" w:hAnsi="新宋体" w:eastAsia="新宋体"/>
          <w:sz w:val="24"/>
          <w:lang/>
        </w:rPr>
        <w:fldChar w:fldCharType="separate"/>
      </w:r>
      <w:r>
        <w:rPr>
          <w:rFonts w:ascii="新宋体" w:hAnsi="新宋体" w:eastAsia="新宋体"/>
          <w:sz w:val="24"/>
          <w:lang/>
        </w:rPr>
        <w:t>11</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"_Toc34572032"</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四、</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投标文件的递交</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_Toc34572032 \h </w:instrText>
      </w:r>
      <w:r>
        <w:rPr>
          <w:rFonts w:ascii="新宋体" w:hAnsi="新宋体" w:eastAsia="新宋体"/>
          <w:sz w:val="24"/>
          <w:lang/>
        </w:rPr>
        <w:fldChar w:fldCharType="separate"/>
      </w:r>
      <w:r>
        <w:rPr>
          <w:rFonts w:ascii="新宋体" w:hAnsi="新宋体" w:eastAsia="新宋体"/>
          <w:sz w:val="24"/>
          <w:lang/>
        </w:rPr>
        <w:t>15</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"_Toc34572033"</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五、</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开标</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_Toc34572033 \h </w:instrText>
      </w:r>
      <w:r>
        <w:rPr>
          <w:rFonts w:ascii="新宋体" w:hAnsi="新宋体" w:eastAsia="新宋体"/>
          <w:sz w:val="24"/>
          <w:lang/>
        </w:rPr>
        <w:fldChar w:fldCharType="separate"/>
      </w:r>
      <w:r>
        <w:rPr>
          <w:rFonts w:ascii="新宋体" w:hAnsi="新宋体" w:eastAsia="新宋体"/>
          <w:sz w:val="24"/>
          <w:lang/>
        </w:rPr>
        <w:t>16</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"_Toc34572034"</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六、</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评</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标</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_Toc34572034 \h </w:instrText>
      </w:r>
      <w:r>
        <w:rPr>
          <w:rFonts w:ascii="新宋体" w:hAnsi="新宋体" w:eastAsia="新宋体"/>
          <w:sz w:val="24"/>
          <w:lang/>
        </w:rPr>
        <w:fldChar w:fldCharType="separate"/>
      </w:r>
      <w:r>
        <w:rPr>
          <w:rFonts w:ascii="新宋体" w:hAnsi="新宋体" w:eastAsia="新宋体"/>
          <w:sz w:val="24"/>
          <w:lang/>
        </w:rPr>
        <w:t>17</w:t>
      </w:r>
      <w:r>
        <w:rPr>
          <w:rFonts w:ascii="新宋体" w:hAnsi="新宋体" w:eastAsia="新宋体"/>
          <w:sz w:val="24"/>
          <w:lang/>
        </w:rPr>
        <w:fldChar w:fldCharType="end"/>
      </w:r>
      <w:r>
        <w:rPr>
          <w:rFonts w:ascii="新宋体" w:hAnsi="新宋体" w:eastAsia="新宋体"/>
          <w:sz w:val="24"/>
          <w:lang/>
        </w:rPr>
        <w:fldChar w:fldCharType="end"/>
      </w:r>
    </w:p>
    <w:p>
      <w:pPr>
        <w:pStyle w:val="47"/>
        <w:tabs>
          <w:tab w:val="right" w:leader="dot" w:pos="9628"/>
        </w:tabs>
        <w:spacing w:line="480" w:lineRule="auto"/>
        <w:ind w:left="0" w:leftChars="0"/>
        <w:rPr>
          <w:rFonts w:ascii="新宋体" w:hAnsi="新宋体" w:eastAsia="新宋体"/>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"_Toc34572035"</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olor w:val="auto"/>
          <w:sz w:val="24"/>
          <w:szCs w:val="24"/>
          <w:lang/>
        </w:rPr>
        <w:t>七、</w:t>
      </w:r>
      <w:r>
        <w:rPr>
          <w:rStyle w:val="68"/>
          <w:rFonts w:ascii="新宋体" w:hAnsi="新宋体" w:eastAsia="新宋体"/>
          <w:color w:val="auto"/>
          <w:sz w:val="24"/>
          <w:szCs w:val="24"/>
          <w:lang/>
        </w:rPr>
        <w:t xml:space="preserve"> </w:t>
      </w:r>
      <w:r>
        <w:rPr>
          <w:rStyle w:val="68"/>
          <w:rFonts w:hint="eastAsia" w:ascii="新宋体" w:hAnsi="新宋体" w:eastAsia="新宋体"/>
          <w:color w:val="auto"/>
          <w:sz w:val="24"/>
          <w:szCs w:val="24"/>
          <w:lang/>
        </w:rPr>
        <w:t>授予合同</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_Toc34572035 \h </w:instrText>
      </w:r>
      <w:r>
        <w:rPr>
          <w:rFonts w:ascii="新宋体" w:hAnsi="新宋体" w:eastAsia="新宋体"/>
          <w:sz w:val="24"/>
          <w:lang/>
        </w:rPr>
        <w:fldChar w:fldCharType="separate"/>
      </w:r>
      <w:r>
        <w:rPr>
          <w:rFonts w:ascii="新宋体" w:hAnsi="新宋体" w:eastAsia="新宋体"/>
          <w:sz w:val="24"/>
          <w:lang/>
        </w:rPr>
        <w:t>21</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"_Toc34572036"</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第二部分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政府采购政策功能相关说明</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_Toc34572036 \h </w:instrText>
      </w:r>
      <w:r>
        <w:rPr>
          <w:rFonts w:ascii="新宋体" w:hAnsi="新宋体" w:eastAsia="新宋体"/>
          <w:sz w:val="24"/>
          <w:lang/>
        </w:rPr>
        <w:fldChar w:fldCharType="separate"/>
      </w:r>
      <w:r>
        <w:rPr>
          <w:rFonts w:ascii="新宋体" w:hAnsi="新宋体" w:eastAsia="新宋体"/>
          <w:sz w:val="24"/>
          <w:lang/>
        </w:rPr>
        <w:t>22</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"_Toc34572037"</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第三部分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合同条款及格式</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_Toc34572037 \h </w:instrText>
      </w:r>
      <w:r>
        <w:rPr>
          <w:rFonts w:ascii="新宋体" w:hAnsi="新宋体" w:eastAsia="新宋体"/>
          <w:sz w:val="24"/>
          <w:lang/>
        </w:rPr>
        <w:fldChar w:fldCharType="separate"/>
      </w:r>
      <w:r>
        <w:rPr>
          <w:rFonts w:ascii="新宋体" w:hAnsi="新宋体" w:eastAsia="新宋体"/>
          <w:sz w:val="24"/>
          <w:lang/>
        </w:rPr>
        <w:t>27</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"_Toc34572038"</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第四部分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投标文件格式</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_Toc34572038 \h </w:instrText>
      </w:r>
      <w:r>
        <w:rPr>
          <w:rFonts w:ascii="新宋体" w:hAnsi="新宋体" w:eastAsia="新宋体"/>
          <w:sz w:val="24"/>
          <w:lang/>
        </w:rPr>
        <w:fldChar w:fldCharType="separate"/>
      </w:r>
      <w:r>
        <w:rPr>
          <w:rFonts w:ascii="新宋体" w:hAnsi="新宋体" w:eastAsia="新宋体"/>
          <w:sz w:val="24"/>
          <w:lang/>
        </w:rPr>
        <w:t>33</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"_Toc34572039"</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第五部分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采购内容及要求</w:t>
      </w:r>
      <w:r>
        <w:rPr>
          <w:rFonts w:ascii="新宋体" w:hAnsi="新宋体" w:eastAsia="新宋体"/>
          <w:sz w:val="24"/>
          <w:lang/>
        </w:rPr>
        <w:tab/>
      </w:r>
      <w:r>
        <w:rPr>
          <w:rFonts w:ascii="新宋体" w:hAnsi="新宋体" w:eastAsia="新宋体"/>
          <w:sz w:val="24"/>
          <w:lang/>
        </w:rPr>
        <w:fldChar w:fldCharType="begin"/>
      </w:r>
      <w:r>
        <w:rPr>
          <w:rFonts w:ascii="新宋体" w:hAnsi="新宋体" w:eastAsia="新宋体"/>
          <w:sz w:val="24"/>
          <w:lang/>
        </w:rPr>
        <w:instrText xml:space="preserve"> PAGEREF _Toc34572039 \h </w:instrText>
      </w:r>
      <w:r>
        <w:rPr>
          <w:rFonts w:ascii="新宋体" w:hAnsi="新宋体" w:eastAsia="新宋体"/>
          <w:sz w:val="24"/>
          <w:lang/>
        </w:rPr>
        <w:fldChar w:fldCharType="separate"/>
      </w:r>
      <w:r>
        <w:rPr>
          <w:rFonts w:ascii="新宋体" w:hAnsi="新宋体" w:eastAsia="新宋体"/>
          <w:sz w:val="24"/>
          <w:lang/>
        </w:rPr>
        <w:t>52</w:t>
      </w:r>
      <w:r>
        <w:rPr>
          <w:rFonts w:ascii="新宋体" w:hAnsi="新宋体" w:eastAsia="新宋体"/>
          <w:sz w:val="24"/>
          <w:lang/>
        </w:rPr>
        <w:fldChar w:fldCharType="end"/>
      </w:r>
      <w:r>
        <w:rPr>
          <w:rFonts w:ascii="新宋体" w:hAnsi="新宋体" w:eastAsia="新宋体"/>
          <w:sz w:val="24"/>
          <w:lang/>
        </w:rPr>
        <w:fldChar w:fldCharType="end"/>
      </w:r>
    </w:p>
    <w:p>
      <w:pPr>
        <w:pStyle w:val="39"/>
        <w:tabs>
          <w:tab w:val="right" w:leader="dot" w:pos="9628"/>
        </w:tabs>
        <w:spacing w:line="480" w:lineRule="auto"/>
        <w:ind w:left="0" w:firstLine="0" w:firstLineChars="0"/>
        <w:rPr>
          <w:rFonts w:ascii="新宋体" w:hAnsi="新宋体" w:eastAsia="新宋体" w:cs="Times New Roman"/>
          <w:sz w:val="24"/>
          <w:lang/>
        </w:rPr>
      </w:pPr>
      <w:r>
        <w:rPr>
          <w:rFonts w:ascii="新宋体" w:hAnsi="新宋体" w:eastAsia="新宋体"/>
          <w:sz w:val="24"/>
          <w:lang/>
        </w:rPr>
        <w:fldChar w:fldCharType="begin"/>
      </w:r>
      <w:r>
        <w:rPr>
          <w:rStyle w:val="68"/>
          <w:rFonts w:ascii="新宋体" w:hAnsi="新宋体" w:eastAsia="新宋体"/>
          <w:color w:val="auto"/>
          <w:sz w:val="24"/>
          <w:szCs w:val="24"/>
          <w:lang/>
        </w:rPr>
        <w:instrText xml:space="preserve"> </w:instrText>
      </w:r>
      <w:r>
        <w:rPr>
          <w:rFonts w:ascii="新宋体" w:hAnsi="新宋体" w:eastAsia="新宋体"/>
          <w:sz w:val="24"/>
          <w:lang/>
        </w:rPr>
        <w:instrText xml:space="preserve">HYPERLINK \l "_Toc34572094"</w:instrText>
      </w:r>
      <w:r>
        <w:rPr>
          <w:rStyle w:val="68"/>
          <w:rFonts w:ascii="新宋体" w:hAnsi="新宋体" w:eastAsia="新宋体"/>
          <w:color w:val="auto"/>
          <w:sz w:val="24"/>
          <w:szCs w:val="24"/>
          <w:lang/>
        </w:rPr>
        <w:instrText xml:space="preserve"> </w:instrText>
      </w:r>
      <w:r>
        <w:rPr>
          <w:rFonts w:ascii="新宋体" w:hAnsi="新宋体" w:eastAsia="新宋体"/>
          <w:sz w:val="24"/>
          <w:lang/>
        </w:rPr>
        <w:fldChar w:fldCharType="separate"/>
      </w:r>
      <w:r>
        <w:rPr>
          <w:rStyle w:val="68"/>
          <w:rFonts w:hint="eastAsia" w:ascii="新宋体" w:hAnsi="新宋体" w:eastAsia="新宋体" w:cs="新宋体"/>
          <w:color w:val="auto"/>
          <w:sz w:val="24"/>
          <w:szCs w:val="24"/>
          <w:lang/>
        </w:rPr>
        <w:t>第六部分</w:t>
      </w:r>
      <w:r>
        <w:rPr>
          <w:rStyle w:val="68"/>
          <w:rFonts w:ascii="新宋体" w:hAnsi="新宋体" w:eastAsia="新宋体" w:cs="新宋体"/>
          <w:color w:val="auto"/>
          <w:sz w:val="24"/>
          <w:szCs w:val="24"/>
          <w:lang/>
        </w:rPr>
        <w:t xml:space="preserve">   </w:t>
      </w:r>
      <w:r>
        <w:rPr>
          <w:rStyle w:val="68"/>
          <w:rFonts w:hint="eastAsia" w:ascii="新宋体" w:hAnsi="新宋体" w:eastAsia="新宋体" w:cs="新宋体"/>
          <w:color w:val="auto"/>
          <w:sz w:val="24"/>
          <w:szCs w:val="24"/>
          <w:lang/>
        </w:rPr>
        <w:t>评标原则及方法</w:t>
      </w:r>
      <w:r>
        <w:rPr>
          <w:rFonts w:ascii="新宋体" w:hAnsi="新宋体" w:eastAsia="新宋体"/>
          <w:sz w:val="24"/>
          <w:lang/>
        </w:rPr>
        <w:tab/>
      </w:r>
      <w:r>
        <w:rPr>
          <w:rFonts w:hint="eastAsia" w:ascii="新宋体" w:hAnsi="新宋体" w:eastAsia="新宋体"/>
          <w:sz w:val="24"/>
          <w:lang/>
        </w:rPr>
        <w:t>76</w:t>
      </w:r>
      <w:r>
        <w:rPr>
          <w:rFonts w:ascii="新宋体" w:hAnsi="新宋体" w:eastAsia="新宋体"/>
          <w:sz w:val="24"/>
          <w:lang/>
        </w:rPr>
        <w:fldChar w:fldCharType="end"/>
      </w:r>
    </w:p>
    <w:p>
      <w:pPr>
        <w:pStyle w:val="3"/>
        <w:spacing w:line="480" w:lineRule="auto"/>
        <w:ind w:left="-720"/>
        <w:rPr>
          <w:rFonts w:hint="eastAsia" w:ascii="新宋体" w:hAnsi="新宋体" w:eastAsia="新宋体" w:cs="新宋体"/>
          <w:b/>
          <w:bCs/>
          <w:szCs w:val="21"/>
        </w:rPr>
      </w:pPr>
      <w:r>
        <w:rPr>
          <w:rFonts w:hint="eastAsia" w:ascii="新宋体" w:hAnsi="新宋体" w:eastAsia="新宋体" w:cs="新宋体"/>
          <w:bCs/>
          <w:sz w:val="24"/>
        </w:rPr>
        <w:fldChar w:fldCharType="end"/>
      </w:r>
    </w:p>
    <w:p>
      <w:pPr>
        <w:pStyle w:val="2"/>
        <w:ind w:firstLine="320"/>
        <w:rPr>
          <w:rFonts w:hint="eastAsia" w:ascii="新宋体" w:hAnsi="新宋体" w:eastAsia="新宋体" w:cs="新宋体"/>
          <w:b w:val="0"/>
          <w:bCs/>
          <w:szCs w:val="21"/>
        </w:rPr>
      </w:pPr>
    </w:p>
    <w:p>
      <w:pPr>
        <w:pStyle w:val="2"/>
        <w:ind w:firstLine="320"/>
        <w:rPr>
          <w:rFonts w:hint="eastAsia" w:ascii="新宋体" w:hAnsi="新宋体" w:eastAsia="新宋体" w:cs="新宋体"/>
          <w:b w:val="0"/>
          <w:bCs/>
          <w:szCs w:val="21"/>
        </w:rPr>
      </w:pPr>
    </w:p>
    <w:p>
      <w:pPr>
        <w:pStyle w:val="2"/>
        <w:ind w:firstLine="320"/>
        <w:rPr>
          <w:rFonts w:hint="eastAsia" w:ascii="新宋体" w:hAnsi="新宋体" w:eastAsia="新宋体" w:cs="新宋体"/>
          <w:b w:val="0"/>
          <w:bCs/>
          <w:szCs w:val="21"/>
        </w:rPr>
      </w:pPr>
    </w:p>
    <w:p>
      <w:pPr>
        <w:pStyle w:val="2"/>
        <w:ind w:firstLine="320"/>
        <w:rPr>
          <w:rFonts w:hint="eastAsia" w:ascii="新宋体" w:hAnsi="新宋体" w:eastAsia="新宋体" w:cs="新宋体"/>
          <w:b w:val="0"/>
          <w:bCs/>
          <w:szCs w:val="21"/>
        </w:rPr>
      </w:pPr>
    </w:p>
    <w:p>
      <w:pPr>
        <w:pStyle w:val="2"/>
        <w:ind w:firstLine="320"/>
        <w:rPr>
          <w:rFonts w:hint="eastAsia" w:ascii="新宋体" w:hAnsi="新宋体" w:eastAsia="新宋体" w:cs="新宋体"/>
          <w:b w:val="0"/>
          <w:bCs/>
          <w:szCs w:val="21"/>
        </w:rPr>
      </w:pPr>
    </w:p>
    <w:p>
      <w:pPr>
        <w:pStyle w:val="2"/>
        <w:ind w:firstLine="320"/>
        <w:rPr>
          <w:rFonts w:hint="eastAsia" w:ascii="新宋体" w:hAnsi="新宋体" w:eastAsia="新宋体" w:cs="新宋体"/>
          <w:b w:val="0"/>
          <w:bCs/>
          <w:szCs w:val="21"/>
        </w:rPr>
      </w:pPr>
    </w:p>
    <w:p>
      <w:pPr>
        <w:pStyle w:val="5"/>
        <w:rPr>
          <w:rFonts w:ascii="新宋体" w:hAnsi="新宋体" w:eastAsia="新宋体" w:cs="新宋体"/>
          <w:sz w:val="32"/>
          <w:szCs w:val="32"/>
        </w:rPr>
      </w:pPr>
      <w:bookmarkStart w:id="0" w:name="_Toc26845"/>
      <w:bookmarkStart w:id="1" w:name="_Toc34572026"/>
      <w:r>
        <w:rPr>
          <w:rFonts w:hint="eastAsia" w:ascii="新宋体" w:hAnsi="新宋体" w:eastAsia="新宋体" w:cs="新宋体"/>
          <w:sz w:val="32"/>
          <w:szCs w:val="32"/>
        </w:rPr>
        <w:t>关于鹿城区政法智控一张网建设项目的公开招标公告</w:t>
      </w:r>
      <w:bookmarkEnd w:id="0"/>
      <w:bookmarkEnd w:id="1"/>
    </w:p>
    <w:p>
      <w:pPr>
        <w:pBdr>
          <w:top w:val="single" w:color="auto" w:sz="4" w:space="1"/>
          <w:left w:val="single" w:color="auto" w:sz="4" w:space="4"/>
          <w:bottom w:val="single" w:color="auto" w:sz="4" w:space="1"/>
          <w:right w:val="single" w:color="auto" w:sz="4" w:space="4"/>
        </w:pBdr>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项目概况</w:t>
      </w:r>
    </w:p>
    <w:p>
      <w:pPr>
        <w:pBdr>
          <w:top w:val="single" w:color="auto" w:sz="4" w:space="1"/>
          <w:left w:val="single" w:color="auto" w:sz="4" w:space="4"/>
          <w:bottom w:val="single" w:color="auto" w:sz="4" w:space="1"/>
          <w:right w:val="single" w:color="auto" w:sz="4" w:space="4"/>
        </w:pBdr>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u w:val="single"/>
        </w:rPr>
        <w:t xml:space="preserve"> </w:t>
      </w:r>
      <w:r>
        <w:rPr>
          <w:rFonts w:hint="eastAsia" w:ascii="新宋体" w:hAnsi="新宋体" w:eastAsia="新宋体" w:cs="新宋体"/>
          <w:kern w:val="0"/>
          <w:sz w:val="22"/>
          <w:szCs w:val="22"/>
          <w:u w:val="single"/>
        </w:rPr>
        <w:t>鹿城区政法智控一张网建设项目</w:t>
      </w:r>
      <w:r>
        <w:rPr>
          <w:rFonts w:hint="eastAsia" w:ascii="新宋体" w:hAnsi="新宋体" w:eastAsia="新宋体" w:cs="新宋体"/>
          <w:sz w:val="22"/>
          <w:szCs w:val="22"/>
        </w:rPr>
        <w:t xml:space="preserve"> 招标项目的潜在投标人应在</w:t>
      </w:r>
      <w:r>
        <w:rPr>
          <w:rFonts w:hint="eastAsia" w:ascii="新宋体" w:hAnsi="新宋体" w:eastAsia="新宋体" w:cs="新宋体"/>
          <w:kern w:val="0"/>
          <w:sz w:val="22"/>
          <w:szCs w:val="22"/>
          <w:u w:val="single"/>
        </w:rPr>
        <w:t>政府采购云平台（www.zcygov.cn）</w:t>
      </w:r>
      <w:r>
        <w:rPr>
          <w:rFonts w:hint="eastAsia" w:ascii="新宋体" w:hAnsi="新宋体" w:eastAsia="新宋体" w:cs="新宋体"/>
          <w:sz w:val="22"/>
          <w:szCs w:val="22"/>
        </w:rPr>
        <w:t>获取招标文件，并于</w:t>
      </w:r>
      <w:r>
        <w:rPr>
          <w:rFonts w:hint="eastAsia" w:ascii="新宋体" w:hAnsi="新宋体" w:eastAsia="新宋体" w:cs="新宋体"/>
          <w:sz w:val="22"/>
          <w:szCs w:val="22"/>
          <w:u w:val="single"/>
        </w:rPr>
        <w:t>2020年11月 26 日</w:t>
      </w:r>
      <w:r>
        <w:rPr>
          <w:rFonts w:hint="eastAsia" w:ascii="新宋体" w:hAnsi="新宋体" w:eastAsia="新宋体" w:cs="新宋体"/>
          <w:bCs/>
          <w:sz w:val="22"/>
          <w:szCs w:val="22"/>
          <w:u w:val="single"/>
        </w:rPr>
        <w:t>9点30分（</w:t>
      </w:r>
      <w:r>
        <w:rPr>
          <w:rFonts w:hint="eastAsia" w:ascii="新宋体" w:hAnsi="新宋体" w:eastAsia="新宋体" w:cs="新宋体"/>
          <w:bCs/>
          <w:sz w:val="22"/>
          <w:szCs w:val="22"/>
        </w:rPr>
        <w:t>北京时间）前递交投标文件</w:t>
      </w:r>
      <w:r>
        <w:rPr>
          <w:rFonts w:hint="eastAsia" w:ascii="新宋体" w:hAnsi="新宋体" w:eastAsia="新宋体" w:cs="新宋体"/>
          <w:sz w:val="22"/>
          <w:szCs w:val="22"/>
        </w:rPr>
        <w:t>。</w:t>
      </w:r>
    </w:p>
    <w:p>
      <w:pPr>
        <w:widowControl/>
        <w:spacing w:before="60" w:after="60" w:line="400" w:lineRule="exact"/>
        <w:ind w:right="60"/>
        <w:jc w:val="left"/>
        <w:rPr>
          <w:rFonts w:hint="eastAsia" w:ascii="新宋体" w:hAnsi="新宋体" w:eastAsia="新宋体" w:cs="新宋体"/>
          <w:b/>
          <w:kern w:val="0"/>
          <w:sz w:val="22"/>
          <w:szCs w:val="22"/>
        </w:rPr>
      </w:pPr>
      <w:bookmarkStart w:id="2" w:name="_Toc35393621"/>
      <w:bookmarkStart w:id="3" w:name="_Toc35393790"/>
      <w:bookmarkStart w:id="4" w:name="_Toc28359002"/>
      <w:bookmarkStart w:id="5" w:name="_Toc28359079"/>
      <w:bookmarkStart w:id="6" w:name="_Hlk24379207"/>
      <w:r>
        <w:rPr>
          <w:rFonts w:hint="eastAsia" w:ascii="新宋体" w:hAnsi="新宋体" w:eastAsia="新宋体" w:cs="新宋体"/>
          <w:b/>
          <w:kern w:val="0"/>
          <w:sz w:val="22"/>
          <w:szCs w:val="22"/>
        </w:rPr>
        <w:t>一、项目基本情况</w:t>
      </w:r>
      <w:bookmarkEnd w:id="2"/>
      <w:bookmarkEnd w:id="3"/>
      <w:bookmarkEnd w:id="4"/>
      <w:bookmarkEnd w:id="5"/>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项目编号：GZWZ[2020]029</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项目名称：</w:t>
      </w:r>
      <w:r>
        <w:rPr>
          <w:rFonts w:hint="eastAsia" w:ascii="新宋体" w:hAnsi="新宋体" w:eastAsia="新宋体" w:cs="新宋体"/>
          <w:kern w:val="0"/>
          <w:sz w:val="22"/>
          <w:szCs w:val="22"/>
          <w:u w:val="single"/>
        </w:rPr>
        <w:t>鹿城区政法智控一张网建设项目</w:t>
      </w:r>
    </w:p>
    <w:bookmarkEnd w:id="6"/>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预算金额：</w:t>
      </w:r>
      <w:r>
        <w:rPr>
          <w:rFonts w:hint="eastAsia" w:ascii="新宋体" w:hAnsi="新宋体" w:eastAsia="新宋体" w:cs="新宋体"/>
          <w:color w:val="000000"/>
          <w:kern w:val="0"/>
          <w:sz w:val="22"/>
          <w:szCs w:val="22"/>
          <w:u w:val="single"/>
        </w:rPr>
        <w:t xml:space="preserve">520 </w:t>
      </w:r>
      <w:r>
        <w:rPr>
          <w:rFonts w:hint="eastAsia" w:ascii="新宋体" w:hAnsi="新宋体" w:eastAsia="新宋体" w:cs="新宋体"/>
          <w:bCs/>
          <w:kern w:val="0"/>
          <w:sz w:val="22"/>
          <w:szCs w:val="22"/>
        </w:rPr>
        <w:t>万元</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最高限价：</w:t>
      </w:r>
      <w:r>
        <w:rPr>
          <w:rFonts w:hint="eastAsia" w:ascii="新宋体" w:hAnsi="新宋体" w:eastAsia="新宋体" w:cs="新宋体"/>
          <w:color w:val="000000"/>
          <w:kern w:val="0"/>
          <w:sz w:val="22"/>
          <w:szCs w:val="22"/>
          <w:u w:val="single"/>
        </w:rPr>
        <w:t xml:space="preserve">520 </w:t>
      </w:r>
      <w:r>
        <w:rPr>
          <w:rFonts w:hint="eastAsia" w:ascii="新宋体" w:hAnsi="新宋体" w:eastAsia="新宋体" w:cs="新宋体"/>
          <w:bCs/>
          <w:kern w:val="0"/>
          <w:sz w:val="22"/>
          <w:szCs w:val="22"/>
        </w:rPr>
        <w:t>万元</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采购需求：</w:t>
      </w:r>
    </w:p>
    <w:tbl>
      <w:tblPr>
        <w:tblStyle w:val="56"/>
        <w:tblW w:w="0" w:type="auto"/>
        <w:tblInd w:w="0" w:type="dxa"/>
        <w:tblLayout w:type="fixed"/>
        <w:tblCellMar>
          <w:top w:w="0" w:type="dxa"/>
          <w:left w:w="108" w:type="dxa"/>
          <w:bottom w:w="0" w:type="dxa"/>
          <w:right w:w="108" w:type="dxa"/>
        </w:tblCellMar>
      </w:tblPr>
      <w:tblGrid>
        <w:gridCol w:w="742"/>
        <w:gridCol w:w="4156"/>
        <w:gridCol w:w="720"/>
        <w:gridCol w:w="795"/>
        <w:gridCol w:w="1135"/>
        <w:gridCol w:w="2219"/>
      </w:tblGrid>
      <w:tr>
        <w:tblPrEx>
          <w:tblCellMar>
            <w:top w:w="0" w:type="dxa"/>
            <w:left w:w="108" w:type="dxa"/>
            <w:bottom w:w="0" w:type="dxa"/>
            <w:right w:w="108" w:type="dxa"/>
          </w:tblCellMar>
        </w:tblPrEx>
        <w:trPr>
          <w:trHeight w:val="425" w:hRule="atLeast"/>
        </w:trPr>
        <w:tc>
          <w:tcPr>
            <w:tcW w:w="7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标项名称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单位</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预算金额(万元)</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简要技术要求、用途</w:t>
            </w:r>
          </w:p>
        </w:tc>
      </w:tr>
      <w:tr>
        <w:tblPrEx>
          <w:tblCellMar>
            <w:top w:w="0" w:type="dxa"/>
            <w:left w:w="108" w:type="dxa"/>
            <w:bottom w:w="0" w:type="dxa"/>
            <w:right w:w="108" w:type="dxa"/>
          </w:tblCellMar>
        </w:tblPrEx>
        <w:tc>
          <w:tcPr>
            <w:tcW w:w="7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left="880" w:right="60" w:hanging="880" w:hangingChars="400"/>
              <w:rPr>
                <w:rFonts w:ascii="新宋体" w:hAnsi="新宋体" w:eastAsia="新宋体" w:cs="新宋体"/>
                <w:sz w:val="22"/>
                <w:szCs w:val="22"/>
              </w:rPr>
            </w:pPr>
            <w:r>
              <w:rPr>
                <w:rFonts w:hint="eastAsia" w:ascii="新宋体" w:hAnsi="新宋体" w:eastAsia="新宋体" w:cs="新宋体"/>
                <w:kern w:val="0"/>
                <w:sz w:val="22"/>
                <w:szCs w:val="22"/>
              </w:rPr>
              <w:t>鹿城区政法智控一张网建设项目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ascii="新宋体" w:hAnsi="新宋体" w:eastAsia="新宋体" w:cs="新宋体"/>
                <w:sz w:val="22"/>
                <w:szCs w:val="22"/>
              </w:rPr>
            </w:pPr>
            <w:r>
              <w:rPr>
                <w:rFonts w:hint="eastAsia" w:ascii="新宋体" w:hAnsi="新宋体" w:eastAsia="新宋体" w:cs="新宋体"/>
                <w:bCs/>
                <w:kern w:val="0"/>
                <w:sz w:val="22"/>
                <w:szCs w:val="22"/>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ascii="新宋体" w:hAnsi="新宋体" w:eastAsia="新宋体" w:cs="新宋体"/>
                <w:sz w:val="22"/>
                <w:szCs w:val="22"/>
              </w:rPr>
            </w:pPr>
            <w:r>
              <w:rPr>
                <w:rFonts w:hint="eastAsia" w:ascii="新宋体" w:hAnsi="新宋体" w:eastAsia="新宋体" w:cs="新宋体"/>
                <w:bCs/>
                <w:kern w:val="0"/>
                <w:sz w:val="22"/>
                <w:szCs w:val="22"/>
              </w:rPr>
              <w:t>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ascii="新宋体" w:hAnsi="新宋体" w:eastAsia="新宋体" w:cs="新宋体"/>
                <w:color w:val="000000"/>
                <w:sz w:val="22"/>
                <w:szCs w:val="22"/>
              </w:rPr>
            </w:pPr>
            <w:r>
              <w:rPr>
                <w:rFonts w:hint="eastAsia" w:ascii="新宋体" w:hAnsi="新宋体" w:eastAsia="新宋体" w:cs="新宋体"/>
                <w:color w:val="000000"/>
                <w:sz w:val="22"/>
                <w:szCs w:val="22"/>
              </w:rPr>
              <w:t xml:space="preserve">520 </w:t>
            </w: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ind w:right="60"/>
              <w:jc w:val="center"/>
              <w:rPr>
                <w:rFonts w:ascii="新宋体" w:hAnsi="新宋体" w:eastAsia="新宋体" w:cs="新宋体"/>
                <w:sz w:val="22"/>
                <w:szCs w:val="22"/>
              </w:rPr>
            </w:pPr>
            <w:r>
              <w:rPr>
                <w:rFonts w:hint="eastAsia" w:ascii="新宋体" w:hAnsi="新宋体" w:eastAsia="新宋体" w:cs="新宋体"/>
                <w:kern w:val="0"/>
                <w:sz w:val="22"/>
                <w:szCs w:val="22"/>
              </w:rPr>
              <w:t>具体见招标文件采购内容及要求</w:t>
            </w:r>
          </w:p>
        </w:tc>
      </w:tr>
    </w:tbl>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本项目</w:t>
      </w:r>
      <w:r>
        <w:rPr>
          <w:rFonts w:hint="eastAsia" w:ascii="新宋体" w:hAnsi="新宋体" w:eastAsia="新宋体" w:cs="新宋体"/>
          <w:bCs/>
          <w:kern w:val="0"/>
          <w:sz w:val="22"/>
          <w:szCs w:val="22"/>
          <w:u w:val="single"/>
        </w:rPr>
        <w:t>不接受</w:t>
      </w:r>
      <w:r>
        <w:rPr>
          <w:rFonts w:hint="eastAsia" w:ascii="新宋体" w:hAnsi="新宋体" w:eastAsia="新宋体" w:cs="新宋体"/>
          <w:bCs/>
          <w:kern w:val="0"/>
          <w:sz w:val="22"/>
          <w:szCs w:val="22"/>
        </w:rPr>
        <w:t>联合体投标。</w:t>
      </w:r>
    </w:p>
    <w:p>
      <w:pPr>
        <w:widowControl/>
        <w:spacing w:before="60" w:after="60" w:line="400" w:lineRule="exact"/>
        <w:ind w:right="60"/>
        <w:jc w:val="left"/>
        <w:rPr>
          <w:rFonts w:hint="eastAsia" w:ascii="新宋体" w:hAnsi="新宋体" w:eastAsia="新宋体" w:cs="新宋体"/>
          <w:b/>
          <w:kern w:val="0"/>
          <w:sz w:val="22"/>
          <w:szCs w:val="22"/>
        </w:rPr>
      </w:pPr>
      <w:bookmarkStart w:id="7" w:name="_Toc28359003"/>
      <w:bookmarkStart w:id="8" w:name="_Toc35393791"/>
      <w:bookmarkStart w:id="9" w:name="_Toc35393622"/>
      <w:bookmarkStart w:id="10" w:name="_Toc28359080"/>
      <w:r>
        <w:rPr>
          <w:rFonts w:hint="eastAsia" w:ascii="新宋体" w:hAnsi="新宋体" w:eastAsia="新宋体" w:cs="新宋体"/>
          <w:b/>
          <w:kern w:val="0"/>
          <w:sz w:val="22"/>
          <w:szCs w:val="22"/>
        </w:rPr>
        <w:t>二、申请人的资格要求：</w:t>
      </w:r>
      <w:bookmarkEnd w:id="7"/>
      <w:bookmarkEnd w:id="8"/>
      <w:bookmarkEnd w:id="9"/>
      <w:bookmarkEnd w:id="10"/>
    </w:p>
    <w:p>
      <w:pPr>
        <w:widowControl/>
        <w:spacing w:before="60" w:after="60" w:line="400" w:lineRule="exact"/>
        <w:ind w:right="60"/>
        <w:jc w:val="left"/>
        <w:rPr>
          <w:rFonts w:hint="eastAsia" w:ascii="新宋体" w:hAnsi="新宋体" w:eastAsia="新宋体" w:cs="新宋体"/>
          <w:kern w:val="0"/>
          <w:sz w:val="22"/>
          <w:szCs w:val="22"/>
        </w:rPr>
      </w:pPr>
      <w:bookmarkStart w:id="11" w:name="_Toc28359081"/>
      <w:bookmarkStart w:id="12" w:name="_Toc28359004"/>
      <w:bookmarkStart w:id="13" w:name="_Toc35393792"/>
      <w:bookmarkStart w:id="14" w:name="_Toc35393623"/>
      <w:r>
        <w:rPr>
          <w:rFonts w:hint="eastAsia" w:ascii="新宋体" w:hAnsi="新宋体" w:eastAsia="新宋体" w:cs="新宋体"/>
          <w:kern w:val="0"/>
          <w:sz w:val="22"/>
          <w:szCs w:val="22"/>
        </w:rPr>
        <w:t>1.一般资格条件：</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（1）符合《中华人民共和国政府采购法》第二十二条对供应商主体的要求；</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（2）须为未被列入“信用中国”网站(www.creditchina.gov.cn)、中国政府采购网(www.ccgp.gov.cn)渠道信用记录失信被执行人、重大税收违法案件当事人名单、政府采购严重违法失信行为记录名单的投标人。</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2.特殊资格条件：无。</w:t>
      </w:r>
    </w:p>
    <w:p>
      <w:pPr>
        <w:widowControl/>
        <w:spacing w:before="60" w:after="60" w:line="400" w:lineRule="exact"/>
        <w:ind w:right="60"/>
        <w:jc w:val="lef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三、获取招标文件</w:t>
      </w:r>
      <w:bookmarkEnd w:id="11"/>
      <w:bookmarkEnd w:id="12"/>
      <w:bookmarkEnd w:id="13"/>
      <w:bookmarkEnd w:id="14"/>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时间：2020 年 11月4日至 2020年11月26日，每天上午 00:00至12:00，下午 12:00至23:59 （北京时间，法定节假日除外）</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地点：政采云平台 </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方式：网上获取</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售价：免费</w:t>
      </w:r>
    </w:p>
    <w:p>
      <w:pPr>
        <w:widowControl/>
        <w:spacing w:before="60" w:after="60" w:line="400" w:lineRule="exact"/>
        <w:ind w:right="60"/>
        <w:jc w:val="left"/>
        <w:rPr>
          <w:rFonts w:hint="eastAsia" w:ascii="新宋体" w:hAnsi="新宋体" w:eastAsia="新宋体" w:cs="新宋体"/>
          <w:b/>
          <w:kern w:val="0"/>
          <w:sz w:val="22"/>
          <w:szCs w:val="22"/>
        </w:rPr>
      </w:pPr>
      <w:bookmarkStart w:id="15" w:name="_Toc28359082"/>
      <w:bookmarkStart w:id="16" w:name="_Toc28359005"/>
      <w:bookmarkStart w:id="17" w:name="_Toc35393793"/>
      <w:bookmarkStart w:id="18" w:name="_Toc35393624"/>
      <w:r>
        <w:rPr>
          <w:rFonts w:hint="eastAsia" w:ascii="新宋体" w:hAnsi="新宋体" w:eastAsia="新宋体" w:cs="新宋体"/>
          <w:b/>
          <w:kern w:val="0"/>
          <w:sz w:val="22"/>
          <w:szCs w:val="22"/>
        </w:rPr>
        <w:t>四、提交投标文件</w:t>
      </w:r>
      <w:bookmarkEnd w:id="15"/>
      <w:bookmarkEnd w:id="16"/>
      <w:r>
        <w:rPr>
          <w:rFonts w:hint="eastAsia" w:ascii="新宋体" w:hAnsi="新宋体" w:eastAsia="新宋体" w:cs="新宋体"/>
          <w:b/>
          <w:kern w:val="0"/>
          <w:sz w:val="22"/>
          <w:szCs w:val="22"/>
        </w:rPr>
        <w:t>截止时间、开标时间和地点</w:t>
      </w:r>
      <w:bookmarkEnd w:id="17"/>
      <w:bookmarkEnd w:id="18"/>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提交投标文件截止时间：2020年11月26日9点30分（北京时间）</w:t>
      </w:r>
      <w:bookmarkStart w:id="19" w:name="_Toc28359007"/>
      <w:bookmarkStart w:id="20" w:name="_Toc35393794"/>
      <w:bookmarkStart w:id="21" w:name="_Toc35393625"/>
      <w:bookmarkStart w:id="22" w:name="_Toc28359084"/>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投标地点（网址）：政府采购云平台（www.zcygov.cn）</w:t>
      </w:r>
      <w:r>
        <w:rPr>
          <w:rFonts w:hint="eastAsia" w:ascii="新宋体" w:hAnsi="新宋体" w:eastAsia="新宋体" w:cs="新宋体"/>
          <w:bCs/>
          <w:kern w:val="0"/>
          <w:sz w:val="22"/>
          <w:szCs w:val="22"/>
        </w:rPr>
        <w:t>。</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开标时间：2020年11月26日9点 30分（北京时间）</w:t>
      </w:r>
    </w:p>
    <w:p>
      <w:pPr>
        <w:widowControl/>
        <w:spacing w:before="60" w:after="60" w:line="400" w:lineRule="exact"/>
        <w:ind w:right="6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开标地点：温州市公共资源交易中心鹿城分中心三楼开标室（温州市宽带路18号科技大楼）</w:t>
      </w:r>
    </w:p>
    <w:p>
      <w:pPr>
        <w:widowControl/>
        <w:spacing w:before="60" w:after="60" w:line="400" w:lineRule="exact"/>
        <w:ind w:right="60"/>
        <w:jc w:val="lef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五、公告期限</w:t>
      </w:r>
      <w:bookmarkEnd w:id="19"/>
      <w:bookmarkEnd w:id="20"/>
      <w:bookmarkEnd w:id="21"/>
      <w:bookmarkEnd w:id="22"/>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自本公告发布之日起5个工作日。</w:t>
      </w:r>
    </w:p>
    <w:p>
      <w:pPr>
        <w:widowControl/>
        <w:numPr>
          <w:ilvl w:val="0"/>
          <w:numId w:val="17"/>
        </w:numPr>
        <w:spacing w:before="60" w:after="60" w:line="400" w:lineRule="exact"/>
        <w:ind w:right="60"/>
        <w:jc w:val="left"/>
        <w:rPr>
          <w:rFonts w:hint="eastAsia" w:ascii="新宋体" w:hAnsi="新宋体" w:eastAsia="新宋体" w:cs="新宋体"/>
          <w:b/>
          <w:kern w:val="0"/>
          <w:sz w:val="22"/>
          <w:szCs w:val="22"/>
        </w:rPr>
      </w:pPr>
      <w:bookmarkStart w:id="23" w:name="_Toc35393795"/>
      <w:bookmarkStart w:id="24" w:name="_Toc35393626"/>
      <w:r>
        <w:rPr>
          <w:rFonts w:hint="eastAsia" w:ascii="新宋体" w:hAnsi="新宋体" w:eastAsia="新宋体" w:cs="新宋体"/>
          <w:b/>
          <w:kern w:val="0"/>
          <w:sz w:val="22"/>
          <w:szCs w:val="22"/>
        </w:rPr>
        <w:t>其他补充事宜</w:t>
      </w:r>
      <w:bookmarkEnd w:id="23"/>
      <w:bookmarkEnd w:id="24"/>
    </w:p>
    <w:p>
      <w:pPr>
        <w:spacing w:line="460" w:lineRule="exact"/>
        <w:rPr>
          <w:rFonts w:hint="eastAsia" w:ascii="宋体" w:hAnsi="宋体" w:cs="Arial"/>
          <w:sz w:val="22"/>
          <w:szCs w:val="22"/>
        </w:rPr>
      </w:pPr>
      <w:r>
        <w:rPr>
          <w:rFonts w:hint="eastAsia" w:ascii="宋体" w:hAnsi="宋体" w:cs="Arial"/>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60" w:lineRule="exact"/>
        <w:rPr>
          <w:rFonts w:hint="eastAsia" w:ascii="宋体" w:hAnsi="宋体" w:cs="Arial"/>
          <w:sz w:val="22"/>
          <w:szCs w:val="22"/>
        </w:rPr>
      </w:pPr>
      <w:r>
        <w:rPr>
          <w:rFonts w:hint="eastAsia" w:ascii="宋体" w:hAnsi="宋体" w:cs="Arial"/>
          <w:sz w:val="22"/>
          <w:szCs w:val="22"/>
        </w:rPr>
        <w:t>2.本项目通过“政府采购云平台（www.zcygov.cn）”实行在线投标响应，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w:t>
      </w:r>
    </w:p>
    <w:p>
      <w:pPr>
        <w:spacing w:line="460" w:lineRule="exact"/>
        <w:rPr>
          <w:rFonts w:hint="eastAsia" w:ascii="宋体" w:hAnsi="宋体" w:cs="Arial"/>
          <w:sz w:val="22"/>
          <w:szCs w:val="22"/>
        </w:rPr>
      </w:pPr>
      <w:r>
        <w:rPr>
          <w:rFonts w:hint="eastAsia" w:ascii="宋体" w:hAnsi="宋体" w:cs="Arial"/>
          <w:sz w:val="22"/>
          <w:szCs w:val="22"/>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460" w:lineRule="exact"/>
        <w:rPr>
          <w:rFonts w:hint="eastAsia" w:ascii="宋体" w:hAnsi="宋体" w:cs="Arial"/>
          <w:sz w:val="22"/>
          <w:szCs w:val="22"/>
        </w:rPr>
      </w:pPr>
      <w:r>
        <w:rPr>
          <w:rFonts w:hint="eastAsia" w:ascii="宋体" w:hAnsi="宋体" w:cs="Arial"/>
          <w:sz w:val="22"/>
          <w:szCs w:val="22"/>
        </w:rPr>
        <w:t>4.投标供应商应当在投标截止时间前，将生成的“电子加密投标文件”上传递交至“政府采购云平台”。投标截止时间以后上传递交的投标文件将被“政府采购云平台”拒收。</w:t>
      </w:r>
    </w:p>
    <w:p>
      <w:pPr>
        <w:spacing w:line="460" w:lineRule="exact"/>
        <w:rPr>
          <w:rFonts w:hint="eastAsia" w:ascii="宋体" w:hAnsi="宋体" w:cs="Arial"/>
          <w:sz w:val="22"/>
          <w:szCs w:val="22"/>
        </w:rPr>
      </w:pPr>
      <w:r>
        <w:rPr>
          <w:rFonts w:hint="eastAsia" w:ascii="宋体" w:hAnsi="宋体" w:cs="Arial"/>
          <w:sz w:val="22"/>
          <w:szCs w:val="22"/>
        </w:rPr>
        <w:t>5.投标供应商在“政府采购云平台”完成“电子加密投标文件”的上传递交后，还可以递交（邮寄形式）以介质（U盘）存储的数据电文形式的“备份投标文件”,必须在2020年 11月</w:t>
      </w:r>
      <w:r>
        <w:rPr>
          <w:rFonts w:hint="eastAsia" w:ascii="宋体" w:hAnsi="宋体" w:cs="Arial"/>
          <w:sz w:val="22"/>
          <w:szCs w:val="22"/>
          <w:u w:val="single"/>
        </w:rPr>
        <w:t>25</w:t>
      </w:r>
      <w:r>
        <w:rPr>
          <w:rFonts w:hint="eastAsia" w:ascii="宋体" w:hAnsi="宋体" w:cs="Arial"/>
          <w:sz w:val="22"/>
          <w:szCs w:val="22"/>
        </w:rPr>
        <w:t>日12时00分之前到达温州市鹿城区市府路592号新益大厦13楼1302室并由采购代理机构签收，否则视作投标人未提交“备份投标文件”。“备份投标文件”应当密封包装并在包装上标注投标项目名称、投标单位名称并加盖公章。</w:t>
      </w:r>
    </w:p>
    <w:p>
      <w:pPr>
        <w:spacing w:line="460" w:lineRule="exact"/>
        <w:rPr>
          <w:rFonts w:hint="eastAsia"/>
        </w:rPr>
      </w:pPr>
      <w:r>
        <w:rPr>
          <w:rFonts w:hint="eastAsi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pacing w:before="60" w:after="60" w:line="400" w:lineRule="exact"/>
        <w:ind w:right="60"/>
        <w:jc w:val="left"/>
        <w:rPr>
          <w:rFonts w:hint="eastAsia" w:ascii="新宋体" w:hAnsi="新宋体" w:eastAsia="新宋体" w:cs="新宋体"/>
          <w:b/>
          <w:kern w:val="0"/>
          <w:sz w:val="22"/>
          <w:szCs w:val="22"/>
        </w:rPr>
      </w:pPr>
      <w:bookmarkStart w:id="25" w:name="_Toc35393796"/>
      <w:bookmarkStart w:id="26" w:name="_Toc35393627"/>
      <w:bookmarkStart w:id="27" w:name="_Toc28359008"/>
      <w:bookmarkStart w:id="28" w:name="_Toc28359085"/>
      <w:r>
        <w:rPr>
          <w:rFonts w:hint="eastAsia" w:ascii="新宋体" w:hAnsi="新宋体" w:eastAsia="新宋体" w:cs="新宋体"/>
          <w:b/>
          <w:kern w:val="0"/>
          <w:sz w:val="22"/>
          <w:szCs w:val="22"/>
        </w:rPr>
        <w:t>七、对本次招标提出询问</w:t>
      </w:r>
      <w:r>
        <w:rPr>
          <w:rStyle w:val="59"/>
          <w:rFonts w:ascii="新宋体" w:hAnsi="新宋体" w:eastAsia="新宋体" w:cs="新宋体"/>
          <w:b/>
          <w:bCs w:val="0"/>
          <w:color w:val="000000"/>
          <w:kern w:val="0"/>
          <w:sz w:val="22"/>
          <w:szCs w:val="22"/>
        </w:rPr>
        <w:t>、质疑、投诉</w:t>
      </w:r>
      <w:r>
        <w:rPr>
          <w:rFonts w:hint="eastAsia" w:ascii="新宋体" w:hAnsi="新宋体" w:eastAsia="新宋体" w:cs="新宋体"/>
          <w:b/>
          <w:kern w:val="0"/>
          <w:sz w:val="22"/>
          <w:szCs w:val="22"/>
        </w:rPr>
        <w:t>请按以下方式联系。</w:t>
      </w:r>
      <w:bookmarkEnd w:id="25"/>
      <w:bookmarkEnd w:id="26"/>
      <w:bookmarkEnd w:id="27"/>
      <w:bookmarkEnd w:id="28"/>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1.采购人信息</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名 称：</w:t>
      </w:r>
      <w:r>
        <w:rPr>
          <w:rFonts w:hint="eastAsia" w:ascii="宋体" w:hAnsi="宋体" w:cs="Arial"/>
          <w:sz w:val="22"/>
          <w:szCs w:val="22"/>
        </w:rPr>
        <w:t>中共温州市鹿城区委政法委员会　</w:t>
      </w:r>
      <w:r>
        <w:rPr>
          <w:rFonts w:hint="eastAsia" w:ascii="新宋体" w:hAnsi="新宋体" w:eastAsia="新宋体" w:cs="新宋体"/>
          <w:bCs/>
          <w:kern w:val="0"/>
          <w:sz w:val="22"/>
          <w:szCs w:val="22"/>
        </w:rPr>
        <w:t>　　　　　　　　　　　</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地址：</w:t>
      </w:r>
      <w:r>
        <w:rPr>
          <w:rFonts w:hint="eastAsia" w:ascii="新宋体" w:hAnsi="新宋体" w:eastAsia="新宋体" w:cs="新宋体"/>
          <w:kern w:val="0"/>
          <w:sz w:val="22"/>
          <w:szCs w:val="22"/>
        </w:rPr>
        <w:t>温州市鹿城区广场路</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项目联系人:</w:t>
      </w:r>
      <w:r>
        <w:rPr>
          <w:rFonts w:hint="eastAsia" w:ascii="新宋体" w:hAnsi="新宋体" w:eastAsia="新宋体" w:cs="新宋体"/>
          <w:kern w:val="0"/>
          <w:sz w:val="22"/>
          <w:szCs w:val="22"/>
        </w:rPr>
        <w:t xml:space="preserve"> 唐先生</w:t>
      </w:r>
      <w:r>
        <w:rPr>
          <w:rFonts w:hint="eastAsia" w:ascii="新宋体" w:hAnsi="新宋体" w:eastAsia="新宋体" w:cs="新宋体"/>
          <w:bCs/>
          <w:kern w:val="0"/>
          <w:sz w:val="22"/>
          <w:szCs w:val="22"/>
        </w:rPr>
        <w:t>　　　　　　　　</w:t>
      </w:r>
    </w:p>
    <w:p>
      <w:pPr>
        <w:widowControl/>
        <w:spacing w:line="46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联系方式：</w:t>
      </w:r>
      <w:r>
        <w:rPr>
          <w:rFonts w:hint="eastAsia" w:ascii="宋体" w:hAnsi="宋体" w:cs="Arial"/>
          <w:sz w:val="22"/>
          <w:szCs w:val="22"/>
        </w:rPr>
        <w:t>0577-88030874　</w:t>
      </w:r>
      <w:r>
        <w:rPr>
          <w:rFonts w:hint="eastAsia" w:ascii="新宋体" w:hAnsi="新宋体" w:eastAsia="新宋体" w:cs="新宋体"/>
          <w:bCs/>
          <w:kern w:val="0"/>
          <w:sz w:val="22"/>
          <w:szCs w:val="22"/>
        </w:rPr>
        <w:t xml:space="preserve">　　　　　　 </w:t>
      </w:r>
      <w:bookmarkStart w:id="29" w:name="_Toc28359086"/>
      <w:bookmarkStart w:id="30" w:name="_Toc28359009"/>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2.采购代理机构信息</w:t>
      </w:r>
      <w:bookmarkEnd w:id="29"/>
      <w:bookmarkEnd w:id="30"/>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名 称：　宁波国咨工程造价咨询有限公司　　　　　　　　　　　</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地　址：　</w:t>
      </w:r>
      <w:r>
        <w:rPr>
          <w:rFonts w:hint="eastAsia" w:ascii="新宋体" w:hAnsi="新宋体" w:eastAsia="新宋体" w:cs="新宋体"/>
          <w:kern w:val="0"/>
          <w:sz w:val="22"/>
          <w:szCs w:val="22"/>
        </w:rPr>
        <w:t>温州市鹿城区市府路592号新益大厦13楼1302室</w:t>
      </w:r>
      <w:r>
        <w:rPr>
          <w:rFonts w:hint="eastAsia" w:ascii="新宋体" w:hAnsi="新宋体" w:eastAsia="新宋体" w:cs="新宋体"/>
          <w:bCs/>
          <w:kern w:val="0"/>
          <w:sz w:val="22"/>
          <w:szCs w:val="22"/>
        </w:rPr>
        <w:t>　　　　　　　　　　　</w:t>
      </w:r>
    </w:p>
    <w:p>
      <w:pPr>
        <w:widowControl/>
        <w:spacing w:before="60" w:after="60" w:line="400" w:lineRule="exact"/>
        <w:ind w:right="60"/>
        <w:rPr>
          <w:rFonts w:hint="eastAsia" w:ascii="新宋体" w:hAnsi="新宋体" w:eastAsia="新宋体" w:cs="新宋体"/>
          <w:bCs/>
          <w:kern w:val="0"/>
          <w:sz w:val="22"/>
          <w:szCs w:val="22"/>
        </w:rPr>
      </w:pPr>
      <w:bookmarkStart w:id="31" w:name="_Toc28359010"/>
      <w:bookmarkStart w:id="32" w:name="_Toc28359087"/>
      <w:r>
        <w:rPr>
          <w:rFonts w:hint="eastAsia" w:ascii="新宋体" w:hAnsi="新宋体" w:eastAsia="新宋体" w:cs="新宋体"/>
          <w:bCs/>
          <w:kern w:val="0"/>
          <w:sz w:val="22"/>
          <w:szCs w:val="22"/>
        </w:rPr>
        <w:t>项目联系人（询问）：卢旭 黄伟 　   　　　　　　　　　　　</w:t>
      </w:r>
    </w:p>
    <w:p>
      <w:pPr>
        <w:widowControl/>
        <w:spacing w:before="60" w:after="60" w:line="400" w:lineRule="exact"/>
        <w:ind w:right="60"/>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项目联系方式（询问）： 0577-89975889</w:t>
      </w:r>
    </w:p>
    <w:p>
      <w:pPr>
        <w:widowControl/>
        <w:spacing w:before="60" w:after="60" w:line="400" w:lineRule="exact"/>
        <w:ind w:right="60"/>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质疑联系人： 卢旭 </w:t>
      </w:r>
    </w:p>
    <w:p>
      <w:pPr>
        <w:widowControl/>
        <w:spacing w:before="60" w:after="60" w:line="400" w:lineRule="exact"/>
        <w:ind w:right="60"/>
        <w:jc w:val="left"/>
        <w:rPr>
          <w:rFonts w:hint="eastAsia" w:ascii="新宋体" w:hAnsi="新宋体" w:eastAsia="新宋体" w:cs="新宋体"/>
          <w:b/>
          <w:kern w:val="0"/>
          <w:sz w:val="22"/>
          <w:szCs w:val="22"/>
        </w:rPr>
      </w:pPr>
      <w:r>
        <w:rPr>
          <w:rFonts w:hint="eastAsia" w:ascii="新宋体" w:hAnsi="新宋体" w:eastAsia="新宋体" w:cs="新宋体"/>
          <w:bCs/>
          <w:kern w:val="0"/>
          <w:sz w:val="22"/>
          <w:szCs w:val="22"/>
        </w:rPr>
        <w:t>质疑联系方式：13868320746　　　　　　　　</w:t>
      </w:r>
      <w:bookmarkEnd w:id="31"/>
      <w:bookmarkEnd w:id="32"/>
      <w:r>
        <w:rPr>
          <w:rFonts w:hint="eastAsia" w:ascii="新宋体" w:hAnsi="新宋体" w:eastAsia="新宋体" w:cs="新宋体"/>
          <w:b/>
          <w:kern w:val="0"/>
          <w:sz w:val="22"/>
          <w:szCs w:val="22"/>
        </w:rPr>
        <w:t>　　　</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3.同级政府采购监管管理部门：</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名称：</w:t>
      </w:r>
      <w:r>
        <w:rPr>
          <w:rFonts w:hint="eastAsia" w:ascii="新宋体" w:hAnsi="新宋体" w:eastAsia="新宋体" w:cs="新宋体"/>
          <w:kern w:val="0"/>
          <w:sz w:val="22"/>
          <w:szCs w:val="22"/>
        </w:rPr>
        <w:t>温州市鹿城区财政局</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地址：</w:t>
      </w:r>
      <w:r>
        <w:rPr>
          <w:rFonts w:hint="eastAsia" w:ascii="新宋体" w:hAnsi="新宋体" w:eastAsia="新宋体" w:cs="新宋体"/>
          <w:kern w:val="0"/>
          <w:sz w:val="22"/>
          <w:szCs w:val="22"/>
        </w:rPr>
        <w:t>温州市鹿城区</w:t>
      </w:r>
      <w:r>
        <w:rPr>
          <w:rFonts w:ascii="新宋体" w:hAnsi="新宋体" w:eastAsia="新宋体" w:cs="新宋体"/>
          <w:kern w:val="0"/>
          <w:sz w:val="22"/>
          <w:szCs w:val="22"/>
        </w:rPr>
        <w:t>江滨西路552号</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联系人：</w:t>
      </w:r>
      <w:r>
        <w:rPr>
          <w:rFonts w:hint="eastAsia" w:ascii="新宋体" w:hAnsi="新宋体" w:eastAsia="新宋体" w:cs="新宋体"/>
          <w:kern w:val="0"/>
          <w:sz w:val="22"/>
          <w:szCs w:val="22"/>
        </w:rPr>
        <w:t>黄女士</w:t>
      </w:r>
      <w:r>
        <w:rPr>
          <w:rFonts w:hint="eastAsia" w:ascii="新宋体" w:hAnsi="新宋体" w:eastAsia="新宋体" w:cs="新宋体"/>
          <w:bCs/>
          <w:kern w:val="0"/>
          <w:sz w:val="22"/>
          <w:szCs w:val="22"/>
        </w:rPr>
        <w:t xml:space="preserve">   </w:t>
      </w:r>
    </w:p>
    <w:p>
      <w:pPr>
        <w:widowControl/>
        <w:spacing w:before="60" w:after="60" w:line="400" w:lineRule="exact"/>
        <w:ind w:right="60"/>
        <w:jc w:val="lef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联系电话：</w:t>
      </w:r>
      <w:r>
        <w:rPr>
          <w:rFonts w:hint="eastAsia" w:ascii="新宋体" w:hAnsi="新宋体" w:eastAsia="新宋体" w:cs="新宋体"/>
          <w:kern w:val="0"/>
          <w:sz w:val="22"/>
          <w:szCs w:val="22"/>
        </w:rPr>
        <w:t>0577-88359173</w:t>
      </w:r>
      <w:r>
        <w:rPr>
          <w:rFonts w:hint="eastAsia" w:ascii="新宋体" w:hAnsi="新宋体" w:eastAsia="新宋体" w:cs="新宋体"/>
          <w:bCs/>
          <w:kern w:val="0"/>
          <w:sz w:val="22"/>
          <w:szCs w:val="22"/>
        </w:rPr>
        <w:t xml:space="preserve">    </w:t>
      </w:r>
    </w:p>
    <w:p>
      <w:r>
        <w:rPr>
          <w:rFonts w:hint="eastAsia" w:ascii="新宋体" w:hAnsi="新宋体" w:eastAsia="新宋体" w:cs="新宋体"/>
          <w:bCs/>
          <w:kern w:val="0"/>
          <w:sz w:val="22"/>
          <w:szCs w:val="22"/>
        </w:rPr>
        <w:t>传真：</w:t>
      </w:r>
      <w:r>
        <w:rPr>
          <w:rFonts w:hint="eastAsia" w:ascii="新宋体" w:hAnsi="新宋体" w:eastAsia="新宋体" w:cs="新宋体"/>
          <w:kern w:val="0"/>
          <w:sz w:val="22"/>
          <w:szCs w:val="22"/>
        </w:rPr>
        <w:t>0577-88359173</w:t>
      </w:r>
    </w:p>
    <w:p>
      <w:pPr>
        <w:widowControl/>
        <w:spacing w:line="460" w:lineRule="exact"/>
        <w:ind w:left="61" w:leftChars="29" w:right="60" w:firstLine="440" w:firstLineChars="200"/>
        <w:jc w:val="left"/>
        <w:rPr>
          <w:rFonts w:hint="eastAsia" w:ascii="新宋体" w:hAnsi="新宋体" w:eastAsia="新宋体" w:cs="新宋体"/>
          <w:kern w:val="0"/>
          <w:sz w:val="22"/>
          <w:szCs w:val="22"/>
        </w:rPr>
      </w:pPr>
    </w:p>
    <w:p>
      <w:pPr>
        <w:pStyle w:val="5"/>
        <w:rPr>
          <w:rFonts w:hint="eastAsia" w:ascii="新宋体" w:hAnsi="新宋体" w:eastAsia="新宋体" w:cs="新宋体"/>
          <w:sz w:val="36"/>
          <w:szCs w:val="36"/>
        </w:rPr>
      </w:pPr>
      <w:r>
        <w:rPr>
          <w:rFonts w:hint="eastAsia" w:ascii="新宋体" w:hAnsi="新宋体" w:eastAsia="新宋体" w:cs="新宋体"/>
          <w:b w:val="0"/>
          <w:sz w:val="36"/>
          <w:szCs w:val="36"/>
        </w:rPr>
        <w:br w:type="page"/>
      </w:r>
      <w:bookmarkStart w:id="33" w:name="_Toc34572027"/>
      <w:bookmarkStart w:id="34" w:name="_Toc32301"/>
      <w:r>
        <w:rPr>
          <w:rFonts w:hint="eastAsia" w:ascii="新宋体" w:hAnsi="新宋体" w:eastAsia="新宋体" w:cs="新宋体"/>
          <w:sz w:val="36"/>
          <w:szCs w:val="36"/>
        </w:rPr>
        <w:t>第一部分   投标人须知</w:t>
      </w:r>
      <w:bookmarkEnd w:id="33"/>
    </w:p>
    <w:p>
      <w:pPr>
        <w:pStyle w:val="5"/>
        <w:rPr>
          <w:rFonts w:hint="eastAsia" w:ascii="新宋体" w:hAnsi="新宋体" w:eastAsia="新宋体" w:cs="新宋体"/>
          <w:sz w:val="36"/>
          <w:szCs w:val="36"/>
        </w:rPr>
      </w:pPr>
    </w:p>
    <w:p>
      <w:pPr>
        <w:pStyle w:val="5"/>
        <w:rPr>
          <w:rFonts w:hint="eastAsia" w:ascii="新宋体" w:hAnsi="新宋体" w:eastAsia="新宋体" w:cs="新宋体"/>
          <w:sz w:val="36"/>
          <w:szCs w:val="36"/>
        </w:rPr>
      </w:pPr>
      <w:bookmarkStart w:id="35" w:name="_Toc34572028"/>
      <w:r>
        <w:rPr>
          <w:rFonts w:hint="eastAsia" w:ascii="新宋体" w:hAnsi="新宋体" w:eastAsia="新宋体" w:cs="新宋体"/>
          <w:sz w:val="36"/>
          <w:szCs w:val="36"/>
        </w:rPr>
        <w:t>投标人须知前附表</w:t>
      </w:r>
      <w:bookmarkEnd w:id="34"/>
      <w:bookmarkEnd w:id="35"/>
    </w:p>
    <w:tbl>
      <w:tblPr>
        <w:tblStyle w:val="56"/>
        <w:tblW w:w="0" w:type="auto"/>
        <w:tblInd w:w="0" w:type="dxa"/>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条款名称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编列内容</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采购人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采购人名称：中共温州市鹿城区委政法委员会</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联系地址：温州市鹿城区广场路</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 xml:space="preserve">联系人：唐先生    </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 xml:space="preserve">联系电话：0577-88030874　 </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采购代理机构</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采购代理机构名称：宁波国咨工程造价咨询有限公司</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地 址：温州市鹿城区市府路592号新益大厦13楼1302室。</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 xml:space="preserve">联系人：卢先生 </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联系电话：</w:t>
            </w:r>
            <w:r>
              <w:rPr>
                <w:rFonts w:hint="eastAsia" w:ascii="新宋体" w:hAnsi="新宋体" w:eastAsia="新宋体" w:cs="新宋体"/>
                <w:kern w:val="0"/>
                <w:sz w:val="22"/>
                <w:szCs w:val="22"/>
              </w:rPr>
              <w:t>13868320746、0577-89975889</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项目名称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 xml:space="preserve">鹿城区政法智控一张网建设项目 </w:t>
            </w:r>
          </w:p>
          <w:p>
            <w:pPr>
              <w:spacing w:line="30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 xml:space="preserve">项目编号：GZWZ[2020]029 </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采购内容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widowControl/>
              <w:spacing w:before="60" w:after="60"/>
              <w:ind w:right="60"/>
              <w:jc w:val="left"/>
              <w:rPr>
                <w:rFonts w:hint="eastAsia" w:ascii="新宋体" w:hAnsi="新宋体" w:eastAsia="新宋体" w:cs="新宋体"/>
                <w:sz w:val="22"/>
                <w:szCs w:val="22"/>
              </w:rPr>
            </w:pPr>
            <w:r>
              <w:rPr>
                <w:rFonts w:hint="eastAsia" w:ascii="新宋体" w:hAnsi="新宋体" w:eastAsia="新宋体" w:cs="新宋体"/>
                <w:sz w:val="22"/>
                <w:szCs w:val="22"/>
              </w:rPr>
              <w:t>具体采购内容及需求见项目招标文件相关部分。</w:t>
            </w:r>
          </w:p>
        </w:tc>
      </w:tr>
      <w:tr>
        <w:tblPrEx>
          <w:tblCellMar>
            <w:top w:w="0" w:type="dxa"/>
            <w:left w:w="108" w:type="dxa"/>
            <w:bottom w:w="0" w:type="dxa"/>
            <w:right w:w="108" w:type="dxa"/>
          </w:tblCellMar>
        </w:tblPrEx>
        <w:trPr>
          <w:wBefore w:w="0" w:type="dxa"/>
          <w:wAfter w:w="0" w:type="dxa"/>
          <w:trHeight w:val="73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项目建设期</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ascii="新宋体" w:hAnsi="新宋体" w:eastAsia="新宋体" w:cs="新宋体"/>
                <w:color w:val="000000"/>
                <w:sz w:val="22"/>
                <w:szCs w:val="22"/>
              </w:rPr>
              <w:t>合同签订后4个月内完成</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供应商资格要求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rPr>
                <w:rFonts w:hint="eastAsia"/>
                <w:sz w:val="22"/>
                <w:szCs w:val="22"/>
                <w:lang w:val="zh-CN"/>
              </w:rPr>
            </w:pPr>
            <w:r>
              <w:rPr>
                <w:rFonts w:hint="eastAsia"/>
                <w:sz w:val="22"/>
                <w:szCs w:val="22"/>
                <w:lang w:val="zh-CN"/>
              </w:rPr>
              <w:t>1.一般资格条件：</w:t>
            </w:r>
          </w:p>
          <w:p>
            <w:pPr>
              <w:autoSpaceDE w:val="0"/>
              <w:autoSpaceDN w:val="0"/>
              <w:adjustRightInd w:val="0"/>
              <w:spacing w:line="276" w:lineRule="auto"/>
              <w:rPr>
                <w:rFonts w:hint="eastAsia"/>
                <w:sz w:val="22"/>
                <w:szCs w:val="22"/>
                <w:lang w:val="zh-CN"/>
              </w:rPr>
            </w:pPr>
            <w:r>
              <w:rPr>
                <w:rFonts w:hint="eastAsia"/>
                <w:sz w:val="22"/>
                <w:szCs w:val="22"/>
                <w:lang w:val="zh-CN"/>
              </w:rPr>
              <w:t>（1）</w:t>
            </w:r>
            <w:r>
              <w:rPr>
                <w:rFonts w:hint="eastAsia"/>
                <w:sz w:val="22"/>
                <w:szCs w:val="22"/>
              </w:rPr>
              <w:t>符合《中华人民共和国政府采购法》第二十二条对供应商主体的要求</w:t>
            </w:r>
            <w:r>
              <w:rPr>
                <w:rFonts w:hint="eastAsia"/>
                <w:sz w:val="22"/>
                <w:szCs w:val="22"/>
                <w:lang w:val="zh-CN"/>
              </w:rPr>
              <w:t>。</w:t>
            </w:r>
          </w:p>
          <w:p>
            <w:pPr>
              <w:autoSpaceDE w:val="0"/>
              <w:autoSpaceDN w:val="0"/>
              <w:adjustRightInd w:val="0"/>
              <w:spacing w:line="276" w:lineRule="auto"/>
              <w:rPr>
                <w:rFonts w:hint="eastAsia"/>
                <w:sz w:val="22"/>
                <w:szCs w:val="22"/>
              </w:rPr>
            </w:pPr>
            <w:r>
              <w:rPr>
                <w:rFonts w:hint="eastAsia"/>
                <w:sz w:val="22"/>
                <w:szCs w:val="22"/>
                <w:lang w:val="zh-CN"/>
              </w:rPr>
              <w:t>（</w:t>
            </w:r>
            <w:r>
              <w:rPr>
                <w:rFonts w:hint="eastAsia"/>
                <w:sz w:val="22"/>
                <w:szCs w:val="22"/>
              </w:rPr>
              <w:t>2）须为未被列入“信用中国”网站(www.creditchina.gov.cn)、中国政府采(www.ccgp.gov.cn)渠道信用记录失信被执行人、重大税收违法案件当事人名单、政府采购严重违法失信行为记录名单的投标人。。</w:t>
            </w:r>
          </w:p>
          <w:p>
            <w:pPr>
              <w:autoSpaceDE w:val="0"/>
              <w:autoSpaceDN w:val="0"/>
              <w:adjustRightInd w:val="0"/>
              <w:spacing w:line="276" w:lineRule="auto"/>
              <w:rPr>
                <w:rFonts w:hint="eastAsia"/>
                <w:sz w:val="22"/>
                <w:szCs w:val="22"/>
              </w:rPr>
            </w:pPr>
            <w:r>
              <w:rPr>
                <w:rFonts w:hint="eastAsia"/>
                <w:sz w:val="22"/>
                <w:szCs w:val="22"/>
              </w:rPr>
              <w:t>2.特殊资格条件：无。</w:t>
            </w:r>
          </w:p>
          <w:p>
            <w:pPr>
              <w:autoSpaceDE w:val="0"/>
              <w:autoSpaceDN w:val="0"/>
              <w:adjustRightInd w:val="0"/>
              <w:spacing w:line="276" w:lineRule="auto"/>
              <w:rPr>
                <w:rFonts w:hint="eastAsia"/>
              </w:rPr>
            </w:pPr>
            <w:r>
              <w:rPr>
                <w:rFonts w:hint="eastAsia"/>
                <w:sz w:val="22"/>
                <w:szCs w:val="22"/>
              </w:rPr>
              <w:t>3.本项目不接受联合体投标。</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是否接受联合体投标</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b/>
                <w:snapToGrid w:val="0"/>
                <w:sz w:val="22"/>
                <w:szCs w:val="22"/>
              </w:rPr>
              <w:sym w:font="Wingdings" w:char="F0FE"/>
            </w:r>
            <w:r>
              <w:rPr>
                <w:rFonts w:hint="eastAsia" w:ascii="新宋体" w:hAnsi="新宋体" w:eastAsia="新宋体" w:cs="新宋体"/>
                <w:kern w:val="0"/>
                <w:sz w:val="22"/>
                <w:szCs w:val="22"/>
              </w:rPr>
              <w:t>不接受</w:t>
            </w:r>
          </w:p>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□接受，应满足下列要求：</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踏勘现场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□组织</w:t>
            </w:r>
          </w:p>
          <w:p>
            <w:pPr>
              <w:spacing w:line="300" w:lineRule="exact"/>
              <w:rPr>
                <w:rFonts w:hint="eastAsia" w:ascii="新宋体" w:hAnsi="新宋体" w:eastAsia="新宋体" w:cs="新宋体"/>
                <w:kern w:val="0"/>
                <w:sz w:val="22"/>
                <w:szCs w:val="22"/>
              </w:rPr>
            </w:pPr>
            <w:r>
              <w:rPr>
                <w:rFonts w:hint="eastAsia" w:ascii="新宋体" w:hAnsi="新宋体" w:eastAsia="新宋体" w:cs="新宋体"/>
                <w:b/>
                <w:snapToGrid w:val="0"/>
                <w:sz w:val="22"/>
                <w:szCs w:val="22"/>
              </w:rPr>
              <w:sym w:font="Wingdings" w:char="F0FE"/>
            </w:r>
            <w:r>
              <w:rPr>
                <w:rFonts w:hint="eastAsia" w:ascii="新宋体" w:hAnsi="新宋体" w:eastAsia="新宋体" w:cs="新宋体"/>
                <w:kern w:val="0"/>
                <w:sz w:val="22"/>
                <w:szCs w:val="22"/>
              </w:rPr>
              <w:t>不组织，供应商自行前往项目现场进行踏勘。</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投标预备会</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□召开</w:t>
            </w:r>
          </w:p>
          <w:p>
            <w:pPr>
              <w:spacing w:line="300" w:lineRule="exact"/>
              <w:rPr>
                <w:rFonts w:hint="eastAsia" w:ascii="新宋体" w:hAnsi="新宋体" w:eastAsia="新宋体" w:cs="新宋体"/>
                <w:kern w:val="0"/>
                <w:sz w:val="22"/>
                <w:szCs w:val="22"/>
              </w:rPr>
            </w:pPr>
            <w:r>
              <w:rPr>
                <w:rFonts w:hint="eastAsia" w:ascii="新宋体" w:hAnsi="新宋体" w:eastAsia="新宋体" w:cs="新宋体"/>
                <w:b/>
                <w:snapToGrid w:val="0"/>
                <w:sz w:val="22"/>
                <w:szCs w:val="22"/>
              </w:rPr>
              <w:sym w:font="Wingdings" w:char="F0FE"/>
            </w:r>
            <w:r>
              <w:rPr>
                <w:rFonts w:hint="eastAsia" w:ascii="新宋体" w:hAnsi="新宋体" w:eastAsia="新宋体" w:cs="新宋体"/>
                <w:kern w:val="0"/>
                <w:sz w:val="22"/>
                <w:szCs w:val="22"/>
              </w:rPr>
              <w:t>不召开</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投标截止时间</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2020年11月26日9时30分整</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分包</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□允许</w:t>
            </w:r>
          </w:p>
          <w:p>
            <w:pPr>
              <w:spacing w:line="300" w:lineRule="exact"/>
              <w:rPr>
                <w:rFonts w:hint="eastAsia" w:ascii="新宋体" w:hAnsi="新宋体" w:eastAsia="新宋体" w:cs="新宋体"/>
                <w:kern w:val="0"/>
                <w:sz w:val="22"/>
                <w:szCs w:val="22"/>
              </w:rPr>
            </w:pPr>
            <w:r>
              <w:rPr>
                <w:rFonts w:hint="eastAsia" w:ascii="新宋体" w:hAnsi="新宋体" w:eastAsia="新宋体" w:cs="新宋体"/>
                <w:b/>
                <w:snapToGrid w:val="0"/>
                <w:sz w:val="22"/>
                <w:szCs w:val="22"/>
              </w:rPr>
              <w:sym w:font="Wingdings" w:char="F0FE"/>
            </w:r>
            <w:r>
              <w:rPr>
                <w:rFonts w:hint="eastAsia" w:ascii="新宋体" w:hAnsi="新宋体" w:eastAsia="新宋体" w:cs="新宋体"/>
                <w:kern w:val="0"/>
                <w:sz w:val="22"/>
                <w:szCs w:val="22"/>
              </w:rPr>
              <w:t>不允许</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偏离</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投标文件有效期</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投标文件自投标截止时间起生效，有效期</w:t>
            </w:r>
            <w:r>
              <w:rPr>
                <w:rFonts w:hint="eastAsia" w:ascii="新宋体" w:hAnsi="新宋体" w:eastAsia="新宋体" w:cs="新宋体"/>
                <w:kern w:val="0"/>
                <w:sz w:val="22"/>
                <w:szCs w:val="22"/>
                <w:u w:val="single"/>
              </w:rPr>
              <w:t>90</w:t>
            </w:r>
            <w:r>
              <w:rPr>
                <w:rFonts w:hint="eastAsia" w:ascii="新宋体" w:hAnsi="新宋体" w:eastAsia="新宋体" w:cs="新宋体"/>
                <w:kern w:val="0"/>
                <w:sz w:val="22"/>
                <w:szCs w:val="22"/>
              </w:rPr>
              <w:t>天。</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投标保证金</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无须提交。</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完整的投标文件由资格审查资料、商务技术文件、报价文件三个部分组成。</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投标文件公章采用电子签章，法定代表人或委托人可以采用签字或盖章后扫描也可以电子签章。</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本项目实行在线投标响应（电子投标）。</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以上两类投标文件均由资格审查资料、商务技术文件、报价文件三部分组成。</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（1）“电子加密投标文件”：在线上传递交、一份。</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（2）“备份投标文件”：以U盘存储，密封包装后（快递形式）在2020年11月25日12时00分前递交，一份，邮寄地址：</w:t>
            </w:r>
            <w:r>
              <w:rPr>
                <w:rFonts w:hint="eastAsia" w:ascii="新宋体" w:hAnsi="新宋体" w:eastAsia="新宋体" w:cs="新宋体"/>
                <w:kern w:val="0"/>
                <w:sz w:val="22"/>
                <w:szCs w:val="22"/>
              </w:rPr>
              <w:t>温州市鹿城区市府路592号新益大厦13楼1302室</w:t>
            </w:r>
            <w:r>
              <w:rPr>
                <w:rFonts w:hint="eastAsia" w:ascii="新宋体" w:hAnsi="新宋体" w:eastAsia="新宋体" w:cs="新宋体"/>
                <w:kern w:val="0"/>
                <w:sz w:val="22"/>
                <w:szCs w:val="22"/>
                <w:lang w:val="zh-CN"/>
              </w:rPr>
              <w:t>，卢先生收。</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pStyle w:val="523"/>
              <w:autoSpaceDE w:val="0"/>
              <w:autoSpaceDN w:val="0"/>
              <w:adjustRightInd w:val="0"/>
              <w:spacing w:line="300" w:lineRule="atLeast"/>
              <w:jc w:val="both"/>
              <w:rPr>
                <w:rFonts w:hint="eastAsia" w:ascii="新宋体" w:hAnsi="新宋体" w:eastAsia="新宋体" w:cs="新宋体"/>
                <w:sz w:val="22"/>
              </w:rPr>
            </w:pPr>
            <w:r>
              <w:rPr>
                <w:rFonts w:hint="eastAsia" w:ascii="新宋体" w:hAnsi="新宋体" w:eastAsia="新宋体" w:cs="新宋体"/>
                <w:sz w:val="22"/>
              </w:rPr>
              <w:t>（1）“电子加密投标文件”的上传、递交：</w:t>
            </w:r>
          </w:p>
          <w:p>
            <w:pPr>
              <w:pStyle w:val="523"/>
              <w:autoSpaceDE w:val="0"/>
              <w:autoSpaceDN w:val="0"/>
              <w:adjustRightInd w:val="0"/>
              <w:spacing w:line="300" w:lineRule="atLeast"/>
              <w:jc w:val="both"/>
              <w:rPr>
                <w:rFonts w:hint="eastAsia" w:ascii="新宋体" w:hAnsi="新宋体" w:eastAsia="新宋体" w:cs="新宋体"/>
                <w:sz w:val="22"/>
              </w:rPr>
            </w:pPr>
            <w:r>
              <w:rPr>
                <w:rFonts w:hint="eastAsia" w:ascii="新宋体" w:hAnsi="新宋体" w:eastAsia="新宋体" w:cs="新宋体"/>
                <w:sz w:val="22"/>
              </w:rPr>
              <w:t>a.投标人应在投标文件递交截止时间前将“电子加密投标文件”成功上传递交至“政采云平台”，否则投标无效。</w:t>
            </w:r>
          </w:p>
          <w:p>
            <w:pPr>
              <w:pStyle w:val="523"/>
              <w:autoSpaceDE w:val="0"/>
              <w:autoSpaceDN w:val="0"/>
              <w:adjustRightInd w:val="0"/>
              <w:spacing w:line="300" w:lineRule="atLeast"/>
              <w:jc w:val="both"/>
              <w:rPr>
                <w:rFonts w:hint="eastAsia" w:ascii="新宋体" w:hAnsi="新宋体" w:eastAsia="新宋体" w:cs="新宋体"/>
                <w:sz w:val="22"/>
              </w:rPr>
            </w:pPr>
            <w:r>
              <w:rPr>
                <w:rFonts w:hint="eastAsia" w:ascii="新宋体" w:hAnsi="新宋体" w:eastAsia="新宋体" w:cs="新宋体"/>
                <w:sz w:val="22"/>
              </w:rPr>
              <w:t>b.“电子加密投标文件”成功上传递交后，供应商可自行打印投标文件接收回执。</w:t>
            </w:r>
          </w:p>
          <w:p>
            <w:pPr>
              <w:pStyle w:val="523"/>
              <w:autoSpaceDE w:val="0"/>
              <w:autoSpaceDN w:val="0"/>
              <w:adjustRightInd w:val="0"/>
              <w:spacing w:line="300" w:lineRule="atLeast"/>
              <w:jc w:val="both"/>
              <w:rPr>
                <w:rFonts w:hint="eastAsia" w:ascii="新宋体" w:hAnsi="新宋体" w:eastAsia="新宋体" w:cs="新宋体"/>
                <w:sz w:val="22"/>
              </w:rPr>
            </w:pPr>
            <w:r>
              <w:rPr>
                <w:rFonts w:hint="eastAsia" w:ascii="新宋体" w:hAnsi="新宋体" w:eastAsia="新宋体" w:cs="新宋体"/>
                <w:sz w:val="22"/>
              </w:rPr>
              <w:t>（2）“备份投标文件”的密封包装、递交：</w:t>
            </w:r>
          </w:p>
          <w:p>
            <w:pPr>
              <w:pStyle w:val="523"/>
              <w:autoSpaceDE w:val="0"/>
              <w:autoSpaceDN w:val="0"/>
              <w:adjustRightInd w:val="0"/>
              <w:spacing w:line="300" w:lineRule="atLeast"/>
              <w:jc w:val="both"/>
              <w:rPr>
                <w:rFonts w:hint="eastAsia" w:ascii="新宋体" w:hAnsi="新宋体" w:eastAsia="新宋体" w:cs="新宋体"/>
                <w:b/>
                <w:sz w:val="22"/>
              </w:rPr>
            </w:pPr>
            <w:r>
              <w:rPr>
                <w:rFonts w:hint="eastAsia" w:ascii="新宋体" w:hAnsi="新宋体" w:eastAsia="新宋体" w:cs="新宋体"/>
                <w:sz w:val="22"/>
              </w:rPr>
              <w:t>a.投标人在“政采云平台”完成“电子加密投标文件”的上传递交后，还可以（快递形式）在2020年11月25日12时00分前递交以介质（U盘）存储的 “备份投标文件”（一份）；快递形式快递至采购代理机构地址（地址详见招标采购文件，防疫期间不建议供应商本代表抵达开评标地点）；</w:t>
            </w:r>
            <w:r>
              <w:rPr>
                <w:rFonts w:hint="eastAsia" w:ascii="新宋体" w:hAnsi="新宋体" w:eastAsia="新宋体" w:cs="新宋体"/>
                <w:b/>
                <w:sz w:val="22"/>
              </w:rPr>
              <w:t>解密CA必须是上传并制作电子投标文件CA锁。</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（1）开标后，采购组织机构将向各投标人发出“电子加密投标文件”的解密通知，各投标人代表应当在接到解密通知后</w:t>
            </w:r>
            <w:r>
              <w:rPr>
                <w:rFonts w:hint="eastAsia" w:ascii="新宋体" w:hAnsi="新宋体" w:eastAsia="新宋体" w:cs="新宋体"/>
                <w:kern w:val="0"/>
                <w:sz w:val="22"/>
                <w:szCs w:val="22"/>
              </w:rPr>
              <w:t>6</w:t>
            </w:r>
            <w:r>
              <w:rPr>
                <w:rFonts w:hint="eastAsia" w:ascii="新宋体" w:hAnsi="新宋体" w:eastAsia="新宋体" w:cs="新宋体"/>
                <w:kern w:val="0"/>
                <w:sz w:val="22"/>
                <w:szCs w:val="22"/>
                <w:lang w:val="zh-CN"/>
              </w:rPr>
              <w:t>0分钟内自行完成“电子加密投标文件”的在线解密。</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递交投标</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文件地点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lang w:val="zh-CN"/>
              </w:rPr>
            </w:pPr>
            <w:r>
              <w:rPr>
                <w:rFonts w:hint="eastAsia" w:ascii="新宋体" w:hAnsi="新宋体" w:eastAsia="新宋体" w:cs="新宋体"/>
                <w:bCs/>
                <w:kern w:val="0"/>
                <w:sz w:val="22"/>
                <w:szCs w:val="22"/>
              </w:rPr>
              <w:t>政采云平台线上递交。</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开标时间</w:t>
            </w:r>
          </w:p>
          <w:p>
            <w:pPr>
              <w:autoSpaceDE w:val="0"/>
              <w:autoSpaceDN w:val="0"/>
              <w:adjustRightInd w:val="0"/>
              <w:spacing w:line="30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和地点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开标时间：2020年11月26 日9时30分</w:t>
            </w:r>
          </w:p>
          <w:p>
            <w:pPr>
              <w:spacing w:line="300" w:lineRule="exac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开标地点：</w:t>
            </w:r>
            <w:r>
              <w:rPr>
                <w:rFonts w:hint="eastAsia" w:ascii="新宋体" w:hAnsi="新宋体" w:eastAsia="新宋体" w:cs="新宋体"/>
                <w:kern w:val="0"/>
                <w:sz w:val="22"/>
                <w:szCs w:val="22"/>
              </w:rPr>
              <w:t>温州市公共资源交易中心鹿城分中心三楼开标室（温州市宽带路18号科技大楼）</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24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评标委员会</w:t>
            </w:r>
          </w:p>
          <w:p>
            <w:pP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的组建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lang w:val="zh-CN"/>
              </w:rPr>
            </w:pPr>
            <w:r>
              <w:rPr>
                <w:rFonts w:hint="eastAsia" w:ascii="新宋体" w:hAnsi="新宋体" w:eastAsia="新宋体" w:cs="新宋体"/>
                <w:bCs/>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25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履约担保</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000000"/>
                <w:sz w:val="22"/>
                <w:szCs w:val="22"/>
              </w:rPr>
            </w:pPr>
            <w:r>
              <w:rPr>
                <w:rFonts w:hint="eastAsia" w:ascii="新宋体" w:hAnsi="新宋体" w:eastAsia="新宋体" w:cs="新宋体"/>
                <w:bCs/>
                <w:color w:val="000000"/>
                <w:sz w:val="22"/>
                <w:szCs w:val="22"/>
              </w:rPr>
              <w:sym w:font="Wingdings" w:char="00FE"/>
            </w:r>
            <w:r>
              <w:rPr>
                <w:rFonts w:hint="eastAsia" w:ascii="新宋体" w:hAnsi="新宋体" w:eastAsia="新宋体" w:cs="新宋体"/>
                <w:bCs/>
                <w:color w:val="000000"/>
                <w:sz w:val="22"/>
                <w:szCs w:val="22"/>
              </w:rPr>
              <w:t>不需要</w:t>
            </w:r>
          </w:p>
          <w:p>
            <w:pPr>
              <w:rPr>
                <w:rFonts w:hint="eastAsia" w:ascii="新宋体" w:hAnsi="新宋体" w:eastAsia="新宋体" w:cs="新宋体"/>
                <w:kern w:val="0"/>
                <w:sz w:val="22"/>
                <w:szCs w:val="22"/>
              </w:rPr>
            </w:pPr>
            <w:r>
              <w:rPr>
                <w:rFonts w:hint="eastAsia" w:ascii="新宋体" w:hAnsi="新宋体" w:eastAsia="新宋体" w:cs="新宋体"/>
                <w:bCs/>
                <w:sz w:val="22"/>
                <w:szCs w:val="22"/>
              </w:rPr>
              <w:sym w:font="Wingdings" w:char="00A8"/>
            </w:r>
            <w:r>
              <w:rPr>
                <w:rFonts w:hint="eastAsia" w:ascii="新宋体" w:hAnsi="新宋体" w:eastAsia="新宋体" w:cs="新宋体"/>
                <w:bCs/>
                <w:sz w:val="22"/>
                <w:szCs w:val="22"/>
              </w:rPr>
              <w:t>需要 签订合同前中标供应商应向采购人提交合同总价5%的履约保证金，履约保证金可以采用银行或者保险公司出具的保函</w:t>
            </w:r>
            <w:r>
              <w:rPr>
                <w:rFonts w:hint="eastAsia" w:ascii="Arial" w:hAnsi="宋体" w:cs="Arial"/>
                <w:szCs w:val="21"/>
              </w:rPr>
              <w:t>。</w:t>
            </w:r>
          </w:p>
        </w:tc>
      </w:tr>
      <w:tr>
        <w:tblPrEx>
          <w:tblCellMar>
            <w:top w:w="0" w:type="dxa"/>
            <w:left w:w="108" w:type="dxa"/>
            <w:bottom w:w="0" w:type="dxa"/>
            <w:right w:w="108" w:type="dxa"/>
          </w:tblCellMar>
        </w:tblPrEx>
        <w:trPr>
          <w:wBefore w:w="0" w:type="dxa"/>
          <w:wAfter w:w="0" w:type="dxa"/>
          <w:trHeight w:val="274"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26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新宋体" w:hAnsi="新宋体" w:eastAsia="新宋体" w:cs="新宋体"/>
                <w:sz w:val="22"/>
                <w:szCs w:val="22"/>
              </w:rPr>
            </w:pPr>
            <w:r>
              <w:rPr>
                <w:rFonts w:hint="eastAsia" w:ascii="新宋体" w:hAnsi="新宋体" w:eastAsia="新宋体" w:cs="新宋体"/>
                <w:sz w:val="22"/>
                <w:szCs w:val="22"/>
              </w:rPr>
              <w:t>政府采购</w:t>
            </w:r>
          </w:p>
          <w:p>
            <w:pPr>
              <w:adjustRightInd w:val="0"/>
              <w:jc w:val="center"/>
              <w:rPr>
                <w:rFonts w:hint="eastAsia" w:ascii="新宋体" w:hAnsi="新宋体" w:eastAsia="新宋体" w:cs="新宋体"/>
                <w:kern w:val="0"/>
                <w:sz w:val="22"/>
                <w:szCs w:val="22"/>
                <w:lang w:val="zh-CN"/>
              </w:rPr>
            </w:pPr>
            <w:r>
              <w:rPr>
                <w:rFonts w:hint="eastAsia" w:ascii="新宋体" w:hAnsi="新宋体" w:eastAsia="新宋体" w:cs="新宋体"/>
                <w:sz w:val="22"/>
                <w:szCs w:val="22"/>
              </w:rPr>
              <w:t>扶持政策</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sz w:val="22"/>
                <w:szCs w:val="22"/>
              </w:rPr>
            </w:pPr>
            <w:r>
              <w:rPr>
                <w:rFonts w:hint="eastAsia" w:ascii="新宋体" w:hAnsi="新宋体" w:eastAsia="新宋体" w:cs="新宋体"/>
                <w:bCs/>
                <w:sz w:val="22"/>
                <w:szCs w:val="22"/>
              </w:rPr>
              <w:t>1.本项目对符合财政扶持政策的中小企业（小型、微型）、监狱企业、残疾人福利性单位给予价格优惠扶持，价格优惠扶持见《第三章 评分办法》。</w:t>
            </w:r>
          </w:p>
          <w:p>
            <w:pPr>
              <w:rPr>
                <w:rFonts w:hint="eastAsia" w:ascii="新宋体" w:hAnsi="新宋体" w:eastAsia="新宋体" w:cs="新宋体"/>
                <w:bCs/>
                <w:sz w:val="22"/>
                <w:szCs w:val="22"/>
              </w:rPr>
            </w:pPr>
            <w:r>
              <w:rPr>
                <w:rFonts w:hint="eastAsia" w:ascii="新宋体" w:hAnsi="新宋体" w:eastAsia="新宋体" w:cs="新宋体"/>
                <w:bCs/>
                <w:sz w:val="22"/>
                <w:szCs w:val="22"/>
              </w:rPr>
              <w:t>2.满足转发财政部 工业和信息化部关于印发《政府采购促进中小企业发展暂行办法》的通知（浙财采监[2012]11号）的规定的中小企业可享受优惠扶持。</w:t>
            </w:r>
          </w:p>
          <w:p>
            <w:pPr>
              <w:rPr>
                <w:rFonts w:hint="eastAsia" w:ascii="新宋体" w:hAnsi="新宋体" w:eastAsia="新宋体" w:cs="新宋体"/>
                <w:bCs/>
                <w:sz w:val="22"/>
                <w:szCs w:val="22"/>
              </w:rPr>
            </w:pPr>
            <w:r>
              <w:rPr>
                <w:rFonts w:hint="eastAsia" w:ascii="新宋体" w:hAnsi="新宋体" w:eastAsia="新宋体" w:cs="新宋体"/>
                <w:bCs/>
                <w:sz w:val="22"/>
                <w:szCs w:val="22"/>
              </w:rPr>
              <w:t>满足关于政府采购支持监狱企业发展有关问题的通知（财库[2014]68号）的规定的供应商可享受优惠扶持。</w:t>
            </w:r>
          </w:p>
          <w:p>
            <w:pPr>
              <w:rPr>
                <w:rFonts w:hint="eastAsia" w:ascii="新宋体" w:hAnsi="新宋体" w:eastAsia="新宋体" w:cs="新宋体"/>
                <w:bCs/>
                <w:sz w:val="22"/>
                <w:szCs w:val="22"/>
              </w:rPr>
            </w:pPr>
            <w:r>
              <w:rPr>
                <w:rFonts w:hint="eastAsia" w:ascii="新宋体" w:hAnsi="新宋体" w:eastAsia="新宋体" w:cs="新宋体"/>
                <w:bCs/>
                <w:sz w:val="22"/>
                <w:szCs w:val="22"/>
              </w:rPr>
              <w:t>满足关于促进残疾人就业政府采购政策的通知（财库[2017]141号）的规定的供应商可享受优惠扶持。</w:t>
            </w:r>
          </w:p>
          <w:p>
            <w:pPr>
              <w:rPr>
                <w:rFonts w:hint="eastAsia" w:ascii="新宋体" w:hAnsi="新宋体" w:eastAsia="新宋体" w:cs="新宋体"/>
                <w:bCs/>
                <w:sz w:val="22"/>
                <w:szCs w:val="22"/>
              </w:rPr>
            </w:pPr>
            <w:r>
              <w:rPr>
                <w:rFonts w:hint="eastAsia" w:ascii="新宋体" w:hAnsi="新宋体" w:eastAsia="新宋体" w:cs="新宋体"/>
                <w:bCs/>
                <w:sz w:val="22"/>
                <w:szCs w:val="22"/>
              </w:rPr>
              <w:t>3.节能产品、环境标志产品的强制采购政策</w:t>
            </w:r>
          </w:p>
          <w:p>
            <w:pPr>
              <w:rPr>
                <w:rFonts w:hint="eastAsia" w:ascii="新宋体" w:hAnsi="新宋体" w:eastAsia="新宋体" w:cs="新宋体"/>
                <w:bCs/>
                <w:sz w:val="22"/>
                <w:szCs w:val="22"/>
              </w:rPr>
            </w:pPr>
            <w:r>
              <w:rPr>
                <w:rFonts w:hint="eastAsia" w:ascii="新宋体" w:hAnsi="新宋体" w:eastAsia="新宋体" w:cs="新宋体"/>
                <w:bCs/>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rPr>
                <w:rFonts w:hint="eastAsia" w:ascii="新宋体" w:hAnsi="新宋体" w:eastAsia="新宋体" w:cs="新宋体"/>
                <w:bCs/>
                <w:sz w:val="22"/>
                <w:szCs w:val="22"/>
              </w:rPr>
            </w:pPr>
            <w:r>
              <w:rPr>
                <w:rFonts w:hint="eastAsia" w:ascii="新宋体" w:hAnsi="新宋体" w:eastAsia="新宋体" w:cs="新宋体"/>
                <w:bCs/>
                <w:sz w:val="22"/>
                <w:szCs w:val="22"/>
              </w:rPr>
              <w:t>4.节能产品、环境标志产品的优先采购政策</w:t>
            </w:r>
          </w:p>
          <w:p>
            <w:pPr>
              <w:rPr>
                <w:rFonts w:hint="eastAsia" w:ascii="新宋体" w:hAnsi="新宋体" w:eastAsia="新宋体" w:cs="新宋体"/>
                <w:kern w:val="0"/>
                <w:sz w:val="22"/>
                <w:szCs w:val="22"/>
                <w:lang w:val="zh-CN"/>
              </w:rPr>
            </w:pPr>
            <w:r>
              <w:rPr>
                <w:rFonts w:hint="eastAsia" w:ascii="新宋体" w:hAnsi="新宋体" w:eastAsia="新宋体" w:cs="新宋体"/>
                <w:bCs/>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27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投标人信用</w:t>
            </w:r>
          </w:p>
          <w:p>
            <w:pPr>
              <w:jc w:val="center"/>
              <w:rPr>
                <w:rFonts w:hint="eastAsia" w:ascii="新宋体" w:hAnsi="新宋体" w:eastAsia="新宋体" w:cs="新宋体"/>
                <w:kern w:val="0"/>
                <w:sz w:val="22"/>
                <w:szCs w:val="22"/>
                <w:lang w:val="zh-CN"/>
              </w:rPr>
            </w:pPr>
            <w:r>
              <w:rPr>
                <w:rFonts w:hint="eastAsia" w:ascii="新宋体" w:hAnsi="新宋体" w:eastAsia="新宋体" w:cs="新宋体"/>
                <w:sz w:val="22"/>
                <w:szCs w:val="22"/>
              </w:rPr>
              <w:t>查询</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sz w:val="22"/>
                <w:szCs w:val="22"/>
              </w:rPr>
            </w:pPr>
            <w:r>
              <w:rPr>
                <w:rFonts w:hint="eastAsia" w:ascii="新宋体" w:hAnsi="新宋体" w:eastAsia="新宋体" w:cs="新宋体"/>
                <w:sz w:val="22"/>
                <w:szCs w:val="22"/>
              </w:rPr>
              <w:t>（1）投标供应商信用信息查询的查询渠道：</w:t>
            </w:r>
          </w:p>
          <w:p>
            <w:pPr>
              <w:rPr>
                <w:rFonts w:ascii="新宋体" w:hAnsi="新宋体" w:eastAsia="新宋体" w:cs="新宋体"/>
                <w:sz w:val="22"/>
                <w:szCs w:val="22"/>
              </w:rPr>
            </w:pPr>
            <w:r>
              <w:rPr>
                <w:rFonts w:hint="eastAsia" w:ascii="新宋体" w:hAnsi="新宋体" w:eastAsia="新宋体" w:cs="新宋体"/>
                <w:sz w:val="22"/>
                <w:szCs w:val="22"/>
              </w:rPr>
              <w:t>“信用中国”(</w:t>
            </w:r>
            <w:r>
              <w:rPr>
                <w:rFonts w:ascii="新宋体" w:hAnsi="新宋体" w:eastAsia="新宋体" w:cs="新宋体"/>
                <w:sz w:val="22"/>
                <w:szCs w:val="22"/>
              </w:rPr>
              <w:fldChar w:fldCharType="begin"/>
            </w:r>
            <w:r>
              <w:rPr>
                <w:rFonts w:ascii="新宋体" w:hAnsi="新宋体" w:eastAsia="新宋体" w:cs="新宋体"/>
                <w:sz w:val="22"/>
                <w:szCs w:val="22"/>
              </w:rPr>
              <w:instrText xml:space="preserve"> HYPERLINK "http://www.creditchina.gov.cn"</w:instrText>
            </w:r>
            <w:r>
              <w:rPr>
                <w:rFonts w:ascii="新宋体" w:hAnsi="新宋体" w:eastAsia="新宋体" w:cs="新宋体"/>
                <w:sz w:val="22"/>
                <w:szCs w:val="22"/>
              </w:rPr>
              <w:fldChar w:fldCharType="separate"/>
            </w:r>
            <w:r>
              <w:rPr>
                <w:rFonts w:hint="eastAsia" w:ascii="新宋体" w:hAnsi="新宋体" w:eastAsia="新宋体" w:cs="新宋体"/>
              </w:rPr>
              <w:t>www.creditchina.gov.cn</w:t>
            </w:r>
            <w:r>
              <w:rPr>
                <w:rFonts w:ascii="新宋体" w:hAnsi="新宋体" w:eastAsia="新宋体" w:cs="新宋体"/>
                <w:sz w:val="22"/>
                <w:szCs w:val="22"/>
              </w:rPr>
              <w:fldChar w:fldCharType="end"/>
            </w:r>
            <w:r>
              <w:rPr>
                <w:rFonts w:hint="eastAsia" w:ascii="新宋体" w:hAnsi="新宋体" w:eastAsia="新宋体" w:cs="新宋体"/>
                <w:sz w:val="22"/>
                <w:szCs w:val="22"/>
              </w:rPr>
              <w:t>)；</w:t>
            </w:r>
          </w:p>
          <w:p>
            <w:pPr>
              <w:rPr>
                <w:rFonts w:ascii="新宋体" w:hAnsi="新宋体" w:eastAsia="新宋体" w:cs="新宋体"/>
                <w:sz w:val="22"/>
                <w:szCs w:val="22"/>
              </w:rPr>
            </w:pPr>
            <w:r>
              <w:rPr>
                <w:rFonts w:hint="eastAsia" w:ascii="新宋体" w:hAnsi="新宋体" w:eastAsia="新宋体" w:cs="新宋体"/>
                <w:sz w:val="22"/>
                <w:szCs w:val="22"/>
              </w:rPr>
              <w:t>“中国政府采购网”（http://www.ccgp.gov.cn/）；</w:t>
            </w:r>
          </w:p>
          <w:p>
            <w:pPr>
              <w:rPr>
                <w:rFonts w:ascii="新宋体" w:hAnsi="新宋体" w:eastAsia="新宋体" w:cs="新宋体"/>
                <w:sz w:val="22"/>
                <w:szCs w:val="22"/>
              </w:rPr>
            </w:pPr>
            <w:r>
              <w:rPr>
                <w:rFonts w:hint="eastAsia" w:ascii="新宋体" w:hAnsi="新宋体" w:eastAsia="新宋体" w:cs="新宋体"/>
                <w:sz w:val="22"/>
                <w:szCs w:val="22"/>
              </w:rPr>
              <w:t>（2）投标供应商信用信息查询截止时点：本项目投标截止时间。</w:t>
            </w:r>
          </w:p>
          <w:p>
            <w:pPr>
              <w:rPr>
                <w:rFonts w:ascii="新宋体" w:hAnsi="新宋体" w:eastAsia="新宋体" w:cs="新宋体"/>
                <w:sz w:val="22"/>
                <w:szCs w:val="22"/>
              </w:rPr>
            </w:pPr>
            <w:r>
              <w:rPr>
                <w:rFonts w:hint="eastAsia" w:ascii="新宋体" w:hAnsi="新宋体" w:eastAsia="新宋体" w:cs="新宋体"/>
                <w:sz w:val="22"/>
                <w:szCs w:val="22"/>
              </w:rPr>
              <w:t>（3）投标供应商信用信息查询记录和证据留存的具体方式：网页截图打印；</w:t>
            </w:r>
          </w:p>
          <w:p>
            <w:pPr>
              <w:rPr>
                <w:rFonts w:hint="eastAsia" w:ascii="新宋体" w:hAnsi="新宋体" w:eastAsia="新宋体" w:cs="新宋体"/>
                <w:sz w:val="22"/>
                <w:szCs w:val="22"/>
              </w:rPr>
            </w:pPr>
            <w:r>
              <w:rPr>
                <w:rFonts w:hint="eastAsia" w:ascii="新宋体" w:hAnsi="新宋体" w:eastAsia="新宋体" w:cs="新宋体"/>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hint="eastAsia" w:ascii="新宋体" w:hAnsi="新宋体" w:eastAsia="新宋体" w:cs="新宋体"/>
                <w:sz w:val="22"/>
                <w:szCs w:val="22"/>
              </w:rPr>
            </w:pPr>
            <w:r>
              <w:rPr>
                <w:rFonts w:hint="eastAsia" w:ascii="新宋体" w:hAnsi="新宋体" w:eastAsia="新宋体" w:cs="新宋体"/>
                <w:sz w:val="22"/>
                <w:szCs w:val="22"/>
              </w:rPr>
              <w:t>不良信用记录指：“信用中国”被列入失信被执行人、重大税收违法案件当事人名单或存在 《中华人民共和国政府采购法实施条例》第十九条规定的行政处罚记录（三万元以上（含三万）罚款金额视为较大数额罚款）；中国政府采购网被列入政府采购严重违法失信行为记录名单；</w:t>
            </w:r>
          </w:p>
          <w:p>
            <w:pPr>
              <w:rPr>
                <w:rFonts w:hint="eastAsia"/>
              </w:rPr>
            </w:pPr>
            <w:r>
              <w:rPr>
                <w:rFonts w:hint="eastAsia" w:ascii="新宋体" w:hAnsi="新宋体" w:eastAsia="新宋体" w:cs="新宋体"/>
                <w:bCs/>
                <w:sz w:val="22"/>
                <w:szCs w:val="22"/>
              </w:rPr>
              <w:t>（5）具体结果以开标当日采购人或采购代理机构对</w:t>
            </w:r>
            <w:r>
              <w:rPr>
                <w:rFonts w:hint="eastAsia" w:ascii="新宋体" w:hAnsi="新宋体" w:eastAsia="新宋体" w:cs="楷体"/>
                <w:kern w:val="0"/>
                <w:sz w:val="22"/>
                <w:szCs w:val="22"/>
              </w:rPr>
              <w:t>投标人信用查询网页的</w:t>
            </w:r>
            <w:r>
              <w:rPr>
                <w:rFonts w:hint="eastAsia" w:ascii="新宋体" w:hAnsi="新宋体" w:eastAsia="新宋体" w:cs="新宋体"/>
                <w:bCs/>
                <w:sz w:val="22"/>
                <w:szCs w:val="22"/>
              </w:rPr>
              <w:t>查询结果为准。</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28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sz w:val="22"/>
                <w:szCs w:val="22"/>
              </w:rPr>
              <w:t>合同备案</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新宋体" w:hAnsi="新宋体" w:eastAsia="新宋体" w:cs="新宋体"/>
                <w:sz w:val="22"/>
                <w:szCs w:val="22"/>
              </w:rPr>
            </w:pPr>
            <w:r>
              <w:rPr>
                <w:rFonts w:hint="eastAsia" w:ascii="新宋体" w:hAnsi="新宋体" w:eastAsia="新宋体" w:cs="新宋体"/>
                <w:sz w:val="22"/>
                <w:szCs w:val="22"/>
              </w:rPr>
              <w:t>（1）中标投标人须在中标通知书发出之日起30日历天内与采购人签订合同。</w:t>
            </w:r>
          </w:p>
          <w:p>
            <w:pPr>
              <w:jc w:val="left"/>
              <w:rPr>
                <w:rFonts w:hint="eastAsia" w:ascii="新宋体" w:hAnsi="新宋体" w:eastAsia="新宋体" w:cs="新宋体"/>
                <w:sz w:val="22"/>
                <w:szCs w:val="22"/>
                <w:u w:val="single"/>
              </w:rPr>
            </w:pPr>
            <w:r>
              <w:rPr>
                <w:rFonts w:hint="eastAsia" w:ascii="新宋体" w:hAnsi="新宋体" w:eastAsia="新宋体" w:cs="新宋体"/>
                <w:sz w:val="22"/>
                <w:szCs w:val="22"/>
              </w:rPr>
              <w:t>（2）中标投标人与采购人签订合同后，3日历天内将合同扫描件电子版发给招标代理机构邮箱：</w:t>
            </w:r>
            <w:r>
              <w:rPr>
                <w:rFonts w:ascii="新宋体" w:hAnsi="新宋体" w:eastAsia="新宋体" w:cs="新宋体"/>
                <w:sz w:val="22"/>
                <w:szCs w:val="22"/>
                <w:u w:val="single"/>
              </w:rPr>
              <w:fldChar w:fldCharType="begin"/>
            </w:r>
            <w:r>
              <w:rPr>
                <w:rFonts w:ascii="新宋体" w:hAnsi="新宋体" w:eastAsia="新宋体" w:cs="新宋体"/>
                <w:sz w:val="22"/>
                <w:szCs w:val="22"/>
                <w:u w:val="single"/>
              </w:rPr>
              <w:instrText xml:space="preserve"> HYPERLINK "mailto:</w:instrText>
            </w:r>
            <w:r>
              <w:rPr>
                <w:rFonts w:hint="eastAsia" w:ascii="新宋体" w:hAnsi="新宋体" w:eastAsia="新宋体" w:cs="新宋体"/>
                <w:sz w:val="22"/>
                <w:szCs w:val="22"/>
                <w:u w:val="single"/>
              </w:rPr>
              <w:instrText xml:space="preserve">158748323@qq.com</w:instrText>
            </w:r>
            <w:r>
              <w:rPr>
                <w:rFonts w:ascii="新宋体" w:hAnsi="新宋体" w:eastAsia="新宋体" w:cs="新宋体"/>
                <w:sz w:val="22"/>
                <w:szCs w:val="22"/>
                <w:u w:val="single"/>
              </w:rPr>
              <w:instrText xml:space="preserve">" </w:instrText>
            </w:r>
            <w:r>
              <w:rPr>
                <w:rFonts w:ascii="新宋体" w:hAnsi="新宋体" w:eastAsia="新宋体" w:cs="新宋体"/>
                <w:sz w:val="22"/>
                <w:szCs w:val="22"/>
                <w:u w:val="single"/>
              </w:rPr>
              <w:fldChar w:fldCharType="separate"/>
            </w:r>
            <w:r>
              <w:rPr>
                <w:rFonts w:hint="eastAsia" w:ascii="新宋体" w:hAnsi="新宋体" w:eastAsia="新宋体" w:cs="新宋体"/>
                <w:u w:val="single"/>
              </w:rPr>
              <w:t>109181756@qq.com</w:t>
            </w:r>
            <w:r>
              <w:rPr>
                <w:rFonts w:ascii="新宋体" w:hAnsi="新宋体" w:eastAsia="新宋体" w:cs="新宋体"/>
                <w:sz w:val="22"/>
                <w:szCs w:val="22"/>
                <w:u w:val="single"/>
              </w:rPr>
              <w:fldChar w:fldCharType="end"/>
            </w:r>
            <w:r>
              <w:rPr>
                <w:rFonts w:hint="eastAsia" w:ascii="新宋体" w:hAnsi="新宋体" w:eastAsia="新宋体" w:cs="新宋体"/>
                <w:sz w:val="22"/>
                <w:szCs w:val="22"/>
                <w:u w:val="single"/>
              </w:rPr>
              <w:t>。</w:t>
            </w:r>
          </w:p>
          <w:p>
            <w:pPr>
              <w:pStyle w:val="3"/>
              <w:rPr>
                <w:rFonts w:hint="eastAsia"/>
              </w:rPr>
            </w:pPr>
            <w:r>
              <w:rPr>
                <w:rFonts w:hint="eastAsia" w:ascii="新宋体" w:hAnsi="新宋体" w:eastAsia="新宋体" w:cs="新宋体"/>
                <w:sz w:val="22"/>
                <w:szCs w:val="22"/>
              </w:rPr>
              <w:t>（3）本项目政府采购合同按规定在浙江政府采购网予以公示。</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29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sz w:val="22"/>
                <w:szCs w:val="22"/>
              </w:rPr>
              <w:t>合同履约管理</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新宋体" w:hAnsi="新宋体" w:eastAsia="新宋体" w:cs="新宋体"/>
                <w:kern w:val="0"/>
                <w:sz w:val="22"/>
                <w:szCs w:val="22"/>
                <w:lang w:val="zh-CN"/>
              </w:rPr>
            </w:pPr>
            <w:r>
              <w:rPr>
                <w:rFonts w:hint="eastAsia" w:ascii="新宋体" w:hAnsi="新宋体" w:eastAsia="新宋体" w:cs="新宋体"/>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rPr>
              <w:t>30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lang w:val="zh-CN"/>
              </w:rPr>
            </w:pPr>
            <w:r>
              <w:rPr>
                <w:rFonts w:hint="eastAsia" w:ascii="新宋体" w:hAnsi="新宋体" w:eastAsia="新宋体" w:cs="新宋体"/>
                <w:sz w:val="22"/>
                <w:szCs w:val="22"/>
              </w:rPr>
              <w:t>解释权</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lang w:val="zh-CN"/>
              </w:rPr>
            </w:pPr>
            <w:r>
              <w:rPr>
                <w:rFonts w:hint="eastAsia" w:ascii="新宋体" w:hAnsi="新宋体" w:eastAsia="新宋体" w:cs="新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wBefore w:w="0" w:type="dxa"/>
          <w:wAfter w:w="0" w:type="dxa"/>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31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免责声明</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sz w:val="22"/>
                <w:szCs w:val="22"/>
              </w:rPr>
            </w:pPr>
            <w:r>
              <w:rPr>
                <w:rFonts w:hint="eastAsia" w:ascii="新宋体" w:hAnsi="新宋体" w:eastAsia="新宋体" w:cs="新宋体"/>
                <w:sz w:val="22"/>
                <w:szCs w:val="22"/>
              </w:rPr>
              <w:t>1、投标人自行承担投标过程中产生的费用。无论何种因素导致采购项目延期开标、废标（流标）、投标供应商未中标、项目终止采购的，采购人与代理机构均不承担供应商投标费用。</w:t>
            </w:r>
          </w:p>
          <w:p>
            <w:pPr>
              <w:rPr>
                <w:rFonts w:hint="eastAsia" w:ascii="新宋体" w:hAnsi="新宋体" w:eastAsia="新宋体" w:cs="新宋体"/>
                <w:sz w:val="22"/>
                <w:szCs w:val="22"/>
              </w:rPr>
            </w:pPr>
            <w:r>
              <w:rPr>
                <w:rFonts w:hint="eastAsia" w:ascii="新宋体" w:hAnsi="新宋体" w:eastAsia="新宋体" w:cs="新宋体"/>
                <w:sz w:val="22"/>
                <w:szCs w:val="22"/>
              </w:rPr>
              <w:t>2、投标人在投标、合同履行过程中必须做好安全保障工作，不因项目实施而危及自身及第三方人员、财产安全。若发生任何安全事故，由中标供应商自行承担一切责任并赔偿损失。</w:t>
            </w:r>
          </w:p>
        </w:tc>
      </w:tr>
    </w:tbl>
    <w:p>
      <w:pPr>
        <w:spacing w:line="500" w:lineRule="exact"/>
        <w:rPr>
          <w:rFonts w:hint="eastAsia" w:ascii="新宋体" w:hAnsi="新宋体" w:eastAsia="新宋体" w:cs="新宋体"/>
          <w:b/>
          <w:bCs/>
          <w:sz w:val="36"/>
          <w:szCs w:val="36"/>
        </w:rPr>
      </w:pPr>
    </w:p>
    <w:p>
      <w:pPr>
        <w:spacing w:line="500" w:lineRule="exact"/>
        <w:jc w:val="center"/>
        <w:rPr>
          <w:rFonts w:hint="eastAsia" w:ascii="新宋体" w:hAnsi="新宋体" w:eastAsia="新宋体" w:cs="新宋体"/>
          <w:b/>
          <w:bCs/>
          <w:sz w:val="36"/>
          <w:szCs w:val="36"/>
        </w:rPr>
      </w:pPr>
    </w:p>
    <w:p>
      <w:pPr>
        <w:pStyle w:val="6"/>
        <w:spacing w:line="500" w:lineRule="exact"/>
        <w:jc w:val="center"/>
        <w:rPr>
          <w:rFonts w:hint="eastAsia" w:ascii="新宋体" w:hAnsi="新宋体" w:eastAsia="新宋体"/>
          <w:sz w:val="24"/>
          <w:szCs w:val="24"/>
        </w:rPr>
      </w:pPr>
      <w:r>
        <w:rPr>
          <w:rFonts w:hint="eastAsia" w:ascii="新宋体" w:hAnsi="新宋体" w:eastAsia="新宋体" w:cs="新宋体"/>
          <w:sz w:val="36"/>
          <w:szCs w:val="36"/>
        </w:rPr>
        <w:br w:type="page"/>
      </w:r>
      <w:bookmarkStart w:id="36" w:name="_Toc223715995"/>
      <w:bookmarkStart w:id="37" w:name="_Toc221356883"/>
      <w:bookmarkStart w:id="38" w:name="_Toc265529380"/>
      <w:bookmarkStart w:id="39" w:name="_Toc221374623"/>
      <w:bookmarkStart w:id="40" w:name="_Toc222114876"/>
      <w:bookmarkStart w:id="41" w:name="_Toc34508130"/>
      <w:bookmarkStart w:id="42" w:name="_Toc221356948"/>
      <w:bookmarkStart w:id="43" w:name="_Toc221423616"/>
      <w:bookmarkStart w:id="44" w:name="_Toc239145351"/>
      <w:bookmarkStart w:id="45" w:name="_Toc34572029"/>
      <w:bookmarkStart w:id="46" w:name="_Toc241404199"/>
      <w:bookmarkStart w:id="47" w:name="_Toc393699549"/>
      <w:r>
        <w:rPr>
          <w:rFonts w:hint="eastAsia" w:ascii="新宋体" w:hAnsi="新宋体" w:eastAsia="新宋体"/>
          <w:sz w:val="24"/>
          <w:szCs w:val="24"/>
        </w:rPr>
        <w:t>一、  说明</w:t>
      </w:r>
      <w:bookmarkEnd w:id="36"/>
      <w:bookmarkEnd w:id="37"/>
      <w:bookmarkEnd w:id="38"/>
      <w:bookmarkEnd w:id="39"/>
      <w:bookmarkEnd w:id="40"/>
      <w:bookmarkEnd w:id="41"/>
      <w:bookmarkEnd w:id="42"/>
      <w:bookmarkEnd w:id="43"/>
      <w:bookmarkEnd w:id="44"/>
      <w:bookmarkEnd w:id="45"/>
      <w:bookmarkEnd w:id="46"/>
    </w:p>
    <w:p>
      <w:pPr>
        <w:tabs>
          <w:tab w:val="left" w:pos="540"/>
          <w:tab w:val="left" w:pos="90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 本次招标是根据《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hint="eastAsia" w:ascii="新宋体" w:hAnsi="新宋体" w:eastAsia="新宋体" w:cs="新宋体"/>
          <w:b/>
          <w:sz w:val="22"/>
          <w:szCs w:val="22"/>
        </w:rPr>
      </w:pPr>
      <w:r>
        <w:rPr>
          <w:rFonts w:hint="eastAsia" w:ascii="新宋体" w:hAnsi="新宋体" w:eastAsia="新宋体" w:cs="新宋体"/>
          <w:b/>
          <w:sz w:val="22"/>
          <w:szCs w:val="22"/>
        </w:rPr>
        <w:t>2. 合格投标人要求以招标公告对投标人资格条件要求的表述为准。</w:t>
      </w:r>
    </w:p>
    <w:p>
      <w:pPr>
        <w:tabs>
          <w:tab w:val="left" w:pos="540"/>
          <w:tab w:val="left" w:pos="90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3. 投标人代表</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指全权代表投标人参加投标活动并签署投标文件的人。如果投标人代表不是法定代表人，须持有《法定代表人授权书》。</w:t>
      </w:r>
    </w:p>
    <w:p>
      <w:pPr>
        <w:tabs>
          <w:tab w:val="left" w:pos="540"/>
          <w:tab w:val="left" w:pos="90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4.投标费用</w:t>
      </w:r>
    </w:p>
    <w:p>
      <w:pPr>
        <w:spacing w:line="44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投标人应承担所有与准备和参加投标有关费用，不论投标的结果如何，采购人和招标代理机构均无义务和责任承担这些费用。</w:t>
      </w:r>
    </w:p>
    <w:p>
      <w:pPr>
        <w:spacing w:line="400" w:lineRule="exact"/>
        <w:rPr>
          <w:rFonts w:ascii="宋体" w:hAnsi="宋体" w:cs="宋体"/>
          <w:bCs/>
          <w:spacing w:val="6"/>
          <w:sz w:val="22"/>
        </w:rPr>
      </w:pPr>
      <w:r>
        <w:rPr>
          <w:rFonts w:hint="eastAsia" w:ascii="宋体" w:hAnsi="宋体" w:cs="宋体"/>
          <w:bCs/>
          <w:spacing w:val="6"/>
          <w:sz w:val="22"/>
          <w:szCs w:val="22"/>
        </w:rPr>
        <w:t>5.优化政府采购金融服务</w:t>
      </w:r>
    </w:p>
    <w:p>
      <w:pPr>
        <w:spacing w:line="400" w:lineRule="exact"/>
        <w:rPr>
          <w:rFonts w:ascii="宋体" w:hAnsi="宋体" w:cs="宋体"/>
          <w:bCs/>
          <w:spacing w:val="6"/>
          <w:sz w:val="22"/>
        </w:rPr>
      </w:pPr>
      <w:r>
        <w:rPr>
          <w:rFonts w:hint="eastAsia" w:ascii="宋体" w:hAnsi="宋体" w:cs="宋体"/>
          <w:bCs/>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宋体" w:hAnsi="宋体" w:cs="宋体"/>
          <w:bCs/>
          <w:spacing w:val="6"/>
          <w:sz w:val="22"/>
        </w:rPr>
      </w:pPr>
      <w:r>
        <w:rPr>
          <w:rFonts w:hint="eastAsia" w:ascii="宋体" w:hAnsi="宋体" w:cs="宋体"/>
          <w:bCs/>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宋体" w:hAnsi="宋体" w:cs="宋体"/>
          <w:bCs/>
          <w:spacing w:val="6"/>
          <w:sz w:val="22"/>
        </w:rPr>
      </w:pPr>
      <w:r>
        <w:rPr>
          <w:rFonts w:hint="eastAsia" w:ascii="宋体" w:hAnsi="宋体" w:cs="宋体"/>
          <w:bCs/>
          <w:spacing w:val="6"/>
          <w:sz w:val="22"/>
          <w:szCs w:val="22"/>
        </w:rPr>
        <w:t>6.特别说明：</w:t>
      </w:r>
    </w:p>
    <w:p>
      <w:pPr>
        <w:spacing w:line="400" w:lineRule="exact"/>
        <w:rPr>
          <w:rFonts w:ascii="宋体" w:hAnsi="宋体" w:cs="宋体"/>
          <w:bCs/>
          <w:spacing w:val="6"/>
          <w:sz w:val="22"/>
        </w:rPr>
      </w:pPr>
      <w:r>
        <w:rPr>
          <w:rFonts w:hint="eastAsia" w:ascii="宋体" w:hAnsi="宋体" w:cs="宋体"/>
          <w:bCs/>
          <w:spacing w:val="6"/>
          <w:sz w:val="22"/>
          <w:szCs w:val="22"/>
        </w:rPr>
        <w:t>6.1投标人应仔细阅读采购文件的所有内容，按照采购文件的要求提交投标文件，并对所提供的全部资料的真实性承担法律责任。</w:t>
      </w:r>
    </w:p>
    <w:p>
      <w:pPr>
        <w:spacing w:line="400" w:lineRule="exact"/>
        <w:rPr>
          <w:rFonts w:ascii="宋体" w:hAnsi="宋体" w:cs="宋体"/>
          <w:bCs/>
          <w:spacing w:val="6"/>
          <w:sz w:val="22"/>
        </w:rPr>
      </w:pPr>
      <w:r>
        <w:rPr>
          <w:rFonts w:hint="eastAsia" w:ascii="宋体" w:hAnsi="宋体" w:cs="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宋体" w:hAnsi="宋体" w:cs="宋体"/>
          <w:bCs/>
          <w:spacing w:val="6"/>
          <w:sz w:val="22"/>
        </w:rPr>
      </w:pPr>
      <w:r>
        <w:rPr>
          <w:rFonts w:hint="eastAsia" w:ascii="宋体" w:hAnsi="宋体" w:cs="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宋体" w:hAnsi="宋体" w:cs="宋体"/>
          <w:bCs/>
          <w:spacing w:val="6"/>
          <w:sz w:val="22"/>
        </w:rPr>
      </w:pPr>
      <w:r>
        <w:rPr>
          <w:rFonts w:hint="eastAsia" w:ascii="宋体" w:hAnsi="宋体" w:cs="宋体"/>
          <w:bCs/>
          <w:spacing w:val="6"/>
          <w:sz w:val="22"/>
          <w:szCs w:val="22"/>
        </w:rPr>
        <w:t>注：所有核心产品品牌均相同按同品牌投标人计算。</w:t>
      </w:r>
    </w:p>
    <w:p>
      <w:pPr>
        <w:spacing w:line="400" w:lineRule="exact"/>
        <w:rPr>
          <w:rFonts w:ascii="宋体" w:hAnsi="宋体" w:cs="宋体"/>
          <w:bCs/>
          <w:spacing w:val="6"/>
          <w:sz w:val="22"/>
        </w:rPr>
      </w:pPr>
      <w:r>
        <w:rPr>
          <w:rFonts w:hint="eastAsia" w:ascii="宋体" w:hAnsi="宋体" w:cs="宋体"/>
          <w:bCs/>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宋体" w:hAnsi="宋体" w:cs="宋体"/>
          <w:bCs/>
          <w:spacing w:val="6"/>
          <w:sz w:val="22"/>
        </w:rPr>
      </w:pPr>
      <w:r>
        <w:rPr>
          <w:rFonts w:hint="eastAsia" w:ascii="宋体" w:hAnsi="宋体" w:cs="宋体"/>
          <w:bCs/>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hint="eastAsia" w:ascii="宋体" w:hAnsi="宋体" w:cs="宋体"/>
          <w:bCs/>
          <w:kern w:val="0"/>
          <w:sz w:val="22"/>
          <w:szCs w:val="22"/>
          <w:lang w:val="zh-CN"/>
        </w:rPr>
      </w:pPr>
      <w:r>
        <w:rPr>
          <w:rFonts w:hint="eastAsia" w:ascii="宋体" w:hAnsi="宋体" w:cs="宋体"/>
          <w:bCs/>
          <w:spacing w:val="6"/>
          <w:sz w:val="22"/>
          <w:szCs w:val="22"/>
        </w:rPr>
        <w:t>6.5</w:t>
      </w:r>
      <w:r>
        <w:rPr>
          <w:rFonts w:hint="eastAsia" w:ascii="宋体" w:hAnsi="宋体" w:cs="宋体"/>
          <w:bCs/>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3"/>
        <w:spacing w:line="400" w:lineRule="exact"/>
        <w:rPr>
          <w:rFonts w:hint="eastAsia" w:ascii="宋体" w:hAnsi="宋体" w:cs="宋体"/>
          <w:bCs/>
          <w:kern w:val="0"/>
          <w:sz w:val="22"/>
          <w:szCs w:val="22"/>
          <w:lang w:val="zh-CN"/>
        </w:rPr>
      </w:pPr>
      <w:r>
        <w:rPr>
          <w:rFonts w:hint="eastAsia" w:ascii="宋体" w:hAnsi="宋体" w:cs="宋体"/>
          <w:bCs/>
          <w:spacing w:val="6"/>
          <w:sz w:val="22"/>
          <w:szCs w:val="22"/>
        </w:rPr>
        <w:t>6.6投标人提供得货物中如使用其他公司的相关专利，应在标书中出示相关授权，如未出示但使用了其他公司的专利，导致供应商中标而引起相关诉讼，由投标人承担</w:t>
      </w:r>
      <w:r>
        <w:rPr>
          <w:rFonts w:hint="eastAsia" w:ascii="宋体" w:hAnsi="宋体" w:cs="宋体"/>
          <w:bCs/>
          <w:kern w:val="0"/>
          <w:sz w:val="22"/>
          <w:szCs w:val="22"/>
          <w:lang w:val="zh-CN"/>
        </w:rPr>
        <w:t>。</w:t>
      </w:r>
    </w:p>
    <w:p>
      <w:pPr>
        <w:pStyle w:val="2"/>
        <w:spacing w:line="400" w:lineRule="exact"/>
        <w:ind w:firstLine="0" w:firstLineChars="0"/>
        <w:rPr>
          <w:rFonts w:hint="eastAsia" w:ascii="宋体" w:hAnsi="宋体" w:cs="宋体"/>
          <w:b w:val="0"/>
          <w:bCs/>
          <w:spacing w:val="6"/>
          <w:kern w:val="2"/>
          <w:sz w:val="22"/>
          <w:szCs w:val="22"/>
        </w:rPr>
      </w:pPr>
      <w:r>
        <w:rPr>
          <w:rFonts w:hint="eastAsia" w:ascii="宋体" w:hAnsi="宋体" w:cs="宋体"/>
          <w:b w:val="0"/>
          <w:bCs/>
          <w:spacing w:val="6"/>
          <w:kern w:val="2"/>
          <w:sz w:val="22"/>
          <w:szCs w:val="22"/>
        </w:rPr>
        <w:t>6.7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pStyle w:val="2"/>
        <w:spacing w:line="400" w:lineRule="exact"/>
        <w:ind w:firstLine="0" w:firstLineChars="0"/>
        <w:rPr>
          <w:rFonts w:hint="eastAsia" w:ascii="宋体" w:hAnsi="宋体" w:cs="宋体"/>
          <w:b w:val="0"/>
          <w:bCs/>
          <w:spacing w:val="6"/>
          <w:kern w:val="2"/>
          <w:sz w:val="22"/>
          <w:szCs w:val="22"/>
        </w:rPr>
      </w:pPr>
      <w:r>
        <w:rPr>
          <w:rFonts w:hint="eastAsia" w:ascii="宋体" w:hAnsi="宋体" w:cs="宋体"/>
          <w:b w:val="0"/>
          <w:bCs/>
          <w:spacing w:val="6"/>
          <w:kern w:val="2"/>
          <w:sz w:val="22"/>
          <w:szCs w:val="22"/>
        </w:rPr>
        <w:t>6.8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pStyle w:val="6"/>
        <w:spacing w:line="500" w:lineRule="exact"/>
        <w:jc w:val="center"/>
        <w:rPr>
          <w:rFonts w:hint="eastAsia" w:ascii="新宋体" w:hAnsi="新宋体" w:eastAsia="新宋体"/>
          <w:sz w:val="24"/>
          <w:szCs w:val="24"/>
        </w:rPr>
      </w:pPr>
      <w:bookmarkStart w:id="48" w:name="_Toc221374624"/>
      <w:bookmarkStart w:id="49" w:name="_Toc241404200"/>
      <w:bookmarkStart w:id="50" w:name="_Toc221356884"/>
      <w:bookmarkStart w:id="51" w:name="_Toc221423617"/>
      <w:bookmarkStart w:id="52" w:name="_Toc223715996"/>
      <w:bookmarkStart w:id="53" w:name="_Toc265529381"/>
      <w:bookmarkStart w:id="54" w:name="_Toc34508131"/>
      <w:bookmarkStart w:id="55" w:name="_Toc221356949"/>
      <w:bookmarkStart w:id="56" w:name="_Toc239145352"/>
      <w:bookmarkStart w:id="57" w:name="_Toc222114877"/>
      <w:bookmarkStart w:id="58" w:name="_Toc34572030"/>
      <w:r>
        <w:rPr>
          <w:rFonts w:hint="eastAsia" w:ascii="新宋体" w:hAnsi="新宋体" w:eastAsia="新宋体"/>
          <w:sz w:val="24"/>
          <w:szCs w:val="24"/>
        </w:rPr>
        <w:t>二、 采购文件</w:t>
      </w:r>
      <w:bookmarkEnd w:id="48"/>
      <w:bookmarkEnd w:id="49"/>
      <w:bookmarkEnd w:id="50"/>
      <w:bookmarkEnd w:id="51"/>
      <w:bookmarkEnd w:id="52"/>
      <w:bookmarkEnd w:id="53"/>
      <w:bookmarkEnd w:id="54"/>
      <w:bookmarkEnd w:id="55"/>
      <w:bookmarkEnd w:id="56"/>
      <w:bookmarkEnd w:id="57"/>
      <w:bookmarkEnd w:id="58"/>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7.采购文件由采购文件目录所列内容及相关资料组成。</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8.质疑</w:t>
      </w:r>
    </w:p>
    <w:p>
      <w:pPr>
        <w:tabs>
          <w:tab w:val="left" w:pos="540"/>
        </w:tabs>
        <w:spacing w:line="460" w:lineRule="exact"/>
        <w:rPr>
          <w:rFonts w:hint="eastAsia" w:ascii="宋体" w:hAnsi="宋体" w:cs="宋体"/>
          <w:spacing w:val="6"/>
          <w:sz w:val="22"/>
        </w:rPr>
      </w:pPr>
      <w:r>
        <w:rPr>
          <w:rFonts w:hint="eastAsia" w:ascii="新宋体" w:hAnsi="新宋体" w:eastAsia="新宋体" w:cs="新宋体"/>
          <w:sz w:val="22"/>
          <w:szCs w:val="22"/>
        </w:rPr>
        <w:t>8.1</w:t>
      </w:r>
      <w:r>
        <w:rPr>
          <w:rFonts w:hint="eastAsia" w:ascii="宋体" w:hAnsi="宋体" w:cs="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hint="eastAsia" w:ascii="宋体" w:hAnsi="宋体" w:cs="宋体"/>
          <w:spacing w:val="6"/>
          <w:sz w:val="22"/>
        </w:rPr>
      </w:pPr>
      <w:r>
        <w:rPr>
          <w:rFonts w:hint="eastAsia" w:ascii="宋体" w:hAnsi="宋体" w:cs="宋体"/>
          <w:spacing w:val="6"/>
          <w:sz w:val="22"/>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hint="eastAsia" w:ascii="宋体" w:hAnsi="宋体" w:cs="宋体"/>
          <w:bCs/>
          <w:spacing w:val="6"/>
          <w:sz w:val="22"/>
        </w:rPr>
      </w:pPr>
      <w:r>
        <w:rPr>
          <w:rFonts w:hint="eastAsia" w:ascii="宋体" w:hAnsi="宋体" w:cs="宋体"/>
          <w:spacing w:val="6"/>
          <w:sz w:val="22"/>
        </w:rPr>
        <w:t>8.3提出质疑的投标人应当是参与本项目招标活动的投标人。</w:t>
      </w:r>
      <w:r>
        <w:rPr>
          <w:rFonts w:hint="eastAsia" w:ascii="宋体" w:hAnsi="宋体" w:cs="宋体"/>
          <w:bCs/>
          <w:spacing w:val="6"/>
          <w:sz w:val="22"/>
        </w:rPr>
        <w:t>投标人在法定质疑期内一次性提出针对同一采购程序环节的质疑。</w:t>
      </w:r>
    </w:p>
    <w:p>
      <w:pPr>
        <w:tabs>
          <w:tab w:val="left" w:pos="540"/>
        </w:tabs>
        <w:spacing w:line="460" w:lineRule="exact"/>
        <w:rPr>
          <w:rFonts w:hint="eastAsia" w:ascii="宋体" w:hAnsi="宋体" w:cs="宋体"/>
          <w:spacing w:val="6"/>
          <w:sz w:val="22"/>
        </w:rPr>
      </w:pPr>
      <w:r>
        <w:rPr>
          <w:rFonts w:hint="eastAsia" w:ascii="宋体" w:hAnsi="宋体" w:cs="宋体"/>
          <w:bCs/>
          <w:spacing w:val="6"/>
          <w:sz w:val="22"/>
        </w:rPr>
        <w:t>8.4</w:t>
      </w:r>
      <w:r>
        <w:rPr>
          <w:rFonts w:hint="eastAsia" w:ascii="宋体" w:hAnsi="宋体" w:cs="宋体"/>
          <w:spacing w:val="6"/>
          <w:sz w:val="22"/>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hint="eastAsia" w:ascii="宋体" w:hAnsi="宋体" w:cs="宋体"/>
          <w:spacing w:val="6"/>
          <w:sz w:val="22"/>
        </w:rPr>
      </w:pPr>
      <w:r>
        <w:rPr>
          <w:rFonts w:hint="eastAsia" w:ascii="宋体" w:hAnsi="宋体" w:cs="宋体"/>
          <w:spacing w:val="6"/>
          <w:sz w:val="22"/>
        </w:rPr>
        <w:t>9.投诉</w:t>
      </w:r>
    </w:p>
    <w:p>
      <w:pPr>
        <w:tabs>
          <w:tab w:val="left" w:pos="540"/>
        </w:tabs>
        <w:spacing w:line="460" w:lineRule="exact"/>
        <w:rPr>
          <w:rFonts w:hint="eastAsia" w:ascii="新宋体" w:hAnsi="新宋体" w:eastAsia="新宋体" w:cs="新宋体"/>
          <w:sz w:val="22"/>
          <w:szCs w:val="22"/>
        </w:rPr>
      </w:pPr>
      <w:r>
        <w:rPr>
          <w:rFonts w:hint="eastAsia" w:ascii="宋体" w:hAnsi="宋体" w:cs="宋体"/>
          <w:spacing w:val="6"/>
          <w:sz w:val="22"/>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10.采购文件的澄清或修改</w:t>
      </w:r>
    </w:p>
    <w:p>
      <w:pPr>
        <w:spacing w:line="400" w:lineRule="exact"/>
        <w:rPr>
          <w:rFonts w:ascii="宋体" w:hAnsi="宋体" w:cs="宋体"/>
          <w:spacing w:val="6"/>
          <w:sz w:val="22"/>
        </w:rPr>
      </w:pPr>
      <w:r>
        <w:rPr>
          <w:rFonts w:hint="eastAsia" w:ascii="宋体" w:hAnsi="宋体" w:cs="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pPr>
        <w:spacing w:line="400" w:lineRule="exact"/>
        <w:rPr>
          <w:rFonts w:hint="eastAsia" w:ascii="宋体" w:hAnsi="宋体" w:cs="宋体"/>
          <w:spacing w:val="6"/>
          <w:sz w:val="22"/>
        </w:rPr>
      </w:pPr>
      <w:r>
        <w:rPr>
          <w:rFonts w:hint="eastAsia" w:ascii="宋体" w:hAnsi="宋体" w:cs="宋体"/>
          <w:spacing w:val="6"/>
          <w:sz w:val="22"/>
        </w:rPr>
        <w:t>10.2澄清或者修改的内容可能影响投标文件编制的，采购人或者采购代理机构应当在投标截止时间至少15日前，以书面形式（在浙江政府采购网上发布公告）通知所有获取采购文件的潜在投标人；不足15日的，采购人或者采购代理机构应当顺延提交投标文件的截止时间。</w:t>
      </w:r>
    </w:p>
    <w:p>
      <w:pPr>
        <w:tabs>
          <w:tab w:val="left" w:pos="540"/>
        </w:tabs>
        <w:spacing w:line="460" w:lineRule="exact"/>
        <w:rPr>
          <w:rFonts w:hint="eastAsia" w:ascii="新宋体" w:hAnsi="新宋体" w:eastAsia="新宋体" w:cs="新宋体"/>
          <w:sz w:val="22"/>
          <w:szCs w:val="22"/>
        </w:rPr>
      </w:pPr>
      <w:r>
        <w:rPr>
          <w:rFonts w:hint="eastAsia" w:ascii="宋体" w:hAnsi="宋体" w:cs="宋体"/>
          <w:spacing w:val="6"/>
          <w:sz w:val="22"/>
        </w:rPr>
        <w:t>10.3采购文件如有补充更正均见“政采云”（http://www.zjzfcg.gov.cn）。投标人须在开标前一日自行查看是否有补充更正文件，并按补充更正文件要求投标，否则责任自负。</w:t>
      </w:r>
    </w:p>
    <w:p>
      <w:pPr>
        <w:pStyle w:val="6"/>
        <w:spacing w:line="500" w:lineRule="exact"/>
        <w:jc w:val="center"/>
        <w:rPr>
          <w:rFonts w:hint="eastAsia" w:ascii="新宋体" w:hAnsi="新宋体" w:eastAsia="新宋体"/>
          <w:sz w:val="24"/>
          <w:szCs w:val="24"/>
        </w:rPr>
      </w:pPr>
      <w:bookmarkStart w:id="59" w:name="_Toc221374625"/>
      <w:bookmarkStart w:id="60" w:name="_Toc221423618"/>
      <w:bookmarkStart w:id="61" w:name="_Toc222114878"/>
      <w:bookmarkStart w:id="62" w:name="_Toc265529382"/>
      <w:bookmarkStart w:id="63" w:name="_Toc34508132"/>
      <w:bookmarkStart w:id="64" w:name="_Toc34572031"/>
      <w:bookmarkStart w:id="65" w:name="_Toc241404201"/>
      <w:bookmarkStart w:id="66" w:name="_Toc239145353"/>
      <w:bookmarkStart w:id="67" w:name="_Toc221356950"/>
      <w:bookmarkStart w:id="68" w:name="_Toc223715997"/>
      <w:bookmarkStart w:id="69" w:name="_Toc221356885"/>
      <w:r>
        <w:rPr>
          <w:rFonts w:hint="eastAsia" w:ascii="新宋体" w:hAnsi="新宋体" w:eastAsia="新宋体"/>
          <w:sz w:val="24"/>
          <w:szCs w:val="24"/>
        </w:rPr>
        <w:t>三、 投标文件的编制</w:t>
      </w:r>
      <w:bookmarkEnd w:id="59"/>
      <w:bookmarkEnd w:id="60"/>
      <w:bookmarkEnd w:id="61"/>
      <w:bookmarkEnd w:id="62"/>
      <w:bookmarkEnd w:id="63"/>
      <w:bookmarkEnd w:id="64"/>
      <w:bookmarkEnd w:id="65"/>
      <w:bookmarkEnd w:id="66"/>
      <w:bookmarkEnd w:id="67"/>
      <w:bookmarkEnd w:id="68"/>
      <w:bookmarkEnd w:id="69"/>
    </w:p>
    <w:p>
      <w:pPr>
        <w:spacing w:line="440" w:lineRule="exact"/>
        <w:rPr>
          <w:rFonts w:hint="eastAsia" w:ascii="新宋体" w:hAnsi="新宋体" w:eastAsia="新宋体" w:cs="新宋体"/>
          <w:snapToGrid w:val="0"/>
          <w:sz w:val="22"/>
          <w:szCs w:val="22"/>
        </w:rPr>
      </w:pPr>
      <w:bookmarkStart w:id="70" w:name="_Toc221356886"/>
      <w:r>
        <w:rPr>
          <w:rFonts w:hint="eastAsia" w:ascii="新宋体" w:hAnsi="新宋体" w:eastAsia="新宋体" w:cs="新宋体"/>
          <w:snapToGrid w:val="0"/>
          <w:sz w:val="22"/>
          <w:szCs w:val="22"/>
        </w:rPr>
        <w:t>11. 投标文件的形式和效力</w:t>
      </w:r>
    </w:p>
    <w:p>
      <w:pPr>
        <w:spacing w:line="440" w:lineRule="exac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rPr>
        <w:t>11.1投标文件分为 “电子加密投标文件”和“备份投标文件”两类，在投标文件编制完成后同时生成。</w:t>
      </w:r>
    </w:p>
    <w:p>
      <w:pPr>
        <w:spacing w:line="440" w:lineRule="exac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rPr>
        <w:t>11.2“电子加密投标文件”是指通过“政采云电子交易客户端”完成投标文件编制后生成并加密的数据电文形式的投标文件。</w:t>
      </w:r>
    </w:p>
    <w:p>
      <w:pPr>
        <w:spacing w:line="440" w:lineRule="exac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rPr>
        <w:t>11.3“备份投标文件”是指与“电子加密投标文件”同时生成的数据电文形式的电子文件（备份标书），其他方式编制的备份投标文件视为无效备份投标文件。</w:t>
      </w:r>
    </w:p>
    <w:p>
      <w:pPr>
        <w:spacing w:line="440" w:lineRule="exac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rPr>
        <w:t>11.4投标文件的启用，按先后顺位分别为“电子加密投标文件”、 “备份投标文件”。在下一顺位的投标文件启用时，前一顺位的投标文件自动失效。</w:t>
      </w:r>
    </w:p>
    <w:p>
      <w:pPr>
        <w:spacing w:line="440" w:lineRule="exac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rPr>
        <w:t>12. 投标文件的构成</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b/>
          <w:bCs/>
          <w:sz w:val="22"/>
          <w:szCs w:val="22"/>
        </w:rPr>
        <w:t>12.1 投标文件包括资格审查资料、商务技术文件、报价文件三部分。</w:t>
      </w:r>
    </w:p>
    <w:p>
      <w:pPr>
        <w:spacing w:line="43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12.2 投标文件资格审查资料须包括下列部分：</w:t>
      </w:r>
    </w:p>
    <w:p>
      <w:pPr>
        <w:pStyle w:val="3"/>
        <w:rPr>
          <w:rFonts w:hint="eastAsia"/>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noWrap w:val="0"/>
            <w:vAlign w:val="center"/>
          </w:tcPr>
          <w:p>
            <w:pPr>
              <w:overflowPunct w:val="0"/>
              <w:spacing w:line="43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序号</w:t>
            </w:r>
          </w:p>
        </w:tc>
        <w:tc>
          <w:tcPr>
            <w:tcW w:w="9115" w:type="dxa"/>
            <w:noWrap w:val="0"/>
            <w:vAlign w:val="center"/>
          </w:tcPr>
          <w:p>
            <w:pPr>
              <w:overflowPunct w:val="0"/>
              <w:spacing w:line="430" w:lineRule="exact"/>
              <w:jc w:val="center"/>
              <w:rPr>
                <w:rFonts w:hint="eastAsia" w:ascii="新宋体" w:hAnsi="新宋体" w:eastAsia="新宋体" w:cs="新宋体"/>
                <w:b/>
                <w:sz w:val="22"/>
                <w:szCs w:val="22"/>
              </w:rPr>
            </w:pPr>
            <w:r>
              <w:rPr>
                <w:rFonts w:hint="eastAsia" w:ascii="新宋体" w:hAnsi="新宋体" w:eastAsia="新宋体" w:cs="新宋体"/>
                <w:b/>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sz w:val="22"/>
                <w:szCs w:val="22"/>
              </w:rPr>
            </w:pPr>
            <w:bookmarkStart w:id="71" w:name="_Hlk16667472"/>
            <w:r>
              <w:rPr>
                <w:rFonts w:hint="eastAsia" w:ascii="新宋体" w:hAnsi="新宋体" w:eastAsia="新宋体" w:cs="新宋体"/>
                <w:bCs/>
                <w:sz w:val="22"/>
                <w:szCs w:val="22"/>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kern w:val="0"/>
                <w:sz w:val="22"/>
                <w:szCs w:val="22"/>
              </w:rPr>
            </w:pPr>
            <w:r>
              <w:rPr>
                <w:rFonts w:hint="eastAsia" w:ascii="新宋体" w:hAnsi="新宋体" w:eastAsia="新宋体" w:cs="楷体"/>
                <w:kern w:val="0"/>
                <w:sz w:val="22"/>
                <w:szCs w:val="22"/>
              </w:rPr>
              <w:t>法定代表人声明书或法定代表人授权书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sz w:val="22"/>
                <w:szCs w:val="22"/>
              </w:rPr>
            </w:pPr>
            <w:r>
              <w:rPr>
                <w:rFonts w:hint="eastAsia" w:ascii="新宋体" w:hAnsi="新宋体" w:eastAsia="新宋体" w:cs="新宋体"/>
                <w:bCs/>
                <w:sz w:val="22"/>
                <w:szCs w:val="22"/>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kern w:val="0"/>
                <w:sz w:val="22"/>
                <w:szCs w:val="22"/>
              </w:rPr>
            </w:pPr>
            <w:r>
              <w:rPr>
                <w:rFonts w:hint="eastAsia" w:ascii="新宋体" w:hAnsi="新宋体" w:eastAsia="新宋体" w:cs="楷体"/>
                <w:kern w:val="0"/>
                <w:sz w:val="22"/>
                <w:szCs w:val="22"/>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sz w:val="22"/>
                <w:szCs w:val="22"/>
              </w:rPr>
            </w:pPr>
            <w:r>
              <w:rPr>
                <w:rFonts w:hint="eastAsia" w:ascii="新宋体" w:hAnsi="新宋体" w:eastAsia="新宋体" w:cs="新宋体"/>
                <w:bCs/>
                <w:sz w:val="22"/>
                <w:szCs w:val="22"/>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kern w:val="0"/>
                <w:sz w:val="22"/>
                <w:szCs w:val="22"/>
              </w:rPr>
            </w:pPr>
            <w:r>
              <w:rPr>
                <w:rFonts w:hint="eastAsia" w:ascii="新宋体" w:hAnsi="新宋体" w:eastAsia="新宋体" w:cs="楷体"/>
                <w:kern w:val="0"/>
                <w:sz w:val="22"/>
                <w:szCs w:val="22"/>
              </w:rPr>
              <w:t>供应商参与政府采购活动投标资格声明函（见附件）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sz w:val="22"/>
                <w:szCs w:val="22"/>
              </w:rPr>
            </w:pPr>
            <w:r>
              <w:rPr>
                <w:rFonts w:hint="eastAsia" w:ascii="新宋体" w:hAnsi="新宋体" w:eastAsia="新宋体" w:cs="新宋体"/>
                <w:bCs/>
                <w:sz w:val="22"/>
                <w:szCs w:val="22"/>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kern w:val="0"/>
                <w:sz w:val="22"/>
                <w:szCs w:val="22"/>
              </w:rPr>
            </w:pPr>
            <w:r>
              <w:rPr>
                <w:rFonts w:hint="eastAsia" w:ascii="新宋体" w:hAnsi="新宋体" w:eastAsia="新宋体" w:cs="楷体"/>
                <w:kern w:val="0"/>
                <w:sz w:val="22"/>
                <w:szCs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sz w:val="22"/>
                <w:szCs w:val="22"/>
              </w:rPr>
            </w:pPr>
            <w:r>
              <w:rPr>
                <w:rFonts w:hint="eastAsia" w:ascii="新宋体" w:hAnsi="新宋体" w:eastAsia="新宋体" w:cs="新宋体"/>
                <w:bCs/>
                <w:sz w:val="22"/>
                <w:szCs w:val="22"/>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b/>
                <w:kern w:val="0"/>
                <w:sz w:val="22"/>
                <w:szCs w:val="22"/>
              </w:rPr>
            </w:pPr>
            <w:r>
              <w:rPr>
                <w:rFonts w:hint="eastAsia" w:ascii="新宋体" w:hAnsi="新宋体" w:eastAsia="新宋体" w:cs="楷体"/>
                <w:kern w:val="0"/>
                <w:sz w:val="22"/>
                <w:szCs w:val="22"/>
              </w:rPr>
              <w:t>至本项目投标截止时间内任意时间的“信用中国（https://www.creditchina.gov.cn/）”、“中国政府采购网（http://www.ccgp.gov.cn/）”投标人信用查询网页截图（以开标当日采购人或采购代理机构网页查询结果为准）。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新宋体" w:hAnsi="新宋体" w:eastAsia="新宋体" w:cs="新宋体"/>
                <w:bCs/>
                <w:sz w:val="22"/>
                <w:szCs w:val="22"/>
              </w:rPr>
            </w:pPr>
            <w:r>
              <w:rPr>
                <w:rFonts w:hint="eastAsia" w:ascii="新宋体" w:hAnsi="新宋体" w:eastAsia="新宋体" w:cs="新宋体"/>
                <w:bCs/>
                <w:sz w:val="22"/>
                <w:szCs w:val="22"/>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楷体"/>
                <w:kern w:val="0"/>
                <w:sz w:val="22"/>
                <w:szCs w:val="22"/>
              </w:rPr>
            </w:pPr>
            <w:r>
              <w:rPr>
                <w:rFonts w:ascii="新宋体" w:hAnsi="新宋体" w:eastAsia="新宋体" w:cs="新宋体"/>
                <w:sz w:val="22"/>
                <w:szCs w:val="22"/>
              </w:rPr>
              <w:t>特定资格条件</w:t>
            </w:r>
            <w:r>
              <w:rPr>
                <w:rFonts w:hint="eastAsia" w:ascii="新宋体" w:hAnsi="新宋体" w:eastAsia="新宋体" w:cs="新宋体"/>
                <w:sz w:val="22"/>
                <w:szCs w:val="22"/>
              </w:rPr>
              <w:t>：无</w:t>
            </w:r>
          </w:p>
        </w:tc>
      </w:tr>
      <w:bookmarkEnd w:id="71"/>
    </w:tbl>
    <w:p>
      <w:pPr>
        <w:spacing w:line="430" w:lineRule="exact"/>
        <w:rPr>
          <w:rFonts w:hint="eastAsia" w:ascii="新宋体" w:hAnsi="新宋体" w:eastAsia="新宋体" w:cs="新宋体"/>
          <w:b/>
          <w:bCs/>
          <w:sz w:val="22"/>
          <w:szCs w:val="22"/>
        </w:rPr>
      </w:pPr>
    </w:p>
    <w:p>
      <w:pPr>
        <w:spacing w:line="43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备注：</w:t>
      </w:r>
    </w:p>
    <w:p>
      <w:pPr>
        <w:spacing w:line="43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(1)本表所列内容，供应商均须提供，欠缺任意一项内容，资格审查不予通过，不再进入技术资信标评审。（投标供应商法定代表人参加投标的，不需要提供第1</w:t>
      </w:r>
      <w:r>
        <w:rPr>
          <w:rFonts w:ascii="新宋体" w:hAnsi="新宋体" w:eastAsia="新宋体" w:cs="新宋体"/>
          <w:sz w:val="22"/>
          <w:szCs w:val="22"/>
        </w:rPr>
        <w:t>项</w:t>
      </w:r>
      <w:r>
        <w:rPr>
          <w:rFonts w:hint="eastAsia" w:ascii="新宋体" w:hAnsi="新宋体" w:eastAsia="新宋体" w:cs="新宋体"/>
          <w:sz w:val="22"/>
          <w:szCs w:val="22"/>
        </w:rPr>
        <w:t>法定代表人（单位负责人）授权书</w:t>
      </w:r>
      <w:r>
        <w:rPr>
          <w:rFonts w:ascii="新宋体" w:hAnsi="新宋体" w:eastAsia="新宋体" w:cs="新宋体"/>
          <w:sz w:val="22"/>
          <w:szCs w:val="22"/>
        </w:rPr>
        <w:t>；第</w:t>
      </w:r>
      <w:r>
        <w:rPr>
          <w:rFonts w:hint="eastAsia" w:ascii="新宋体" w:hAnsi="新宋体" w:eastAsia="新宋体" w:cs="新宋体"/>
          <w:sz w:val="22"/>
          <w:szCs w:val="22"/>
        </w:rPr>
        <w:t>6</w:t>
      </w:r>
      <w:r>
        <w:rPr>
          <w:rFonts w:ascii="新宋体" w:hAnsi="新宋体" w:eastAsia="新宋体" w:cs="新宋体"/>
          <w:sz w:val="22"/>
          <w:szCs w:val="22"/>
        </w:rPr>
        <w:t>项内容如供应商资格条件未要求特定资格条件的，则不需要提供。）</w:t>
      </w:r>
    </w:p>
    <w:p>
      <w:pPr>
        <w:spacing w:line="430" w:lineRule="exact"/>
        <w:ind w:firstLine="207" w:firstLineChars="98"/>
        <w:rPr>
          <w:rFonts w:hint="eastAsia" w:ascii="新宋体" w:hAnsi="新宋体" w:eastAsia="新宋体" w:cs="新宋体"/>
          <w:sz w:val="22"/>
          <w:szCs w:val="22"/>
        </w:rPr>
      </w:pPr>
      <w:r>
        <w:rPr>
          <w:rFonts w:hint="eastAsia" w:ascii="新宋体" w:hAnsi="新宋体" w:eastAsia="新宋体" w:cs="新宋体"/>
          <w:b/>
          <w:bCs/>
          <w:szCs w:val="21"/>
        </w:rPr>
        <w:t>(2)</w:t>
      </w:r>
      <w:r>
        <w:rPr>
          <w:rFonts w:hint="eastAsia" w:ascii="新宋体" w:hAnsi="新宋体" w:eastAsia="新宋体" w:cs="新宋体"/>
          <w:b/>
          <w:sz w:val="22"/>
          <w:szCs w:val="22"/>
          <w:u w:val="single"/>
        </w:rPr>
        <w:t>以上所需的各种证书、证件、证明等若系复印件、扫描件，须加盖投标人有效的公章（电子签章）。</w:t>
      </w:r>
    </w:p>
    <w:p>
      <w:pPr>
        <w:spacing w:line="43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(3)相关证书、报告等如遇年检或换证等特殊情况须按要求提供相应的证明材料。</w:t>
      </w:r>
    </w:p>
    <w:p>
      <w:pPr>
        <w:tabs>
          <w:tab w:val="left" w:pos="360"/>
        </w:tabs>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12.3 投标文件商务技术文件应包括下列部分：</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b/>
                <w:sz w:val="22"/>
                <w:szCs w:val="22"/>
              </w:rPr>
            </w:pPr>
            <w:r>
              <w:rPr>
                <w:rFonts w:hint="eastAsia" w:ascii="新宋体" w:hAnsi="新宋体" w:eastAsia="新宋体" w:cs="新宋体"/>
                <w:b/>
                <w:sz w:val="22"/>
                <w:szCs w:val="22"/>
              </w:rPr>
              <w:t>序号</w:t>
            </w:r>
          </w:p>
        </w:tc>
        <w:tc>
          <w:tcPr>
            <w:tcW w:w="9109" w:type="dxa"/>
            <w:noWrap w:val="0"/>
            <w:vAlign w:val="center"/>
          </w:tcPr>
          <w:p>
            <w:pPr>
              <w:jc w:val="center"/>
              <w:rPr>
                <w:rFonts w:hint="eastAsia" w:ascii="新宋体" w:hAnsi="新宋体" w:eastAsia="新宋体" w:cs="新宋体"/>
                <w:b/>
                <w:sz w:val="22"/>
                <w:szCs w:val="22"/>
              </w:rPr>
            </w:pPr>
            <w:r>
              <w:rPr>
                <w:rFonts w:hint="eastAsia" w:ascii="新宋体" w:hAnsi="新宋体" w:eastAsia="新宋体" w:cs="新宋体"/>
                <w:b/>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b/>
                <w:sz w:val="22"/>
                <w:szCs w:val="22"/>
              </w:rPr>
            </w:pPr>
            <w:r>
              <w:rPr>
                <w:rFonts w:hint="eastAsia" w:ascii="新宋体" w:hAnsi="新宋体" w:eastAsia="新宋体" w:cs="新宋体"/>
                <w:sz w:val="22"/>
                <w:szCs w:val="22"/>
              </w:rPr>
              <w:t>1</w:t>
            </w:r>
          </w:p>
        </w:tc>
        <w:tc>
          <w:tcPr>
            <w:tcW w:w="9109" w:type="dxa"/>
            <w:noWrap w:val="0"/>
            <w:vAlign w:val="center"/>
          </w:tcPr>
          <w:p>
            <w:pPr>
              <w:jc w:val="left"/>
              <w:rPr>
                <w:rFonts w:hint="eastAsia" w:ascii="新宋体" w:hAnsi="新宋体" w:eastAsia="新宋体" w:cs="新宋体"/>
                <w:b/>
                <w:sz w:val="22"/>
                <w:szCs w:val="22"/>
              </w:rPr>
            </w:pPr>
            <w:r>
              <w:rPr>
                <w:rFonts w:hint="eastAsia" w:ascii="新宋体" w:hAnsi="新宋体" w:eastAsia="新宋体" w:cs="新宋体"/>
                <w:bCs/>
                <w:sz w:val="22"/>
                <w:szCs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2</w:t>
            </w:r>
          </w:p>
        </w:tc>
        <w:tc>
          <w:tcPr>
            <w:tcW w:w="9109" w:type="dxa"/>
            <w:noWrap w:val="0"/>
            <w:vAlign w:val="center"/>
          </w:tcPr>
          <w:p>
            <w:pPr>
              <w:rPr>
                <w:rFonts w:hint="eastAsia" w:ascii="新宋体" w:hAnsi="新宋体" w:eastAsia="新宋体" w:cs="新宋体"/>
                <w:b/>
                <w:sz w:val="22"/>
                <w:szCs w:val="22"/>
              </w:rPr>
            </w:pPr>
            <w:r>
              <w:rPr>
                <w:rFonts w:hint="eastAsia" w:ascii="新宋体" w:hAnsi="新宋体" w:eastAsia="新宋体" w:cs="新宋体"/>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3</w:t>
            </w:r>
          </w:p>
        </w:tc>
        <w:tc>
          <w:tcPr>
            <w:tcW w:w="9109" w:type="dxa"/>
            <w:noWrap w:val="0"/>
            <w:vAlign w:val="center"/>
          </w:tcPr>
          <w:p>
            <w:pPr>
              <w:rPr>
                <w:rFonts w:hint="eastAsia" w:ascii="新宋体" w:hAnsi="新宋体" w:eastAsia="新宋体" w:cs="新宋体"/>
                <w:sz w:val="22"/>
                <w:szCs w:val="22"/>
              </w:rPr>
            </w:pPr>
            <w:r>
              <w:rPr>
                <w:rFonts w:hint="eastAsia" w:ascii="新宋体" w:hAnsi="新宋体" w:eastAsia="新宋体" w:cs="新宋体"/>
                <w:bCs/>
                <w:sz w:val="22"/>
                <w:szCs w:val="22"/>
              </w:rPr>
              <w:t>商务偏离表、技术偏离表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4</w:t>
            </w:r>
          </w:p>
        </w:tc>
        <w:tc>
          <w:tcPr>
            <w:tcW w:w="9109" w:type="dxa"/>
            <w:noWrap w:val="0"/>
            <w:vAlign w:val="center"/>
          </w:tcPr>
          <w:p>
            <w:pPr>
              <w:rPr>
                <w:rFonts w:hint="eastAsia" w:ascii="新宋体" w:hAnsi="新宋体" w:eastAsia="新宋体" w:cs="新宋体"/>
                <w:b/>
                <w:sz w:val="22"/>
                <w:szCs w:val="22"/>
                <w:u w:val="single"/>
              </w:rPr>
            </w:pPr>
            <w:r>
              <w:rPr>
                <w:rFonts w:hint="eastAsia" w:ascii="新宋体" w:hAnsi="新宋体" w:eastAsia="新宋体" w:cs="新宋体"/>
                <w:b/>
                <w:bCs/>
                <w:sz w:val="22"/>
                <w:szCs w:val="22"/>
              </w:rPr>
              <w:t>投标技术方案（以下内容格式自拟）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4.1</w:t>
            </w:r>
          </w:p>
        </w:tc>
        <w:tc>
          <w:tcPr>
            <w:tcW w:w="9109" w:type="dxa"/>
            <w:noWrap w:val="0"/>
            <w:vAlign w:val="center"/>
          </w:tcPr>
          <w:p>
            <w:pPr>
              <w:rPr>
                <w:rFonts w:hint="eastAsia" w:ascii="新宋体" w:hAnsi="新宋体" w:eastAsia="新宋体" w:cs="新宋体"/>
                <w:sz w:val="22"/>
                <w:szCs w:val="22"/>
              </w:rPr>
            </w:pPr>
            <w:r>
              <w:rPr>
                <w:rFonts w:hint="eastAsia" w:ascii="新宋体" w:hAnsi="新宋体" w:eastAsia="新宋体" w:cs="新宋体"/>
                <w:sz w:val="22"/>
                <w:szCs w:val="22"/>
              </w:rPr>
              <w:t>制造商认证、业绩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4.2</w:t>
            </w:r>
          </w:p>
        </w:tc>
        <w:tc>
          <w:tcPr>
            <w:tcW w:w="9109" w:type="dxa"/>
            <w:noWrap w:val="0"/>
            <w:vAlign w:val="center"/>
          </w:tcPr>
          <w:p>
            <w:pPr>
              <w:rPr>
                <w:rFonts w:hint="eastAsia" w:ascii="新宋体" w:hAnsi="新宋体" w:eastAsia="新宋体" w:cs="新宋体"/>
                <w:sz w:val="22"/>
                <w:szCs w:val="22"/>
              </w:rPr>
            </w:pPr>
            <w:r>
              <w:rPr>
                <w:rFonts w:hint="eastAsia" w:ascii="新宋体" w:hAnsi="新宋体" w:eastAsia="新宋体" w:cs="新宋体"/>
                <w:sz w:val="22"/>
                <w:szCs w:val="22"/>
              </w:rPr>
              <w:t>投标技术方案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4.3</w:t>
            </w:r>
          </w:p>
        </w:tc>
        <w:tc>
          <w:tcPr>
            <w:tcW w:w="9109" w:type="dxa"/>
            <w:noWrap w:val="0"/>
            <w:vAlign w:val="center"/>
          </w:tcPr>
          <w:p>
            <w:pPr>
              <w:rPr>
                <w:rFonts w:hint="eastAsia" w:ascii="新宋体" w:hAnsi="新宋体" w:eastAsia="新宋体" w:cs="新宋体"/>
                <w:sz w:val="22"/>
                <w:szCs w:val="22"/>
              </w:rPr>
            </w:pPr>
            <w:r>
              <w:rPr>
                <w:rFonts w:hint="eastAsia" w:ascii="新宋体" w:hAnsi="新宋体" w:eastAsia="新宋体" w:cs="新宋体"/>
                <w:sz w:val="22"/>
                <w:szCs w:val="22"/>
              </w:rPr>
              <w:t>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4.4</w:t>
            </w:r>
          </w:p>
        </w:tc>
        <w:tc>
          <w:tcPr>
            <w:tcW w:w="9109" w:type="dxa"/>
            <w:noWrap w:val="0"/>
            <w:vAlign w:val="center"/>
          </w:tcPr>
          <w:p>
            <w:pPr>
              <w:rPr>
                <w:rFonts w:hint="eastAsia" w:ascii="新宋体" w:hAnsi="新宋体" w:eastAsia="新宋体" w:cs="新宋体"/>
                <w:sz w:val="22"/>
                <w:szCs w:val="22"/>
              </w:rPr>
            </w:pPr>
            <w:r>
              <w:rPr>
                <w:rFonts w:hint="eastAsia" w:ascii="新宋体" w:hAnsi="新宋体" w:eastAsia="新宋体" w:cs="新宋体"/>
                <w:sz w:val="22"/>
                <w:szCs w:val="22"/>
              </w:rPr>
              <w:t>技术保障和系统验收保障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5</w:t>
            </w:r>
          </w:p>
        </w:tc>
        <w:tc>
          <w:tcPr>
            <w:tcW w:w="9109" w:type="dxa"/>
            <w:noWrap w:val="0"/>
            <w:vAlign w:val="center"/>
          </w:tcPr>
          <w:p>
            <w:pPr>
              <w:rPr>
                <w:rFonts w:hint="eastAsia" w:ascii="新宋体" w:hAnsi="新宋体" w:eastAsia="新宋体" w:cs="新宋体"/>
                <w:sz w:val="22"/>
                <w:szCs w:val="22"/>
              </w:rPr>
            </w:pPr>
            <w:r>
              <w:rPr>
                <w:rFonts w:hint="eastAsia" w:ascii="新宋体" w:hAnsi="新宋体" w:eastAsia="新宋体" w:cs="新宋体"/>
                <w:sz w:val="22"/>
                <w:szCs w:val="22"/>
              </w:rPr>
              <w:t>投标人自2017年1月1日以来同类项目业绩清单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6</w:t>
            </w:r>
          </w:p>
        </w:tc>
        <w:tc>
          <w:tcPr>
            <w:tcW w:w="9109" w:type="dxa"/>
            <w:noWrap w:val="0"/>
            <w:vAlign w:val="center"/>
          </w:tcPr>
          <w:p>
            <w:pPr>
              <w:rPr>
                <w:rFonts w:hint="eastAsia" w:ascii="新宋体" w:hAnsi="新宋体" w:eastAsia="新宋体" w:cs="新宋体"/>
                <w:b/>
                <w:sz w:val="22"/>
                <w:szCs w:val="22"/>
              </w:rPr>
            </w:pPr>
            <w:r>
              <w:rPr>
                <w:rFonts w:hint="eastAsia" w:ascii="新宋体" w:hAnsi="新宋体" w:eastAsia="新宋体" w:cs="新宋体"/>
                <w:b/>
                <w:sz w:val="22"/>
                <w:szCs w:val="22"/>
              </w:rPr>
              <w:t>资信证明文件（本部分为</w:t>
            </w:r>
            <w:r>
              <w:rPr>
                <w:rFonts w:hint="eastAsia" w:ascii="新宋体" w:hAnsi="新宋体" w:eastAsia="新宋体" w:cs="新宋体"/>
                <w:b/>
                <w:bCs/>
                <w:sz w:val="22"/>
                <w:szCs w:val="22"/>
              </w:rPr>
              <w:t>商务技术文件</w:t>
            </w:r>
            <w:r>
              <w:rPr>
                <w:rFonts w:hint="eastAsia" w:ascii="新宋体" w:hAnsi="新宋体" w:eastAsia="新宋体" w:cs="新宋体"/>
                <w:b/>
                <w:sz w:val="22"/>
                <w:szCs w:val="22"/>
              </w:rPr>
              <w:t>评分内容，各供应商参照评分标准根据自身情况提供）</w:t>
            </w:r>
          </w:p>
        </w:tc>
      </w:tr>
    </w:tbl>
    <w:p>
      <w:pPr>
        <w:spacing w:line="430" w:lineRule="exact"/>
        <w:rPr>
          <w:rFonts w:hint="eastAsia" w:ascii="新宋体" w:hAnsi="新宋体" w:eastAsia="新宋体" w:cs="新宋体"/>
          <w:b/>
          <w:sz w:val="22"/>
          <w:szCs w:val="22"/>
        </w:rPr>
      </w:pPr>
      <w:r>
        <w:rPr>
          <w:rFonts w:hint="eastAsia" w:ascii="新宋体" w:hAnsi="新宋体" w:eastAsia="新宋体" w:cs="新宋体"/>
          <w:b/>
          <w:sz w:val="22"/>
          <w:szCs w:val="22"/>
        </w:rPr>
        <w:t>备注：</w:t>
      </w:r>
    </w:p>
    <w:p>
      <w:pPr>
        <w:spacing w:line="43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(1)投标人可根据采购文件中的采购内容及需求和商务技术文件评分细则，提供投标人认为需要提供的文件和资料。</w:t>
      </w:r>
    </w:p>
    <w:p>
      <w:pPr>
        <w:spacing w:line="43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(2)在投标文件中投标人所提供的技术资料如若发生第三方侵权事件，其侵权责任与采购人及采购代理机构无关，由投标人承担全部责任。</w:t>
      </w:r>
    </w:p>
    <w:p>
      <w:pPr>
        <w:spacing w:line="43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(3)以上所需的各种证书、证件、证明等若系复印件、扫描件，须加盖投标人有效的公章。</w:t>
      </w:r>
    </w:p>
    <w:p>
      <w:pPr>
        <w:spacing w:line="430" w:lineRule="exact"/>
        <w:ind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(4)相关证书、报告等如遇年检或换证等特殊情况须按要求提供相应的证明材料。</w:t>
      </w:r>
    </w:p>
    <w:p>
      <w:pPr>
        <w:tabs>
          <w:tab w:val="left" w:pos="5355"/>
        </w:tabs>
        <w:spacing w:line="43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12.4 投标文件商务报价标应包括下列部分：</w:t>
      </w:r>
    </w:p>
    <w:tbl>
      <w:tblPr>
        <w:tblStyle w:val="56"/>
        <w:tblW w:w="0" w:type="auto"/>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内容</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开标一览表</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投标分项报价表</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kern w:val="0"/>
                <w:sz w:val="22"/>
                <w:szCs w:val="22"/>
                <w:lang w:val="zh-CN"/>
              </w:rPr>
            </w:pPr>
            <w:r>
              <w:rPr>
                <w:rFonts w:hint="eastAsia" w:ascii="新宋体" w:hAnsi="新宋体" w:eastAsia="新宋体" w:cs="新宋体"/>
                <w:kern w:val="0"/>
                <w:sz w:val="22"/>
                <w:szCs w:val="22"/>
                <w:lang w:val="zh-CN"/>
              </w:rPr>
              <w:t>产品零件、易损件、备品备件报价表(如有, 格式自拟)</w:t>
            </w:r>
          </w:p>
        </w:tc>
      </w:tr>
      <w:tr>
        <w:tblPrEx>
          <w:tblCellMar>
            <w:top w:w="0" w:type="dxa"/>
            <w:left w:w="108" w:type="dxa"/>
            <w:bottom w:w="0" w:type="dxa"/>
            <w:right w:w="108" w:type="dxa"/>
          </w:tblCellMar>
        </w:tblPrEx>
        <w:trPr>
          <w:wBefore w:w="0" w:type="dxa"/>
          <w:wAfter w:w="0" w:type="dxa"/>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4</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新宋体" w:hAnsi="新宋体" w:eastAsia="新宋体" w:cs="新宋体"/>
                <w:kern w:val="0"/>
                <w:sz w:val="22"/>
                <w:szCs w:val="22"/>
                <w:lang w:val="zh-CN"/>
              </w:rPr>
            </w:pPr>
            <w:r>
              <w:rPr>
                <w:rFonts w:hint="eastAsia" w:ascii="新宋体" w:hAnsi="新宋体" w:eastAsia="新宋体"/>
                <w:sz w:val="22"/>
                <w:szCs w:val="22"/>
              </w:rPr>
              <w:t>中小企业声明函、监狱企业、残疾人福利性单位及其他相关的充分的证明材料（如有）</w:t>
            </w:r>
          </w:p>
        </w:tc>
      </w:tr>
      <w:bookmarkEnd w:id="70"/>
    </w:tbl>
    <w:p>
      <w:pPr>
        <w:spacing w:line="440" w:lineRule="exact"/>
        <w:ind w:left="331" w:hanging="331" w:hangingChars="150"/>
        <w:rPr>
          <w:rFonts w:hint="eastAsia" w:ascii="新宋体" w:hAnsi="新宋体" w:eastAsia="新宋体"/>
          <w:b/>
          <w:bCs/>
          <w:sz w:val="22"/>
          <w:szCs w:val="22"/>
        </w:rPr>
      </w:pPr>
      <w:r>
        <w:rPr>
          <w:rFonts w:hint="eastAsia" w:ascii="新宋体" w:hAnsi="新宋体" w:eastAsia="新宋体"/>
          <w:b/>
          <w:bCs/>
          <w:sz w:val="22"/>
          <w:szCs w:val="22"/>
        </w:rPr>
        <w:t>13.投标文件编制</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13.4投标文件内容不完整、编排混乱导致投标文件被误读、漏读或者查找不到相关内容的，是投标人的责任。</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13.5投标文件因字迹潦草或表达不清所引起的后果由投标人负责。</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hint="eastAsia" w:ascii="新宋体" w:hAnsi="新宋体" w:eastAsia="新宋体"/>
          <w:b/>
          <w:bCs/>
          <w:sz w:val="22"/>
          <w:szCs w:val="22"/>
        </w:rPr>
      </w:pPr>
      <w:r>
        <w:rPr>
          <w:rFonts w:hint="eastAsia" w:ascii="新宋体" w:hAnsi="新宋体" w:eastAsia="新宋体"/>
          <w:b/>
          <w:bCs/>
          <w:sz w:val="22"/>
          <w:szCs w:val="22"/>
        </w:rPr>
        <w:t>14.投标文件的签章</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14.1投标文件的签章要求：投标人须知前附表第17款；</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14.2</w:t>
      </w:r>
      <w:r>
        <w:rPr>
          <w:rFonts w:hint="eastAsia" w:ascii="新宋体" w:hAnsi="新宋体" w:eastAsia="新宋体" w:cs="新宋体"/>
          <w:b/>
          <w:sz w:val="22"/>
          <w:szCs w:val="22"/>
        </w:rPr>
        <w:t>投标文件公章采用电子签章，法定代表人或委托人可以采用签字或盖章后扫描也可以电子签章。</w:t>
      </w:r>
    </w:p>
    <w:p>
      <w:pPr>
        <w:spacing w:line="440" w:lineRule="exact"/>
        <w:ind w:left="331" w:hanging="331" w:hangingChars="150"/>
        <w:rPr>
          <w:rFonts w:hint="eastAsia" w:ascii="新宋体" w:hAnsi="新宋体" w:eastAsia="新宋体"/>
          <w:b/>
          <w:bCs/>
          <w:sz w:val="22"/>
          <w:szCs w:val="22"/>
        </w:rPr>
      </w:pPr>
      <w:r>
        <w:rPr>
          <w:rFonts w:hint="eastAsia" w:ascii="新宋体" w:hAnsi="新宋体" w:eastAsia="新宋体"/>
          <w:b/>
          <w:bCs/>
          <w:sz w:val="22"/>
          <w:szCs w:val="22"/>
        </w:rPr>
        <w:t>15.投标文件的形式</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15.1投标文件的形式：见投标人须知前附表第18款；</w:t>
      </w:r>
    </w:p>
    <w:p>
      <w:pPr>
        <w:tabs>
          <w:tab w:val="left" w:pos="36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15.2“电子加密投标文件”：“电子加密投标文件”是指通过“政采云电子交易客户端”完成投标文件编制后生成并加密的数据电文形式的投标文件。</w:t>
      </w:r>
    </w:p>
    <w:p>
      <w:pPr>
        <w:tabs>
          <w:tab w:val="left" w:pos="360"/>
        </w:tabs>
        <w:spacing w:line="460" w:lineRule="exact"/>
        <w:rPr>
          <w:rFonts w:hint="eastAsia" w:ascii="宋体" w:hAnsi="宋体" w:cs="Arial"/>
          <w:b/>
          <w:sz w:val="24"/>
        </w:rPr>
      </w:pPr>
      <w:r>
        <w:rPr>
          <w:rFonts w:hint="eastAsia" w:ascii="新宋体" w:hAnsi="新宋体" w:eastAsia="新宋体" w:cs="新宋体"/>
          <w:sz w:val="22"/>
          <w:szCs w:val="22"/>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hint="eastAsia" w:ascii="新宋体" w:hAnsi="新宋体" w:eastAsia="新宋体"/>
          <w:b/>
          <w:bCs/>
          <w:sz w:val="22"/>
          <w:szCs w:val="22"/>
        </w:rPr>
      </w:pPr>
      <w:r>
        <w:rPr>
          <w:rFonts w:hint="eastAsia" w:ascii="新宋体" w:hAnsi="新宋体" w:eastAsia="新宋体"/>
          <w:b/>
          <w:bCs/>
          <w:sz w:val="22"/>
          <w:szCs w:val="22"/>
        </w:rPr>
        <w:t>16.投标文件的份数</w:t>
      </w:r>
    </w:p>
    <w:p>
      <w:pPr>
        <w:tabs>
          <w:tab w:val="left" w:pos="5355"/>
        </w:tabs>
        <w:spacing w:line="430" w:lineRule="exact"/>
        <w:rPr>
          <w:rFonts w:hint="eastAsia" w:ascii="新宋体" w:hAnsi="新宋体" w:eastAsia="新宋体" w:cs="新宋体"/>
          <w:sz w:val="22"/>
          <w:szCs w:val="22"/>
        </w:rPr>
      </w:pPr>
      <w:r>
        <w:rPr>
          <w:rFonts w:hint="eastAsia" w:ascii="新宋体" w:hAnsi="新宋体" w:eastAsia="新宋体" w:cs="新宋体"/>
          <w:sz w:val="22"/>
          <w:szCs w:val="22"/>
        </w:rPr>
        <w:t>16.1投标文件的份数：见投标人须知前附表第19款。</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bCs/>
          <w:sz w:val="22"/>
          <w:szCs w:val="22"/>
        </w:rPr>
        <w:t>17.投标报价</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17.1 投标人应报出本项目咨询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hint="eastAsia" w:ascii="新宋体" w:hAnsi="新宋体" w:eastAsia="新宋体" w:cs="新宋体"/>
          <w:bCs/>
          <w:kern w:val="0"/>
          <w:sz w:val="22"/>
          <w:szCs w:val="22"/>
          <w:lang w:val="zh-CN"/>
        </w:rPr>
      </w:pPr>
      <w:r>
        <w:rPr>
          <w:rFonts w:hint="eastAsia" w:ascii="新宋体" w:hAnsi="新宋体" w:eastAsia="新宋体" w:cs="新宋体"/>
          <w:sz w:val="22"/>
          <w:szCs w:val="22"/>
        </w:rPr>
        <w:t>17.2</w:t>
      </w:r>
      <w:r>
        <w:rPr>
          <w:rFonts w:hint="eastAsia" w:ascii="新宋体" w:hAnsi="新宋体" w:eastAsia="新宋体" w:cs="新宋体"/>
          <w:bCs/>
          <w:sz w:val="22"/>
          <w:szCs w:val="22"/>
        </w:rPr>
        <w:t>本项目</w:t>
      </w:r>
      <w:r>
        <w:rPr>
          <w:rFonts w:hint="eastAsia" w:ascii="新宋体" w:hAnsi="新宋体" w:eastAsia="新宋体" w:cs="新宋体"/>
          <w:bCs/>
          <w:kern w:val="0"/>
          <w:sz w:val="22"/>
          <w:szCs w:val="22"/>
          <w:lang w:val="zh-CN"/>
        </w:rPr>
        <w:t>投标报价应是中标供应商在正确地完全履行合同义务后采购人应支付给中标供应商所有的价款，即</w:t>
      </w:r>
      <w:r>
        <w:rPr>
          <w:rFonts w:hint="eastAsia" w:ascii="新宋体" w:hAnsi="新宋体" w:eastAsia="新宋体" w:cs="新宋体"/>
          <w:kern w:val="0"/>
          <w:sz w:val="22"/>
          <w:szCs w:val="22"/>
        </w:rPr>
        <w:t>鹿城区政法智控一张网建设项目所有费用</w:t>
      </w:r>
      <w:r>
        <w:rPr>
          <w:rFonts w:hint="eastAsia" w:ascii="新宋体" w:hAnsi="新宋体" w:eastAsia="新宋体" w:cs="新宋体"/>
          <w:bCs/>
          <w:kern w:val="0"/>
          <w:sz w:val="22"/>
          <w:szCs w:val="22"/>
          <w:lang w:val="zh-CN"/>
        </w:rPr>
        <w:t>，包括但不仅限于数据开发、平台开发、系统集成、信息采集、出处和网络安全、硬件设备供货、安装调试、质保期质保升级费用、验收（含第三方验收）、交通、人员费用、保险、税费、技术服务、售后服务、所需材料，服务及培训、招标代理服务费等全部费用，实行固定费用总包干。</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17.3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17.4 投标人必须按第三部分附件的开标一览表（统一格式）、投标分项报价表（统一格式）的内容填写单价、合价及其他事项，并由法定代表人或授权代表签署。</w:t>
      </w:r>
    </w:p>
    <w:p>
      <w:pPr>
        <w:tabs>
          <w:tab w:val="left" w:pos="540"/>
        </w:tabs>
        <w:spacing w:line="460" w:lineRule="exact"/>
        <w:rPr>
          <w:rFonts w:hint="eastAsia" w:ascii="新宋体" w:hAnsi="新宋体" w:eastAsia="新宋体" w:cs="新宋体"/>
          <w:b/>
          <w:sz w:val="22"/>
          <w:szCs w:val="22"/>
        </w:rPr>
      </w:pPr>
      <w:r>
        <w:rPr>
          <w:rFonts w:hint="eastAsia" w:ascii="新宋体" w:hAnsi="新宋体" w:eastAsia="新宋体" w:cs="新宋体"/>
          <w:sz w:val="22"/>
          <w:szCs w:val="22"/>
        </w:rPr>
        <w:t>17.5 所有投标报价均以人民币报价。</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17.6 采购人不接受任何选择报价，对每一项货物/服务只允许一个报价。</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17.7 采购人要求分类报价是为了方便评标，但在任何情况下不限制采购人以其认为最合适的条款、条件签订合同的权利。</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17.8 报价是成交的一个重要因素，但最低报价不是成交的唯一依据。</w:t>
      </w:r>
    </w:p>
    <w:p>
      <w:pPr>
        <w:tabs>
          <w:tab w:val="left" w:pos="-180"/>
          <w:tab w:val="left" w:pos="180"/>
          <w:tab w:val="left" w:pos="360"/>
        </w:tabs>
        <w:spacing w:line="440" w:lineRule="exact"/>
        <w:ind w:left="660" w:hanging="660" w:hangingChars="300"/>
        <w:rPr>
          <w:rFonts w:hint="eastAsia" w:ascii="新宋体" w:hAnsi="新宋体" w:eastAsia="新宋体"/>
          <w:b/>
          <w:bCs/>
          <w:sz w:val="22"/>
          <w:szCs w:val="22"/>
        </w:rPr>
      </w:pPr>
      <w:r>
        <w:rPr>
          <w:rFonts w:hint="eastAsia" w:ascii="新宋体" w:hAnsi="新宋体" w:eastAsia="新宋体" w:cs="新宋体"/>
          <w:bCs/>
          <w:sz w:val="22"/>
          <w:szCs w:val="22"/>
        </w:rPr>
        <w:t xml:space="preserve">18. </w:t>
      </w:r>
      <w:r>
        <w:rPr>
          <w:rFonts w:hint="eastAsia" w:ascii="新宋体" w:hAnsi="新宋体" w:eastAsia="新宋体"/>
          <w:b/>
          <w:bCs/>
          <w:sz w:val="22"/>
          <w:szCs w:val="22"/>
        </w:rPr>
        <w:t>投标人如发生下列情况之一，将上报同级政府采购监督管理部门，追究其责任：</w:t>
      </w:r>
    </w:p>
    <w:p>
      <w:pPr>
        <w:tabs>
          <w:tab w:val="left" w:pos="360"/>
        </w:tabs>
        <w:spacing w:line="440" w:lineRule="exact"/>
        <w:rPr>
          <w:rFonts w:hint="eastAsia" w:ascii="新宋体" w:hAnsi="新宋体" w:eastAsia="新宋体" w:cs="新宋体"/>
          <w:color w:val="000000"/>
          <w:sz w:val="22"/>
          <w:szCs w:val="22"/>
        </w:rPr>
      </w:pPr>
      <w:bookmarkStart w:id="72" w:name="_Toc241404202"/>
      <w:bookmarkStart w:id="73" w:name="_Toc221356887"/>
      <w:bookmarkStart w:id="74" w:name="_Toc221423619"/>
      <w:bookmarkStart w:id="75" w:name="_Toc265529383"/>
      <w:bookmarkStart w:id="76" w:name="_Toc221356951"/>
      <w:bookmarkStart w:id="77" w:name="_Toc223715998"/>
      <w:bookmarkStart w:id="78" w:name="_Toc239145354"/>
      <w:bookmarkStart w:id="79" w:name="_Toc222114879"/>
      <w:bookmarkStart w:id="80" w:name="_Toc221374626"/>
      <w:r>
        <w:rPr>
          <w:rFonts w:hint="eastAsia" w:ascii="新宋体" w:hAnsi="新宋体" w:eastAsia="新宋体" w:cs="新宋体"/>
          <w:color w:val="000000"/>
          <w:sz w:val="22"/>
          <w:szCs w:val="22"/>
        </w:rPr>
        <w:t>18.1投标人在采购文件规定的投标有效期内撤回投标；</w:t>
      </w:r>
    </w:p>
    <w:p>
      <w:pPr>
        <w:tabs>
          <w:tab w:val="left" w:pos="360"/>
        </w:tabs>
        <w:spacing w:line="440" w:lineRule="exac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18.2中标人未按中标通知书中规定的时间与采购人签订合同；</w:t>
      </w:r>
    </w:p>
    <w:p>
      <w:pPr>
        <w:tabs>
          <w:tab w:val="left" w:pos="360"/>
        </w:tabs>
        <w:spacing w:line="440" w:lineRule="exac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18.3投标人在采购文件中提供虚假技术指标及参数，经评标委员会确认属实的。</w:t>
      </w:r>
    </w:p>
    <w:p>
      <w:pPr>
        <w:tabs>
          <w:tab w:val="left" w:pos="360"/>
        </w:tabs>
        <w:spacing w:line="440" w:lineRule="exact"/>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18.4经同级政府采购监督管理部门审查认定投标人有违反《中华人民共和国政府采购法》等有关法律法规的行为。</w:t>
      </w:r>
    </w:p>
    <w:p>
      <w:pPr>
        <w:tabs>
          <w:tab w:val="left" w:pos="-180"/>
          <w:tab w:val="left" w:pos="180"/>
          <w:tab w:val="left" w:pos="360"/>
        </w:tabs>
        <w:spacing w:line="440" w:lineRule="exact"/>
        <w:rPr>
          <w:rFonts w:hint="eastAsia" w:ascii="新宋体" w:hAnsi="新宋体" w:eastAsia="新宋体"/>
          <w:b/>
          <w:bCs/>
          <w:sz w:val="22"/>
          <w:szCs w:val="22"/>
        </w:rPr>
      </w:pPr>
      <w:r>
        <w:rPr>
          <w:rFonts w:hint="eastAsia" w:ascii="新宋体" w:hAnsi="新宋体" w:eastAsia="新宋体"/>
          <w:b/>
          <w:bCs/>
          <w:sz w:val="22"/>
          <w:szCs w:val="22"/>
        </w:rPr>
        <w:t>19. 投标有效期</w:t>
      </w:r>
    </w:p>
    <w:p>
      <w:pPr>
        <w:tabs>
          <w:tab w:val="left" w:pos="540"/>
          <w:tab w:val="left" w:pos="992"/>
        </w:tabs>
        <w:autoSpaceDE w:val="0"/>
        <w:autoSpaceDN w:val="0"/>
        <w:adjustRightInd w:val="0"/>
        <w:spacing w:line="460" w:lineRule="atLeast"/>
        <w:rPr>
          <w:rFonts w:hint="eastAsia" w:ascii="新宋体" w:hAnsi="新宋体" w:eastAsia="新宋体" w:cs="新宋体"/>
          <w:kern w:val="0"/>
          <w:sz w:val="22"/>
          <w:szCs w:val="22"/>
        </w:rPr>
      </w:pPr>
      <w:r>
        <w:rPr>
          <w:rFonts w:hint="eastAsia" w:ascii="新宋体" w:hAnsi="新宋体" w:eastAsia="新宋体" w:cs="新宋体"/>
          <w:kern w:val="0"/>
          <w:sz w:val="22"/>
          <w:szCs w:val="22"/>
        </w:rPr>
        <w:t>19.1 自开标之日起 90天内投标应保持有效。投标有效期短于这个规定期限的投标将视为非响应性投标而予以拒绝。</w:t>
      </w:r>
    </w:p>
    <w:p>
      <w:pPr>
        <w:spacing w:line="440" w:lineRule="exact"/>
        <w:rPr>
          <w:rFonts w:hint="eastAsia" w:ascii="新宋体" w:hAnsi="新宋体" w:eastAsia="新宋体" w:cs="新宋体"/>
          <w:sz w:val="22"/>
          <w:szCs w:val="22"/>
        </w:rPr>
      </w:pPr>
      <w:r>
        <w:rPr>
          <w:rFonts w:hint="eastAsia" w:ascii="新宋体" w:hAnsi="新宋体" w:eastAsia="新宋体" w:cs="新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6"/>
        <w:spacing w:line="500" w:lineRule="exact"/>
        <w:jc w:val="center"/>
        <w:rPr>
          <w:rFonts w:hint="eastAsia" w:ascii="新宋体" w:hAnsi="新宋体" w:eastAsia="新宋体"/>
          <w:sz w:val="24"/>
          <w:szCs w:val="24"/>
        </w:rPr>
      </w:pPr>
      <w:bookmarkStart w:id="81" w:name="_Toc34572032"/>
      <w:bookmarkStart w:id="82" w:name="_Toc34508133"/>
      <w:r>
        <w:rPr>
          <w:rFonts w:hint="eastAsia" w:ascii="新宋体" w:hAnsi="新宋体" w:eastAsia="新宋体"/>
          <w:sz w:val="24"/>
          <w:szCs w:val="24"/>
        </w:rPr>
        <w:t>四、 投标文件的递交</w:t>
      </w:r>
      <w:bookmarkEnd w:id="72"/>
      <w:bookmarkEnd w:id="73"/>
      <w:bookmarkEnd w:id="74"/>
      <w:bookmarkEnd w:id="75"/>
      <w:bookmarkEnd w:id="76"/>
      <w:bookmarkEnd w:id="77"/>
      <w:bookmarkEnd w:id="78"/>
      <w:bookmarkEnd w:id="79"/>
      <w:bookmarkEnd w:id="80"/>
      <w:bookmarkEnd w:id="81"/>
      <w:bookmarkEnd w:id="82"/>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20. 投标文件的递交</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20.1投标文件的上传、递交：见投标人须知前附表第20款。</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21. “电子加密投标文件”解密和异常情况处理。</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21.1“电子加密投标文件”解密：见投标人须知前附表第21款。</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22. 投标文件的补充、修改或撤回</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22.2</w:t>
      </w:r>
      <w:r>
        <w:rPr>
          <w:rFonts w:ascii="新宋体" w:hAnsi="新宋体" w:eastAsia="新宋体" w:cs="新宋体"/>
          <w:bCs/>
          <w:kern w:val="0"/>
          <w:sz w:val="22"/>
          <w:szCs w:val="22"/>
        </w:rPr>
        <w:t>投标文件递交截止时间后，投标人不得撤回、修改</w:t>
      </w:r>
      <w:r>
        <w:rPr>
          <w:rFonts w:hint="eastAsia" w:ascii="新宋体" w:hAnsi="新宋体" w:eastAsia="新宋体" w:cs="新宋体"/>
          <w:bCs/>
          <w:kern w:val="0"/>
          <w:sz w:val="22"/>
          <w:szCs w:val="22"/>
        </w:rPr>
        <w:t>投标文件。</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23. 投标文件的备选方案</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23.1投标人不得递交任何的</w:t>
      </w:r>
      <w:r>
        <w:rPr>
          <w:rFonts w:ascii="新宋体" w:hAnsi="新宋体" w:eastAsia="新宋体" w:cs="新宋体"/>
          <w:bCs/>
          <w:kern w:val="0"/>
          <w:sz w:val="22"/>
          <w:szCs w:val="22"/>
        </w:rPr>
        <w:t>投标备选（替代）方案</w:t>
      </w:r>
      <w:r>
        <w:rPr>
          <w:rFonts w:hint="eastAsia" w:ascii="新宋体" w:hAnsi="新宋体" w:eastAsia="新宋体" w:cs="新宋体"/>
          <w:bCs/>
          <w:kern w:val="0"/>
          <w:sz w:val="22"/>
          <w:szCs w:val="22"/>
        </w:rPr>
        <w:t>，否则其投标文件将作无效标处理。与“电子加密投标文件”同时生成的“备份投标文件”不是投标备选（替代）方案。</w:t>
      </w:r>
    </w:p>
    <w:p>
      <w:pPr>
        <w:tabs>
          <w:tab w:val="left" w:pos="540"/>
        </w:tabs>
        <w:spacing w:line="460" w:lineRule="exact"/>
        <w:rPr>
          <w:rFonts w:hint="eastAsia" w:ascii="新宋体" w:hAnsi="新宋体" w:eastAsia="新宋体" w:cs="新宋体"/>
          <w:b/>
          <w:sz w:val="22"/>
          <w:szCs w:val="22"/>
        </w:rPr>
      </w:pPr>
    </w:p>
    <w:p>
      <w:pPr>
        <w:pStyle w:val="6"/>
        <w:spacing w:line="500" w:lineRule="exact"/>
        <w:jc w:val="center"/>
        <w:rPr>
          <w:rFonts w:hint="eastAsia" w:ascii="新宋体" w:hAnsi="新宋体" w:eastAsia="新宋体"/>
          <w:sz w:val="24"/>
          <w:szCs w:val="24"/>
        </w:rPr>
      </w:pPr>
      <w:bookmarkStart w:id="83" w:name="_Toc223715999"/>
      <w:bookmarkStart w:id="84" w:name="_Toc221356952"/>
      <w:bookmarkStart w:id="85" w:name="_Toc222114880"/>
      <w:bookmarkStart w:id="86" w:name="_Toc241404203"/>
      <w:bookmarkStart w:id="87" w:name="_Toc34508134"/>
      <w:bookmarkStart w:id="88" w:name="_Toc265529384"/>
      <w:bookmarkStart w:id="89" w:name="_Toc34572033"/>
      <w:bookmarkStart w:id="90" w:name="_Toc239145355"/>
      <w:bookmarkStart w:id="91" w:name="_Toc221356888"/>
      <w:bookmarkStart w:id="92" w:name="_Toc221423620"/>
      <w:bookmarkStart w:id="93" w:name="_Toc221374627"/>
      <w:r>
        <w:rPr>
          <w:rFonts w:hint="eastAsia" w:ascii="新宋体" w:hAnsi="新宋体" w:eastAsia="新宋体"/>
          <w:sz w:val="24"/>
          <w:szCs w:val="24"/>
        </w:rPr>
        <w:t>五、 开标</w:t>
      </w:r>
      <w:bookmarkEnd w:id="83"/>
      <w:bookmarkEnd w:id="84"/>
      <w:bookmarkEnd w:id="85"/>
      <w:bookmarkEnd w:id="86"/>
      <w:bookmarkEnd w:id="87"/>
      <w:bookmarkEnd w:id="88"/>
      <w:bookmarkEnd w:id="89"/>
      <w:bookmarkEnd w:id="90"/>
      <w:bookmarkEnd w:id="91"/>
      <w:bookmarkEnd w:id="92"/>
      <w:bookmarkEnd w:id="93"/>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24. 开标形式</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24.1 采购组织机构将按照采购文件规定的时间通过“政采云平台”组织开标、开启投标文件，所有供应商均应当准时在线参加。</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 xml:space="preserve">25. </w:t>
      </w:r>
      <w:r>
        <w:rPr>
          <w:rFonts w:ascii="新宋体" w:hAnsi="新宋体" w:eastAsia="新宋体" w:cs="新宋体"/>
          <w:b/>
          <w:bCs/>
          <w:kern w:val="0"/>
          <w:sz w:val="22"/>
          <w:szCs w:val="22"/>
        </w:rPr>
        <w:t>开标准备</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25.1开标的准备工作由采购组织机构负责落实。</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25.2采购组织机构将按照采购文件规定的时间通过“政采云平台”组织开标、开启投标文件，所有供应商均应当准时在线参加。投标人</w:t>
      </w:r>
      <w:r>
        <w:rPr>
          <w:rFonts w:ascii="新宋体" w:hAnsi="新宋体" w:eastAsia="新宋体" w:cs="新宋体"/>
          <w:bCs/>
          <w:kern w:val="0"/>
          <w:sz w:val="22"/>
          <w:szCs w:val="22"/>
        </w:rPr>
        <w:t>如不</w:t>
      </w:r>
      <w:r>
        <w:rPr>
          <w:rFonts w:hint="eastAsia" w:ascii="新宋体" w:hAnsi="新宋体" w:eastAsia="新宋体" w:cs="新宋体"/>
          <w:bCs/>
          <w:kern w:val="0"/>
          <w:sz w:val="22"/>
          <w:szCs w:val="22"/>
        </w:rPr>
        <w:t>参加</w:t>
      </w:r>
      <w:r>
        <w:rPr>
          <w:rFonts w:ascii="新宋体" w:hAnsi="新宋体" w:eastAsia="新宋体" w:cs="新宋体"/>
          <w:bCs/>
          <w:kern w:val="0"/>
          <w:sz w:val="22"/>
          <w:szCs w:val="22"/>
        </w:rPr>
        <w:t>开标大会的，</w:t>
      </w:r>
      <w:r>
        <w:rPr>
          <w:rFonts w:hint="eastAsia" w:ascii="新宋体" w:hAnsi="新宋体" w:eastAsia="新宋体" w:cs="新宋体"/>
          <w:bCs/>
          <w:kern w:val="0"/>
          <w:sz w:val="22"/>
          <w:szCs w:val="22"/>
        </w:rPr>
        <w:t>视同认可开标结果，</w:t>
      </w:r>
      <w:r>
        <w:rPr>
          <w:rFonts w:ascii="新宋体" w:hAnsi="新宋体" w:eastAsia="新宋体" w:cs="新宋体"/>
          <w:bCs/>
          <w:kern w:val="0"/>
          <w:sz w:val="22"/>
          <w:szCs w:val="22"/>
        </w:rPr>
        <w:t>事后不得对采购相关人员、开标过程和开标结果提出异议</w:t>
      </w:r>
      <w:r>
        <w:rPr>
          <w:rFonts w:hint="eastAsia" w:ascii="新宋体" w:hAnsi="新宋体" w:eastAsia="新宋体" w:cs="新宋体"/>
          <w:bCs/>
          <w:kern w:val="0"/>
          <w:sz w:val="22"/>
          <w:szCs w:val="22"/>
        </w:rPr>
        <w:t>，同时投标人因未在线参加开标而导致投标文件无法按时解密等一切后果由供应商自己承担。</w:t>
      </w:r>
    </w:p>
    <w:p>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26.</w:t>
      </w:r>
      <w:r>
        <w:rPr>
          <w:rFonts w:ascii="新宋体" w:hAnsi="新宋体" w:eastAsia="新宋体" w:cs="新宋体"/>
          <w:b/>
          <w:bCs/>
          <w:kern w:val="0"/>
          <w:sz w:val="22"/>
          <w:szCs w:val="22"/>
        </w:rPr>
        <w:t>开标</w:t>
      </w:r>
      <w:r>
        <w:rPr>
          <w:rFonts w:hint="eastAsia" w:ascii="新宋体" w:hAnsi="新宋体" w:eastAsia="新宋体" w:cs="新宋体"/>
          <w:b/>
          <w:bCs/>
          <w:kern w:val="0"/>
          <w:sz w:val="22"/>
          <w:szCs w:val="22"/>
        </w:rPr>
        <w:t>流程（两阶段）</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26.1开标第一阶段</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w:t>
      </w:r>
      <w:r>
        <w:rPr>
          <w:rFonts w:ascii="新宋体" w:hAnsi="新宋体" w:eastAsia="新宋体" w:cs="新宋体"/>
          <w:b/>
          <w:bCs/>
          <w:kern w:val="0"/>
          <w:sz w:val="22"/>
          <w:szCs w:val="22"/>
        </w:rPr>
        <w:t>1</w:t>
      </w:r>
      <w:r>
        <w:rPr>
          <w:rFonts w:hint="eastAsia" w:ascii="新宋体" w:hAnsi="新宋体" w:eastAsia="新宋体" w:cs="新宋体"/>
          <w:b/>
          <w:bCs/>
          <w:kern w:val="0"/>
          <w:sz w:val="22"/>
          <w:szCs w:val="22"/>
        </w:rPr>
        <w:t>）向各投标人发出电子加密投标文件【开始解密】通知，由供应商按采购文件规定的时间内自行进行投标文件解密。投标人在规定的时间内（开标时间起一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w:t>
      </w:r>
      <w:r>
        <w:rPr>
          <w:rFonts w:ascii="新宋体" w:hAnsi="新宋体" w:eastAsia="新宋体" w:cs="新宋体"/>
          <w:b/>
          <w:bCs/>
          <w:kern w:val="0"/>
          <w:sz w:val="22"/>
          <w:szCs w:val="22"/>
        </w:rPr>
        <w:t>2</w:t>
      </w:r>
      <w:r>
        <w:rPr>
          <w:rFonts w:hint="eastAsia" w:ascii="新宋体" w:hAnsi="新宋体" w:eastAsia="新宋体" w:cs="新宋体"/>
          <w:b/>
          <w:bCs/>
          <w:kern w:val="0"/>
          <w:sz w:val="22"/>
          <w:szCs w:val="22"/>
        </w:rPr>
        <w:t>）投标文件解密结束，各投标人签署《政府采购活动现场确认声明书》（见附件）后将扫描件发送至采购代理机构邮箱：</w:t>
      </w:r>
      <w:r>
        <w:rPr>
          <w:rFonts w:hint="eastAsia" w:ascii="新宋体" w:hAnsi="新宋体" w:eastAsia="新宋体" w:cs="新宋体"/>
          <w:b/>
          <w:sz w:val="22"/>
          <w:szCs w:val="22"/>
          <w:u w:val="single"/>
        </w:rPr>
        <w:t>109181756</w:t>
      </w:r>
      <w:r>
        <w:rPr>
          <w:rFonts w:ascii="新宋体" w:hAnsi="新宋体" w:eastAsia="新宋体" w:cs="新宋体"/>
          <w:b/>
          <w:sz w:val="22"/>
          <w:szCs w:val="22"/>
          <w:u w:val="single"/>
        </w:rPr>
        <w:t>@qq.com</w:t>
      </w:r>
      <w:r>
        <w:rPr>
          <w:rFonts w:hint="eastAsia" w:ascii="新宋体" w:hAnsi="新宋体" w:eastAsia="新宋体" w:cs="新宋体"/>
          <w:b/>
          <w:bCs/>
          <w:kern w:val="0"/>
          <w:sz w:val="22"/>
          <w:szCs w:val="22"/>
        </w:rPr>
        <w:t>；</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w:t>
      </w:r>
      <w:r>
        <w:rPr>
          <w:rFonts w:ascii="新宋体" w:hAnsi="新宋体" w:eastAsia="新宋体" w:cs="新宋体"/>
          <w:b/>
          <w:bCs/>
          <w:kern w:val="0"/>
          <w:sz w:val="22"/>
          <w:szCs w:val="22"/>
        </w:rPr>
        <w:t>3</w:t>
      </w:r>
      <w:r>
        <w:rPr>
          <w:rFonts w:hint="eastAsia" w:ascii="新宋体" w:hAnsi="新宋体" w:eastAsia="新宋体" w:cs="新宋体"/>
          <w:b/>
          <w:bCs/>
          <w:kern w:val="0"/>
          <w:sz w:val="22"/>
          <w:szCs w:val="22"/>
        </w:rPr>
        <w:t>）开启投标文件，进入资格审查；</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w:t>
      </w:r>
      <w:r>
        <w:rPr>
          <w:rFonts w:ascii="新宋体" w:hAnsi="新宋体" w:eastAsia="新宋体" w:cs="新宋体"/>
          <w:b/>
          <w:bCs/>
          <w:kern w:val="0"/>
          <w:sz w:val="22"/>
          <w:szCs w:val="22"/>
        </w:rPr>
        <w:t>4</w:t>
      </w:r>
      <w:r>
        <w:rPr>
          <w:rFonts w:hint="eastAsia" w:ascii="新宋体" w:hAnsi="新宋体" w:eastAsia="新宋体" w:cs="新宋体"/>
          <w:b/>
          <w:bCs/>
          <w:kern w:val="0"/>
          <w:sz w:val="22"/>
          <w:szCs w:val="22"/>
        </w:rPr>
        <w:t>）开启资格审查通过的投标人的商务技术文件进入符合性审查、商务技术评审；</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w:t>
      </w:r>
      <w:r>
        <w:rPr>
          <w:rFonts w:ascii="新宋体" w:hAnsi="新宋体" w:eastAsia="新宋体" w:cs="新宋体"/>
          <w:b/>
          <w:bCs/>
          <w:kern w:val="0"/>
          <w:sz w:val="22"/>
          <w:szCs w:val="22"/>
        </w:rPr>
        <w:t>5</w:t>
      </w:r>
      <w:r>
        <w:rPr>
          <w:rFonts w:hint="eastAsia" w:ascii="新宋体" w:hAnsi="新宋体" w:eastAsia="新宋体" w:cs="新宋体"/>
          <w:b/>
          <w:bCs/>
          <w:kern w:val="0"/>
          <w:sz w:val="22"/>
          <w:szCs w:val="22"/>
        </w:rPr>
        <w:t>）第一阶段开标结束。</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26.2开标大会第二阶段</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（1）符合性审查、商务技术文件的评审结束后，举行开标大会第二阶段会议。首先在“政采云平台”系统平台上公布符合性审查、商务技术评审无效供应商名称及理由</w:t>
      </w:r>
      <w:r>
        <w:rPr>
          <w:rFonts w:ascii="新宋体" w:hAnsi="新宋体" w:eastAsia="新宋体" w:cs="新宋体"/>
          <w:b/>
          <w:bCs/>
          <w:kern w:val="0"/>
          <w:sz w:val="22"/>
          <w:szCs w:val="22"/>
        </w:rPr>
        <w:t>；公布经商务技术评审</w:t>
      </w:r>
      <w:r>
        <w:rPr>
          <w:rFonts w:hint="eastAsia" w:ascii="新宋体" w:hAnsi="新宋体" w:eastAsia="新宋体" w:cs="新宋体"/>
          <w:b/>
          <w:bCs/>
          <w:kern w:val="0"/>
          <w:sz w:val="22"/>
          <w:szCs w:val="22"/>
        </w:rPr>
        <w:t>后有效投标人的</w:t>
      </w:r>
      <w:r>
        <w:rPr>
          <w:rFonts w:ascii="新宋体" w:hAnsi="新宋体" w:eastAsia="新宋体" w:cs="新宋体"/>
          <w:b/>
          <w:bCs/>
          <w:kern w:val="0"/>
          <w:sz w:val="22"/>
          <w:szCs w:val="22"/>
        </w:rPr>
        <w:t>名单，同时公布</w:t>
      </w:r>
      <w:r>
        <w:rPr>
          <w:rFonts w:hint="eastAsia" w:ascii="新宋体" w:hAnsi="新宋体" w:eastAsia="新宋体" w:cs="新宋体"/>
          <w:b/>
          <w:bCs/>
          <w:kern w:val="0"/>
          <w:sz w:val="22"/>
          <w:szCs w:val="22"/>
        </w:rPr>
        <w:t>其</w:t>
      </w:r>
      <w:r>
        <w:rPr>
          <w:rFonts w:ascii="新宋体" w:hAnsi="新宋体" w:eastAsia="新宋体" w:cs="新宋体"/>
          <w:b/>
          <w:bCs/>
          <w:kern w:val="0"/>
          <w:sz w:val="22"/>
          <w:szCs w:val="22"/>
        </w:rPr>
        <w:t>商务技术</w:t>
      </w:r>
      <w:r>
        <w:rPr>
          <w:rFonts w:hint="eastAsia" w:ascii="新宋体" w:hAnsi="新宋体" w:eastAsia="新宋体" w:cs="新宋体"/>
          <w:b/>
          <w:bCs/>
          <w:kern w:val="0"/>
          <w:sz w:val="22"/>
          <w:szCs w:val="22"/>
        </w:rPr>
        <w:t>部分</w:t>
      </w:r>
      <w:r>
        <w:rPr>
          <w:rFonts w:ascii="新宋体" w:hAnsi="新宋体" w:eastAsia="新宋体" w:cs="新宋体"/>
          <w:b/>
          <w:bCs/>
          <w:kern w:val="0"/>
          <w:sz w:val="22"/>
          <w:szCs w:val="22"/>
        </w:rPr>
        <w:t>得分情况</w:t>
      </w:r>
      <w:r>
        <w:rPr>
          <w:rFonts w:hint="eastAsia" w:ascii="新宋体" w:hAnsi="新宋体" w:eastAsia="新宋体" w:cs="新宋体"/>
          <w:b/>
          <w:bCs/>
          <w:kern w:val="0"/>
          <w:sz w:val="22"/>
          <w:szCs w:val="22"/>
        </w:rPr>
        <w:t>。</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（2）开启通过符合性审查、商务技术文件评审有效投标人的报价文件，在“政采云平台”系统平台上公布开标一览表有关内容，同时当场制作开标记录</w:t>
      </w:r>
      <w:r>
        <w:rPr>
          <w:rFonts w:ascii="新宋体" w:hAnsi="新宋体" w:eastAsia="新宋体" w:cs="新宋体"/>
          <w:b/>
          <w:bCs/>
          <w:kern w:val="0"/>
          <w:sz w:val="22"/>
          <w:szCs w:val="22"/>
        </w:rPr>
        <w:t>。</w:t>
      </w:r>
      <w:r>
        <w:rPr>
          <w:rFonts w:hint="eastAsia" w:ascii="新宋体" w:hAnsi="新宋体" w:eastAsia="新宋体" w:cs="新宋体"/>
          <w:b/>
          <w:bCs/>
          <w:kern w:val="0"/>
          <w:sz w:val="22"/>
          <w:szCs w:val="22"/>
        </w:rPr>
        <w:t>开标</w:t>
      </w:r>
      <w:r>
        <w:rPr>
          <w:rFonts w:ascii="新宋体" w:hAnsi="新宋体" w:eastAsia="新宋体" w:cs="新宋体"/>
          <w:b/>
          <w:bCs/>
          <w:kern w:val="0"/>
          <w:sz w:val="22"/>
          <w:szCs w:val="22"/>
        </w:rPr>
        <w:t>结束后，由评标委员会对报价的合理性、准确性等进行审查核实</w:t>
      </w:r>
      <w:r>
        <w:rPr>
          <w:rFonts w:hint="eastAsia" w:ascii="新宋体" w:hAnsi="新宋体" w:eastAsia="新宋体" w:cs="新宋体"/>
          <w:b/>
          <w:bCs/>
          <w:kern w:val="0"/>
          <w:sz w:val="22"/>
          <w:szCs w:val="22"/>
        </w:rPr>
        <w:t>。</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特别说明：如遇“政采云平台”电子化开标或评审程序调整的，按调整后程序执行。</w:t>
      </w:r>
    </w:p>
    <w:p>
      <w:pPr>
        <w:tabs>
          <w:tab w:val="left" w:pos="540"/>
        </w:tabs>
        <w:spacing w:line="460" w:lineRule="exact"/>
        <w:rPr>
          <w:rFonts w:hint="eastAsia" w:ascii="新宋体" w:hAnsi="新宋体" w:eastAsia="新宋体" w:cs="新宋体"/>
          <w:b/>
          <w:bCs/>
          <w:kern w:val="0"/>
          <w:sz w:val="22"/>
          <w:szCs w:val="22"/>
        </w:rPr>
      </w:pPr>
      <w:bookmarkStart w:id="94" w:name="_Toc24550037"/>
      <w:bookmarkStart w:id="95" w:name="_Toc33194393"/>
      <w:r>
        <w:rPr>
          <w:rFonts w:hint="eastAsia" w:ascii="新宋体" w:hAnsi="新宋体" w:eastAsia="新宋体" w:cs="新宋体"/>
          <w:b/>
          <w:bCs/>
          <w:kern w:val="0"/>
          <w:sz w:val="22"/>
          <w:szCs w:val="22"/>
        </w:rPr>
        <w:t>27. 投标人资格审查</w:t>
      </w:r>
      <w:bookmarkEnd w:id="94"/>
      <w:bookmarkEnd w:id="95"/>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27.1开标大会第一阶段结束后，采购人或采购代理机构首先依法对各投标人的资格进行审查，审查各投标人的资格是否满足采购文件的要求。</w:t>
      </w:r>
      <w:r>
        <w:rPr>
          <w:rFonts w:ascii="新宋体" w:hAnsi="新宋体" w:eastAsia="新宋体" w:cs="新宋体"/>
          <w:bCs/>
          <w:kern w:val="0"/>
          <w:sz w:val="22"/>
          <w:szCs w:val="22"/>
        </w:rPr>
        <w:t>采购人或采购代理机构对投标人所</w:t>
      </w:r>
      <w:r>
        <w:rPr>
          <w:rFonts w:hint="eastAsia" w:ascii="新宋体" w:hAnsi="新宋体" w:eastAsia="新宋体" w:cs="新宋体"/>
          <w:bCs/>
          <w:kern w:val="0"/>
          <w:sz w:val="22"/>
          <w:szCs w:val="22"/>
        </w:rPr>
        <w:t>提交</w:t>
      </w:r>
      <w:r>
        <w:rPr>
          <w:rFonts w:ascii="新宋体" w:hAnsi="新宋体" w:eastAsia="新宋体" w:cs="新宋体"/>
          <w:bCs/>
          <w:kern w:val="0"/>
          <w:sz w:val="22"/>
          <w:szCs w:val="22"/>
        </w:rPr>
        <w:t>的资格审查材料仅负审核的责任。如发现投标人所提</w:t>
      </w:r>
      <w:r>
        <w:rPr>
          <w:rFonts w:hint="eastAsia" w:ascii="新宋体" w:hAnsi="新宋体" w:eastAsia="新宋体" w:cs="新宋体"/>
          <w:bCs/>
          <w:kern w:val="0"/>
          <w:sz w:val="22"/>
          <w:szCs w:val="22"/>
        </w:rPr>
        <w:t>交</w:t>
      </w:r>
      <w:r>
        <w:rPr>
          <w:rFonts w:ascii="新宋体" w:hAnsi="新宋体" w:eastAsia="新宋体" w:cs="新宋体"/>
          <w:bCs/>
          <w:kern w:val="0"/>
          <w:sz w:val="22"/>
          <w:szCs w:val="22"/>
        </w:rPr>
        <w:t>的资格审查材料不合法或</w:t>
      </w:r>
      <w:r>
        <w:rPr>
          <w:rFonts w:hint="eastAsia" w:ascii="新宋体" w:hAnsi="新宋体" w:eastAsia="新宋体" w:cs="新宋体"/>
          <w:bCs/>
          <w:kern w:val="0"/>
          <w:sz w:val="22"/>
          <w:szCs w:val="22"/>
        </w:rPr>
        <w:t>与事实不符</w:t>
      </w:r>
      <w:r>
        <w:rPr>
          <w:rFonts w:ascii="新宋体" w:hAnsi="新宋体" w:eastAsia="新宋体" w:cs="新宋体"/>
          <w:bCs/>
          <w:kern w:val="0"/>
          <w:sz w:val="22"/>
          <w:szCs w:val="22"/>
        </w:rPr>
        <w:t>，采购人可取消</w:t>
      </w:r>
      <w:r>
        <w:rPr>
          <w:rFonts w:hint="eastAsia" w:ascii="新宋体" w:hAnsi="新宋体" w:eastAsia="新宋体" w:cs="新宋体"/>
          <w:bCs/>
          <w:kern w:val="0"/>
          <w:sz w:val="22"/>
          <w:szCs w:val="22"/>
        </w:rPr>
        <w:t>其</w:t>
      </w:r>
      <w:r>
        <w:rPr>
          <w:rFonts w:ascii="新宋体" w:hAnsi="新宋体" w:eastAsia="新宋体" w:cs="新宋体"/>
          <w:bCs/>
          <w:kern w:val="0"/>
          <w:sz w:val="22"/>
          <w:szCs w:val="22"/>
        </w:rPr>
        <w:t>中标资格并追究投标人的法律责任。</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27.3单位负责人为同一人或者存在直接控股、管理关系的不同供应商参加同一合同项下的政府采购活动的，相关投标人均作资格无效处理。</w:t>
      </w:r>
    </w:p>
    <w:p>
      <w:pPr>
        <w:pStyle w:val="6"/>
        <w:spacing w:line="500" w:lineRule="exact"/>
        <w:jc w:val="center"/>
        <w:rPr>
          <w:rFonts w:hint="eastAsia" w:ascii="新宋体" w:hAnsi="新宋体" w:eastAsia="新宋体"/>
          <w:sz w:val="24"/>
          <w:szCs w:val="24"/>
        </w:rPr>
      </w:pPr>
      <w:bookmarkStart w:id="96" w:name="_Toc34221900"/>
      <w:bookmarkStart w:id="97" w:name="_Toc34572034"/>
      <w:bookmarkStart w:id="98" w:name="_Toc34508135"/>
      <w:r>
        <w:rPr>
          <w:rFonts w:hint="eastAsia" w:ascii="新宋体" w:hAnsi="新宋体" w:eastAsia="新宋体"/>
          <w:sz w:val="24"/>
          <w:szCs w:val="24"/>
        </w:rPr>
        <w:t>六、 评  标</w:t>
      </w:r>
      <w:bookmarkEnd w:id="96"/>
      <w:bookmarkEnd w:id="97"/>
      <w:bookmarkEnd w:id="98"/>
    </w:p>
    <w:p>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28. 评标委员会</w:t>
      </w:r>
    </w:p>
    <w:p>
      <w:pPr>
        <w:spacing w:line="460" w:lineRule="exact"/>
        <w:ind w:firstLine="440" w:firstLineChars="200"/>
        <w:rPr>
          <w:rFonts w:hint="eastAsia" w:ascii="新宋体" w:hAnsi="新宋体" w:eastAsia="新宋体" w:cs="新宋体"/>
          <w:kern w:val="0"/>
          <w:sz w:val="22"/>
          <w:szCs w:val="22"/>
        </w:rPr>
      </w:pPr>
      <w:r>
        <w:rPr>
          <w:rFonts w:hint="eastAsia" w:ascii="新宋体" w:hAnsi="新宋体" w:eastAsia="新宋体" w:cs="新宋体"/>
          <w:kern w:val="0"/>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29. 评标过程的保密性</w:t>
      </w:r>
    </w:p>
    <w:p>
      <w:pPr>
        <w:spacing w:line="460" w:lineRule="exact"/>
        <w:ind w:firstLine="440" w:firstLineChars="200"/>
        <w:rPr>
          <w:rFonts w:hint="eastAsia" w:ascii="新宋体" w:hAnsi="新宋体" w:eastAsia="新宋体" w:cs="新宋体"/>
          <w:kern w:val="0"/>
          <w:sz w:val="22"/>
          <w:szCs w:val="22"/>
        </w:rPr>
      </w:pPr>
      <w:r>
        <w:rPr>
          <w:rFonts w:hint="eastAsia" w:ascii="新宋体" w:hAnsi="新宋体" w:eastAsia="新宋体" w:cs="新宋体"/>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30. 投标文件的初审（符合性检查）。</w:t>
      </w:r>
    </w:p>
    <w:p>
      <w:pPr>
        <w:spacing w:line="460" w:lineRule="exact"/>
        <w:ind w:firstLine="440" w:firstLineChars="200"/>
        <w:rPr>
          <w:rFonts w:hint="eastAsia" w:ascii="新宋体" w:hAnsi="新宋体" w:eastAsia="新宋体" w:cs="新宋体"/>
          <w:kern w:val="0"/>
          <w:sz w:val="22"/>
          <w:szCs w:val="22"/>
        </w:rPr>
      </w:pPr>
      <w:r>
        <w:rPr>
          <w:rFonts w:hint="eastAsia" w:ascii="新宋体" w:hAnsi="新宋体" w:eastAsia="新宋体" w:cs="新宋体"/>
          <w:kern w:val="0"/>
          <w:sz w:val="22"/>
          <w:szCs w:val="22"/>
        </w:rPr>
        <w:t>评标委员会依据采购文件的规定，从投标文件中的有效性、完整性和对采购文件的响应程度进行审查，以确定是否对采购文件的实质性要求作出响应。</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30.1</w:t>
      </w:r>
      <w:r>
        <w:rPr>
          <w:rFonts w:hint="eastAsia" w:ascii="新宋体" w:hAnsi="新宋体" w:eastAsia="新宋体" w:cs="新宋体"/>
          <w:b/>
          <w:bCs/>
          <w:kern w:val="0"/>
          <w:sz w:val="22"/>
          <w:szCs w:val="22"/>
          <w:u w:val="single"/>
        </w:rPr>
        <w:t>投标人存在下列情况之一的，投标无效</w:t>
      </w:r>
      <w:r>
        <w:rPr>
          <w:rFonts w:hint="eastAsia" w:ascii="新宋体" w:hAnsi="新宋体" w:eastAsia="新宋体" w:cs="新宋体"/>
          <w:kern w:val="0"/>
          <w:sz w:val="22"/>
          <w:szCs w:val="22"/>
        </w:rPr>
        <w:t>:</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(1）投标文件正本未按采购文件要求签署、盖章的；</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(2）不具备采购文件中规定的资格要求的；</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(3）报价超过采购文件中规定的预算金额或者最高限价的；</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(4）投标文件含有采购人不能接受的附加条件的（包括采购文件中明确要求不得偏离的招标要求，存在负偏离的）；</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(5）仅提交“备份投标文件”的；</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(6）对关键条文的偏离、保留或反对，例如关于付款方式、完工期（服务期）、免费质保期、适用法律法规、标准、税费等其他内容；</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(7）存在串标、抬标或弄虚作假情况的；</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(8）法律、法规和采购文件规定的其他无效情形（或出现重大偏差）。</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30.2</w:t>
      </w:r>
      <w:r>
        <w:rPr>
          <w:rFonts w:hint="eastAsia" w:ascii="新宋体" w:hAnsi="新宋体" w:eastAsia="新宋体" w:cs="新宋体"/>
          <w:b/>
          <w:bCs/>
          <w:kern w:val="0"/>
          <w:sz w:val="22"/>
          <w:szCs w:val="22"/>
          <w:u w:val="single"/>
        </w:rPr>
        <w:t>评标委员会发现投标文件有下列情形之一的属于重大偏差(评标委员会按少数服从多数原则认定),按照无效投标处理</w:t>
      </w:r>
      <w:r>
        <w:rPr>
          <w:rFonts w:hint="eastAsia" w:ascii="新宋体" w:hAnsi="新宋体" w:eastAsia="新宋体" w:cs="新宋体"/>
          <w:kern w:val="0"/>
          <w:sz w:val="22"/>
          <w:szCs w:val="22"/>
        </w:rPr>
        <w:t>：</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(1）未按采购文件要求编制或字迹模糊、辨认不清的投标文件；</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(2）除30.1条款以外，出现其它明显不符合技术规格、技术标准的要求或不满足采购文件技术规格书中的主要参数的投标文件；</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(3）除30.1条款以外，出现投标项目数量与采购文件对比出现较大偏差；商务报价明细表计算错误，出现较大差错；</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(4）除30.1条款以外，出现其它不符合采购文件中规定的实质性要求的投标文件，是否为偏离实质性要求由评标委员会认定。</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30.3</w:t>
      </w:r>
      <w:r>
        <w:rPr>
          <w:rFonts w:hint="eastAsia" w:ascii="新宋体" w:hAnsi="新宋体" w:eastAsia="新宋体" w:cs="新宋体"/>
          <w:b/>
          <w:bCs/>
          <w:kern w:val="0"/>
          <w:sz w:val="22"/>
          <w:szCs w:val="22"/>
          <w:u w:val="single"/>
        </w:rPr>
        <w:t>有下列情形之一的，视为投标人串通投标，其投标无效</w:t>
      </w:r>
      <w:r>
        <w:rPr>
          <w:rFonts w:hint="eastAsia" w:ascii="新宋体" w:hAnsi="新宋体" w:eastAsia="新宋体" w:cs="新宋体"/>
          <w:kern w:val="0"/>
          <w:sz w:val="22"/>
          <w:szCs w:val="22"/>
        </w:rPr>
        <w:t>：</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(1)不同投标人的投标文件由同一单位或者个人编制；</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(2)不同投标人委托同一单位或者个人办理投标事宜；</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(3)不同投标人的投标文件载明的项目管理成员或者联系人员为同一人；</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(4）不同投标人的投标文件异常一致或者投标报价呈规律性差异；</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(5）不同投标人的投标文件相互混装；</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30.5实质上没有响应采购文件要求的投标将被否决，投标人不得通过修正或撤消不合要求的偏离或保留从而使其投标成为实质上响应的投标。</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31.投标文件的澄清</w:t>
      </w:r>
    </w:p>
    <w:p>
      <w:pPr>
        <w:spacing w:line="460" w:lineRule="exact"/>
        <w:rPr>
          <w:rFonts w:hint="eastAsia" w:ascii="宋体" w:hAnsi="宋体" w:cs="宋体"/>
          <w:b/>
          <w:bCs/>
          <w:sz w:val="22"/>
          <w:szCs w:val="22"/>
        </w:rPr>
      </w:pPr>
      <w:r>
        <w:rPr>
          <w:rFonts w:hint="eastAsia" w:ascii="新宋体" w:hAnsi="新宋体" w:eastAsia="新宋体" w:cs="新宋体"/>
          <w:kern w:val="0"/>
          <w:sz w:val="22"/>
          <w:szCs w:val="22"/>
        </w:rPr>
        <w:t>31.1</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hint="eastAsia" w:ascii="宋体" w:hAnsi="宋体" w:cs="宋体"/>
          <w:b/>
          <w:bCs/>
          <w:sz w:val="22"/>
          <w:szCs w:val="22"/>
        </w:rPr>
      </w:pPr>
      <w:r>
        <w:rPr>
          <w:rFonts w:hint="eastAsia" w:ascii="新宋体" w:hAnsi="新宋体" w:eastAsia="新宋体" w:cs="新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31.3</w:t>
      </w:r>
      <w:r>
        <w:rPr>
          <w:rFonts w:hint="eastAsia" w:hAnsi="宋体" w:cs="宋体"/>
          <w:sz w:val="22"/>
        </w:rPr>
        <w:t>投标文件报价出现前后不一致的，除采购文件另有规定外，按照下列规定修正</w:t>
      </w:r>
      <w:r>
        <w:rPr>
          <w:rFonts w:hint="eastAsia" w:ascii="新宋体" w:hAnsi="新宋体" w:eastAsia="新宋体" w:cs="新宋体"/>
          <w:kern w:val="0"/>
          <w:sz w:val="22"/>
          <w:szCs w:val="22"/>
        </w:rPr>
        <w:t>：</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hAnsi="宋体" w:cs="宋体"/>
          <w:sz w:val="22"/>
        </w:rPr>
        <w:t>投标文件中开标一览表（报价表）内容与投标文件中相应内容不一致的，以开标一览表（报价表）为准</w:t>
      </w:r>
      <w:r>
        <w:rPr>
          <w:rFonts w:hint="eastAsia" w:ascii="新宋体" w:hAnsi="新宋体" w:eastAsia="新宋体" w:cs="新宋体"/>
          <w:kern w:val="0"/>
          <w:sz w:val="22"/>
          <w:szCs w:val="22"/>
        </w:rPr>
        <w:t>。</w:t>
      </w:r>
    </w:p>
    <w:p>
      <w:pPr>
        <w:spacing w:line="460" w:lineRule="exact"/>
        <w:ind w:firstLine="440" w:firstLineChars="200"/>
        <w:rPr>
          <w:rFonts w:hint="eastAsia" w:hAnsi="宋体" w:cs="宋体"/>
          <w:sz w:val="22"/>
        </w:rPr>
      </w:pPr>
      <w:r>
        <w:rPr>
          <w:rFonts w:hint="eastAsia" w:ascii="新宋体" w:hAnsi="新宋体" w:eastAsia="新宋体" w:cs="新宋体"/>
          <w:kern w:val="0"/>
          <w:sz w:val="22"/>
          <w:szCs w:val="22"/>
        </w:rPr>
        <w:t>(2）</w:t>
      </w:r>
      <w:r>
        <w:rPr>
          <w:rFonts w:hint="eastAsia" w:hAnsi="宋体" w:cs="宋体"/>
          <w:sz w:val="22"/>
        </w:rPr>
        <w:t>大写金额和小写金额不一致的，以大写金额为准。</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(3）单价金额小数点或者百分比有明显错位的，以开标一览表的总价为准，并修改单价。</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(4）总价金额与按单价汇总金额不一致的，以单价金额计算结果为准。</w:t>
      </w:r>
    </w:p>
    <w:p>
      <w:pPr>
        <w:spacing w:line="460" w:lineRule="exact"/>
        <w:ind w:firstLine="418" w:firstLineChars="190"/>
        <w:rPr>
          <w:rFonts w:hint="eastAsia" w:hAnsi="宋体" w:cs="宋体"/>
          <w:sz w:val="22"/>
        </w:rPr>
      </w:pPr>
      <w:r>
        <w:rPr>
          <w:rFonts w:hint="eastAsia" w:ascii="新宋体" w:hAnsi="新宋体" w:eastAsia="新宋体" w:cs="新宋体"/>
          <w:kern w:val="0"/>
          <w:sz w:val="22"/>
          <w:szCs w:val="22"/>
        </w:rPr>
        <w:t>(5）</w:t>
      </w:r>
      <w:r>
        <w:rPr>
          <w:rFonts w:hint="eastAsia" w:hAnsi="宋体" w:cs="宋体"/>
          <w:b/>
          <w:bCs/>
          <w:sz w:val="22"/>
        </w:rPr>
        <w:t>同时出现两种以上不一致的，按照前款规定的顺序修正。修正后的报价按照本采购文件规定经投标人确认后产生约束力，投标人不确认的，其投标无效。</w:t>
      </w:r>
    </w:p>
    <w:p>
      <w:pPr>
        <w:spacing w:line="460" w:lineRule="exact"/>
        <w:rPr>
          <w:rFonts w:hint="eastAsia" w:ascii="宋体" w:hAnsi="宋体" w:cs="宋体"/>
          <w:b/>
          <w:bCs/>
          <w:sz w:val="22"/>
          <w:szCs w:val="22"/>
        </w:rPr>
      </w:pPr>
      <w:r>
        <w:rPr>
          <w:rFonts w:hint="eastAsia" w:ascii="宋体" w:hAnsi="宋体" w:cs="宋体"/>
          <w:b/>
          <w:bCs/>
          <w:sz w:val="22"/>
          <w:szCs w:val="22"/>
        </w:rPr>
        <w:t>31.4</w:t>
      </w:r>
      <w:r>
        <w:rPr>
          <w:rFonts w:hint="eastAsia" w:ascii="新宋体" w:hAnsi="新宋体" w:eastAsia="新宋体" w:cs="新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kern w:val="0"/>
          <w:sz w:val="22"/>
          <w:szCs w:val="22"/>
        </w:rPr>
        <w:t>。</w:t>
      </w:r>
    </w:p>
    <w:p>
      <w:pPr>
        <w:spacing w:line="460" w:lineRule="exact"/>
        <w:rPr>
          <w:rFonts w:hint="eastAsia" w:ascii="宋体" w:hAnsi="宋体" w:cs="宋体"/>
          <w:b/>
          <w:bCs/>
          <w:sz w:val="22"/>
          <w:szCs w:val="22"/>
        </w:rPr>
      </w:pPr>
      <w:r>
        <w:rPr>
          <w:rFonts w:hint="eastAsia" w:ascii="宋体" w:hAnsi="宋体" w:cs="宋体"/>
          <w:b/>
          <w:bCs/>
          <w:sz w:val="22"/>
          <w:szCs w:val="22"/>
        </w:rPr>
        <w:t>31.5如果投标</w:t>
      </w:r>
      <w:r>
        <w:rPr>
          <w:rFonts w:hint="eastAsia" w:hAnsi="宋体" w:cs="宋体"/>
          <w:b/>
          <w:bCs/>
          <w:sz w:val="22"/>
          <w:szCs w:val="22"/>
        </w:rPr>
        <w:t>人</w:t>
      </w:r>
      <w:r>
        <w:rPr>
          <w:rFonts w:hint="eastAsia" w:ascii="宋体" w:hAnsi="宋体" w:cs="宋体"/>
          <w:b/>
          <w:bCs/>
          <w:sz w:val="22"/>
          <w:szCs w:val="22"/>
        </w:rPr>
        <w:t>代表拒绝按评标委员会要求在“政采云平台”作出在线回复且无其他有效回复方式的，评标委员会可以对其作出否决投标处理。</w:t>
      </w:r>
    </w:p>
    <w:p>
      <w:pPr>
        <w:spacing w:line="460" w:lineRule="exact"/>
        <w:rPr>
          <w:rFonts w:hint="eastAsia" w:ascii="新宋体" w:hAnsi="新宋体" w:eastAsia="新宋体" w:cs="新宋体"/>
          <w:kern w:val="0"/>
          <w:sz w:val="22"/>
          <w:szCs w:val="22"/>
        </w:rPr>
      </w:pPr>
      <w:r>
        <w:rPr>
          <w:rFonts w:hint="eastAsia" w:ascii="宋体" w:hAnsi="宋体" w:cs="宋体"/>
          <w:b/>
          <w:bCs/>
          <w:sz w:val="22"/>
          <w:szCs w:val="22"/>
        </w:rPr>
        <w:t>31.6</w:t>
      </w:r>
      <w:r>
        <w:rPr>
          <w:rFonts w:hint="eastAsia" w:ascii="宋体" w:hAnsi="宋体" w:cs="宋体"/>
          <w:sz w:val="22"/>
          <w:u w:val="single"/>
        </w:rPr>
        <w:t>经澄清后，若偏差仍存在，且不可接受，则投标文件将被认定为“没有实质性响应采购文件要求”，按无效投标处理，不再进入下一步评审。</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32.</w:t>
      </w:r>
      <w:r>
        <w:rPr>
          <w:rFonts w:hint="eastAsia" w:hAnsi="宋体" w:cs="宋体"/>
          <w:b/>
          <w:bCs/>
          <w:sz w:val="22"/>
        </w:rPr>
        <w:t xml:space="preserve"> 评标原则和评标办法</w:t>
      </w:r>
    </w:p>
    <w:p>
      <w:pPr>
        <w:pStyle w:val="30"/>
        <w:snapToGrid w:val="0"/>
        <w:spacing w:line="460" w:lineRule="exact"/>
        <w:rPr>
          <w:rFonts w:hAnsi="宋体" w:cs="宋体"/>
          <w:sz w:val="22"/>
        </w:rPr>
      </w:pPr>
      <w:r>
        <w:rPr>
          <w:rFonts w:hint="eastAsia" w:hAnsi="宋体" w:cs="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1"/>
        <w:spacing w:before="0" w:beforeAutospacing="0" w:after="0" w:afterAutospacing="0" w:line="460" w:lineRule="exact"/>
        <w:jc w:val="both"/>
        <w:rPr>
          <w:color w:val="auto"/>
          <w:sz w:val="22"/>
        </w:rPr>
      </w:pPr>
      <w:r>
        <w:rPr>
          <w:rFonts w:hint="eastAsia"/>
          <w:color w:val="auto"/>
          <w:sz w:val="22"/>
        </w:rPr>
        <w:t>32.2评标中因评标委员会成员缺席、回避或者健康等特殊原因导致评标委员会组成不符合规定的，依法补足后继续评标。被更换的评标委员会成员所作出的评标意见无效。</w:t>
      </w:r>
    </w:p>
    <w:p>
      <w:pPr>
        <w:pStyle w:val="30"/>
        <w:snapToGrid w:val="0"/>
        <w:spacing w:line="460" w:lineRule="exact"/>
        <w:rPr>
          <w:rFonts w:hAnsi="宋体" w:cs="宋体"/>
          <w:sz w:val="22"/>
        </w:rPr>
      </w:pPr>
      <w:r>
        <w:rPr>
          <w:rFonts w:hint="eastAsia" w:hAnsi="宋体" w:cs="宋体"/>
          <w:sz w:val="22"/>
        </w:rPr>
        <w:t>32.3评标委员会成员对需要共同认定的事项存在争议的，应当按照少数服从多数的原则作出结论。持不同意见的评标委员会成员应当在评标报告上签署不同意见及理由，否则视为同意评标报告。</w:t>
      </w:r>
    </w:p>
    <w:p>
      <w:pPr>
        <w:pStyle w:val="30"/>
        <w:snapToGrid w:val="0"/>
        <w:spacing w:line="460" w:lineRule="exact"/>
        <w:rPr>
          <w:rFonts w:hAnsi="宋体" w:cs="宋体"/>
          <w:sz w:val="22"/>
        </w:rPr>
      </w:pPr>
      <w:r>
        <w:rPr>
          <w:rFonts w:hint="eastAsia" w:hAnsi="宋体" w:cs="宋体"/>
          <w:sz w:val="22"/>
        </w:rPr>
        <w:t>32.4本项目评标办法是综合评分法，具体评标内容及评分标准等详见第六部分“评标原则及方法”。</w:t>
      </w:r>
    </w:p>
    <w:p>
      <w:pPr>
        <w:pStyle w:val="30"/>
        <w:snapToGrid w:val="0"/>
        <w:spacing w:line="460" w:lineRule="exact"/>
        <w:rPr>
          <w:rFonts w:hAnsi="宋体" w:cs="宋体"/>
          <w:sz w:val="22"/>
        </w:rPr>
      </w:pPr>
      <w:r>
        <w:rPr>
          <w:rFonts w:hint="eastAsia" w:hAnsi="宋体" w:cs="宋体"/>
          <w:sz w:val="22"/>
          <w:u w:val="single"/>
        </w:rPr>
        <w:t>32.5</w:t>
      </w:r>
      <w:r>
        <w:rPr>
          <w:rFonts w:hint="eastAsia" w:hAnsi="宋体" w:cs="宋体"/>
          <w:b/>
          <w:bCs/>
          <w:sz w:val="22"/>
          <w:u w:val="single"/>
        </w:rPr>
        <w:t>根据《中华人民共和国政府采购法》第三十六条规定：在招标采购中，符合专业条件的投标人或者对采购文件作实质响应的投标人不足三家的，此项目废标，应重新组织采购。</w:t>
      </w:r>
    </w:p>
    <w:p>
      <w:pPr>
        <w:spacing w:line="460" w:lineRule="exact"/>
        <w:rPr>
          <w:rFonts w:hint="eastAsia" w:ascii="新宋体" w:hAnsi="新宋体" w:eastAsia="新宋体" w:cs="新宋体"/>
          <w:kern w:val="0"/>
          <w:sz w:val="22"/>
          <w:szCs w:val="22"/>
        </w:rPr>
      </w:pPr>
      <w:r>
        <w:rPr>
          <w:rFonts w:hint="eastAsia" w:ascii="宋体" w:hAnsi="宋体" w:cs="宋体"/>
          <w:sz w:val="22"/>
        </w:rPr>
        <w:t>32.6评标过程中遇到特殊情况，由评标委员会遵循公开、公正原则，采取投票方式按照少数服从多数原则决定。</w:t>
      </w:r>
    </w:p>
    <w:p>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33.确定中标候选人</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33.1本次招标由评标委员会推荐中标候选人，采购人根据评标委员会的推荐结果进行最终确认。</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33.2</w:t>
      </w:r>
      <w:r>
        <w:rPr>
          <w:rFonts w:hint="eastAsia" w:ascii="新宋体" w:hAnsi="新宋体" w:eastAsia="新宋体" w:cs="新宋体"/>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r>
        <w:rPr>
          <w:rFonts w:hint="eastAsia" w:ascii="新宋体" w:hAnsi="新宋体" w:eastAsia="新宋体" w:cs="新宋体"/>
          <w:kern w:val="0"/>
          <w:sz w:val="22"/>
          <w:szCs w:val="22"/>
        </w:rPr>
        <w:t>。</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33.3若出现以下情形之一，采购人可视具体情况确定是否由备选中标人为中标人或重新组织招标：</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(1）中标候选人放弃中标资格；</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(2）中标候选人因不可抗力提出不能履行合同；</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(3）中标候选人未能在规定时间内与采购单位签订合同；</w:t>
      </w:r>
    </w:p>
    <w:p>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(4）经质疑，采购人审查后，中标候选人确实在本次采购活动中存在违法违规行为或其他原因使质疑成立的。</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pPr>
        <w:tabs>
          <w:tab w:val="left" w:pos="1365"/>
        </w:tabs>
        <w:spacing w:line="460" w:lineRule="exact"/>
        <w:ind w:left="550" w:hanging="550" w:hangingChars="250"/>
        <w:rPr>
          <w:rFonts w:hint="eastAsia" w:ascii="新宋体" w:hAnsi="新宋体" w:eastAsia="新宋体" w:cs="新宋体"/>
          <w:bCs/>
          <w:sz w:val="22"/>
          <w:szCs w:val="22"/>
        </w:rPr>
      </w:pPr>
      <w:r>
        <w:rPr>
          <w:rFonts w:hint="eastAsia" w:ascii="新宋体" w:hAnsi="新宋体" w:eastAsia="新宋体" w:cs="新宋体"/>
          <w:kern w:val="0"/>
          <w:sz w:val="22"/>
          <w:szCs w:val="22"/>
        </w:rPr>
        <w:t>34. 评标细则详见“评标原则及方法”</w:t>
      </w:r>
      <w:r>
        <w:rPr>
          <w:rFonts w:hint="eastAsia" w:ascii="新宋体" w:hAnsi="新宋体" w:eastAsia="新宋体" w:cs="新宋体"/>
          <w:bCs/>
          <w:sz w:val="22"/>
          <w:szCs w:val="22"/>
        </w:rPr>
        <w:t>。</w:t>
      </w:r>
    </w:p>
    <w:p>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35. 可中止电子交易活动的情形</w:t>
      </w:r>
    </w:p>
    <w:p>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35.1采购过程中出现以下情形，导致电子交易平台无法正常运行，或者无法保证电子交易的公平、公正和安全时，采购组织机构可中止电子交易活动：</w:t>
      </w:r>
    </w:p>
    <w:p>
      <w:pPr>
        <w:tabs>
          <w:tab w:val="left" w:pos="993"/>
        </w:tabs>
        <w:spacing w:line="460" w:lineRule="exact"/>
        <w:ind w:left="567"/>
        <w:rPr>
          <w:rFonts w:ascii="新宋体" w:hAnsi="新宋体" w:eastAsia="新宋体" w:cs="新宋体"/>
          <w:kern w:val="0"/>
          <w:sz w:val="22"/>
          <w:szCs w:val="22"/>
        </w:rPr>
      </w:pPr>
      <w:r>
        <w:rPr>
          <w:rFonts w:hint="eastAsia" w:ascii="新宋体" w:hAnsi="新宋体" w:eastAsia="新宋体" w:cs="新宋体"/>
          <w:kern w:val="0"/>
          <w:sz w:val="22"/>
          <w:szCs w:val="22"/>
        </w:rPr>
        <w:t>(1)电子交易平台发生故障而无法登录访问的；</w:t>
      </w:r>
    </w:p>
    <w:p>
      <w:pPr>
        <w:tabs>
          <w:tab w:val="left" w:pos="993"/>
        </w:tabs>
        <w:spacing w:line="460" w:lineRule="exact"/>
        <w:ind w:left="567"/>
        <w:rPr>
          <w:rFonts w:ascii="新宋体" w:hAnsi="新宋体" w:eastAsia="新宋体" w:cs="新宋体"/>
          <w:kern w:val="0"/>
          <w:sz w:val="22"/>
          <w:szCs w:val="22"/>
        </w:rPr>
      </w:pPr>
      <w:r>
        <w:rPr>
          <w:rFonts w:hint="eastAsia" w:ascii="新宋体" w:hAnsi="新宋体" w:eastAsia="新宋体" w:cs="新宋体"/>
          <w:kern w:val="0"/>
          <w:sz w:val="22"/>
          <w:szCs w:val="22"/>
        </w:rPr>
        <w:t>(2)电子交易平台应用或数据库出现错误，不能进行正常操作的；</w:t>
      </w:r>
    </w:p>
    <w:p>
      <w:pPr>
        <w:tabs>
          <w:tab w:val="left" w:pos="993"/>
        </w:tabs>
        <w:spacing w:line="460" w:lineRule="exact"/>
        <w:ind w:left="567"/>
        <w:rPr>
          <w:rFonts w:ascii="新宋体" w:hAnsi="新宋体" w:eastAsia="新宋体" w:cs="新宋体"/>
          <w:kern w:val="0"/>
          <w:sz w:val="22"/>
          <w:szCs w:val="22"/>
        </w:rPr>
      </w:pPr>
      <w:r>
        <w:rPr>
          <w:rFonts w:hint="eastAsia" w:ascii="新宋体" w:hAnsi="新宋体" w:eastAsia="新宋体" w:cs="新宋体"/>
          <w:kern w:val="0"/>
          <w:sz w:val="22"/>
          <w:szCs w:val="22"/>
        </w:rPr>
        <w:t>(3)电子交易平台发现严重安全漏洞，有潜在泄密危险的；</w:t>
      </w:r>
    </w:p>
    <w:p>
      <w:pPr>
        <w:tabs>
          <w:tab w:val="left" w:pos="993"/>
        </w:tabs>
        <w:spacing w:line="460" w:lineRule="exact"/>
        <w:ind w:left="567"/>
        <w:rPr>
          <w:rFonts w:ascii="新宋体" w:hAnsi="新宋体" w:eastAsia="新宋体" w:cs="新宋体"/>
          <w:kern w:val="0"/>
          <w:sz w:val="22"/>
          <w:szCs w:val="22"/>
        </w:rPr>
      </w:pPr>
      <w:r>
        <w:rPr>
          <w:rFonts w:hint="eastAsia" w:ascii="新宋体" w:hAnsi="新宋体" w:eastAsia="新宋体" w:cs="新宋体"/>
          <w:kern w:val="0"/>
          <w:sz w:val="22"/>
          <w:szCs w:val="22"/>
        </w:rPr>
        <w:t>(4)病毒发作导致不能进行正常操作的；</w:t>
      </w:r>
    </w:p>
    <w:p>
      <w:pPr>
        <w:tabs>
          <w:tab w:val="left" w:pos="993"/>
        </w:tabs>
        <w:spacing w:line="460" w:lineRule="exact"/>
        <w:ind w:left="567"/>
        <w:rPr>
          <w:rFonts w:ascii="新宋体" w:hAnsi="新宋体" w:eastAsia="新宋体" w:cs="新宋体"/>
          <w:kern w:val="0"/>
          <w:sz w:val="22"/>
          <w:szCs w:val="22"/>
        </w:rPr>
      </w:pPr>
      <w:r>
        <w:rPr>
          <w:rFonts w:hint="eastAsia" w:ascii="新宋体" w:hAnsi="新宋体" w:eastAsia="新宋体" w:cs="新宋体"/>
          <w:kern w:val="0"/>
          <w:sz w:val="22"/>
          <w:szCs w:val="22"/>
        </w:rPr>
        <w:t>(5)其他无法保证电子交易的公平、公正和安全的情况。</w:t>
      </w:r>
    </w:p>
    <w:p>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35.2出现前款规定情形，不影响采购公平、公正性的，采购组织机构可以待上述情形消除后继续组织电子交易活动；影响或可能影响采购公平、公正性的，应当重新采购。</w:t>
      </w:r>
    </w:p>
    <w:p>
      <w:pPr>
        <w:pStyle w:val="6"/>
        <w:spacing w:line="500" w:lineRule="exact"/>
        <w:jc w:val="center"/>
        <w:rPr>
          <w:rFonts w:hint="eastAsia" w:ascii="新宋体" w:hAnsi="新宋体" w:eastAsia="新宋体"/>
          <w:sz w:val="24"/>
          <w:szCs w:val="24"/>
        </w:rPr>
      </w:pPr>
      <w:bookmarkStart w:id="99" w:name="_Toc306613654"/>
      <w:bookmarkStart w:id="100" w:name="_Toc34508136"/>
      <w:bookmarkStart w:id="101" w:name="_Toc34221901"/>
      <w:bookmarkStart w:id="102" w:name="_Toc34572035"/>
      <w:r>
        <w:rPr>
          <w:rFonts w:hint="eastAsia" w:ascii="新宋体" w:hAnsi="新宋体" w:eastAsia="新宋体"/>
          <w:sz w:val="24"/>
          <w:szCs w:val="24"/>
        </w:rPr>
        <w:t>七、 授予合同</w:t>
      </w:r>
      <w:bookmarkEnd w:id="99"/>
      <w:bookmarkEnd w:id="100"/>
      <w:bookmarkEnd w:id="101"/>
      <w:bookmarkEnd w:id="102"/>
    </w:p>
    <w:p>
      <w:pPr>
        <w:tabs>
          <w:tab w:val="left" w:pos="540"/>
        </w:tabs>
        <w:spacing w:line="440" w:lineRule="exact"/>
        <w:rPr>
          <w:rFonts w:hint="eastAsia" w:ascii="新宋体" w:hAnsi="新宋体" w:eastAsia="新宋体" w:cs="新宋体"/>
          <w:b/>
          <w:sz w:val="22"/>
          <w:szCs w:val="22"/>
        </w:rPr>
      </w:pPr>
      <w:r>
        <w:rPr>
          <w:rFonts w:hint="eastAsia" w:ascii="新宋体" w:hAnsi="新宋体" w:eastAsia="新宋体" w:cs="新宋体"/>
          <w:b/>
          <w:sz w:val="22"/>
          <w:szCs w:val="22"/>
        </w:rPr>
        <w:t>36. 确定中标人</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36.1采购人自收到评标报告之日起5个工作日内，在评标报告确定的中标候选人名单中按顺序确定中标人。</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36.2中标人确定之日起2个工作日内，在“政采云”平台上公示中标结果，中标公告期限为1个工作日；</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36.3在公告中标结果的同时，采购人向中标人发出中标通知书。</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hint="eastAsia" w:ascii="新宋体" w:hAnsi="新宋体" w:eastAsia="新宋体" w:cs="新宋体"/>
          <w:b/>
          <w:sz w:val="22"/>
          <w:szCs w:val="22"/>
        </w:rPr>
      </w:pPr>
      <w:r>
        <w:rPr>
          <w:rFonts w:hint="eastAsia" w:ascii="新宋体" w:hAnsi="新宋体" w:eastAsia="新宋体" w:cs="新宋体"/>
          <w:b/>
          <w:sz w:val="22"/>
          <w:szCs w:val="22"/>
        </w:rPr>
        <w:t>37. 签订合同</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37.3拒签合同的责任</w:t>
      </w:r>
    </w:p>
    <w:p>
      <w:pPr>
        <w:tabs>
          <w:tab w:val="left" w:pos="6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37.4中标投标人在规定时间内（30日历天）借故否认已经承诺的条件、拒签合同，以投标违约处理，其投标保证金不予退回，并赔偿采购人由此造成的直接经济损失；采购人重新组织招标的，所需费用由原中标投标人承担。</w:t>
      </w:r>
    </w:p>
    <w:p>
      <w:pPr>
        <w:pStyle w:val="3"/>
        <w:spacing w:line="440" w:lineRule="exact"/>
        <w:rPr>
          <w:rFonts w:hint="eastAsia" w:ascii="新宋体" w:hAnsi="新宋体" w:eastAsia="新宋体" w:cs="新宋体"/>
          <w:b/>
          <w:sz w:val="22"/>
          <w:szCs w:val="22"/>
        </w:rPr>
      </w:pPr>
      <w:r>
        <w:rPr>
          <w:rFonts w:hint="eastAsia" w:ascii="新宋体" w:hAnsi="新宋体" w:eastAsia="新宋体" w:cs="新宋体"/>
          <w:b/>
          <w:sz w:val="22"/>
          <w:szCs w:val="22"/>
        </w:rPr>
        <w:t>38. 招标代理服务费</w:t>
      </w:r>
    </w:p>
    <w:p>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38.1中标供应商在领取中标通知书的同时向招标代理机构支付招标代理服务费（根据国家计委印发的《招标代理服务收费管理暂行办法》</w:t>
      </w:r>
      <w:r>
        <w:rPr>
          <w:rFonts w:ascii="新宋体" w:hAnsi="新宋体" w:eastAsia="新宋体" w:cs="新宋体"/>
          <w:sz w:val="22"/>
          <w:szCs w:val="22"/>
        </w:rPr>
        <w:t>(计价格【2002】1980号文)收</w:t>
      </w:r>
      <w:r>
        <w:rPr>
          <w:rFonts w:hint="eastAsia" w:ascii="新宋体" w:hAnsi="新宋体" w:eastAsia="新宋体" w:cs="新宋体"/>
          <w:sz w:val="22"/>
          <w:szCs w:val="22"/>
        </w:rPr>
        <w:t>取</w:t>
      </w:r>
      <w:r>
        <w:rPr>
          <w:rFonts w:ascii="新宋体" w:hAnsi="新宋体" w:eastAsia="新宋体" w:cs="新宋体"/>
          <w:sz w:val="22"/>
          <w:szCs w:val="22"/>
        </w:rPr>
        <w:t>）</w:t>
      </w:r>
      <w:r>
        <w:rPr>
          <w:rFonts w:hint="eastAsia" w:ascii="新宋体" w:hAnsi="新宋体" w:eastAsia="新宋体" w:cs="新宋体"/>
          <w:sz w:val="22"/>
          <w:szCs w:val="22"/>
        </w:rPr>
        <w:t>，招标代理服务费包含在总价中。</w:t>
      </w:r>
    </w:p>
    <w:p>
      <w:pPr>
        <w:pStyle w:val="2"/>
        <w:ind w:firstLine="321"/>
        <w:rPr>
          <w:rFonts w:hint="eastAsia"/>
        </w:rPr>
      </w:pPr>
    </w:p>
    <w:p>
      <w:pPr>
        <w:spacing w:line="440" w:lineRule="exact"/>
        <w:rPr>
          <w:rFonts w:hint="eastAsia" w:ascii="新宋体" w:hAnsi="新宋体" w:eastAsia="新宋体" w:cs="新宋体"/>
          <w:b/>
          <w:bCs/>
          <w:sz w:val="22"/>
          <w:szCs w:val="22"/>
        </w:rPr>
      </w:pPr>
    </w:p>
    <w:p>
      <w:pPr>
        <w:spacing w:line="440" w:lineRule="exact"/>
        <w:rPr>
          <w:rFonts w:hint="eastAsia" w:ascii="新宋体" w:hAnsi="新宋体" w:eastAsia="新宋体" w:cs="新宋体"/>
          <w:b/>
          <w:bCs/>
          <w:sz w:val="22"/>
          <w:szCs w:val="22"/>
        </w:rPr>
      </w:pPr>
    </w:p>
    <w:p>
      <w:pPr>
        <w:pStyle w:val="53"/>
        <w:rPr>
          <w:rFonts w:hint="eastAsia" w:ascii="新宋体" w:hAnsi="新宋体" w:eastAsia="新宋体" w:cs="新宋体"/>
          <w:b w:val="0"/>
          <w:bCs w:val="0"/>
          <w:sz w:val="22"/>
          <w:szCs w:val="22"/>
        </w:rPr>
      </w:pPr>
    </w:p>
    <w:p>
      <w:pPr>
        <w:pStyle w:val="53"/>
        <w:rPr>
          <w:rFonts w:hint="eastAsia" w:ascii="新宋体" w:hAnsi="新宋体" w:eastAsia="新宋体" w:cs="新宋体"/>
          <w:b w:val="0"/>
          <w:bCs w:val="0"/>
          <w:sz w:val="22"/>
          <w:szCs w:val="22"/>
        </w:rPr>
      </w:pPr>
    </w:p>
    <w:p>
      <w:pPr>
        <w:pStyle w:val="53"/>
        <w:ind w:firstLine="1650" w:firstLineChars="750"/>
        <w:jc w:val="both"/>
        <w:rPr>
          <w:rFonts w:hint="eastAsia" w:ascii="新宋体" w:hAnsi="新宋体" w:eastAsia="新宋体" w:cs="新宋体"/>
          <w:kern w:val="2"/>
          <w:sz w:val="36"/>
          <w:szCs w:val="36"/>
        </w:rPr>
      </w:pPr>
      <w:r>
        <w:rPr>
          <w:rFonts w:hint="eastAsia" w:ascii="新宋体" w:hAnsi="新宋体" w:eastAsia="新宋体" w:cs="新宋体"/>
          <w:b w:val="0"/>
          <w:bCs w:val="0"/>
          <w:sz w:val="22"/>
          <w:szCs w:val="22"/>
        </w:rPr>
        <w:br w:type="page"/>
      </w:r>
      <w:bookmarkStart w:id="103" w:name="_Toc495955195"/>
      <w:bookmarkStart w:id="104" w:name="_Toc34508137"/>
      <w:bookmarkStart w:id="105" w:name="_Toc34572036"/>
      <w:r>
        <w:rPr>
          <w:rFonts w:hint="eastAsia" w:ascii="新宋体" w:hAnsi="新宋体" w:eastAsia="新宋体" w:cs="新宋体"/>
          <w:kern w:val="2"/>
          <w:sz w:val="36"/>
          <w:szCs w:val="36"/>
        </w:rPr>
        <w:t>第二部分   政府采购政策功能相关说明</w:t>
      </w:r>
      <w:bookmarkEnd w:id="103"/>
      <w:bookmarkEnd w:id="104"/>
      <w:bookmarkEnd w:id="105"/>
    </w:p>
    <w:p>
      <w:pPr>
        <w:jc w:val="left"/>
        <w:rPr>
          <w:rFonts w:hint="eastAsia" w:ascii="新宋体" w:hAnsi="新宋体" w:eastAsia="新宋体" w:cs="新宋体"/>
          <w:b/>
          <w:sz w:val="22"/>
        </w:rPr>
      </w:pPr>
    </w:p>
    <w:p>
      <w:pPr>
        <w:jc w:val="left"/>
        <w:rPr>
          <w:rFonts w:hint="eastAsia" w:ascii="新宋体" w:hAnsi="新宋体" w:eastAsia="新宋体" w:cs="新宋体"/>
          <w:bCs/>
          <w:sz w:val="22"/>
        </w:rPr>
      </w:pPr>
      <w:r>
        <w:rPr>
          <w:rFonts w:hint="eastAsia" w:ascii="新宋体" w:hAnsi="新宋体" w:eastAsia="新宋体" w:cs="新宋体"/>
          <w:bCs/>
          <w:sz w:val="22"/>
        </w:rPr>
        <w:t>一、小、微企业（含监狱企业、残疾人福利性单位）扶持政策说明</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1、文件依据</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（1）关于印发《政府采购促进中小企业发展暂行办法》的通知（财库[2011]181号）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（2）浙江省财政厅转发财政部 工业和信息化部关于印发《政府采购促进中小企业发展暂行办法》的通知（浙财采监[2012]11号）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（3）浙江省省财政厅《关于开展政府采购投标人网上注册登记和诚信管理工作的通知》（浙财采监〔2010〕8号)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（4）《工业和信息化部、国家统计局、国家发展和改革委员会、财政部关于印发中小企业划型标准规定的通知》（工信部联企业[2011]300号）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（5）财政部、司法部《关于政府采购支持监狱企业发展有关问题的通知》（财库〔2014〕68号）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（6）《财政部 民政部 中国残疾人联合会关于促进残疾人就业政府采购政策的通知》（财库〔2017〕 141号）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（7）《浙江省财政厅  浙江省经济和信息化委员会关于简化中小企业类别确认流程有关事项的通知》（浙财采监〔2018〕2号)</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2、享受小微企业价格折扣应具备的条件与价格折扣比例</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（1）符合中小企业划分标准；</w:t>
      </w:r>
      <w:r>
        <w:rPr>
          <w:rFonts w:hint="eastAsia" w:ascii="新宋体" w:hAnsi="新宋体" w:eastAsia="新宋体" w:cs="新宋体"/>
          <w:bCs/>
          <w:sz w:val="22"/>
        </w:rPr>
        <w:br w:type="textWrapping"/>
      </w:r>
      <w:r>
        <w:rPr>
          <w:rFonts w:hint="eastAsia" w:ascii="新宋体" w:hAnsi="新宋体" w:eastAsia="新宋体" w:cs="新宋体"/>
          <w:bCs/>
          <w:sz w:val="22"/>
        </w:rPr>
        <w:t>（2）提供本企业制造的货物、承担的工程或者服务，或者提供其他中小企业制造的货物。本项所称货物不包括使用大型企业注册商标的货物。</w:t>
      </w:r>
      <w:r>
        <w:rPr>
          <w:rFonts w:hint="eastAsia" w:ascii="新宋体" w:hAnsi="新宋体" w:eastAsia="新宋体" w:cs="新宋体"/>
          <w:bCs/>
          <w:sz w:val="22"/>
        </w:rPr>
        <w:br w:type="textWrapping"/>
      </w:r>
      <w:r>
        <w:rPr>
          <w:rFonts w:hint="eastAsia" w:ascii="新宋体" w:hAnsi="新宋体" w:eastAsia="新宋体" w:cs="新宋体"/>
          <w:bCs/>
          <w:sz w:val="22"/>
        </w:rPr>
        <w:t>  中小企业划分标准，是指国务院有关部门根据企业从业人员、营业收入、资产总额等指标制定的中小企业划型标准。</w:t>
      </w:r>
      <w:r>
        <w:rPr>
          <w:rFonts w:hint="eastAsia" w:ascii="新宋体" w:hAnsi="新宋体" w:eastAsia="新宋体" w:cs="新宋体"/>
          <w:bCs/>
          <w:sz w:val="22"/>
        </w:rPr>
        <w:br w:type="textWrapping"/>
      </w:r>
      <w:r>
        <w:rPr>
          <w:rFonts w:hint="eastAsia" w:ascii="新宋体" w:hAnsi="新宋体" w:eastAsia="新宋体" w:cs="新宋体"/>
          <w:bCs/>
          <w:sz w:val="22"/>
        </w:rPr>
        <w:t>  小型、微型企业提供中型企业制造的货物的，视同为中型企业。</w:t>
      </w:r>
    </w:p>
    <w:p>
      <w:pPr>
        <w:spacing w:line="440" w:lineRule="atLeast"/>
        <w:jc w:val="left"/>
        <w:rPr>
          <w:rFonts w:hint="eastAsia" w:ascii="新宋体" w:hAnsi="新宋体" w:eastAsia="新宋体" w:cs="新宋体"/>
          <w:bCs/>
          <w:sz w:val="22"/>
          <w:u w:val="single"/>
        </w:rPr>
      </w:pPr>
      <w:r>
        <w:rPr>
          <w:rFonts w:hint="eastAsia" w:ascii="新宋体" w:hAnsi="新宋体" w:eastAsia="新宋体" w:cs="新宋体"/>
          <w:bCs/>
          <w:sz w:val="22"/>
          <w:u w:val="single"/>
        </w:rPr>
        <w:t>（3）本项目对小型和微型企业产品的价格给予6%的扣除，用扣除后的价格参与评审。</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u w:val="single"/>
        </w:rPr>
        <w:t>3、享受小微企业价格折扣应提供以下证明材料（投标文件商务技术文件中，缺一不可）</w:t>
      </w:r>
      <w:r>
        <w:rPr>
          <w:rFonts w:hint="eastAsia" w:ascii="新宋体" w:hAnsi="新宋体" w:eastAsia="新宋体" w:cs="新宋体"/>
          <w:bCs/>
          <w:sz w:val="22"/>
        </w:rPr>
        <w:t>：</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（1）《中小企业声明函》（原件，加盖投标人公章，格式见附件1）</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4、</w:t>
      </w:r>
      <w:r>
        <w:rPr>
          <w:rFonts w:hint="eastAsia" w:ascii="新宋体" w:hAnsi="新宋体" w:eastAsia="新宋体" w:cs="新宋体"/>
          <w:bCs/>
          <w:sz w:val="22"/>
          <w:u w:val="single"/>
        </w:rPr>
        <w:t>享受监狱企业价格折扣应提供以下证明材料（投标文件商务技术文件中，不提供的不享受价格折扣）</w:t>
      </w:r>
      <w:r>
        <w:rPr>
          <w:rFonts w:hint="eastAsia" w:ascii="新宋体" w:hAnsi="新宋体" w:eastAsia="新宋体" w:cs="新宋体"/>
          <w:bCs/>
          <w:sz w:val="22"/>
        </w:rPr>
        <w:t>：</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5、</w:t>
      </w:r>
      <w:r>
        <w:rPr>
          <w:rFonts w:hint="eastAsia" w:ascii="新宋体" w:hAnsi="新宋体" w:eastAsia="新宋体" w:cs="新宋体"/>
          <w:bCs/>
          <w:sz w:val="22"/>
          <w:u w:val="single"/>
        </w:rPr>
        <w:t>享受残疾人福利性单位格折扣应提供以下证明材料（投标文件商务技术文件中，不提供的不享受价格折扣）</w:t>
      </w:r>
      <w:r>
        <w:rPr>
          <w:rFonts w:hint="eastAsia" w:ascii="新宋体" w:hAnsi="新宋体" w:eastAsia="新宋体" w:cs="新宋体"/>
          <w:bCs/>
          <w:sz w:val="22"/>
        </w:rPr>
        <w:t>：</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（1）残疾人福利性单位声明函（附件2）；</w:t>
      </w:r>
    </w:p>
    <w:p>
      <w:pPr>
        <w:spacing w:line="440" w:lineRule="atLeast"/>
        <w:jc w:val="left"/>
        <w:rPr>
          <w:rFonts w:hint="eastAsia" w:ascii="新宋体" w:hAnsi="新宋体" w:eastAsia="新宋体" w:cs="新宋体"/>
          <w:bCs/>
          <w:sz w:val="22"/>
        </w:rPr>
      </w:pPr>
      <w:r>
        <w:rPr>
          <w:rFonts w:hint="eastAsia" w:ascii="新宋体" w:hAnsi="新宋体" w:eastAsia="新宋体" w:cs="新宋体"/>
          <w:bCs/>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spacing w:line="440" w:lineRule="atLeast"/>
        <w:jc w:val="left"/>
        <w:rPr>
          <w:rFonts w:hint="eastAsia" w:ascii="新宋体" w:hAnsi="新宋体" w:eastAsia="新宋体" w:cs="新宋体"/>
          <w:b/>
          <w:sz w:val="22"/>
        </w:rPr>
      </w:pPr>
    </w:p>
    <w:p>
      <w:pPr>
        <w:widowControl/>
        <w:spacing w:before="100" w:beforeAutospacing="1" w:after="100" w:afterAutospacing="1" w:line="440" w:lineRule="atLeast"/>
        <w:jc w:val="left"/>
        <w:rPr>
          <w:rFonts w:hint="eastAsia" w:ascii="新宋体" w:hAnsi="新宋体" w:eastAsia="新宋体" w:cs="新宋体"/>
          <w:b/>
          <w:sz w:val="24"/>
        </w:rPr>
      </w:pPr>
    </w:p>
    <w:p>
      <w:pPr>
        <w:widowControl/>
        <w:spacing w:before="100" w:beforeAutospacing="1" w:after="100" w:afterAutospacing="1" w:line="440" w:lineRule="atLeast"/>
        <w:jc w:val="left"/>
        <w:rPr>
          <w:rFonts w:hint="eastAsia" w:ascii="新宋体" w:hAnsi="新宋体" w:eastAsia="新宋体" w:cs="新宋体"/>
          <w:b/>
          <w:sz w:val="24"/>
        </w:rPr>
      </w:pPr>
      <w:r>
        <w:rPr>
          <w:rFonts w:hint="eastAsia" w:ascii="新宋体" w:hAnsi="新宋体" w:eastAsia="新宋体" w:cs="新宋体"/>
          <w:b/>
          <w:sz w:val="24"/>
        </w:rPr>
        <w:br w:type="page"/>
      </w:r>
    </w:p>
    <w:p>
      <w:pPr>
        <w:widowControl/>
        <w:spacing w:before="100" w:beforeAutospacing="1" w:after="100" w:afterAutospacing="1" w:line="440" w:lineRule="atLeast"/>
        <w:jc w:val="left"/>
        <w:rPr>
          <w:rFonts w:hint="eastAsia" w:ascii="新宋体" w:hAnsi="新宋体" w:eastAsia="新宋体" w:cs="新宋体"/>
          <w:b/>
          <w:sz w:val="24"/>
        </w:rPr>
      </w:pPr>
      <w:r>
        <w:rPr>
          <w:rFonts w:hint="eastAsia" w:ascii="新宋体" w:hAnsi="新宋体" w:eastAsia="新宋体" w:cs="新宋体"/>
          <w:b/>
          <w:sz w:val="24"/>
        </w:rPr>
        <w:t>附件1：</w:t>
      </w:r>
    </w:p>
    <w:p>
      <w:pPr>
        <w:widowControl/>
        <w:spacing w:before="100" w:beforeAutospacing="1" w:after="100" w:afterAutospacing="1" w:line="440" w:lineRule="atLeast"/>
        <w:jc w:val="center"/>
        <w:rPr>
          <w:rFonts w:hint="eastAsia" w:ascii="新宋体" w:hAnsi="新宋体" w:eastAsia="新宋体" w:cs="新宋体"/>
          <w:b/>
          <w:sz w:val="24"/>
        </w:rPr>
      </w:pPr>
      <w:r>
        <w:rPr>
          <w:rFonts w:hint="eastAsia" w:ascii="新宋体" w:hAnsi="新宋体" w:eastAsia="新宋体" w:cs="新宋体"/>
          <w:b/>
          <w:bCs/>
          <w:sz w:val="24"/>
        </w:rPr>
        <w:t>中小企业声明函</w:t>
      </w:r>
    </w:p>
    <w:p>
      <w:pPr>
        <w:widowControl/>
        <w:spacing w:before="100" w:beforeAutospacing="1" w:after="100" w:afterAutospacing="1" w:line="440" w:lineRule="atLeast"/>
        <w:ind w:firstLine="440" w:firstLineChars="200"/>
        <w:jc w:val="left"/>
        <w:rPr>
          <w:rFonts w:hint="eastAsia" w:ascii="新宋体" w:hAnsi="新宋体" w:eastAsia="新宋体" w:cs="新宋体"/>
          <w:bCs/>
          <w:sz w:val="22"/>
          <w:szCs w:val="22"/>
        </w:rPr>
      </w:pPr>
      <w:r>
        <w:rPr>
          <w:rFonts w:hint="eastAsia" w:ascii="新宋体" w:hAnsi="新宋体" w:eastAsia="新宋体" w:cs="新宋体"/>
          <w:bCs/>
          <w:sz w:val="22"/>
          <w:szCs w:val="22"/>
        </w:rPr>
        <w:t>本公司郑重声明，根据《政府采购促进中小企业发展暂行办法》（财库[2011]181号）的规定，本公司为______（请填写：中型、小型、微型）企业。即，本公司同时满足以下条件：</w:t>
      </w:r>
    </w:p>
    <w:p>
      <w:pPr>
        <w:widowControl/>
        <w:numPr>
          <w:ilvl w:val="0"/>
          <w:numId w:val="18"/>
        </w:numPr>
        <w:spacing w:before="100" w:beforeAutospacing="1" w:after="100" w:afterAutospacing="1" w:line="440" w:lineRule="atLeast"/>
        <w:ind w:firstLine="440" w:firstLineChars="200"/>
        <w:jc w:val="left"/>
        <w:rPr>
          <w:rFonts w:hint="eastAsia" w:ascii="新宋体" w:hAnsi="新宋体" w:eastAsia="新宋体" w:cs="新宋体"/>
          <w:bCs/>
          <w:sz w:val="22"/>
          <w:szCs w:val="22"/>
        </w:rPr>
      </w:pPr>
      <w:r>
        <w:rPr>
          <w:rFonts w:hint="eastAsia" w:ascii="新宋体" w:hAnsi="新宋体" w:eastAsia="新宋体" w:cs="新宋体"/>
          <w:bCs/>
          <w:sz w:val="22"/>
          <w:szCs w:val="22"/>
        </w:rPr>
        <w:t>根据《工业和信息化部、国家统计局、国家发展和改革委员会、财政部关于印发中小企业划型标准规定的通知》（工信部联企业[2011]300号）规定的划分标准，本公司为______（请填写：中型、小型、微型）企业。</w:t>
      </w:r>
    </w:p>
    <w:p>
      <w:pPr>
        <w:widowControl/>
        <w:numPr>
          <w:ilvl w:val="0"/>
          <w:numId w:val="18"/>
        </w:numPr>
        <w:spacing w:before="100" w:beforeAutospacing="1" w:after="100" w:afterAutospacing="1" w:line="440" w:lineRule="atLeast"/>
        <w:ind w:firstLine="440" w:firstLineChars="200"/>
        <w:jc w:val="left"/>
        <w:rPr>
          <w:rFonts w:hint="eastAsia" w:ascii="新宋体" w:hAnsi="新宋体" w:eastAsia="新宋体" w:cs="新宋体"/>
          <w:bCs/>
          <w:sz w:val="22"/>
          <w:szCs w:val="22"/>
        </w:rPr>
      </w:pPr>
      <w:r>
        <w:rPr>
          <w:rFonts w:hint="eastAsia" w:ascii="新宋体" w:hAnsi="新宋体" w:eastAsia="新宋体" w:cs="新宋体"/>
          <w:bCs/>
          <w:sz w:val="22"/>
          <w:szCs w:val="22"/>
        </w:rPr>
        <w:t>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bCs/>
          <w:sz w:val="22"/>
          <w:szCs w:val="22"/>
        </w:rPr>
        <w:br w:type="textWrapping"/>
      </w:r>
      <w:r>
        <w:rPr>
          <w:rFonts w:hint="eastAsia" w:ascii="新宋体" w:hAnsi="新宋体" w:eastAsia="新宋体" w:cs="新宋体"/>
          <w:bCs/>
          <w:sz w:val="22"/>
          <w:szCs w:val="22"/>
        </w:rPr>
        <w:t>    本公司对上述声明的真实性负责。如有虚假，将依法承担相应责任。</w:t>
      </w:r>
    </w:p>
    <w:p>
      <w:pPr>
        <w:widowControl/>
        <w:spacing w:before="100" w:beforeAutospacing="1" w:after="100" w:afterAutospacing="1" w:line="440" w:lineRule="atLeast"/>
        <w:jc w:val="left"/>
        <w:rPr>
          <w:rFonts w:hint="eastAsia" w:ascii="新宋体" w:hAnsi="新宋体" w:eastAsia="新宋体" w:cs="新宋体"/>
          <w:bCs/>
          <w:sz w:val="22"/>
          <w:szCs w:val="22"/>
        </w:rPr>
      </w:pPr>
    </w:p>
    <w:p>
      <w:pPr>
        <w:widowControl/>
        <w:spacing w:before="100" w:beforeAutospacing="1" w:after="100" w:afterAutospacing="1" w:line="440" w:lineRule="atLeast"/>
        <w:jc w:val="left"/>
        <w:rPr>
          <w:rFonts w:hint="eastAsia" w:ascii="新宋体" w:hAnsi="新宋体" w:eastAsia="新宋体" w:cs="新宋体"/>
          <w:b/>
          <w:sz w:val="24"/>
        </w:rPr>
      </w:pPr>
      <w:r>
        <w:rPr>
          <w:rFonts w:hint="eastAsia" w:ascii="新宋体" w:hAnsi="新宋体" w:eastAsia="新宋体" w:cs="新宋体"/>
          <w:bCs/>
          <w:sz w:val="22"/>
          <w:szCs w:val="22"/>
        </w:rPr>
        <w:t>投标人全称（盖章）：                </w:t>
      </w:r>
      <w:r>
        <w:rPr>
          <w:rFonts w:hint="eastAsia" w:ascii="新宋体" w:hAnsi="新宋体" w:eastAsia="新宋体" w:cs="新宋体"/>
          <w:bCs/>
          <w:sz w:val="22"/>
          <w:szCs w:val="22"/>
        </w:rPr>
        <w:br w:type="textWrapping"/>
      </w:r>
      <w:r>
        <w:rPr>
          <w:rFonts w:hint="eastAsia" w:ascii="新宋体" w:hAnsi="新宋体" w:eastAsia="新宋体" w:cs="新宋体"/>
          <w:bCs/>
          <w:sz w:val="22"/>
          <w:szCs w:val="22"/>
        </w:rPr>
        <w:t>日期：                             　　　　</w:t>
      </w:r>
      <w:r>
        <w:rPr>
          <w:rFonts w:hint="eastAsia" w:ascii="新宋体" w:hAnsi="新宋体" w:eastAsia="新宋体" w:cs="新宋体"/>
          <w:b/>
          <w:sz w:val="24"/>
        </w:rPr>
        <w:t>　</w:t>
      </w:r>
    </w:p>
    <w:p>
      <w:pPr>
        <w:spacing w:line="440" w:lineRule="atLeast"/>
        <w:rPr>
          <w:rFonts w:hint="eastAsia" w:ascii="新宋体" w:hAnsi="新宋体" w:eastAsia="新宋体" w:cs="新宋体"/>
          <w:b/>
          <w:sz w:val="24"/>
        </w:rPr>
      </w:pPr>
    </w:p>
    <w:p>
      <w:pPr>
        <w:widowControl/>
        <w:spacing w:before="100" w:beforeAutospacing="1" w:after="100" w:afterAutospacing="1" w:line="440" w:lineRule="atLeast"/>
        <w:jc w:val="left"/>
        <w:rPr>
          <w:rFonts w:hint="eastAsia" w:ascii="新宋体" w:hAnsi="新宋体" w:eastAsia="新宋体" w:cs="新宋体"/>
          <w:b/>
          <w:sz w:val="24"/>
        </w:rPr>
      </w:pPr>
    </w:p>
    <w:p>
      <w:pPr>
        <w:widowControl/>
        <w:spacing w:before="100" w:beforeAutospacing="1" w:after="100" w:afterAutospacing="1" w:line="440" w:lineRule="atLeast"/>
        <w:jc w:val="left"/>
        <w:rPr>
          <w:rFonts w:hint="eastAsia" w:ascii="新宋体" w:hAnsi="新宋体" w:eastAsia="新宋体" w:cs="新宋体"/>
          <w:b/>
          <w:sz w:val="24"/>
        </w:rPr>
      </w:pPr>
      <w:r>
        <w:rPr>
          <w:rFonts w:hint="eastAsia" w:ascii="新宋体" w:hAnsi="新宋体" w:eastAsia="新宋体" w:cs="新宋体"/>
          <w:b/>
          <w:sz w:val="24"/>
        </w:rPr>
        <w:br w:type="page"/>
      </w:r>
      <w:r>
        <w:rPr>
          <w:rFonts w:hint="eastAsia" w:ascii="新宋体" w:hAnsi="新宋体" w:eastAsia="新宋体" w:cs="新宋体"/>
          <w:b/>
          <w:sz w:val="24"/>
        </w:rPr>
        <w:t>附件2</w:t>
      </w:r>
    </w:p>
    <w:p>
      <w:pPr>
        <w:widowControl/>
        <w:spacing w:before="100" w:beforeAutospacing="1" w:after="100" w:afterAutospacing="1" w:line="440" w:lineRule="atLeast"/>
        <w:jc w:val="center"/>
        <w:rPr>
          <w:rFonts w:hint="eastAsia" w:ascii="新宋体" w:hAnsi="新宋体" w:eastAsia="新宋体" w:cs="新宋体"/>
          <w:b/>
          <w:bCs/>
          <w:sz w:val="24"/>
        </w:rPr>
      </w:pPr>
      <w:bookmarkStart w:id="106" w:name="OLE_LINK13"/>
      <w:bookmarkStart w:id="107" w:name="OLE_LINK14"/>
      <w:r>
        <w:rPr>
          <w:rFonts w:hint="eastAsia" w:ascii="新宋体" w:hAnsi="新宋体" w:eastAsia="新宋体" w:cs="新宋体"/>
          <w:b/>
          <w:bCs/>
          <w:sz w:val="24"/>
        </w:rPr>
        <w:t>残疾人福利性单位声明函</w:t>
      </w:r>
    </w:p>
    <w:bookmarkEnd w:id="106"/>
    <w:bookmarkEnd w:id="107"/>
    <w:p>
      <w:pPr>
        <w:spacing w:line="588" w:lineRule="exact"/>
        <w:rPr>
          <w:rFonts w:hint="eastAsia" w:ascii="新宋体" w:hAnsi="新宋体" w:eastAsia="新宋体" w:cs="新宋体"/>
          <w:b/>
          <w:spacing w:val="6"/>
          <w:sz w:val="30"/>
          <w:szCs w:val="30"/>
        </w:rPr>
      </w:pPr>
    </w:p>
    <w:p>
      <w:pPr>
        <w:spacing w:line="588" w:lineRule="exact"/>
        <w:ind w:firstLine="464" w:firstLineChars="200"/>
        <w:rPr>
          <w:rFonts w:hint="eastAsia" w:ascii="新宋体" w:hAnsi="新宋体" w:eastAsia="新宋体" w:cs="新宋体"/>
          <w:spacing w:val="6"/>
          <w:sz w:val="22"/>
          <w:szCs w:val="22"/>
        </w:rPr>
      </w:pPr>
      <w:r>
        <w:rPr>
          <w:rFonts w:hint="eastAsia" w:ascii="新宋体" w:hAnsi="新宋体" w:eastAsia="新宋体" w:cs="新宋体"/>
          <w:spacing w:val="6"/>
          <w:sz w:val="22"/>
          <w:szCs w:val="22"/>
        </w:rPr>
        <w:t>本单位郑重声明，根据《财政部 民政部 中国残疾人联合会关于促进残疾人就业政府采购政策的通知》（财库</w:t>
      </w:r>
      <w:r>
        <w:rPr>
          <w:rFonts w:hint="eastAsia" w:ascii="新宋体" w:hAnsi="新宋体" w:eastAsia="新宋体" w:cs="新宋体"/>
          <w:sz w:val="22"/>
          <w:szCs w:val="22"/>
        </w:rPr>
        <w:t>〔2017〕 141</w:t>
      </w:r>
      <w:r>
        <w:rPr>
          <w:rFonts w:hint="eastAsia" w:ascii="新宋体" w:hAnsi="新宋体" w:eastAsia="新宋体" w:cs="新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新宋体" w:hAnsi="新宋体" w:eastAsia="新宋体" w:cs="新宋体"/>
          <w:spacing w:val="6"/>
          <w:sz w:val="22"/>
          <w:szCs w:val="22"/>
        </w:rPr>
      </w:pPr>
      <w:r>
        <w:rPr>
          <w:rFonts w:hint="eastAsia" w:ascii="新宋体" w:hAnsi="新宋体" w:eastAsia="新宋体" w:cs="新宋体"/>
          <w:spacing w:val="6"/>
          <w:sz w:val="22"/>
          <w:szCs w:val="22"/>
        </w:rPr>
        <w:t>本单位对上述声明的真实性负责。如有虚假，将依法承担相应责任。</w:t>
      </w:r>
    </w:p>
    <w:p>
      <w:pPr>
        <w:spacing w:line="588" w:lineRule="exact"/>
        <w:ind w:firstLine="464" w:firstLineChars="200"/>
        <w:rPr>
          <w:rFonts w:hint="eastAsia" w:ascii="新宋体" w:hAnsi="新宋体" w:eastAsia="新宋体" w:cs="新宋体"/>
          <w:spacing w:val="6"/>
          <w:sz w:val="22"/>
          <w:szCs w:val="22"/>
        </w:rPr>
      </w:pPr>
    </w:p>
    <w:p>
      <w:pPr>
        <w:tabs>
          <w:tab w:val="left" w:pos="4860"/>
        </w:tabs>
        <w:spacing w:line="588" w:lineRule="exact"/>
        <w:ind w:right="1560" w:firstLine="464" w:firstLineChars="200"/>
        <w:rPr>
          <w:rFonts w:hint="eastAsia" w:ascii="新宋体" w:hAnsi="新宋体" w:eastAsia="新宋体" w:cs="新宋体"/>
          <w:spacing w:val="6"/>
          <w:sz w:val="22"/>
          <w:szCs w:val="22"/>
        </w:rPr>
      </w:pPr>
    </w:p>
    <w:p>
      <w:pPr>
        <w:tabs>
          <w:tab w:val="left" w:pos="4860"/>
        </w:tabs>
        <w:spacing w:line="588" w:lineRule="exact"/>
        <w:ind w:right="1560" w:firstLine="464" w:firstLineChars="200"/>
        <w:rPr>
          <w:rFonts w:hint="eastAsia" w:ascii="新宋体" w:hAnsi="新宋体" w:eastAsia="新宋体" w:cs="新宋体"/>
          <w:spacing w:val="6"/>
          <w:sz w:val="22"/>
          <w:szCs w:val="22"/>
        </w:rPr>
      </w:pPr>
      <w:r>
        <w:rPr>
          <w:rFonts w:hint="eastAsia" w:ascii="新宋体" w:hAnsi="新宋体" w:eastAsia="新宋体" w:cs="新宋体"/>
          <w:spacing w:val="6"/>
          <w:sz w:val="22"/>
          <w:szCs w:val="22"/>
        </w:rPr>
        <w:t>投标人全称（盖章）：</w:t>
      </w:r>
    </w:p>
    <w:p>
      <w:pPr>
        <w:tabs>
          <w:tab w:val="left" w:pos="4860"/>
        </w:tabs>
        <w:spacing w:line="588" w:lineRule="exact"/>
        <w:ind w:right="1560" w:firstLine="464" w:firstLineChars="200"/>
        <w:rPr>
          <w:rFonts w:hint="eastAsia" w:ascii="新宋体" w:hAnsi="新宋体" w:eastAsia="新宋体" w:cs="新宋体"/>
          <w:spacing w:val="6"/>
          <w:sz w:val="22"/>
          <w:szCs w:val="22"/>
        </w:rPr>
      </w:pPr>
      <w:r>
        <w:rPr>
          <w:rFonts w:hint="eastAsia" w:ascii="新宋体" w:hAnsi="新宋体" w:eastAsia="新宋体" w:cs="新宋体"/>
          <w:spacing w:val="6"/>
          <w:sz w:val="22"/>
          <w:szCs w:val="22"/>
        </w:rPr>
        <w:t>日  期：</w:t>
      </w:r>
    </w:p>
    <w:p>
      <w:pPr>
        <w:tabs>
          <w:tab w:val="left" w:pos="4860"/>
        </w:tabs>
        <w:spacing w:line="588" w:lineRule="exact"/>
        <w:ind w:right="1560" w:firstLine="464" w:firstLineChars="200"/>
        <w:jc w:val="center"/>
        <w:rPr>
          <w:rFonts w:hint="eastAsia" w:ascii="新宋体" w:hAnsi="新宋体" w:eastAsia="新宋体" w:cs="新宋体"/>
          <w:spacing w:val="6"/>
          <w:sz w:val="22"/>
          <w:szCs w:val="22"/>
        </w:rPr>
      </w:pPr>
    </w:p>
    <w:p>
      <w:pPr>
        <w:tabs>
          <w:tab w:val="left" w:pos="4860"/>
        </w:tabs>
        <w:spacing w:line="588" w:lineRule="exact"/>
        <w:ind w:right="1560" w:firstLine="464" w:firstLineChars="200"/>
        <w:jc w:val="center"/>
        <w:rPr>
          <w:rFonts w:hint="eastAsia" w:ascii="新宋体" w:hAnsi="新宋体" w:eastAsia="新宋体" w:cs="新宋体"/>
          <w:spacing w:val="6"/>
          <w:sz w:val="22"/>
          <w:szCs w:val="22"/>
        </w:rPr>
      </w:pPr>
    </w:p>
    <w:p>
      <w:pPr>
        <w:tabs>
          <w:tab w:val="left" w:pos="4860"/>
        </w:tabs>
        <w:spacing w:line="588" w:lineRule="exact"/>
        <w:ind w:right="1560"/>
        <w:jc w:val="left"/>
        <w:rPr>
          <w:rFonts w:hint="eastAsia" w:ascii="新宋体" w:hAnsi="新宋体" w:eastAsia="新宋体" w:cs="新宋体"/>
          <w:b/>
          <w:sz w:val="22"/>
          <w:szCs w:val="22"/>
        </w:rPr>
      </w:pPr>
      <w:r>
        <w:rPr>
          <w:rFonts w:hint="eastAsia" w:ascii="新宋体" w:hAnsi="新宋体" w:eastAsia="新宋体" w:cs="新宋体"/>
          <w:b/>
          <w:sz w:val="22"/>
          <w:szCs w:val="22"/>
        </w:rPr>
        <w:t>备注说明：</w:t>
      </w:r>
    </w:p>
    <w:p>
      <w:pPr>
        <w:numPr>
          <w:ilvl w:val="2"/>
          <w:numId w:val="19"/>
        </w:numPr>
        <w:tabs>
          <w:tab w:val="left" w:pos="0"/>
        </w:tabs>
        <w:spacing w:line="588" w:lineRule="exact"/>
        <w:ind w:left="0" w:right="114" w:firstLine="0"/>
        <w:jc w:val="left"/>
        <w:rPr>
          <w:rFonts w:hint="eastAsia" w:ascii="新宋体" w:hAnsi="新宋体" w:eastAsia="新宋体" w:cs="新宋体"/>
          <w:sz w:val="22"/>
          <w:szCs w:val="22"/>
        </w:rPr>
      </w:pPr>
      <w:r>
        <w:rPr>
          <w:rFonts w:hint="eastAsia" w:ascii="新宋体" w:hAnsi="新宋体" w:eastAsia="新宋体" w:cs="新宋体"/>
          <w:sz w:val="22"/>
          <w:szCs w:val="22"/>
        </w:rPr>
        <w:t>如中标，将在中标公示中将此残疾人福利性单位声明函予以公示，接受社会监督。</w:t>
      </w:r>
    </w:p>
    <w:p>
      <w:pPr>
        <w:numPr>
          <w:ilvl w:val="2"/>
          <w:numId w:val="19"/>
        </w:numPr>
        <w:tabs>
          <w:tab w:val="left" w:pos="0"/>
        </w:tabs>
        <w:spacing w:line="588" w:lineRule="exact"/>
        <w:ind w:left="0" w:right="114" w:firstLine="0"/>
        <w:jc w:val="left"/>
        <w:rPr>
          <w:rFonts w:hint="eastAsia" w:ascii="新宋体" w:hAnsi="新宋体" w:eastAsia="新宋体" w:cs="新宋体"/>
          <w:sz w:val="22"/>
          <w:szCs w:val="22"/>
        </w:rPr>
      </w:pPr>
      <w:r>
        <w:rPr>
          <w:rFonts w:hint="eastAsia" w:ascii="新宋体" w:hAnsi="新宋体" w:eastAsia="新宋体" w:cs="新宋体"/>
          <w:sz w:val="22"/>
          <w:szCs w:val="22"/>
        </w:rPr>
        <w:t>投标人提供的《残疾人福利性单位声明函》与事实不符的，依照《政府采购法》第七十七条第一款的规定追究法律责任。</w:t>
      </w:r>
    </w:p>
    <w:p>
      <w:pPr>
        <w:tabs>
          <w:tab w:val="left" w:pos="0"/>
        </w:tabs>
        <w:spacing w:line="588" w:lineRule="exact"/>
        <w:ind w:right="114"/>
        <w:jc w:val="left"/>
        <w:rPr>
          <w:rFonts w:hint="eastAsia" w:ascii="新宋体" w:hAnsi="新宋体" w:eastAsia="新宋体" w:cs="新宋体"/>
          <w:sz w:val="22"/>
          <w:szCs w:val="22"/>
        </w:rPr>
      </w:pPr>
    </w:p>
    <w:p>
      <w:pPr>
        <w:adjustRightInd w:val="0"/>
        <w:spacing w:line="360" w:lineRule="auto"/>
        <w:jc w:val="center"/>
        <w:rPr>
          <w:rFonts w:hint="eastAsia" w:ascii="新宋体" w:hAnsi="新宋体" w:eastAsia="新宋体" w:cs="新宋体"/>
          <w:sz w:val="22"/>
          <w:szCs w:val="22"/>
        </w:rPr>
      </w:pPr>
    </w:p>
    <w:p>
      <w:pPr>
        <w:pStyle w:val="2"/>
        <w:ind w:firstLine="221"/>
        <w:rPr>
          <w:rFonts w:hint="eastAsia" w:ascii="新宋体" w:hAnsi="新宋体" w:eastAsia="新宋体" w:cs="新宋体"/>
          <w:sz w:val="22"/>
          <w:szCs w:val="22"/>
        </w:rPr>
      </w:pPr>
    </w:p>
    <w:p>
      <w:pPr>
        <w:pStyle w:val="2"/>
        <w:ind w:firstLine="221"/>
        <w:rPr>
          <w:rFonts w:hint="eastAsia" w:ascii="新宋体" w:hAnsi="新宋体" w:eastAsia="新宋体" w:cs="新宋体"/>
          <w:sz w:val="22"/>
          <w:szCs w:val="22"/>
        </w:rPr>
      </w:pPr>
    </w:p>
    <w:p>
      <w:pPr>
        <w:pStyle w:val="2"/>
        <w:ind w:firstLine="221"/>
        <w:rPr>
          <w:rFonts w:hint="eastAsia" w:ascii="新宋体" w:hAnsi="新宋体" w:eastAsia="新宋体" w:cs="新宋体"/>
          <w:sz w:val="22"/>
          <w:szCs w:val="22"/>
        </w:rPr>
      </w:pPr>
    </w:p>
    <w:p>
      <w:pPr>
        <w:pStyle w:val="2"/>
        <w:ind w:firstLine="221"/>
        <w:rPr>
          <w:rFonts w:hint="eastAsia" w:ascii="新宋体" w:hAnsi="新宋体" w:eastAsia="新宋体" w:cs="新宋体"/>
          <w:sz w:val="22"/>
          <w:szCs w:val="22"/>
        </w:rPr>
      </w:pPr>
    </w:p>
    <w:p>
      <w:pPr>
        <w:adjustRightInd w:val="0"/>
        <w:spacing w:line="360" w:lineRule="auto"/>
        <w:jc w:val="center"/>
        <w:rPr>
          <w:rFonts w:hint="eastAsia" w:ascii="新宋体" w:hAnsi="新宋体" w:eastAsia="新宋体" w:cs="新宋体"/>
          <w:sz w:val="22"/>
          <w:szCs w:val="22"/>
        </w:rPr>
      </w:pPr>
    </w:p>
    <w:p>
      <w:pPr>
        <w:jc w:val="left"/>
        <w:rPr>
          <w:rFonts w:hint="eastAsia" w:ascii="新宋体" w:hAnsi="新宋体" w:eastAsia="新宋体" w:cs="新宋体"/>
          <w:bCs/>
          <w:sz w:val="22"/>
        </w:rPr>
      </w:pPr>
      <w:r>
        <w:rPr>
          <w:rFonts w:hint="eastAsia" w:ascii="新宋体" w:hAnsi="新宋体" w:eastAsia="新宋体" w:cs="新宋体"/>
          <w:bCs/>
          <w:sz w:val="22"/>
        </w:rPr>
        <w:t>二、节能、环保产品优先（强制）采购政策说明</w:t>
      </w:r>
    </w:p>
    <w:p>
      <w:pPr>
        <w:snapToGrid w:val="0"/>
        <w:spacing w:line="460" w:lineRule="atLeast"/>
        <w:rPr>
          <w:rFonts w:hint="eastAsia" w:ascii="宋体" w:hAnsi="宋体"/>
          <w:sz w:val="22"/>
        </w:rPr>
      </w:pPr>
      <w:r>
        <w:rPr>
          <w:rFonts w:hint="eastAsia" w:ascii="宋体" w:hAnsi="宋体"/>
          <w:sz w:val="22"/>
        </w:rPr>
        <w:t>1、政策依据</w:t>
      </w:r>
    </w:p>
    <w:p>
      <w:pPr>
        <w:snapToGrid w:val="0"/>
        <w:spacing w:line="460" w:lineRule="atLeast"/>
        <w:rPr>
          <w:rFonts w:hint="eastAsia" w:ascii="宋体" w:hAnsi="宋体"/>
          <w:sz w:val="22"/>
        </w:rPr>
      </w:pPr>
      <w:r>
        <w:rPr>
          <w:rFonts w:hint="eastAsia" w:ascii="宋体" w:hAnsi="宋体"/>
          <w:sz w:val="22"/>
        </w:rPr>
        <w:t>（一）《国务院办公厅关于建立政府强制采购节能产品制度的通知》(国办发[2007]51号)</w:t>
      </w:r>
    </w:p>
    <w:p>
      <w:pPr>
        <w:snapToGrid w:val="0"/>
        <w:spacing w:line="460" w:lineRule="atLeast"/>
        <w:rPr>
          <w:rFonts w:hint="eastAsia" w:ascii="宋体" w:hAnsi="宋体"/>
          <w:sz w:val="22"/>
        </w:rPr>
      </w:pPr>
      <w:r>
        <w:rPr>
          <w:rFonts w:hint="eastAsia" w:ascii="宋体" w:hAnsi="宋体"/>
          <w:sz w:val="22"/>
        </w:rPr>
        <w:t>（二）财政部、发展改革委发布的《节能产品政府采购实施意见》(财库[2004]185号)</w:t>
      </w:r>
    </w:p>
    <w:p>
      <w:pPr>
        <w:snapToGrid w:val="0"/>
        <w:spacing w:line="460" w:lineRule="atLeast"/>
        <w:rPr>
          <w:rFonts w:hint="eastAsia" w:ascii="宋体" w:hAnsi="宋体"/>
          <w:sz w:val="22"/>
        </w:rPr>
      </w:pPr>
      <w:r>
        <w:rPr>
          <w:rFonts w:hint="eastAsia" w:ascii="宋体" w:hAnsi="宋体"/>
          <w:sz w:val="22"/>
        </w:rPr>
        <w:t>（三）财政部、原环保总局印发的《环境标志产品政府采购实施的意见》（财库 [2006]90号）</w:t>
      </w:r>
    </w:p>
    <w:p>
      <w:pPr>
        <w:snapToGrid w:val="0"/>
        <w:spacing w:line="460" w:lineRule="atLeast"/>
        <w:rPr>
          <w:rFonts w:hint="eastAsia" w:ascii="宋体" w:hAnsi="宋体"/>
          <w:sz w:val="22"/>
        </w:rPr>
      </w:pPr>
      <w:r>
        <w:rPr>
          <w:rFonts w:hint="eastAsia" w:ascii="宋体" w:hAnsi="宋体"/>
          <w:sz w:val="22"/>
        </w:rPr>
        <w:t>（四）《关于调整优化节能产品、环境标志产品政府采购执行机制的通知》（财库〔2019〕9号）</w:t>
      </w:r>
    </w:p>
    <w:p>
      <w:pPr>
        <w:snapToGrid w:val="0"/>
        <w:spacing w:line="460" w:lineRule="atLeast"/>
        <w:rPr>
          <w:rFonts w:hint="eastAsia" w:ascii="宋体" w:hAnsi="宋体"/>
          <w:sz w:val="22"/>
        </w:rPr>
      </w:pPr>
      <w:r>
        <w:rPr>
          <w:rFonts w:hint="eastAsia" w:ascii="宋体" w:hAnsi="宋体"/>
          <w:sz w:val="22"/>
        </w:rPr>
        <w:t>（五）《关于印发节能产品政府采购品目清单的通知》（财库〔2019〕19号）</w:t>
      </w:r>
    </w:p>
    <w:p>
      <w:pPr>
        <w:snapToGrid w:val="0"/>
        <w:spacing w:line="460" w:lineRule="atLeast"/>
        <w:rPr>
          <w:rFonts w:hint="eastAsia" w:ascii="宋体" w:hAnsi="宋体"/>
          <w:sz w:val="22"/>
        </w:rPr>
      </w:pPr>
      <w:r>
        <w:rPr>
          <w:rFonts w:hint="eastAsia" w:ascii="宋体" w:hAnsi="宋体"/>
          <w:sz w:val="22"/>
        </w:rPr>
        <w:t>（六）《关于印发环境标志产品政府采购品目清单的通知》（财库〔2019〕18号）</w:t>
      </w:r>
    </w:p>
    <w:p>
      <w:pPr>
        <w:snapToGrid w:val="0"/>
        <w:spacing w:line="460" w:lineRule="atLeast"/>
        <w:rPr>
          <w:rFonts w:hint="eastAsia" w:ascii="宋体" w:hAnsi="宋体"/>
          <w:sz w:val="22"/>
        </w:rPr>
      </w:pPr>
      <w:r>
        <w:rPr>
          <w:rFonts w:hint="eastAsia" w:ascii="宋体" w:hAnsi="宋体"/>
          <w:sz w:val="22"/>
        </w:rPr>
        <w:t>（七）《市场监管总局关于发布参与实施政府采购节能产品、环境标志产品认证机构名录的公告》（2019年第16号）</w:t>
      </w:r>
    </w:p>
    <w:p>
      <w:pPr>
        <w:snapToGrid w:val="0"/>
        <w:spacing w:line="460" w:lineRule="atLeast"/>
        <w:jc w:val="left"/>
        <w:rPr>
          <w:rFonts w:hint="eastAsia" w:ascii="宋体" w:hAnsi="宋体"/>
        </w:rPr>
        <w:sectPr>
          <w:type w:val="nextColumn"/>
          <w:pgSz w:w="11906" w:h="16838"/>
          <w:pgMar w:top="1417" w:right="1417" w:bottom="1134" w:left="1134" w:header="851" w:footer="476" w:gutter="0"/>
          <w:cols w:space="720" w:num="1"/>
          <w:docGrid w:linePitch="312" w:charSpace="0"/>
        </w:sectPr>
      </w:pPr>
      <w:r>
        <w:rPr>
          <w:rFonts w:hint="eastAsia" w:ascii="宋体" w:hAnsi="宋体"/>
          <w:sz w:val="22"/>
        </w:rPr>
        <w:t>2、供应商投标货物属于节能、环保优先（强制）采购范围的，须提供相关证明材料。</w:t>
      </w:r>
    </w:p>
    <w:p>
      <w:pPr>
        <w:adjustRightInd w:val="0"/>
        <w:spacing w:line="360" w:lineRule="auto"/>
        <w:jc w:val="center"/>
        <w:rPr>
          <w:rFonts w:hint="eastAsia" w:ascii="宋体" w:hAnsi="宋体"/>
          <w:b/>
          <w:sz w:val="30"/>
          <w:szCs w:val="30"/>
        </w:rPr>
      </w:pPr>
      <w:bookmarkStart w:id="108" w:name="_Toc9491"/>
      <w:bookmarkStart w:id="109" w:name="_Toc34572037"/>
      <w:r>
        <w:rPr>
          <w:rFonts w:hint="eastAsia" w:ascii="新宋体" w:hAnsi="新宋体" w:eastAsia="新宋体" w:cs="新宋体"/>
          <w:sz w:val="36"/>
          <w:szCs w:val="36"/>
        </w:rPr>
        <w:t xml:space="preserve">第三部分   </w:t>
      </w:r>
      <w:r>
        <w:rPr>
          <w:rFonts w:hint="eastAsia" w:ascii="新宋体" w:hAnsi="新宋体" w:eastAsia="新宋体" w:cs="新宋体"/>
          <w:b/>
          <w:sz w:val="36"/>
          <w:szCs w:val="36"/>
        </w:rPr>
        <w:t>合同条款及格式</w:t>
      </w:r>
      <w:bookmarkEnd w:id="108"/>
      <w:bookmarkEnd w:id="109"/>
      <w:r>
        <w:rPr>
          <w:rFonts w:hint="eastAsia" w:ascii="宋体" w:hAnsi="宋体"/>
          <w:b/>
          <w:sz w:val="30"/>
          <w:szCs w:val="30"/>
        </w:rPr>
        <w:t>（参考格式）</w:t>
      </w:r>
    </w:p>
    <w:p>
      <w:pPr>
        <w:autoSpaceDE w:val="0"/>
        <w:autoSpaceDN w:val="0"/>
        <w:adjustRightInd w:val="0"/>
        <w:snapToGrid w:val="0"/>
        <w:spacing w:line="360" w:lineRule="auto"/>
        <w:ind w:right="25"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以下为成交后签定本项目合同的通用条款，成交供应商不得提出实质性的修改，关于专用条款将由采购人与成交供应商结合本项目具体情况协商后签订。</w:t>
      </w:r>
    </w:p>
    <w:p>
      <w:pPr>
        <w:autoSpaceDE w:val="0"/>
        <w:autoSpaceDN w:val="0"/>
        <w:adjustRightInd w:val="0"/>
        <w:snapToGrid w:val="0"/>
        <w:spacing w:line="360" w:lineRule="auto"/>
        <w:ind w:right="25"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项目名称：</w:t>
      </w:r>
      <w:r>
        <w:rPr>
          <w:rFonts w:hint="eastAsia" w:ascii="新宋体" w:hAnsi="新宋体" w:eastAsia="新宋体"/>
          <w:color w:val="000000"/>
          <w:sz w:val="22"/>
          <w:szCs w:val="22"/>
          <w:u w:val="single"/>
        </w:rPr>
        <w:t>鹿城区政法智控一张网建设项目</w:t>
      </w:r>
    </w:p>
    <w:p>
      <w:pPr>
        <w:autoSpaceDE w:val="0"/>
        <w:autoSpaceDN w:val="0"/>
        <w:adjustRightInd w:val="0"/>
        <w:snapToGrid w:val="0"/>
        <w:spacing w:line="360" w:lineRule="auto"/>
        <w:ind w:right="25"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项目编号：</w:t>
      </w:r>
      <w:r>
        <w:rPr>
          <w:rFonts w:hint="eastAsia" w:ascii="新宋体" w:hAnsi="新宋体" w:eastAsia="新宋体"/>
          <w:color w:val="000000"/>
          <w:sz w:val="22"/>
          <w:szCs w:val="22"/>
          <w:u w:val="single"/>
        </w:rPr>
        <w:t>GZWZ[2020]029</w:t>
      </w:r>
    </w:p>
    <w:p>
      <w:pPr>
        <w:autoSpaceDE w:val="0"/>
        <w:autoSpaceDN w:val="0"/>
        <w:adjustRightInd w:val="0"/>
        <w:snapToGrid w:val="0"/>
        <w:spacing w:line="360" w:lineRule="auto"/>
        <w:ind w:right="25"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甲    方：</w:t>
      </w:r>
      <w:r>
        <w:rPr>
          <w:rFonts w:hint="eastAsia" w:ascii="新宋体" w:hAnsi="新宋体" w:eastAsia="新宋体"/>
          <w:color w:val="000000"/>
          <w:sz w:val="22"/>
          <w:szCs w:val="22"/>
          <w:u w:val="single"/>
        </w:rPr>
        <w:t>中共温州市鹿城区委政法委员会</w:t>
      </w:r>
    </w:p>
    <w:p>
      <w:pPr>
        <w:autoSpaceDE w:val="0"/>
        <w:autoSpaceDN w:val="0"/>
        <w:adjustRightInd w:val="0"/>
        <w:snapToGrid w:val="0"/>
        <w:spacing w:line="360" w:lineRule="auto"/>
        <w:ind w:right="25"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乙    方：</w:t>
      </w:r>
    </w:p>
    <w:p>
      <w:pPr>
        <w:autoSpaceDE w:val="0"/>
        <w:autoSpaceDN w:val="0"/>
        <w:adjustRightInd w:val="0"/>
        <w:snapToGrid w:val="0"/>
        <w:spacing w:line="360" w:lineRule="auto"/>
        <w:ind w:right="25"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甲、乙双方根据</w:t>
      </w:r>
      <w:r>
        <w:rPr>
          <w:rFonts w:hint="eastAsia" w:ascii="新宋体" w:hAnsi="新宋体" w:eastAsia="新宋体"/>
          <w:color w:val="000000"/>
          <w:sz w:val="22"/>
          <w:szCs w:val="22"/>
          <w:u w:val="single"/>
        </w:rPr>
        <w:t>鹿城区政法智控一张网建设项目</w:t>
      </w:r>
      <w:r>
        <w:rPr>
          <w:rFonts w:hint="eastAsia" w:ascii="新宋体" w:hAnsi="新宋体" w:eastAsia="新宋体"/>
          <w:color w:val="000000"/>
          <w:sz w:val="22"/>
          <w:szCs w:val="22"/>
        </w:rPr>
        <w:t>招标的结果，签署本合同。</w:t>
      </w:r>
    </w:p>
    <w:p>
      <w:pPr>
        <w:snapToGrid w:val="0"/>
        <w:spacing w:line="360" w:lineRule="auto"/>
        <w:ind w:firstLine="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一、合同文件： </w:t>
      </w:r>
    </w:p>
    <w:p>
      <w:pPr>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1.合同条款。2.中标通知书。3.更正补充文件。4.招标文件。5.中标供应商投标文件。6.其他。</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上述所指合同文件应认为是互相补充和解释的，但是有模棱两可或互相矛盾之处，以其所列内容顺序为准。</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二、项目内容：详见招标文件</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三、合同金额</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 本合同金额为（大写）：____________________________________元（￥_______________元）人民币。</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四、技术资料</w:t>
      </w:r>
    </w:p>
    <w:p>
      <w:pPr>
        <w:pStyle w:val="30"/>
        <w:snapToGrid w:val="0"/>
        <w:spacing w:line="360" w:lineRule="auto"/>
        <w:ind w:left="479" w:leftChars="228" w:firstLine="63" w:firstLineChars="29"/>
        <w:rPr>
          <w:rFonts w:hint="eastAsia" w:ascii="新宋体" w:hAnsi="新宋体" w:eastAsia="新宋体"/>
          <w:color w:val="000000"/>
          <w:sz w:val="22"/>
          <w:szCs w:val="22"/>
        </w:rPr>
      </w:pPr>
      <w:r>
        <w:rPr>
          <w:rFonts w:hint="eastAsia" w:ascii="新宋体" w:hAnsi="新宋体" w:eastAsia="新宋体"/>
          <w:color w:val="000000"/>
          <w:sz w:val="22"/>
          <w:szCs w:val="22"/>
        </w:rPr>
        <w:t>1.乙方应按招标文件规定的时间向甲方提供使用货物和服务的有关技术资料。</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0"/>
        <w:snapToGrid w:val="0"/>
        <w:spacing w:line="360" w:lineRule="auto"/>
        <w:ind w:left="378" w:hanging="378" w:hangingChars="171"/>
        <w:rPr>
          <w:rFonts w:hint="eastAsia" w:ascii="新宋体" w:hAnsi="新宋体" w:eastAsia="新宋体"/>
          <w:b/>
          <w:bCs/>
          <w:color w:val="000000"/>
          <w:sz w:val="22"/>
          <w:szCs w:val="22"/>
        </w:rPr>
      </w:pPr>
      <w:r>
        <w:rPr>
          <w:rFonts w:hint="eastAsia" w:ascii="新宋体" w:hAnsi="新宋体" w:eastAsia="新宋体"/>
          <w:b/>
          <w:bCs/>
          <w:color w:val="000000"/>
          <w:sz w:val="22"/>
          <w:szCs w:val="22"/>
        </w:rPr>
        <w:t>五、知识产权</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1.乙方应保证所提供的货物或其任何一部分均不会侵犯任何第三方的知识产权。</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2.若侵犯,由乙方赔偿甲方因此遭受的损失（包括但不限于应对及追偿过程中所支付的律师费、差旅费、诉讼费、保全费、鉴定费、评估费等）。</w:t>
      </w:r>
    </w:p>
    <w:p>
      <w:pPr>
        <w:pStyle w:val="30"/>
        <w:snapToGrid w:val="0"/>
        <w:spacing w:line="360" w:lineRule="auto"/>
        <w:ind w:firstLine="200"/>
        <w:rPr>
          <w:rFonts w:hint="eastAsia" w:ascii="新宋体" w:hAnsi="新宋体" w:eastAsia="新宋体"/>
          <w:color w:val="000000"/>
          <w:sz w:val="22"/>
          <w:szCs w:val="22"/>
          <w:u w:val="single"/>
        </w:rPr>
      </w:pPr>
      <w:r>
        <w:rPr>
          <w:rFonts w:hint="eastAsia" w:ascii="新宋体" w:hAnsi="新宋体" w:eastAsia="新宋体"/>
          <w:b/>
          <w:bCs/>
          <w:color w:val="000000"/>
          <w:sz w:val="22"/>
          <w:szCs w:val="22"/>
        </w:rPr>
        <w:t>六、产权担保</w:t>
      </w:r>
    </w:p>
    <w:p>
      <w:pPr>
        <w:pStyle w:val="30"/>
        <w:snapToGrid w:val="0"/>
        <w:spacing w:line="360" w:lineRule="auto"/>
        <w:ind w:firstLine="440" w:firstLineChars="200"/>
        <w:rPr>
          <w:rFonts w:hint="eastAsia" w:ascii="新宋体" w:hAnsi="新宋体" w:eastAsia="新宋体"/>
          <w:color w:val="000000"/>
          <w:sz w:val="22"/>
          <w:szCs w:val="22"/>
          <w:u w:val="single"/>
        </w:rPr>
      </w:pPr>
      <w:r>
        <w:rPr>
          <w:rFonts w:hint="eastAsia" w:ascii="新宋体" w:hAnsi="新宋体" w:eastAsia="新宋体"/>
          <w:color w:val="000000"/>
          <w:sz w:val="22"/>
          <w:szCs w:val="22"/>
        </w:rPr>
        <w:t>乙方保证所交付的货物及服务的所有权完全属于乙方且无任何抵押、查封等产权瑕疵。</w:t>
      </w:r>
    </w:p>
    <w:p>
      <w:pPr>
        <w:pStyle w:val="30"/>
        <w:snapToGrid w:val="0"/>
        <w:spacing w:line="360" w:lineRule="auto"/>
        <w:ind w:left="375" w:hanging="375" w:hangingChars="170"/>
        <w:rPr>
          <w:rFonts w:hint="eastAsia" w:ascii="新宋体" w:hAnsi="新宋体" w:eastAsia="新宋体"/>
          <w:b/>
          <w:bCs/>
          <w:color w:val="000000"/>
          <w:sz w:val="22"/>
          <w:szCs w:val="22"/>
        </w:rPr>
      </w:pPr>
      <w:r>
        <w:rPr>
          <w:rFonts w:hint="eastAsia" w:ascii="新宋体" w:hAnsi="新宋体" w:eastAsia="新宋体"/>
          <w:b/>
          <w:bCs/>
          <w:color w:val="000000"/>
          <w:sz w:val="22"/>
          <w:szCs w:val="22"/>
        </w:rPr>
        <w:t>七、履约保证金（如有）</w:t>
      </w:r>
    </w:p>
    <w:p>
      <w:pPr>
        <w:autoSpaceDE w:val="0"/>
        <w:autoSpaceDN w:val="0"/>
        <w:adjustRightInd w:val="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本项目履约保证金为合同金额的____%。</w:t>
      </w:r>
    </w:p>
    <w:p>
      <w:pPr>
        <w:pStyle w:val="30"/>
        <w:snapToGrid w:val="0"/>
        <w:spacing w:line="360" w:lineRule="auto"/>
        <w:ind w:left="375" w:hanging="375" w:hangingChars="170"/>
        <w:rPr>
          <w:rFonts w:hint="eastAsia" w:ascii="新宋体" w:hAnsi="新宋体" w:eastAsia="新宋体"/>
          <w:b/>
          <w:bCs/>
          <w:color w:val="000000"/>
          <w:sz w:val="22"/>
          <w:szCs w:val="22"/>
        </w:rPr>
      </w:pPr>
      <w:r>
        <w:rPr>
          <w:rFonts w:hint="eastAsia" w:ascii="新宋体" w:hAnsi="新宋体" w:eastAsia="新宋体"/>
          <w:b/>
          <w:bCs/>
          <w:color w:val="000000"/>
          <w:sz w:val="22"/>
          <w:szCs w:val="22"/>
        </w:rPr>
        <w:t>八、转包或分包</w:t>
      </w:r>
    </w:p>
    <w:p>
      <w:pPr>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1.允许分包部分。</w:t>
      </w:r>
    </w:p>
    <w:p>
      <w:pPr>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2.除非得到甲方的书面同意，乙方不得将本合同范围的货物全部或部分分包给他人供应；</w:t>
      </w:r>
    </w:p>
    <w:p>
      <w:pPr>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3.如有转让和未经甲方同意的分包行为，甲方有权解除合同，没收履约保证金并追究乙方的违约责任。</w:t>
      </w:r>
    </w:p>
    <w:p>
      <w:pPr>
        <w:pStyle w:val="30"/>
        <w:snapToGrid w:val="0"/>
        <w:spacing w:line="360" w:lineRule="auto"/>
        <w:ind w:firstLine="200"/>
        <w:rPr>
          <w:rFonts w:hint="eastAsia" w:ascii="新宋体" w:hAnsi="新宋体" w:eastAsia="新宋体"/>
          <w:color w:val="000000"/>
          <w:sz w:val="22"/>
          <w:szCs w:val="22"/>
        </w:rPr>
      </w:pPr>
      <w:r>
        <w:rPr>
          <w:rFonts w:hint="eastAsia" w:ascii="新宋体" w:hAnsi="新宋体" w:eastAsia="新宋体"/>
          <w:b/>
          <w:bCs/>
          <w:color w:val="000000"/>
          <w:sz w:val="22"/>
          <w:szCs w:val="22"/>
        </w:rPr>
        <w:t>九、质保期</w:t>
      </w:r>
    </w:p>
    <w:p>
      <w:pPr>
        <w:pStyle w:val="30"/>
        <w:snapToGrid w:val="0"/>
        <w:spacing w:line="360" w:lineRule="auto"/>
        <w:ind w:left="479" w:leftChars="228" w:firstLine="63" w:firstLineChars="29"/>
        <w:rPr>
          <w:rFonts w:hint="eastAsia" w:ascii="新宋体" w:hAnsi="新宋体" w:eastAsia="新宋体"/>
          <w:color w:val="000000"/>
          <w:sz w:val="22"/>
          <w:szCs w:val="22"/>
        </w:rPr>
      </w:pPr>
      <w:r>
        <w:rPr>
          <w:rFonts w:hint="eastAsia" w:ascii="新宋体" w:hAnsi="新宋体" w:eastAsia="新宋体"/>
          <w:color w:val="000000"/>
          <w:sz w:val="22"/>
          <w:szCs w:val="22"/>
        </w:rPr>
        <w:t>1. 质保期</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年。（自交货验收合格之日起计）</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十、交货期、交货方式及交货地点</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 交货期：详见招标文件</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 交货方式：详见招标文件</w:t>
      </w:r>
    </w:p>
    <w:p>
      <w:pPr>
        <w:pStyle w:val="30"/>
        <w:snapToGrid w:val="0"/>
        <w:spacing w:line="360" w:lineRule="auto"/>
        <w:ind w:firstLine="440" w:firstLineChars="200"/>
        <w:rPr>
          <w:rFonts w:hint="eastAsia" w:ascii="新宋体" w:hAnsi="新宋体" w:eastAsia="新宋体"/>
          <w:b/>
          <w:bCs/>
          <w:color w:val="000000"/>
          <w:sz w:val="22"/>
          <w:szCs w:val="22"/>
        </w:rPr>
      </w:pPr>
      <w:r>
        <w:rPr>
          <w:rFonts w:hint="eastAsia" w:ascii="新宋体" w:hAnsi="新宋体" w:eastAsia="新宋体"/>
          <w:color w:val="000000"/>
          <w:sz w:val="22"/>
          <w:szCs w:val="22"/>
        </w:rPr>
        <w:t>3. 交货地点：详见招标文件</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十一、货款支付</w:t>
      </w:r>
    </w:p>
    <w:p>
      <w:pPr>
        <w:pStyle w:val="624"/>
        <w:snapToGrid w:val="0"/>
        <w:ind w:firstLine="200"/>
        <w:rPr>
          <w:rFonts w:hint="eastAsia" w:ascii="新宋体" w:hAnsi="新宋体" w:eastAsia="新宋体"/>
          <w:sz w:val="22"/>
          <w:szCs w:val="22"/>
        </w:rPr>
      </w:pPr>
      <w:r>
        <w:rPr>
          <w:rFonts w:hint="eastAsia" w:ascii="新宋体" w:hAnsi="新宋体" w:eastAsia="新宋体"/>
          <w:sz w:val="22"/>
          <w:szCs w:val="22"/>
        </w:rPr>
        <w:t xml:space="preserve">1. </w:t>
      </w:r>
      <w:r>
        <w:rPr>
          <w:rFonts w:hint="eastAsia" w:ascii="新宋体" w:hAnsi="新宋体" w:eastAsia="新宋体"/>
          <w:color w:val="000000"/>
          <w:sz w:val="22"/>
          <w:szCs w:val="22"/>
        </w:rPr>
        <w:t>付款方式：详见招标文件</w:t>
      </w:r>
    </w:p>
    <w:p>
      <w:pPr>
        <w:pStyle w:val="30"/>
        <w:snapToGrid w:val="0"/>
        <w:spacing w:line="360" w:lineRule="auto"/>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十二、税费</w:t>
      </w:r>
    </w:p>
    <w:p>
      <w:pPr>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本合同执行中相关的一切税费均由乙方负担。</w:t>
      </w:r>
    </w:p>
    <w:p>
      <w:pPr>
        <w:pStyle w:val="30"/>
        <w:snapToGrid w:val="0"/>
        <w:spacing w:line="360" w:lineRule="auto"/>
        <w:ind w:left="378" w:hanging="378" w:hangingChars="171"/>
        <w:rPr>
          <w:rFonts w:hint="eastAsia" w:ascii="新宋体" w:hAnsi="新宋体" w:eastAsia="新宋体"/>
          <w:color w:val="000000"/>
          <w:sz w:val="22"/>
          <w:szCs w:val="22"/>
        </w:rPr>
      </w:pPr>
      <w:r>
        <w:rPr>
          <w:rFonts w:hint="eastAsia" w:ascii="新宋体" w:hAnsi="新宋体" w:eastAsia="新宋体"/>
          <w:b/>
          <w:bCs/>
          <w:color w:val="000000"/>
          <w:sz w:val="22"/>
          <w:szCs w:val="22"/>
        </w:rPr>
        <w:t>十三、质量保证及售后服务</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 乙方应按招标文件规定的货物性能、技术要求、质量标准向甲方提供未经使用的全新产品。</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 乙方提供的货物在质保期内因货物本身的质量问题发生故障，乙方应负责免费更换。对达不到技术要求者，根据实际情况，经双方协商，可按以下办法处理：</w:t>
      </w:r>
    </w:p>
    <w:p>
      <w:pPr>
        <w:pStyle w:val="30"/>
        <w:snapToGrid w:val="0"/>
        <w:spacing w:line="360" w:lineRule="auto"/>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（1）更换：由乙方承担所发生的全部费用。</w:t>
      </w:r>
    </w:p>
    <w:p>
      <w:pPr>
        <w:pStyle w:val="30"/>
        <w:snapToGrid w:val="0"/>
        <w:spacing w:line="360" w:lineRule="auto"/>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（2）贬值处理：由甲乙双方合议定价。</w:t>
      </w:r>
    </w:p>
    <w:p>
      <w:pPr>
        <w:pStyle w:val="30"/>
        <w:snapToGrid w:val="0"/>
        <w:spacing w:line="360" w:lineRule="auto"/>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（3）退货处理：乙方应退还甲方支付的合同款，同时应承担该货物的直接费用（运输、保险、检验、货款利息及银行手续费等）。</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3. 如在使用过程中发生质量问题，乙方在接到甲方通知后在小时内到达甲方现场。</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4. 在质保期内，乙方应对货物出现的质量及安全问题负责处理解决并承担一切费用。</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5.上述的货物免费保修期为   年，因人为因素出现的故障不在免费保修范围内。超过保修期的机器设备，终生维修，维修时只收部件成本费。</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十四、调试和验收</w:t>
      </w:r>
    </w:p>
    <w:p>
      <w:pPr>
        <w:pStyle w:val="30"/>
        <w:snapToGrid w:val="0"/>
        <w:spacing w:line="360" w:lineRule="auto"/>
        <w:ind w:firstLine="330" w:firstLineChars="150"/>
        <w:rPr>
          <w:rFonts w:hint="eastAsia" w:ascii="新宋体" w:hAnsi="新宋体" w:eastAsia="新宋体"/>
          <w:color w:val="000000"/>
          <w:sz w:val="22"/>
          <w:szCs w:val="22"/>
        </w:rPr>
      </w:pPr>
      <w:r>
        <w:rPr>
          <w:rFonts w:hint="eastAsia" w:ascii="新宋体" w:hAnsi="新宋体" w:eastAsia="新宋体"/>
          <w:color w:val="000000"/>
          <w:sz w:val="22"/>
          <w:szCs w:val="22"/>
        </w:rPr>
        <w:t>1. 乙方负责仪器设备从安装、调试、试运行到验收合格前的全部运行维护工作,所有费用包括在合同总价中，在验收合格前，业主不负责仪器的运行维护。</w:t>
      </w:r>
    </w:p>
    <w:p>
      <w:pPr>
        <w:pStyle w:val="30"/>
        <w:snapToGrid w:val="0"/>
        <w:spacing w:line="360" w:lineRule="auto"/>
        <w:ind w:firstLine="330" w:firstLineChars="150"/>
        <w:rPr>
          <w:rFonts w:hint="eastAsia" w:ascii="新宋体" w:hAnsi="新宋体" w:eastAsia="新宋体"/>
          <w:color w:val="000000"/>
          <w:sz w:val="22"/>
          <w:szCs w:val="22"/>
        </w:rPr>
      </w:pPr>
      <w:r>
        <w:rPr>
          <w:rFonts w:hint="eastAsia" w:ascii="新宋体" w:hAnsi="新宋体" w:eastAsia="新宋体"/>
          <w:color w:val="000000"/>
          <w:sz w:val="22"/>
          <w:szCs w:val="22"/>
        </w:rPr>
        <w:t>2.按照相关技术规范具备验收条件后，乙方以书面形式向业主提交验收报告及验收申请，业主审核同意后组织验收组进行。业主只接收验收合格的设备。</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十五、货物包装、发运及运输</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 乙方应在货物发运前对其进行满足运输距离、防潮、防震、防锈和防破损装卸等要求包装，以保证货物安全运达甲方指定地点。</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 使用说明书、质量检验证明书、随配附件和工具以及清单一并附于货物内。</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3. 乙方在货物发运手续办理完毕后24小时内或货到甲方48小时前通知甲方，以准备接货。</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4. 货物在交付甲方前发生的风险均由乙方负责。</w:t>
      </w:r>
    </w:p>
    <w:p>
      <w:pPr>
        <w:pStyle w:val="30"/>
        <w:snapToGrid w:val="0"/>
        <w:spacing w:line="360" w:lineRule="auto"/>
        <w:ind w:right="26" w:firstLine="418" w:firstLineChars="190"/>
        <w:rPr>
          <w:rFonts w:hint="eastAsia" w:ascii="新宋体" w:hAnsi="新宋体" w:eastAsia="新宋体"/>
          <w:color w:val="000000"/>
          <w:sz w:val="22"/>
          <w:szCs w:val="22"/>
        </w:rPr>
      </w:pPr>
      <w:r>
        <w:rPr>
          <w:rFonts w:hint="eastAsia" w:ascii="新宋体" w:hAnsi="新宋体" w:eastAsia="新宋体"/>
          <w:color w:val="000000"/>
          <w:sz w:val="22"/>
          <w:szCs w:val="22"/>
        </w:rPr>
        <w:t>5. 货物在规定的交付期限内由乙方送达甲方指定的地点视为交付，乙方同时需通知甲方货物已送达。</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十六、违约责任</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 甲方无正当理由拒收货物的，甲方向乙方偿付拒收货款总值的</w:t>
      </w:r>
      <w:r>
        <w:rPr>
          <w:rFonts w:hint="eastAsia" w:ascii="新宋体" w:hAnsi="新宋体" w:eastAsia="新宋体"/>
          <w:color w:val="000000"/>
          <w:sz w:val="22"/>
          <w:szCs w:val="22"/>
          <w:u w:val="single"/>
        </w:rPr>
        <w:t>百分之五</w:t>
      </w:r>
      <w:r>
        <w:rPr>
          <w:rFonts w:hint="eastAsia" w:ascii="新宋体" w:hAnsi="新宋体" w:eastAsia="新宋体"/>
          <w:color w:val="000000"/>
          <w:sz w:val="22"/>
          <w:szCs w:val="22"/>
        </w:rPr>
        <w:t>违约金。</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 甲方无故逾期验收和办理货款支付手续的,甲方应按逾期付款总额每日</w:t>
      </w:r>
      <w:r>
        <w:rPr>
          <w:rFonts w:hint="eastAsia" w:ascii="新宋体" w:hAnsi="新宋体" w:eastAsia="新宋体"/>
          <w:color w:val="000000"/>
          <w:sz w:val="22"/>
          <w:szCs w:val="22"/>
          <w:u w:val="single"/>
        </w:rPr>
        <w:t>万分之五</w:t>
      </w:r>
      <w:r>
        <w:rPr>
          <w:rFonts w:hint="eastAsia" w:ascii="新宋体" w:hAnsi="新宋体" w:eastAsia="新宋体"/>
          <w:color w:val="000000"/>
          <w:sz w:val="22"/>
          <w:szCs w:val="22"/>
        </w:rPr>
        <w:t>向乙方支付违约金。</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3. 乙方逾期交付货物的，乙方应按逾期交货总额每日</w:t>
      </w:r>
      <w:r>
        <w:rPr>
          <w:rFonts w:hint="eastAsia" w:ascii="新宋体" w:hAnsi="新宋体" w:eastAsia="新宋体"/>
          <w:color w:val="000000"/>
          <w:sz w:val="22"/>
          <w:szCs w:val="22"/>
          <w:u w:val="single"/>
        </w:rPr>
        <w:t>千分之六</w:t>
      </w:r>
      <w:r>
        <w:rPr>
          <w:rFonts w:hint="eastAsia" w:ascii="新宋体" w:hAnsi="新宋体" w:eastAsia="新宋体"/>
          <w:color w:val="000000"/>
          <w:sz w:val="22"/>
          <w:szCs w:val="22"/>
        </w:rPr>
        <w:t>向甲方支付违约金，由甲方从待付货款中扣除。逾期超过约定日期</w:t>
      </w:r>
      <w:r>
        <w:rPr>
          <w:rFonts w:hint="eastAsia" w:ascii="新宋体" w:hAnsi="新宋体" w:eastAsia="新宋体"/>
          <w:color w:val="000000"/>
          <w:sz w:val="22"/>
          <w:szCs w:val="22"/>
          <w:u w:val="single"/>
        </w:rPr>
        <w:t>10</w:t>
      </w:r>
      <w:r>
        <w:rPr>
          <w:rFonts w:hint="eastAsia" w:ascii="新宋体" w:hAnsi="新宋体" w:eastAsia="新宋体"/>
          <w:color w:val="000000"/>
          <w:sz w:val="22"/>
          <w:szCs w:val="22"/>
        </w:rPr>
        <w:t>个工作日不能交货的，甲方可解除本合同。乙方因逾期交货或因其他违约行为导致甲方解除合同的，乙方应向甲方支付合同总值</w:t>
      </w:r>
      <w:r>
        <w:rPr>
          <w:rFonts w:hint="eastAsia" w:ascii="新宋体" w:hAnsi="新宋体" w:eastAsia="新宋体"/>
          <w:color w:val="000000"/>
          <w:sz w:val="22"/>
          <w:szCs w:val="22"/>
          <w:u w:val="single"/>
        </w:rPr>
        <w:t>5%</w:t>
      </w:r>
      <w:r>
        <w:rPr>
          <w:rFonts w:hint="eastAsia" w:ascii="新宋体" w:hAnsi="新宋体" w:eastAsia="新宋体"/>
          <w:color w:val="000000"/>
          <w:sz w:val="22"/>
          <w:szCs w:val="22"/>
        </w:rPr>
        <w:t xml:space="preserve">的违约金，如造成甲方损失超过违约金的，超出部分由乙方继续承担赔偿责任。 </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5.若发生纠纷，由违约方赔偿守约方因纠纷所支付的费用（包括但不限于律师费、差旅费、诉讼费、保全费、鉴定费、评估费等）</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十七、不可抗力事件处理</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1.在合同有效期内，任何一方因不可抗力事件导致不能履行合同，则合同履行期可延长，其延长期与不可抗力影响期相同。</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2.不可抗力事件发生后，应立即通知对方，并寄送有关权威机构出具的证明。</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3.不可抗力事件延续120天以上，双方应通过友好协商，确定是否继续履行合同。</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十八、解决争议的方法</w:t>
      </w:r>
    </w:p>
    <w:p>
      <w:pPr>
        <w:pStyle w:val="30"/>
        <w:snapToGrid w:val="0"/>
        <w:spacing w:line="360" w:lineRule="auto"/>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1.如双方在履行合同时发生纠纷，应协商解决；协商不成时，可提请政府采购管理部门调解；调解不成的通过以下方式解决（两种解决方式只能择其一）：</w:t>
      </w:r>
      <w:r>
        <w:rPr>
          <w:rFonts w:hint="eastAsia" w:ascii="新宋体" w:hAnsi="新宋体" w:eastAsia="新宋体"/>
          <w:color w:val="000000"/>
          <w:sz w:val="22"/>
          <w:szCs w:val="22"/>
        </w:rPr>
        <w:br w:type="textWrapping"/>
      </w:r>
      <w:r>
        <w:rPr>
          <w:rFonts w:hint="eastAsia" w:ascii="新宋体" w:hAnsi="新宋体" w:eastAsia="新宋体"/>
          <w:color w:val="000000"/>
          <w:sz w:val="22"/>
          <w:szCs w:val="22"/>
        </w:rPr>
        <w:t xml:space="preserve">  （1）提交温州仲裁委员会仲裁。</w:t>
      </w:r>
      <w:r>
        <w:rPr>
          <w:rFonts w:hint="eastAsia" w:ascii="新宋体" w:hAnsi="新宋体" w:eastAsia="新宋体"/>
          <w:color w:val="000000"/>
          <w:sz w:val="22"/>
          <w:szCs w:val="22"/>
        </w:rPr>
        <w:br w:type="textWrapping"/>
      </w:r>
      <w:r>
        <w:rPr>
          <w:rFonts w:hint="eastAsia" w:ascii="新宋体" w:hAnsi="新宋体" w:eastAsia="新宋体"/>
          <w:color w:val="000000"/>
          <w:sz w:val="22"/>
          <w:szCs w:val="22"/>
        </w:rPr>
        <w:t xml:space="preserve">  （2）依法向甲方所在地人民法院提起诉讼。 </w:t>
      </w:r>
    </w:p>
    <w:p>
      <w:pPr>
        <w:pStyle w:val="30"/>
        <w:snapToGrid w:val="0"/>
        <w:spacing w:line="360" w:lineRule="auto"/>
        <w:ind w:firstLine="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十九、合同生效及其它</w:t>
      </w:r>
      <w:r>
        <w:rPr>
          <w:rFonts w:hint="eastAsia" w:ascii="新宋体" w:hAnsi="新宋体" w:eastAsia="新宋体"/>
          <w:b/>
          <w:bCs/>
          <w:color w:val="000000"/>
          <w:sz w:val="22"/>
          <w:szCs w:val="22"/>
        </w:rPr>
        <w:tab/>
      </w:r>
    </w:p>
    <w:p>
      <w:pPr>
        <w:pStyle w:val="3"/>
        <w:snapToGrid w:val="0"/>
        <w:spacing w:after="0" w:line="360" w:lineRule="auto"/>
        <w:ind w:right="-88"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1.合同经双方法定代表人或授权代表签字并加盖单位公章后生效。</w:t>
      </w:r>
    </w:p>
    <w:p>
      <w:pPr>
        <w:pStyle w:val="3"/>
        <w:snapToGrid w:val="0"/>
        <w:spacing w:after="0" w:line="360" w:lineRule="auto"/>
        <w:ind w:right="-88"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2.本合同未尽事宜，遵照《合同法》有关条文执行。</w:t>
      </w:r>
    </w:p>
    <w:p>
      <w:pPr>
        <w:pStyle w:val="3"/>
        <w:snapToGrid w:val="0"/>
        <w:spacing w:after="0" w:line="360" w:lineRule="auto"/>
        <w:ind w:right="-88"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3.本合同一式陆份。甲、乙双方各执贰份，采购组织机构及同级人民政府财政部门各执一份。本项目未尽事宜以招标文件、投标文件及澄清文件等为准。</w:t>
      </w:r>
    </w:p>
    <w:p>
      <w:pPr>
        <w:pStyle w:val="3"/>
        <w:spacing w:line="360" w:lineRule="auto"/>
        <w:ind w:right="-88"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 </w:t>
      </w:r>
    </w:p>
    <w:p>
      <w:pPr>
        <w:pStyle w:val="3"/>
        <w:spacing w:line="360" w:lineRule="auto"/>
        <w:ind w:right="-88"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 </w:t>
      </w:r>
    </w:p>
    <w:p>
      <w:pPr>
        <w:snapToGrid w:val="0"/>
        <w:spacing w:line="360" w:lineRule="auto"/>
        <w:rPr>
          <w:rFonts w:hint="eastAsia" w:ascii="新宋体" w:hAnsi="新宋体" w:eastAsia="新宋体"/>
          <w:color w:val="000000"/>
          <w:sz w:val="22"/>
          <w:szCs w:val="22"/>
        </w:rPr>
      </w:pPr>
      <w:r>
        <w:rPr>
          <w:rFonts w:hint="eastAsia" w:ascii="新宋体" w:hAnsi="新宋体" w:eastAsia="新宋体"/>
          <w:color w:val="000000"/>
          <w:sz w:val="22"/>
          <w:szCs w:val="22"/>
        </w:rPr>
        <w:t>甲    方：                            乙    方：</w:t>
      </w:r>
    </w:p>
    <w:p>
      <w:pPr>
        <w:snapToGrid w:val="0"/>
        <w:spacing w:line="360" w:lineRule="auto"/>
        <w:rPr>
          <w:rFonts w:hint="eastAsia" w:ascii="新宋体" w:hAnsi="新宋体" w:eastAsia="新宋体"/>
          <w:color w:val="000000"/>
          <w:sz w:val="22"/>
          <w:szCs w:val="22"/>
        </w:rPr>
      </w:pPr>
      <w:r>
        <w:rPr>
          <w:rFonts w:hint="eastAsia" w:ascii="新宋体" w:hAnsi="新宋体" w:eastAsia="新宋体"/>
          <w:color w:val="000000"/>
          <w:sz w:val="22"/>
          <w:szCs w:val="22"/>
        </w:rPr>
        <w:t xml:space="preserve">签字盖章：                            签字盖章： </w:t>
      </w:r>
    </w:p>
    <w:p>
      <w:pPr>
        <w:snapToGrid w:val="0"/>
        <w:spacing w:line="360" w:lineRule="auto"/>
        <w:rPr>
          <w:rFonts w:hint="eastAsia" w:ascii="新宋体" w:hAnsi="新宋体" w:eastAsia="新宋体"/>
          <w:color w:val="000000"/>
          <w:sz w:val="22"/>
          <w:szCs w:val="22"/>
        </w:rPr>
      </w:pPr>
      <w:r>
        <w:rPr>
          <w:rFonts w:hint="eastAsia" w:ascii="新宋体" w:hAnsi="新宋体" w:eastAsia="新宋体"/>
          <w:color w:val="000000"/>
          <w:sz w:val="22"/>
          <w:szCs w:val="22"/>
        </w:rPr>
        <w:t xml:space="preserve">开户银行：                            开户银行： </w:t>
      </w:r>
    </w:p>
    <w:p>
      <w:pPr>
        <w:snapToGrid w:val="0"/>
        <w:spacing w:line="360" w:lineRule="auto"/>
        <w:rPr>
          <w:rFonts w:hint="eastAsia" w:ascii="新宋体" w:hAnsi="新宋体" w:eastAsia="新宋体"/>
          <w:color w:val="000000"/>
          <w:sz w:val="22"/>
          <w:szCs w:val="22"/>
        </w:rPr>
      </w:pPr>
      <w:r>
        <w:rPr>
          <w:rFonts w:hint="eastAsia" w:ascii="新宋体" w:hAnsi="新宋体" w:eastAsia="新宋体"/>
          <w:color w:val="000000"/>
          <w:sz w:val="22"/>
          <w:szCs w:val="22"/>
        </w:rPr>
        <w:t xml:space="preserve">银行账号：                            银行账号： </w:t>
      </w:r>
    </w:p>
    <w:p>
      <w:pPr>
        <w:snapToGrid w:val="0"/>
        <w:spacing w:line="360" w:lineRule="auto"/>
        <w:rPr>
          <w:rFonts w:hint="eastAsia" w:ascii="新宋体" w:hAnsi="新宋体" w:eastAsia="新宋体"/>
          <w:color w:val="000000"/>
          <w:sz w:val="22"/>
          <w:szCs w:val="22"/>
        </w:rPr>
      </w:pPr>
      <w:r>
        <w:rPr>
          <w:rFonts w:hint="eastAsia" w:ascii="新宋体" w:hAnsi="新宋体" w:eastAsia="新宋体"/>
          <w:color w:val="000000"/>
          <w:sz w:val="22"/>
          <w:szCs w:val="22"/>
        </w:rPr>
        <w:t>日    期：                            日    期：</w:t>
      </w:r>
    </w:p>
    <w:p>
      <w:pPr>
        <w:pStyle w:val="53"/>
        <w:rPr>
          <w:rFonts w:hint="eastAsia" w:ascii="新宋体" w:hAnsi="新宋体" w:eastAsia="新宋体" w:cs="新宋体"/>
          <w:kern w:val="2"/>
          <w:sz w:val="36"/>
          <w:szCs w:val="36"/>
        </w:rPr>
      </w:pPr>
    </w:p>
    <w:p>
      <w:pPr>
        <w:adjustRightInd w:val="0"/>
        <w:spacing w:line="360" w:lineRule="auto"/>
        <w:jc w:val="center"/>
        <w:rPr>
          <w:rFonts w:hint="eastAsia" w:ascii="宋体" w:hAnsi="宋体"/>
          <w:b/>
          <w:sz w:val="30"/>
          <w:szCs w:val="30"/>
        </w:rPr>
      </w:pPr>
      <w:r>
        <w:rPr>
          <w:rFonts w:hint="eastAsia" w:ascii="宋体" w:hAnsi="宋体"/>
          <w:b/>
          <w:sz w:val="30"/>
          <w:szCs w:val="30"/>
        </w:rPr>
        <w:t xml:space="preserve"> </w:t>
      </w:r>
    </w:p>
    <w:p>
      <w:pPr>
        <w:snapToGrid w:val="0"/>
        <w:spacing w:line="360" w:lineRule="auto"/>
        <w:jc w:val="center"/>
        <w:rPr>
          <w:rFonts w:ascii="新宋体" w:hAnsi="新宋体" w:eastAsia="新宋体" w:cs="新宋体"/>
          <w:bCs/>
          <w:sz w:val="22"/>
        </w:rPr>
      </w:pPr>
      <w:bookmarkStart w:id="110" w:name="_Toc241404206"/>
      <w:bookmarkStart w:id="111" w:name="_Toc239145358"/>
      <w:bookmarkStart w:id="112" w:name="_Toc246996996"/>
      <w:bookmarkStart w:id="113" w:name="_Toc247085768"/>
      <w:bookmarkStart w:id="114" w:name="_Toc221374630"/>
      <w:bookmarkStart w:id="115" w:name="_Toc179632628"/>
      <w:bookmarkStart w:id="116" w:name="_Toc221356955"/>
      <w:bookmarkStart w:id="117" w:name="_Toc152045610"/>
      <w:bookmarkStart w:id="118" w:name="_Toc265529387"/>
      <w:bookmarkStart w:id="119" w:name="_Toc246996253"/>
      <w:bookmarkStart w:id="120" w:name="_Toc223716002"/>
      <w:bookmarkStart w:id="121" w:name="_Toc221423623"/>
      <w:bookmarkStart w:id="122" w:name="_Toc221356891"/>
      <w:bookmarkStart w:id="123" w:name="_Toc222114883"/>
      <w:bookmarkStart w:id="124" w:name="_Toc296602498"/>
      <w:bookmarkStart w:id="125" w:name="_Toc152042388"/>
      <w:bookmarkStart w:id="126" w:name="_Toc144974578"/>
    </w:p>
    <w:p>
      <w:pPr>
        <w:spacing w:before="120" w:beforeLines="50" w:after="120" w:afterLines="50"/>
        <w:rPr>
          <w:rFonts w:hint="eastAsia"/>
          <w:sz w:val="22"/>
          <w:szCs w:val="22"/>
        </w:rPr>
      </w:pPr>
    </w:p>
    <w:p>
      <w:pPr>
        <w:spacing w:before="120" w:beforeLines="50" w:after="120" w:afterLines="50"/>
        <w:rPr>
          <w:rFonts w:hint="eastAsia"/>
          <w:sz w:val="22"/>
          <w:szCs w:val="22"/>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spacing w:before="240" w:beforeLines="100" w:after="240" w:afterLines="100" w:line="580" w:lineRule="exact"/>
        <w:jc w:val="center"/>
        <w:rPr>
          <w:rFonts w:hint="eastAsia" w:ascii="宋体" w:hAnsi="宋体"/>
          <w:b/>
          <w:bCs/>
          <w:color w:val="000000"/>
          <w:sz w:val="36"/>
          <w:szCs w:val="36"/>
        </w:rPr>
      </w:pPr>
    </w:p>
    <w:p>
      <w:pPr>
        <w:spacing w:before="240" w:beforeLines="100" w:after="240" w:afterLines="100" w:line="580" w:lineRule="exact"/>
        <w:rPr>
          <w:rFonts w:hint="eastAsia" w:ascii="宋体" w:hAnsi="宋体"/>
          <w:b/>
          <w:bCs/>
          <w:color w:val="000000"/>
          <w:sz w:val="36"/>
          <w:szCs w:val="36"/>
        </w:rPr>
      </w:pPr>
    </w:p>
    <w:p>
      <w:pPr>
        <w:spacing w:before="240" w:beforeLines="100" w:after="240" w:afterLines="100" w:line="580" w:lineRule="exact"/>
        <w:jc w:val="center"/>
        <w:rPr>
          <w:rFonts w:ascii="宋体" w:hAnsi="宋体"/>
          <w:b/>
          <w:bCs/>
          <w:color w:val="000000"/>
          <w:sz w:val="36"/>
          <w:szCs w:val="36"/>
        </w:rPr>
      </w:pPr>
      <w:r>
        <w:rPr>
          <w:rFonts w:hint="eastAsia" w:ascii="宋体" w:hAnsi="宋体"/>
          <w:b/>
          <w:bCs/>
          <w:color w:val="000000"/>
          <w:sz w:val="36"/>
          <w:szCs w:val="36"/>
        </w:rPr>
        <w:t>网络与信息安全保密协议</w:t>
      </w:r>
    </w:p>
    <w:p>
      <w:pPr>
        <w:autoSpaceDE w:val="0"/>
        <w:autoSpaceDN w:val="0"/>
        <w:adjustRightInd w:val="0"/>
        <w:snapToGrid w:val="0"/>
        <w:spacing w:before="240" w:beforeLines="100" w:line="540" w:lineRule="exact"/>
        <w:rPr>
          <w:rFonts w:hint="eastAsia" w:ascii="新宋体" w:hAnsi="新宋体" w:eastAsia="新宋体"/>
          <w:sz w:val="22"/>
          <w:szCs w:val="22"/>
        </w:rPr>
      </w:pPr>
      <w:r>
        <w:rPr>
          <w:rFonts w:hint="eastAsia" w:ascii="新宋体" w:hAnsi="新宋体" w:eastAsia="新宋体" w:cs="宋体"/>
          <w:sz w:val="22"/>
          <w:szCs w:val="22"/>
        </w:rPr>
        <w:t>甲方：</w:t>
      </w:r>
      <w:r>
        <w:rPr>
          <w:rFonts w:hint="eastAsia" w:ascii="新宋体" w:hAnsi="新宋体" w:eastAsia="新宋体" w:cs="宋体"/>
          <w:sz w:val="22"/>
          <w:szCs w:val="22"/>
          <w:u w:val="single"/>
        </w:rPr>
        <w:t xml:space="preserve">                    </w:t>
      </w:r>
    </w:p>
    <w:p>
      <w:pPr>
        <w:autoSpaceDE w:val="0"/>
        <w:autoSpaceDN w:val="0"/>
        <w:adjustRightInd w:val="0"/>
        <w:snapToGrid w:val="0"/>
        <w:spacing w:after="240" w:afterLines="100" w:line="540" w:lineRule="exact"/>
        <w:rPr>
          <w:rFonts w:hint="eastAsia" w:ascii="新宋体" w:hAnsi="新宋体" w:eastAsia="新宋体"/>
          <w:sz w:val="22"/>
          <w:szCs w:val="22"/>
        </w:rPr>
      </w:pPr>
      <w:r>
        <w:rPr>
          <w:rFonts w:hint="eastAsia" w:ascii="新宋体" w:hAnsi="新宋体" w:eastAsia="新宋体" w:cs="宋体"/>
          <w:sz w:val="22"/>
          <w:szCs w:val="22"/>
        </w:rPr>
        <w:t>乙方：</w:t>
      </w:r>
      <w:r>
        <w:rPr>
          <w:rFonts w:hint="eastAsia" w:ascii="新宋体" w:hAnsi="新宋体" w:eastAsia="新宋体" w:cs="宋体"/>
          <w:sz w:val="22"/>
          <w:szCs w:val="22"/>
          <w:u w:val="single"/>
        </w:rPr>
        <w:t xml:space="preserve">                     </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为切实保障网络和信息安全保密，根据《中华人民共和国保守国家秘密法》和有关法律、法规之规定，为确保甲方所涉及的国家秘密和**工作秘密的网络与信息安全，双方同意签订如下保密协议：</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一、保密范围</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1、乙方为甲方提供技术咨询、技术服务、系统建设而了解、掌握的甲方信息网络系统的拓扑结构、安全保密措施、各项参数等，以及甲方场地环境、硬件、软件、电子信息和所有资料内容（以上简称专有信息）。</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二、保密责任</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2、乙方须确定项目开发与维护的专门人员，并将有关人员情况报甲方备案并须通过甲方审查和书面确认。其中，对涉密数据加载运行后承担系统维护的人员，甲乙双方须按照各自职责进行更为严格的审查。</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3、乙方须在签订本保密协议后，才可使用甲方提供的有关专有信息开展相关工作。</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4、乙方须与参加项目的有关人员签订《保密协议》，经常对有关人员进行保密教育，监督个人履约情况；未经甲方书面确认，乙方不得随意增减、更换有关技术人员。</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6、建设涉密信息系统，乙方须具有国家保密工作部门核发的《资质证书》，制定甲方认可的安全保密管理方案，并采用适当的安全保密技术和措施对涉密系统进行集成。</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7、对项目实施过程中乙方出现的不符合保密规定的问题，甲方有责任及时指出，并督促乙方纠正。</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9、当甲方以书面形式要求乙方交回专有信息时，乙方应当立即交回所有书面的或其他形式的专有信息以及所有描述和概括该专有信息的文件资料，不能以任何形式保留或擅自处理。</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11、乙方不得在任何场合介绍和演示甲方产品项目的任何信息。</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三、违约责任</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四、保密期限</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13、本协议双方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pPr>
        <w:autoSpaceDE w:val="0"/>
        <w:autoSpaceDN w:val="0"/>
        <w:adjustRightInd w:val="0"/>
        <w:snapToGrid w:val="0"/>
        <w:spacing w:line="540" w:lineRule="exact"/>
        <w:ind w:firstLine="440" w:firstLineChars="200"/>
        <w:rPr>
          <w:rFonts w:hint="eastAsia" w:ascii="新宋体" w:hAnsi="新宋体" w:eastAsia="新宋体"/>
          <w:sz w:val="22"/>
          <w:szCs w:val="22"/>
        </w:rPr>
      </w:pPr>
      <w:r>
        <w:rPr>
          <w:rFonts w:hint="eastAsia" w:ascii="新宋体" w:hAnsi="新宋体" w:eastAsia="新宋体" w:cs="宋体"/>
          <w:sz w:val="22"/>
          <w:szCs w:val="22"/>
        </w:rPr>
        <w:t>五、附则</w:t>
      </w:r>
    </w:p>
    <w:p>
      <w:pPr>
        <w:spacing w:line="540" w:lineRule="exact"/>
        <w:rPr>
          <w:rFonts w:hint="eastAsia" w:ascii="新宋体" w:hAnsi="新宋体" w:eastAsia="新宋体"/>
          <w:sz w:val="22"/>
          <w:szCs w:val="22"/>
        </w:rPr>
      </w:pPr>
      <w:r>
        <w:rPr>
          <w:rFonts w:hint="eastAsia" w:ascii="新宋体" w:hAnsi="新宋体" w:eastAsia="新宋体" w:cs="宋体"/>
          <w:sz w:val="22"/>
          <w:szCs w:val="22"/>
        </w:rPr>
        <w:t>14、本协议是合同有效组成部分。</w:t>
      </w: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p>
      <w:pPr>
        <w:spacing w:before="120" w:beforeLines="50" w:after="120" w:afterLines="50"/>
        <w:rPr>
          <w:rFonts w:hint="eastAsia"/>
          <w:sz w:val="22"/>
          <w:szCs w:val="22"/>
        </w:rPr>
      </w:pPr>
    </w:p>
    <w:p>
      <w:pPr>
        <w:pStyle w:val="2"/>
        <w:ind w:firstLine="321"/>
        <w:rPr>
          <w:rFonts w:hint="eastAsia"/>
        </w:rPr>
      </w:pPr>
    </w:p>
    <w:p>
      <w:pPr>
        <w:spacing w:before="120" w:beforeLines="50" w:after="120" w:afterLines="50"/>
        <w:rPr>
          <w:rFonts w:hint="eastAsia"/>
          <w:sz w:val="22"/>
          <w:szCs w:val="22"/>
        </w:rPr>
      </w:pPr>
      <w:r>
        <w:rPr>
          <w:rFonts w:hint="eastAsia"/>
          <w:sz w:val="22"/>
          <w:szCs w:val="22"/>
        </w:rPr>
        <w:t>（资格审查资料封面，供参考）</w:t>
      </w:r>
    </w:p>
    <w:p>
      <w:pPr>
        <w:pStyle w:val="601"/>
        <w:keepNext/>
        <w:keepLines/>
        <w:shd w:val="clear" w:color="auto" w:fill="auto"/>
        <w:ind w:left="140"/>
        <w:jc w:val="left"/>
        <w:rPr>
          <w:rFonts w:hint="eastAsia" w:ascii="新宋体" w:hAnsi="新宋体" w:eastAsia="新宋体" w:cs="新宋体"/>
          <w:bCs w:val="0"/>
          <w:sz w:val="22"/>
          <w:szCs w:val="22"/>
        </w:rPr>
      </w:pPr>
    </w:p>
    <w:p>
      <w:pPr>
        <w:pStyle w:val="601"/>
        <w:keepNext/>
        <w:keepLines/>
        <w:shd w:val="clear" w:color="auto" w:fill="auto"/>
        <w:ind w:left="140"/>
        <w:jc w:val="left"/>
        <w:rPr>
          <w:rFonts w:hint="eastAsia" w:ascii="新宋体" w:hAnsi="新宋体" w:eastAsia="新宋体" w:cs="新宋体"/>
          <w:sz w:val="22"/>
          <w:szCs w:val="22"/>
        </w:rPr>
      </w:pPr>
    </w:p>
    <w:p>
      <w:pPr>
        <w:pStyle w:val="2"/>
        <w:ind w:firstLine="0" w:firstLineChars="0"/>
        <w:rPr>
          <w:rFonts w:hint="eastAsia" w:ascii="新宋体" w:hAnsi="新宋体" w:eastAsia="新宋体" w:cs="新宋体"/>
          <w:sz w:val="10"/>
          <w:szCs w:val="10"/>
        </w:rPr>
      </w:pPr>
      <w:bookmarkStart w:id="127" w:name="_Toc21106"/>
      <w:bookmarkStart w:id="128" w:name="_Toc29422"/>
      <w:bookmarkStart w:id="129" w:name="_Toc34572038"/>
      <w:bookmarkStart w:id="130" w:name="_Toc5314"/>
    </w:p>
    <w:p>
      <w:pPr>
        <w:pStyle w:val="2"/>
        <w:ind w:firstLine="100"/>
        <w:rPr>
          <w:rFonts w:hint="eastAsia" w:ascii="新宋体" w:hAnsi="新宋体" w:eastAsia="新宋体" w:cs="新宋体"/>
          <w:sz w:val="10"/>
          <w:szCs w:val="10"/>
        </w:rPr>
      </w:pPr>
    </w:p>
    <w:p>
      <w:pPr>
        <w:pStyle w:val="2"/>
        <w:ind w:firstLine="100"/>
        <w:rPr>
          <w:rFonts w:hint="eastAsia" w:ascii="新宋体" w:hAnsi="新宋体" w:eastAsia="新宋体" w:cs="新宋体"/>
          <w:sz w:val="10"/>
          <w:szCs w:val="10"/>
        </w:rPr>
      </w:pPr>
    </w:p>
    <w:p>
      <w:pPr>
        <w:pStyle w:val="2"/>
        <w:ind w:firstLine="100"/>
        <w:rPr>
          <w:rFonts w:hint="eastAsia" w:ascii="新宋体" w:hAnsi="新宋体" w:eastAsia="新宋体" w:cs="新宋体"/>
          <w:sz w:val="10"/>
          <w:szCs w:val="10"/>
        </w:rPr>
      </w:pPr>
    </w:p>
    <w:p>
      <w:pPr>
        <w:pStyle w:val="2"/>
        <w:ind w:firstLine="100"/>
        <w:rPr>
          <w:rFonts w:hint="eastAsia" w:ascii="新宋体" w:hAnsi="新宋体" w:eastAsia="新宋体" w:cs="新宋体"/>
          <w:sz w:val="10"/>
          <w:szCs w:val="10"/>
        </w:rPr>
      </w:pPr>
    </w:p>
    <w:p>
      <w:pPr>
        <w:pStyle w:val="5"/>
        <w:rPr>
          <w:rFonts w:hint="eastAsia" w:ascii="新宋体" w:hAnsi="新宋体" w:eastAsia="新宋体" w:cs="新宋体"/>
          <w:bCs w:val="0"/>
          <w:sz w:val="36"/>
          <w:szCs w:val="36"/>
        </w:rPr>
      </w:pPr>
      <w:r>
        <w:rPr>
          <w:rFonts w:hint="eastAsia" w:ascii="新宋体" w:hAnsi="新宋体" w:eastAsia="新宋体" w:cs="新宋体"/>
          <w:bCs w:val="0"/>
          <w:sz w:val="36"/>
          <w:szCs w:val="36"/>
        </w:rPr>
        <w:t>第四部分   投标文件格式</w:t>
      </w:r>
      <w:bookmarkEnd w:id="127"/>
      <w:bookmarkEnd w:id="128"/>
      <w:bookmarkEnd w:id="129"/>
      <w:bookmarkEnd w:id="130"/>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（项目名称）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投标文件</w:t>
      </w: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2"/>
        <w:ind w:firstLine="281"/>
        <w:rPr>
          <w:rFonts w:hint="eastAsia" w:ascii="新宋体" w:hAnsi="新宋体" w:eastAsia="新宋体" w:cs="新宋体"/>
          <w:sz w:val="28"/>
          <w:szCs w:val="28"/>
        </w:rPr>
      </w:pPr>
    </w:p>
    <w:p>
      <w:pPr>
        <w:pStyle w:val="2"/>
        <w:ind w:firstLine="281"/>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jc w:val="center"/>
        <w:rPr>
          <w:rFonts w:hint="eastAsia" w:ascii="新宋体" w:hAnsi="新宋体" w:eastAsia="新宋体" w:cs="新宋体"/>
          <w:sz w:val="52"/>
          <w:szCs w:val="52"/>
        </w:rPr>
      </w:pPr>
      <w:r>
        <w:rPr>
          <w:rFonts w:hint="eastAsia" w:ascii="新宋体" w:hAnsi="新宋体" w:eastAsia="新宋体" w:cs="新宋体"/>
          <w:sz w:val="52"/>
          <w:szCs w:val="52"/>
        </w:rPr>
        <w:t>资格审查资料</w:t>
      </w: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投标人：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（加盖公章）</w:t>
      </w:r>
    </w:p>
    <w:p>
      <w:pPr>
        <w:rPr>
          <w:rFonts w:hint="eastAsia" w:ascii="新宋体" w:hAnsi="新宋体" w:eastAsia="新宋体" w:cs="新宋体"/>
          <w:sz w:val="28"/>
          <w:szCs w:val="28"/>
          <w:u w:val="single"/>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法定代表人或其委托代理人：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（签字或盖章）</w:t>
      </w:r>
    </w:p>
    <w:p>
      <w:pPr>
        <w:rPr>
          <w:rFonts w:hint="eastAsia" w:ascii="新宋体" w:hAnsi="新宋体" w:eastAsia="新宋体" w:cs="新宋体"/>
          <w:sz w:val="28"/>
          <w:szCs w:val="28"/>
        </w:rPr>
      </w:pPr>
    </w:p>
    <w:p>
      <w:pPr>
        <w:overflowPunct w:val="0"/>
        <w:spacing w:line="380" w:lineRule="exact"/>
        <w:ind w:firstLine="2738" w:firstLineChars="978"/>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日</w:t>
      </w:r>
    </w:p>
    <w:p>
      <w:pPr>
        <w:spacing w:line="460" w:lineRule="exact"/>
        <w:jc w:val="center"/>
        <w:rPr>
          <w:rFonts w:hint="eastAsia" w:ascii="宋体" w:hAnsi="宋体"/>
          <w:sz w:val="22"/>
          <w:szCs w:val="22"/>
        </w:rPr>
      </w:pPr>
      <w:r>
        <w:rPr>
          <w:rFonts w:hint="eastAsia" w:ascii="宋体" w:hAnsi="宋体"/>
          <w:sz w:val="22"/>
          <w:szCs w:val="22"/>
        </w:rPr>
        <w:br w:type="page"/>
      </w:r>
    </w:p>
    <w:p>
      <w:pPr>
        <w:jc w:val="center"/>
        <w:rPr>
          <w:rFonts w:hint="eastAsia" w:ascii="新宋体" w:hAnsi="新宋体" w:eastAsia="新宋体" w:cs="新宋体"/>
          <w:b/>
          <w:bCs/>
          <w:sz w:val="52"/>
          <w:szCs w:val="52"/>
        </w:rPr>
      </w:pPr>
      <w:bookmarkStart w:id="131" w:name="_Toc465107614"/>
      <w:bookmarkStart w:id="132" w:name="_Toc504034734"/>
      <w:r>
        <w:rPr>
          <w:rFonts w:hint="eastAsia" w:ascii="新宋体" w:hAnsi="新宋体" w:eastAsia="新宋体" w:cs="新宋体"/>
          <w:b/>
          <w:bCs/>
          <w:sz w:val="52"/>
          <w:szCs w:val="52"/>
        </w:rPr>
        <w:t>目    录</w:t>
      </w:r>
    </w:p>
    <w:p>
      <w:pPr>
        <w:numPr>
          <w:ilvl w:val="0"/>
          <w:numId w:val="20"/>
        </w:numPr>
        <w:spacing w:before="120" w:beforeLines="50" w:after="120" w:afterLines="50" w:line="480" w:lineRule="auto"/>
        <w:rPr>
          <w:rFonts w:hint="eastAsia"/>
          <w:sz w:val="22"/>
          <w:szCs w:val="22"/>
        </w:rPr>
      </w:pPr>
      <w:r>
        <w:rPr>
          <w:rFonts w:hint="eastAsia"/>
          <w:sz w:val="22"/>
          <w:szCs w:val="22"/>
        </w:rPr>
        <w:t>法定代表人声明书或法定代表人授权书</w:t>
      </w:r>
    </w:p>
    <w:p>
      <w:pPr>
        <w:numPr>
          <w:ilvl w:val="0"/>
          <w:numId w:val="20"/>
        </w:numPr>
        <w:spacing w:before="120" w:beforeLines="50" w:after="120" w:afterLines="50" w:line="480" w:lineRule="auto"/>
        <w:rPr>
          <w:rFonts w:hint="eastAsia"/>
          <w:sz w:val="22"/>
          <w:szCs w:val="22"/>
        </w:rPr>
      </w:pPr>
      <w:r>
        <w:rPr>
          <w:rFonts w:hint="eastAsia"/>
          <w:sz w:val="22"/>
          <w:szCs w:val="22"/>
        </w:rPr>
        <w:t>营业执照（或事业法人登记证书或其它工商等登记证明材料）。</w:t>
      </w:r>
    </w:p>
    <w:p>
      <w:pPr>
        <w:numPr>
          <w:ilvl w:val="0"/>
          <w:numId w:val="20"/>
        </w:numPr>
        <w:spacing w:before="120" w:beforeLines="50" w:after="120" w:afterLines="50" w:line="480" w:lineRule="auto"/>
        <w:rPr>
          <w:rFonts w:hint="eastAsia"/>
          <w:sz w:val="22"/>
          <w:szCs w:val="22"/>
        </w:rPr>
      </w:pPr>
      <w:r>
        <w:rPr>
          <w:rFonts w:hint="eastAsia" w:ascii="新宋体" w:hAnsi="新宋体" w:eastAsia="新宋体" w:cs="楷体"/>
          <w:kern w:val="0"/>
          <w:sz w:val="22"/>
          <w:szCs w:val="22"/>
        </w:rPr>
        <w:t>供应商参与政府采购活动投标资格声明函</w:t>
      </w:r>
      <w:r>
        <w:rPr>
          <w:rFonts w:hint="eastAsia"/>
          <w:sz w:val="22"/>
          <w:szCs w:val="22"/>
        </w:rPr>
        <w:t>。</w:t>
      </w:r>
    </w:p>
    <w:p>
      <w:pPr>
        <w:numPr>
          <w:ilvl w:val="0"/>
          <w:numId w:val="20"/>
        </w:numPr>
        <w:spacing w:before="120" w:beforeLines="50" w:after="120" w:afterLines="50" w:line="480" w:lineRule="auto"/>
        <w:rPr>
          <w:rFonts w:hint="eastAsia"/>
          <w:sz w:val="22"/>
          <w:szCs w:val="22"/>
        </w:rPr>
      </w:pPr>
      <w:r>
        <w:rPr>
          <w:rFonts w:hint="eastAsia" w:ascii="新宋体" w:hAnsi="新宋体" w:eastAsia="新宋体" w:cs="楷体"/>
          <w:kern w:val="0"/>
          <w:sz w:val="22"/>
          <w:szCs w:val="22"/>
        </w:rPr>
        <w:t>法定代表人诚信投标承诺书</w:t>
      </w:r>
      <w:r>
        <w:rPr>
          <w:rFonts w:hint="eastAsia"/>
          <w:sz w:val="22"/>
          <w:szCs w:val="22"/>
        </w:rPr>
        <w:t>。</w:t>
      </w:r>
    </w:p>
    <w:p>
      <w:pPr>
        <w:pStyle w:val="3"/>
        <w:spacing w:line="480" w:lineRule="auto"/>
        <w:ind w:firstLine="420" w:firstLineChars="200"/>
        <w:rPr>
          <w:rFonts w:hint="eastAsia"/>
          <w:kern w:val="0"/>
        </w:rPr>
      </w:pPr>
      <w:r>
        <w:rPr>
          <w:rFonts w:hint="eastAsia"/>
          <w:kern w:val="0"/>
        </w:rPr>
        <w:t>五、</w:t>
      </w:r>
      <w:r>
        <w:rPr>
          <w:rFonts w:hint="eastAsia" w:ascii="新宋体" w:hAnsi="新宋体" w:eastAsia="新宋体" w:cs="楷体"/>
          <w:kern w:val="0"/>
          <w:sz w:val="22"/>
          <w:szCs w:val="22"/>
        </w:rPr>
        <w:t>至本项目投标截止时间内任意时间的“信用中国（https://www.creditchina.gov.cn/）”、“中国政府采购网（http://www.ccgp.gov.cn/）”投标人信用查询网页截图（以开标当日采购人或采购代理机构网页查询结果为准）。</w:t>
      </w:r>
    </w:p>
    <w:p>
      <w:pPr>
        <w:pStyle w:val="2"/>
        <w:spacing w:line="480" w:lineRule="auto"/>
        <w:ind w:firstLine="315" w:firstLineChars="150"/>
        <w:rPr>
          <w:rFonts w:hint="eastAsia" w:ascii="新宋体" w:hAnsi="新宋体" w:eastAsia="新宋体" w:cs="楷体"/>
          <w:b w:val="0"/>
          <w:sz w:val="22"/>
          <w:szCs w:val="22"/>
        </w:rPr>
      </w:pPr>
      <w:r>
        <w:rPr>
          <w:rFonts w:hint="eastAsia" w:ascii="Tahoma" w:hAnsi="Tahoma"/>
          <w:b w:val="0"/>
          <w:sz w:val="21"/>
          <w:szCs w:val="24"/>
        </w:rPr>
        <w:t>六、</w:t>
      </w:r>
      <w:r>
        <w:rPr>
          <w:rFonts w:ascii="新宋体" w:hAnsi="新宋体" w:eastAsia="新宋体" w:cs="楷体"/>
          <w:b w:val="0"/>
          <w:sz w:val="22"/>
          <w:szCs w:val="22"/>
        </w:rPr>
        <w:t>特定资格条件</w:t>
      </w:r>
      <w:r>
        <w:rPr>
          <w:rFonts w:hint="eastAsia" w:ascii="新宋体" w:hAnsi="新宋体" w:eastAsia="新宋体" w:cs="楷体"/>
          <w:b w:val="0"/>
          <w:sz w:val="22"/>
          <w:szCs w:val="22"/>
        </w:rPr>
        <w:t>：无</w:t>
      </w:r>
      <w:r>
        <w:rPr>
          <w:rFonts w:hint="eastAsia" w:cs="新宋体"/>
        </w:rPr>
        <w:br w:type="page"/>
      </w:r>
    </w:p>
    <w:p>
      <w:pPr>
        <w:widowControl/>
        <w:adjustRightInd w:val="0"/>
        <w:snapToGrid w:val="0"/>
        <w:spacing w:line="360" w:lineRule="auto"/>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（1-1）法定代表人声明书</w:t>
      </w:r>
    </w:p>
    <w:p>
      <w:pPr>
        <w:spacing w:line="420" w:lineRule="exact"/>
        <w:rPr>
          <w:rFonts w:hint="eastAsia" w:ascii="新宋体" w:hAnsi="新宋体" w:eastAsia="新宋体"/>
          <w:b/>
          <w:sz w:val="22"/>
          <w:szCs w:val="22"/>
        </w:rPr>
      </w:pPr>
    </w:p>
    <w:p>
      <w:pPr>
        <w:spacing w:line="360" w:lineRule="exact"/>
        <w:rPr>
          <w:rFonts w:hint="eastAsia" w:ascii="宋体"/>
          <w:sz w:val="22"/>
        </w:rPr>
      </w:pPr>
      <w:r>
        <w:rPr>
          <w:rFonts w:hint="eastAsia" w:ascii="宋体"/>
          <w:sz w:val="22"/>
          <w:u w:val="single"/>
        </w:rPr>
        <w:t>（采购人名称）</w:t>
      </w:r>
      <w:r>
        <w:rPr>
          <w:rFonts w:hint="eastAsia" w:ascii="宋体"/>
          <w:sz w:val="22"/>
          <w:lang w:val="zh-CN"/>
        </w:rPr>
        <w:t>：</w:t>
      </w:r>
    </w:p>
    <w:p>
      <w:pPr>
        <w:spacing w:line="460" w:lineRule="exact"/>
        <w:ind w:firstLine="211" w:firstLineChars="100"/>
        <w:rPr>
          <w:rFonts w:hint="eastAsia" w:ascii="新宋体" w:hAnsi="新宋体" w:eastAsia="新宋体" w:cs="新宋体"/>
          <w:b/>
        </w:rPr>
      </w:pPr>
    </w:p>
    <w:p>
      <w:pPr>
        <w:spacing w:line="460" w:lineRule="exact"/>
        <w:ind w:firstLine="330" w:firstLineChars="150"/>
        <w:rPr>
          <w:rFonts w:ascii="宋体" w:hAnsi="宋体"/>
          <w:sz w:val="22"/>
          <w:szCs w:val="22"/>
        </w:rPr>
      </w:pPr>
      <w:r>
        <w:rPr>
          <w:rFonts w:hint="eastAsia" w:ascii="宋体" w:hAnsi="宋体"/>
          <w:sz w:val="22"/>
          <w:szCs w:val="22"/>
        </w:rPr>
        <w:t>本人</w:t>
      </w:r>
      <w:r>
        <w:rPr>
          <w:rFonts w:hint="eastAsia" w:ascii="宋体" w:hAnsi="宋体"/>
          <w:sz w:val="22"/>
          <w:szCs w:val="22"/>
          <w:u w:val="single"/>
        </w:rPr>
        <w:t>（法定代表人姓名）</w:t>
      </w:r>
      <w:r>
        <w:rPr>
          <w:rFonts w:hint="eastAsia" w:ascii="宋体" w:hAnsi="宋体"/>
          <w:sz w:val="22"/>
          <w:szCs w:val="22"/>
        </w:rPr>
        <w:t>为</w:t>
      </w:r>
      <w:r>
        <w:rPr>
          <w:rFonts w:hint="eastAsia" w:ascii="宋体" w:hAnsi="宋体"/>
          <w:sz w:val="22"/>
          <w:szCs w:val="22"/>
          <w:u w:val="single"/>
        </w:rPr>
        <w:t>（投标人全称）</w:t>
      </w:r>
      <w:r>
        <w:rPr>
          <w:rFonts w:hint="eastAsia" w:ascii="宋体" w:hAnsi="宋体"/>
          <w:sz w:val="22"/>
          <w:szCs w:val="22"/>
        </w:rPr>
        <w:t>的法定代表人。我公司参加贵处组织的</w:t>
      </w:r>
      <w:r>
        <w:rPr>
          <w:rFonts w:hint="eastAsia" w:ascii="宋体" w:hAnsi="宋体"/>
          <w:sz w:val="22"/>
          <w:szCs w:val="22"/>
          <w:u w:val="single"/>
        </w:rPr>
        <w:t>（招标项目名称、项目编号）</w:t>
      </w:r>
      <w:r>
        <w:rPr>
          <w:rFonts w:hint="eastAsia" w:ascii="宋体" w:hAnsi="宋体"/>
          <w:sz w:val="22"/>
          <w:szCs w:val="22"/>
        </w:rPr>
        <w:t>的招标活动，由我本人全权代表我方处理招标活动中的一切事宜。联系方式如下：</w:t>
      </w:r>
      <w:r>
        <w:rPr>
          <w:rFonts w:hint="eastAsia" w:ascii="宋体" w:hAnsi="宋体"/>
          <w:sz w:val="22"/>
          <w:szCs w:val="22"/>
          <w:u w:val="single"/>
        </w:rPr>
        <w:t xml:space="preserve">手机号码：       联系邮箱:         详细通讯地址：             </w:t>
      </w:r>
      <w:r>
        <w:rPr>
          <w:rFonts w:hint="eastAsia" w:ascii="宋体" w:hAnsi="宋体"/>
          <w:sz w:val="22"/>
          <w:szCs w:val="22"/>
        </w:rPr>
        <w:t xml:space="preserve"> 。  </w:t>
      </w:r>
    </w:p>
    <w:p>
      <w:pPr>
        <w:spacing w:line="400" w:lineRule="exact"/>
        <w:rPr>
          <w:rFonts w:ascii="宋体" w:hAnsi="宋体"/>
        </w:rPr>
      </w:pPr>
    </w:p>
    <w:p>
      <w:pPr>
        <w:spacing w:line="460" w:lineRule="exact"/>
        <w:ind w:firstLine="3971" w:firstLineChars="1805"/>
        <w:rPr>
          <w:rFonts w:ascii="宋体" w:hAnsi="宋体"/>
          <w:sz w:val="22"/>
          <w:szCs w:val="22"/>
        </w:rPr>
      </w:pPr>
    </w:p>
    <w:p>
      <w:pPr>
        <w:spacing w:line="460" w:lineRule="exact"/>
        <w:ind w:firstLine="2955"/>
        <w:rPr>
          <w:rFonts w:ascii="宋体" w:hAnsi="宋体"/>
          <w:sz w:val="22"/>
          <w:szCs w:val="22"/>
        </w:rPr>
      </w:pPr>
      <w:r>
        <w:rPr>
          <w:rFonts w:hint="eastAsia" w:ascii="宋体" w:hAnsi="宋体"/>
          <w:sz w:val="22"/>
          <w:szCs w:val="22"/>
        </w:rPr>
        <w:t xml:space="preserve">         投标人全称（公章）：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before="120" w:beforeLines="50" w:after="120" w:line="480" w:lineRule="auto"/>
        <w:ind w:firstLine="221" w:firstLineChars="100"/>
        <w:rPr>
          <w:rFonts w:hint="eastAsia"/>
          <w:sz w:val="22"/>
          <w:szCs w:val="22"/>
        </w:rPr>
      </w:pPr>
      <w:r>
        <w:rPr>
          <w:rFonts w:hint="eastAsia" w:ascii="宋体" w:hAnsi="宋体" w:cs="Courier New"/>
          <w:b/>
          <w:sz w:val="22"/>
          <w:szCs w:val="22"/>
        </w:rPr>
        <w:t>备注：附</w:t>
      </w:r>
      <w:r>
        <w:rPr>
          <w:rFonts w:hint="eastAsia" w:ascii="宋体" w:hAnsi="宋体"/>
          <w:b/>
          <w:sz w:val="22"/>
          <w:szCs w:val="22"/>
        </w:rPr>
        <w:t>法定代表人</w:t>
      </w:r>
      <w:r>
        <w:rPr>
          <w:rFonts w:ascii="宋体" w:hAnsi="宋体" w:cs="Courier New"/>
          <w:b/>
          <w:sz w:val="22"/>
          <w:szCs w:val="22"/>
        </w:rPr>
        <w:t>身份证正反面复印件</w:t>
      </w:r>
    </w:p>
    <w:p>
      <w:pPr>
        <w:widowControl/>
        <w:adjustRightInd w:val="0"/>
        <w:snapToGrid w:val="0"/>
        <w:spacing w:line="360" w:lineRule="auto"/>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（1-2）法定代表人授权书</w:t>
      </w:r>
    </w:p>
    <w:p>
      <w:pPr>
        <w:spacing w:line="420" w:lineRule="exact"/>
        <w:rPr>
          <w:rFonts w:hint="eastAsia" w:ascii="新宋体" w:hAnsi="新宋体" w:eastAsia="新宋体"/>
          <w:b/>
          <w:sz w:val="22"/>
          <w:szCs w:val="22"/>
        </w:rPr>
      </w:pPr>
    </w:p>
    <w:p>
      <w:pPr>
        <w:spacing w:line="360" w:lineRule="exact"/>
        <w:rPr>
          <w:rFonts w:hint="eastAsia" w:ascii="宋体"/>
          <w:sz w:val="22"/>
        </w:rPr>
      </w:pPr>
      <w:r>
        <w:rPr>
          <w:rFonts w:hint="eastAsia" w:ascii="宋体"/>
          <w:sz w:val="22"/>
          <w:u w:val="single"/>
        </w:rPr>
        <w:t>（采购人名称）</w:t>
      </w:r>
      <w:r>
        <w:rPr>
          <w:rFonts w:hint="eastAsia" w:ascii="宋体"/>
          <w:sz w:val="22"/>
          <w:lang w:val="zh-CN"/>
        </w:rPr>
        <w:t>：</w:t>
      </w:r>
    </w:p>
    <w:p>
      <w:pPr>
        <w:snapToGrid w:val="0"/>
        <w:spacing w:line="580" w:lineRule="atLeast"/>
        <w:ind w:firstLine="440" w:firstLineChars="200"/>
        <w:rPr>
          <w:rFonts w:hint="eastAsia" w:ascii="宋体"/>
          <w:sz w:val="22"/>
          <w:szCs w:val="22"/>
        </w:rPr>
      </w:pPr>
      <w:r>
        <w:rPr>
          <w:rFonts w:hint="eastAsia"/>
          <w:sz w:val="22"/>
          <w:szCs w:val="22"/>
        </w:rPr>
        <w:t>本授权委托书声明</w:t>
      </w:r>
      <w:r>
        <w:rPr>
          <w:rFonts w:hint="eastAsia" w:ascii="宋体"/>
          <w:sz w:val="22"/>
          <w:szCs w:val="22"/>
        </w:rPr>
        <w:t>：我</w:t>
      </w:r>
      <w:r>
        <w:rPr>
          <w:rFonts w:hint="eastAsia" w:ascii="宋体"/>
          <w:sz w:val="22"/>
          <w:szCs w:val="22"/>
          <w:u w:val="single"/>
        </w:rPr>
        <w:t xml:space="preserve">   （法定代表人姓名）   </w:t>
      </w:r>
      <w:r>
        <w:rPr>
          <w:rFonts w:hint="eastAsia" w:ascii="宋体"/>
          <w:sz w:val="22"/>
          <w:szCs w:val="22"/>
        </w:rPr>
        <w:t>系</w:t>
      </w:r>
      <w:r>
        <w:rPr>
          <w:rFonts w:hint="eastAsia" w:ascii="宋体"/>
          <w:sz w:val="22"/>
          <w:szCs w:val="22"/>
          <w:u w:val="single"/>
        </w:rPr>
        <w:t xml:space="preserve">   （供 应 商 名 称）  </w:t>
      </w:r>
      <w:r>
        <w:rPr>
          <w:rFonts w:hint="eastAsia" w:ascii="宋体"/>
          <w:sz w:val="22"/>
          <w:szCs w:val="22"/>
        </w:rPr>
        <w:t>的法定代表人，现授权委托</w:t>
      </w:r>
      <w:r>
        <w:rPr>
          <w:rFonts w:hint="eastAsia" w:ascii="宋体"/>
          <w:sz w:val="22"/>
          <w:szCs w:val="22"/>
          <w:u w:val="single"/>
        </w:rPr>
        <w:t xml:space="preserve">  （单 位 名 称）   </w:t>
      </w:r>
      <w:r>
        <w:rPr>
          <w:rFonts w:hint="eastAsia" w:ascii="宋体"/>
          <w:sz w:val="22"/>
          <w:szCs w:val="22"/>
        </w:rPr>
        <w:t>的</w:t>
      </w:r>
      <w:r>
        <w:rPr>
          <w:rFonts w:hint="eastAsia" w:ascii="宋体"/>
          <w:sz w:val="22"/>
          <w:szCs w:val="22"/>
          <w:u w:val="single"/>
        </w:rPr>
        <w:t xml:space="preserve">  （授权代表姓名）  </w:t>
      </w:r>
      <w:r>
        <w:rPr>
          <w:rFonts w:hint="eastAsia" w:ascii="宋体"/>
          <w:sz w:val="22"/>
          <w:szCs w:val="22"/>
        </w:rPr>
        <w:t>为我公司法定代表人授权代表，参加贵处组织的</w:t>
      </w:r>
      <w:r>
        <w:rPr>
          <w:rFonts w:hint="eastAsia" w:ascii="宋体"/>
          <w:sz w:val="22"/>
          <w:szCs w:val="22"/>
          <w:u w:val="single"/>
        </w:rPr>
        <w:t xml:space="preserve">  （招标项目名称，括号中填写项目编号）  </w:t>
      </w:r>
      <w:r>
        <w:rPr>
          <w:rFonts w:hint="eastAsia" w:ascii="宋体"/>
          <w:sz w:val="22"/>
          <w:szCs w:val="22"/>
        </w:rPr>
        <w:t>项目投标，全权处理本次招投标活动中的一切事宜，我承认授权代表全权代表我所签署的本项目的投标文件的内容。</w:t>
      </w:r>
    </w:p>
    <w:p>
      <w:pPr>
        <w:spacing w:line="360" w:lineRule="exact"/>
        <w:ind w:firstLine="440" w:firstLineChars="200"/>
        <w:rPr>
          <w:rFonts w:hint="eastAsia" w:ascii="宋体"/>
          <w:sz w:val="22"/>
          <w:szCs w:val="22"/>
        </w:rPr>
      </w:pPr>
    </w:p>
    <w:p>
      <w:pPr>
        <w:spacing w:line="360" w:lineRule="exact"/>
        <w:ind w:firstLine="440" w:firstLineChars="200"/>
        <w:rPr>
          <w:rFonts w:hint="eastAsia" w:ascii="宋体"/>
          <w:sz w:val="22"/>
        </w:rPr>
      </w:pPr>
      <w:r>
        <w:rPr>
          <w:rFonts w:hint="eastAsia" w:ascii="宋体"/>
          <w:sz w:val="22"/>
          <w:szCs w:val="22"/>
        </w:rPr>
        <w:t>授权代表无转授权，特此授权。</w:t>
      </w:r>
    </w:p>
    <w:p>
      <w:pPr>
        <w:spacing w:line="360" w:lineRule="exact"/>
        <w:rPr>
          <w:rFonts w:hint="eastAsia" w:ascii="宋体"/>
          <w:sz w:val="22"/>
        </w:rPr>
      </w:pPr>
      <w:r>
        <w:rPr>
          <w:rFonts w:hint="eastAsia" w:ascii="宋体"/>
          <w:sz w:val="22"/>
        </w:rPr>
        <w:t xml:space="preserve">    </w:t>
      </w:r>
    </w:p>
    <w:p>
      <w:pPr>
        <w:spacing w:line="460" w:lineRule="exact"/>
        <w:rPr>
          <w:rFonts w:ascii="宋体" w:hAnsi="宋体"/>
          <w:sz w:val="22"/>
          <w:szCs w:val="22"/>
        </w:rPr>
      </w:pPr>
      <w:r>
        <w:rPr>
          <w:rFonts w:hint="eastAsia" w:ascii="宋体" w:hAnsi="宋体" w:cs="Courier New"/>
          <w:b/>
          <w:sz w:val="22"/>
          <w:szCs w:val="22"/>
        </w:rPr>
        <w:t>备注：附</w:t>
      </w:r>
      <w:r>
        <w:rPr>
          <w:rFonts w:hint="eastAsia" w:ascii="宋体" w:hAnsi="宋体"/>
          <w:b/>
          <w:sz w:val="22"/>
          <w:szCs w:val="22"/>
        </w:rPr>
        <w:t>法定代表人及授权代表的</w:t>
      </w:r>
      <w:r>
        <w:rPr>
          <w:rFonts w:ascii="宋体" w:hAnsi="宋体" w:cs="Courier New"/>
          <w:b/>
          <w:sz w:val="22"/>
          <w:szCs w:val="22"/>
        </w:rPr>
        <w:t>身份证</w:t>
      </w:r>
      <w:r>
        <w:rPr>
          <w:rFonts w:hint="eastAsia" w:ascii="宋体" w:hAnsi="宋体"/>
          <w:b/>
          <w:sz w:val="22"/>
          <w:szCs w:val="22"/>
        </w:rPr>
        <w:t>正反面复印件</w:t>
      </w:r>
      <w:r>
        <w:rPr>
          <w:rFonts w:hint="eastAsia" w:ascii="宋体" w:hAnsi="宋体" w:cs="Courier New"/>
          <w:b/>
          <w:sz w:val="22"/>
          <w:szCs w:val="22"/>
        </w:rPr>
        <w:t>。</w:t>
      </w:r>
    </w:p>
    <w:p>
      <w:pPr>
        <w:spacing w:line="360" w:lineRule="exact"/>
        <w:ind w:left="2699"/>
        <w:rPr>
          <w:rFonts w:hint="eastAsia" w:ascii="宋体"/>
          <w:sz w:val="22"/>
        </w:rPr>
      </w:pPr>
      <w:r>
        <w:rPr>
          <w:rFonts w:hint="eastAsia" w:ascii="宋体"/>
          <w:sz w:val="22"/>
        </w:rPr>
        <w:t xml:space="preserve">  </w:t>
      </w:r>
    </w:p>
    <w:p>
      <w:pPr>
        <w:spacing w:line="360" w:lineRule="exact"/>
        <w:ind w:left="2699"/>
        <w:rPr>
          <w:rFonts w:hint="eastAsia" w:ascii="宋体"/>
          <w:sz w:val="22"/>
        </w:rPr>
      </w:pPr>
      <w:r>
        <w:rPr>
          <w:rFonts w:hint="eastAsia" w:ascii="宋体"/>
          <w:sz w:val="22"/>
        </w:rPr>
        <w:t xml:space="preserve">  </w:t>
      </w:r>
    </w:p>
    <w:p>
      <w:pPr>
        <w:spacing w:line="460" w:lineRule="exact"/>
        <w:ind w:firstLine="3955" w:firstLineChars="1798"/>
        <w:rPr>
          <w:rFonts w:ascii="宋体" w:hAnsi="宋体"/>
          <w:sz w:val="22"/>
          <w:szCs w:val="22"/>
        </w:rPr>
      </w:pPr>
      <w:r>
        <w:rPr>
          <w:rFonts w:hint="eastAsia" w:ascii="宋体" w:hAnsi="宋体"/>
          <w:sz w:val="22"/>
          <w:szCs w:val="22"/>
        </w:rPr>
        <w:t>法定代表人 (签字或盖章)：</w:t>
      </w:r>
    </w:p>
    <w:p>
      <w:pPr>
        <w:spacing w:line="460" w:lineRule="exact"/>
        <w:ind w:firstLine="2955"/>
        <w:rPr>
          <w:rFonts w:ascii="宋体" w:hAnsi="宋体"/>
          <w:sz w:val="22"/>
          <w:szCs w:val="22"/>
        </w:rPr>
      </w:pPr>
      <w:r>
        <w:rPr>
          <w:rFonts w:hint="eastAsia" w:ascii="宋体" w:hAnsi="宋体"/>
          <w:sz w:val="22"/>
          <w:szCs w:val="22"/>
        </w:rPr>
        <w:t xml:space="preserve">         投标人全称（公章）：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pStyle w:val="30"/>
        <w:adjustRightInd w:val="0"/>
        <w:snapToGrid w:val="0"/>
        <w:spacing w:line="360" w:lineRule="exact"/>
        <w:rPr>
          <w:rFonts w:hint="eastAsia"/>
        </w:rPr>
      </w:pPr>
    </w:p>
    <w:p>
      <w:pPr>
        <w:pStyle w:val="30"/>
        <w:adjustRightInd w:val="0"/>
        <w:snapToGrid w:val="0"/>
        <w:spacing w:line="360" w:lineRule="exact"/>
        <w:jc w:val="center"/>
        <w:rPr>
          <w:rFonts w:hint="eastAsia"/>
        </w:rPr>
      </w:pPr>
    </w:p>
    <w:p>
      <w:pPr>
        <w:pStyle w:val="30"/>
        <w:adjustRightInd w:val="0"/>
        <w:snapToGrid w:val="0"/>
        <w:spacing w:line="360" w:lineRule="exact"/>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（2）营业执照（或事业法人登记证书或其它工商等登记证明材料）</w:t>
      </w:r>
    </w:p>
    <w:p>
      <w:pPr>
        <w:spacing w:line="460" w:lineRule="exact"/>
        <w:rPr>
          <w:rFonts w:ascii="宋体" w:hAnsi="宋体" w:cs="Courier New"/>
          <w:sz w:val="22"/>
          <w:szCs w:val="22"/>
        </w:rPr>
      </w:pPr>
      <w:r>
        <w:rPr>
          <w:rFonts w:hint="eastAsia" w:ascii="宋体" w:hAnsi="宋体"/>
          <w:b/>
          <w:bCs/>
          <w:sz w:val="22"/>
          <w:szCs w:val="22"/>
        </w:rPr>
        <w:t>说明：</w:t>
      </w:r>
      <w:r>
        <w:rPr>
          <w:rFonts w:ascii="宋体" w:hAnsi="宋体" w:cs="Courier New"/>
          <w:sz w:val="22"/>
          <w:szCs w:val="22"/>
        </w:rPr>
        <w:t>1</w:t>
      </w:r>
      <w:r>
        <w:rPr>
          <w:rFonts w:hint="eastAsia" w:ascii="宋体" w:hAnsi="宋体" w:cs="Courier New"/>
          <w:sz w:val="22"/>
          <w:szCs w:val="22"/>
        </w:rPr>
        <w:t>、</w:t>
      </w:r>
      <w:r>
        <w:rPr>
          <w:rFonts w:ascii="宋体" w:hAnsi="宋体" w:cs="Courier New"/>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80" w:lineRule="exact"/>
        <w:rPr>
          <w:rFonts w:ascii="宋体" w:hAnsi="宋体"/>
          <w:bCs/>
          <w:sz w:val="22"/>
          <w:szCs w:val="22"/>
        </w:rPr>
      </w:pPr>
      <w:r>
        <w:rPr>
          <w:rFonts w:ascii="宋体" w:hAnsi="宋体" w:cs="Courier New"/>
          <w:sz w:val="22"/>
          <w:szCs w:val="22"/>
        </w:rPr>
        <w:t>2、投标人提供的相应证明材料复印件均应符合：内容完整、清晰、整洁，并由投标人加盖其单位公章。</w:t>
      </w:r>
    </w:p>
    <w:p>
      <w:pPr>
        <w:pStyle w:val="30"/>
        <w:adjustRightInd w:val="0"/>
        <w:snapToGrid w:val="0"/>
        <w:spacing w:line="360" w:lineRule="exact"/>
        <w:jc w:val="center"/>
        <w:rPr>
          <w:rFonts w:hint="eastAsia" w:hAnsi="宋体"/>
          <w:b/>
          <w:bCs/>
          <w:sz w:val="22"/>
          <w:szCs w:val="22"/>
        </w:rPr>
      </w:pPr>
    </w:p>
    <w:p>
      <w:pPr>
        <w:spacing w:line="380" w:lineRule="exact"/>
        <w:rPr>
          <w:rFonts w:ascii="宋体" w:hAnsi="宋体"/>
          <w:sz w:val="22"/>
          <w:szCs w:val="22"/>
        </w:rPr>
      </w:pPr>
      <w:r>
        <w:rPr>
          <w:rFonts w:hint="eastAsia" w:ascii="新宋体" w:hAnsi="新宋体" w:eastAsia="新宋体" w:cs="新宋体"/>
          <w:b/>
          <w:kern w:val="0"/>
          <w:sz w:val="28"/>
          <w:szCs w:val="28"/>
        </w:rPr>
        <w:t xml:space="preserve">    </w:t>
      </w:r>
    </w:p>
    <w:p>
      <w:pPr>
        <w:pStyle w:val="30"/>
        <w:adjustRightInd w:val="0"/>
        <w:snapToGrid w:val="0"/>
        <w:spacing w:line="360" w:lineRule="exact"/>
        <w:jc w:val="center"/>
        <w:rPr>
          <w:rFonts w:hint="eastAsia"/>
        </w:rPr>
      </w:pPr>
    </w:p>
    <w:p>
      <w:pPr>
        <w:pStyle w:val="30"/>
        <w:adjustRightInd w:val="0"/>
        <w:snapToGrid w:val="0"/>
        <w:spacing w:line="360" w:lineRule="exact"/>
        <w:jc w:val="center"/>
        <w:rPr>
          <w:rFonts w:hint="eastAsia" w:hAnsi="宋体"/>
          <w:b/>
          <w:sz w:val="32"/>
          <w:lang w:val="zh-CN"/>
        </w:rPr>
      </w:pPr>
      <w:r>
        <w:rPr>
          <w:rFonts w:hint="eastAsia"/>
        </w:rPr>
        <w:br w:type="page"/>
      </w:r>
      <w:r>
        <w:rPr>
          <w:rFonts w:hint="eastAsia" w:ascii="新宋体" w:hAnsi="新宋体" w:eastAsia="新宋体" w:cs="新宋体"/>
          <w:b/>
          <w:kern w:val="0"/>
          <w:sz w:val="28"/>
          <w:szCs w:val="28"/>
        </w:rPr>
        <w:t>（3）</w:t>
      </w:r>
      <w:r>
        <w:rPr>
          <w:rFonts w:hint="eastAsia" w:ascii="新宋体" w:hAnsi="新宋体" w:eastAsia="新宋体" w:cs="新宋体"/>
          <w:b/>
          <w:kern w:val="0"/>
          <w:sz w:val="28"/>
          <w:szCs w:val="28"/>
          <w:lang w:val="zh-CN"/>
        </w:rPr>
        <w:t>供应商参与政府采购活动投标资格声明函</w:t>
      </w:r>
    </w:p>
    <w:tbl>
      <w:tblPr>
        <w:tblStyle w:val="5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0"/>
              <w:adjustRightInd w:val="0"/>
              <w:snapToGrid w:val="0"/>
              <w:spacing w:line="400" w:lineRule="exact"/>
              <w:rPr>
                <w:rFonts w:hint="eastAsia" w:ascii="新宋体" w:hAnsi="新宋体" w:eastAsia="新宋体" w:cs="新宋体"/>
                <w:sz w:val="22"/>
                <w:szCs w:val="22"/>
              </w:rPr>
            </w:pPr>
            <w:r>
              <w:rPr>
                <w:rFonts w:hint="eastAsia" w:ascii="新宋体" w:hAnsi="新宋体" w:eastAsia="新宋体" w:cs="新宋体"/>
                <w:sz w:val="22"/>
                <w:szCs w:val="22"/>
              </w:rPr>
              <w:t>项目名称</w:t>
            </w:r>
          </w:p>
        </w:tc>
        <w:tc>
          <w:tcPr>
            <w:tcW w:w="7992" w:type="dxa"/>
            <w:noWrap w:val="0"/>
            <w:vAlign w:val="top"/>
          </w:tcPr>
          <w:p>
            <w:pPr>
              <w:pStyle w:val="30"/>
              <w:adjustRightInd w:val="0"/>
              <w:snapToGrid w:val="0"/>
              <w:spacing w:line="400" w:lineRule="exact"/>
              <w:ind w:left="422" w:firstLine="331"/>
              <w:rPr>
                <w:rFonts w:hint="eastAsia"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0"/>
              <w:adjustRightInd w:val="0"/>
              <w:snapToGrid w:val="0"/>
              <w:spacing w:line="400" w:lineRule="exact"/>
              <w:rPr>
                <w:rFonts w:hint="eastAsia" w:ascii="新宋体" w:hAnsi="新宋体" w:eastAsia="新宋体" w:cs="新宋体"/>
                <w:sz w:val="22"/>
                <w:szCs w:val="22"/>
              </w:rPr>
            </w:pPr>
            <w:r>
              <w:rPr>
                <w:rFonts w:hint="eastAsia" w:ascii="新宋体" w:hAnsi="新宋体" w:eastAsia="新宋体" w:cs="新宋体"/>
                <w:sz w:val="22"/>
                <w:szCs w:val="22"/>
              </w:rPr>
              <w:t>项目采购编号</w:t>
            </w:r>
          </w:p>
        </w:tc>
        <w:tc>
          <w:tcPr>
            <w:tcW w:w="7992" w:type="dxa"/>
            <w:noWrap w:val="0"/>
            <w:vAlign w:val="top"/>
          </w:tcPr>
          <w:p>
            <w:pPr>
              <w:pStyle w:val="30"/>
              <w:adjustRightInd w:val="0"/>
              <w:snapToGrid w:val="0"/>
              <w:spacing w:line="400" w:lineRule="exact"/>
              <w:ind w:left="422" w:firstLine="361"/>
              <w:rPr>
                <w:rFonts w:hint="eastAsia" w:ascii="新宋体" w:hAnsi="新宋体" w:eastAsia="新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0"/>
              <w:adjustRightInd w:val="0"/>
              <w:snapToGrid w:val="0"/>
              <w:spacing w:line="400" w:lineRule="exact"/>
              <w:rPr>
                <w:rFonts w:hint="eastAsia" w:ascii="新宋体" w:hAnsi="新宋体" w:eastAsia="新宋体" w:cs="新宋体"/>
                <w:sz w:val="22"/>
                <w:szCs w:val="22"/>
              </w:rPr>
            </w:pPr>
            <w:r>
              <w:rPr>
                <w:rFonts w:hint="eastAsia" w:ascii="新宋体" w:hAnsi="新宋体" w:eastAsia="新宋体" w:cs="新宋体"/>
                <w:sz w:val="22"/>
                <w:szCs w:val="22"/>
              </w:rPr>
              <w:t>时    间</w:t>
            </w:r>
          </w:p>
        </w:tc>
        <w:tc>
          <w:tcPr>
            <w:tcW w:w="7992" w:type="dxa"/>
            <w:noWrap w:val="0"/>
            <w:vAlign w:val="top"/>
          </w:tcPr>
          <w:p>
            <w:pPr>
              <w:adjustRightInd w:val="0"/>
              <w:snapToGrid w:val="0"/>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30"/>
              <w:adjustRightInd w:val="0"/>
              <w:snapToGrid w:val="0"/>
              <w:spacing w:line="400" w:lineRule="exact"/>
              <w:ind w:firstLine="450"/>
              <w:rPr>
                <w:rFonts w:hint="eastAsia" w:ascii="新宋体" w:hAnsi="新宋体" w:eastAsia="新宋体" w:cs="新宋体"/>
                <w:sz w:val="20"/>
              </w:rPr>
            </w:pPr>
            <w:r>
              <w:rPr>
                <w:rFonts w:hint="eastAsia" w:ascii="新宋体" w:hAnsi="新宋体" w:eastAsia="新宋体" w:cs="新宋体"/>
                <w:sz w:val="20"/>
              </w:rPr>
              <w:t>我单位参加鹿城区政法智控一张网建设项目投标，</w:t>
            </w:r>
            <w:r>
              <w:rPr>
                <w:rFonts w:ascii="新宋体" w:hAnsi="新宋体" w:eastAsia="新宋体" w:cs="新宋体"/>
                <w:sz w:val="20"/>
              </w:rPr>
              <w:t>现声明如下：</w:t>
            </w:r>
          </w:p>
          <w:p>
            <w:pPr>
              <w:pStyle w:val="30"/>
              <w:adjustRightInd w:val="0"/>
              <w:snapToGrid w:val="0"/>
              <w:spacing w:line="400" w:lineRule="exact"/>
              <w:ind w:firstLine="450"/>
              <w:rPr>
                <w:rFonts w:hint="eastAsia" w:ascii="新宋体" w:hAnsi="新宋体" w:eastAsia="新宋体" w:cs="新宋体"/>
                <w:sz w:val="20"/>
              </w:rPr>
            </w:pPr>
            <w:r>
              <w:rPr>
                <w:rFonts w:hint="eastAsia" w:ascii="新宋体" w:hAnsi="新宋体" w:eastAsia="新宋体" w:cs="新宋体"/>
                <w:sz w:val="20"/>
              </w:rPr>
              <w:t>1、</w:t>
            </w:r>
            <w:r>
              <w:rPr>
                <w:rFonts w:ascii="新宋体" w:hAnsi="新宋体" w:eastAsia="新宋体" w:cs="新宋体"/>
                <w:sz w:val="20"/>
              </w:rPr>
              <w:t>我单位符合政府采购法第二十二条规定</w:t>
            </w:r>
          </w:p>
          <w:p>
            <w:pPr>
              <w:pStyle w:val="30"/>
              <w:adjustRightInd w:val="0"/>
              <w:snapToGrid w:val="0"/>
              <w:spacing w:line="400" w:lineRule="exact"/>
              <w:ind w:firstLine="400" w:firstLineChars="200"/>
              <w:rPr>
                <w:rFonts w:hint="eastAsia" w:ascii="新宋体" w:hAnsi="新宋体" w:eastAsia="新宋体" w:cs="新宋体"/>
                <w:sz w:val="20"/>
              </w:rPr>
            </w:pPr>
            <w:r>
              <w:rPr>
                <w:rFonts w:hint="eastAsia" w:ascii="新宋体" w:hAnsi="新宋体" w:eastAsia="新宋体" w:cs="新宋体"/>
                <w:sz w:val="20"/>
              </w:rPr>
              <w:t xml:space="preserve">（一）具有独立承担民事责任的能力； </w:t>
            </w:r>
            <w:r>
              <w:rPr>
                <w:rFonts w:hint="eastAsia" w:ascii="新宋体" w:hAnsi="新宋体" w:eastAsia="新宋体" w:cs="新宋体"/>
                <w:sz w:val="20"/>
              </w:rPr>
              <w:br w:type="textWrapping"/>
            </w:r>
            <w:r>
              <w:rPr>
                <w:rFonts w:hint="eastAsia" w:ascii="新宋体" w:hAnsi="新宋体" w:eastAsia="新宋体" w:cs="新宋体"/>
                <w:sz w:val="20"/>
              </w:rPr>
              <w:t xml:space="preserve">　　（二）具有良好的商业信誉和健全的财务会计制度； </w:t>
            </w:r>
            <w:r>
              <w:rPr>
                <w:rFonts w:hint="eastAsia" w:ascii="新宋体" w:hAnsi="新宋体" w:eastAsia="新宋体" w:cs="新宋体"/>
                <w:sz w:val="20"/>
              </w:rPr>
              <w:br w:type="textWrapping"/>
            </w:r>
            <w:r>
              <w:rPr>
                <w:rFonts w:hint="eastAsia" w:ascii="新宋体" w:hAnsi="新宋体" w:eastAsia="新宋体" w:cs="新宋体"/>
                <w:sz w:val="20"/>
              </w:rPr>
              <w:t xml:space="preserve">　　（三）具有履行合同所必需的设备和专业技术能力； </w:t>
            </w:r>
            <w:r>
              <w:rPr>
                <w:rFonts w:hint="eastAsia" w:ascii="新宋体" w:hAnsi="新宋体" w:eastAsia="新宋体" w:cs="新宋体"/>
                <w:sz w:val="20"/>
              </w:rPr>
              <w:br w:type="textWrapping"/>
            </w:r>
            <w:r>
              <w:rPr>
                <w:rFonts w:hint="eastAsia" w:ascii="新宋体" w:hAnsi="新宋体" w:eastAsia="新宋体" w:cs="新宋体"/>
                <w:sz w:val="20"/>
              </w:rPr>
              <w:t xml:space="preserve">　　（四）有依法缴纳税收和社会保障资金的良好记录； </w:t>
            </w:r>
            <w:r>
              <w:rPr>
                <w:rFonts w:hint="eastAsia" w:ascii="新宋体" w:hAnsi="新宋体" w:eastAsia="新宋体" w:cs="新宋体"/>
                <w:sz w:val="20"/>
              </w:rPr>
              <w:br w:type="textWrapping"/>
            </w:r>
            <w:r>
              <w:rPr>
                <w:rFonts w:hint="eastAsia" w:ascii="新宋体" w:hAnsi="新宋体" w:eastAsia="新宋体" w:cs="新宋体"/>
                <w:sz w:val="20"/>
              </w:rPr>
              <w:t xml:space="preserve">　　（五）参加政府采购活动前三年内，在经营活动中没有重大违法记录； </w:t>
            </w:r>
            <w:r>
              <w:rPr>
                <w:rFonts w:hint="eastAsia" w:ascii="新宋体" w:hAnsi="新宋体" w:eastAsia="新宋体" w:cs="新宋体"/>
                <w:sz w:val="20"/>
              </w:rPr>
              <w:br w:type="textWrapping"/>
            </w:r>
            <w:r>
              <w:rPr>
                <w:rFonts w:hint="eastAsia" w:ascii="新宋体" w:hAnsi="新宋体" w:eastAsia="新宋体" w:cs="新宋体"/>
                <w:sz w:val="20"/>
              </w:rPr>
              <w:t xml:space="preserve">　　（六）法律、行政法规规定的其他条件。 </w:t>
            </w:r>
          </w:p>
          <w:p>
            <w:pPr>
              <w:pStyle w:val="30"/>
              <w:adjustRightInd w:val="0"/>
              <w:snapToGrid w:val="0"/>
              <w:spacing w:line="400" w:lineRule="exact"/>
              <w:ind w:firstLine="450"/>
              <w:rPr>
                <w:rFonts w:hint="eastAsia" w:ascii="新宋体" w:hAnsi="新宋体" w:eastAsia="新宋体" w:cs="新宋体"/>
                <w:sz w:val="20"/>
              </w:rPr>
            </w:pPr>
            <w:r>
              <w:rPr>
                <w:rFonts w:hint="eastAsia" w:ascii="新宋体" w:hAnsi="新宋体" w:eastAsia="新宋体" w:cs="新宋体"/>
                <w:sz w:val="20"/>
              </w:rPr>
              <w:t>2、根据财政部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w:t>
            </w:r>
          </w:p>
          <w:p>
            <w:pPr>
              <w:pStyle w:val="30"/>
              <w:adjustRightInd w:val="0"/>
              <w:snapToGrid w:val="0"/>
              <w:spacing w:line="400" w:lineRule="exact"/>
              <w:ind w:firstLine="450"/>
              <w:rPr>
                <w:rFonts w:hint="eastAsia" w:ascii="新宋体" w:hAnsi="新宋体" w:eastAsia="新宋体" w:cs="新宋体"/>
                <w:sz w:val="20"/>
              </w:rPr>
            </w:pPr>
            <w:r>
              <w:rPr>
                <w:rFonts w:hint="eastAsia" w:ascii="新宋体" w:hAnsi="新宋体" w:eastAsia="新宋体" w:cs="新宋体"/>
                <w:sz w:val="20"/>
              </w:rPr>
              <w:t>3、我单位没有被各地、各级财政部门限制参加政府采购活动或曾被各地、各级财政部门限制参加政府采购活动但已不在限制期内。</w:t>
            </w:r>
          </w:p>
          <w:p>
            <w:pPr>
              <w:pStyle w:val="30"/>
              <w:adjustRightInd w:val="0"/>
              <w:snapToGrid w:val="0"/>
              <w:spacing w:line="410" w:lineRule="atLeast"/>
              <w:ind w:firstLine="450"/>
              <w:rPr>
                <w:rFonts w:hint="eastAsia" w:ascii="新宋体" w:hAnsi="新宋体" w:eastAsia="新宋体" w:cs="新宋体"/>
                <w:sz w:val="20"/>
              </w:rPr>
            </w:pPr>
            <w:r>
              <w:rPr>
                <w:rFonts w:hint="eastAsia" w:ascii="新宋体" w:hAnsi="新宋体" w:eastAsia="新宋体" w:cs="新宋体"/>
                <w:sz w:val="20"/>
              </w:rPr>
              <w:t>4、我单位、法人代表及本次拟派的项目负责人近三年来无行贿犯罪记录；</w:t>
            </w:r>
          </w:p>
          <w:p>
            <w:pPr>
              <w:tabs>
                <w:tab w:val="center" w:pos="4483"/>
              </w:tabs>
              <w:adjustRightInd w:val="0"/>
              <w:spacing w:line="360" w:lineRule="auto"/>
              <w:ind w:firstLine="455" w:firstLineChars="228"/>
              <w:rPr>
                <w:rFonts w:hint="eastAsia" w:ascii="新宋体" w:hAnsi="新宋体" w:eastAsia="新宋体" w:cs="新宋体"/>
                <w:sz w:val="20"/>
                <w:szCs w:val="20"/>
              </w:rPr>
            </w:pPr>
            <w:r>
              <w:rPr>
                <w:rFonts w:hint="eastAsia" w:ascii="新宋体" w:hAnsi="新宋体" w:eastAsia="新宋体" w:cs="新宋体"/>
                <w:sz w:val="20"/>
                <w:szCs w:val="20"/>
              </w:rPr>
              <w:t>5、我单位参与本项目政府采购活动3年内其它重大违法记录（重大违法记录，是指供应商因违法经营受到刑事处罚或者责令停产停业、吊销许可证或者执照、较大数额罚款等行政处罚）情况声明：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hint="eastAsia" w:ascii="新宋体" w:hAnsi="新宋体" w:eastAsia="新宋体" w:cs="新宋体"/>
                <w:sz w:val="20"/>
                <w:szCs w:val="20"/>
                <w:u w:val="single"/>
              </w:rPr>
            </w:pPr>
            <w:r>
              <w:rPr>
                <w:rFonts w:hint="eastAsia" w:ascii="新宋体" w:hAnsi="新宋体" w:eastAsia="新宋体" w:cs="新宋体"/>
                <w:sz w:val="20"/>
                <w:szCs w:val="20"/>
                <w:u w:val="single"/>
              </w:rPr>
              <w:t xml:space="preserve">                                                                               </w:t>
            </w:r>
          </w:p>
          <w:p>
            <w:pPr>
              <w:tabs>
                <w:tab w:val="center" w:pos="4483"/>
              </w:tabs>
              <w:adjustRightInd w:val="0"/>
              <w:spacing w:line="360" w:lineRule="auto"/>
              <w:ind w:firstLine="459"/>
              <w:rPr>
                <w:rFonts w:hint="eastAsia" w:ascii="新宋体" w:hAnsi="新宋体" w:eastAsia="新宋体" w:cs="新宋体"/>
                <w:sz w:val="20"/>
                <w:szCs w:val="20"/>
              </w:rPr>
            </w:pPr>
            <w:r>
              <w:rPr>
                <w:rFonts w:hint="eastAsia" w:ascii="新宋体" w:hAnsi="新宋体" w:eastAsia="新宋体" w:cs="新宋体"/>
                <w:sz w:val="20"/>
                <w:szCs w:val="20"/>
                <w:u w:val="single"/>
              </w:rPr>
              <w:t>6、我单位符合本项目特定资格条件：                         的要求，并在</w:t>
            </w:r>
            <w:r>
              <w:rPr>
                <w:rFonts w:hint="eastAsia" w:ascii="新宋体" w:hAnsi="新宋体" w:eastAsia="新宋体" w:cs="新宋体"/>
                <w:sz w:val="20"/>
                <w:szCs w:val="20"/>
              </w:rPr>
              <w:t>技术资信部分投标文件中提供了相应的证明材料</w:t>
            </w:r>
            <w:r>
              <w:rPr>
                <w:rFonts w:hint="eastAsia" w:ascii="新宋体" w:hAnsi="新宋体" w:eastAsia="新宋体" w:cs="新宋体"/>
                <w:sz w:val="20"/>
                <w:szCs w:val="20"/>
                <w:u w:val="single"/>
              </w:rPr>
              <w:t>（招标文件没有要求特定资格条件的，本条款空格处可以空白）</w:t>
            </w:r>
          </w:p>
          <w:p>
            <w:pPr>
              <w:tabs>
                <w:tab w:val="center" w:pos="4483"/>
              </w:tabs>
              <w:adjustRightInd w:val="0"/>
              <w:spacing w:line="360" w:lineRule="auto"/>
              <w:ind w:firstLine="400" w:firstLineChars="200"/>
              <w:rPr>
                <w:rFonts w:hint="eastAsia" w:ascii="新宋体" w:hAnsi="新宋体" w:eastAsia="新宋体" w:cs="新宋体"/>
                <w:sz w:val="22"/>
                <w:szCs w:val="22"/>
              </w:rPr>
            </w:pPr>
            <w:r>
              <w:rPr>
                <w:rFonts w:hint="eastAsia" w:ascii="新宋体" w:hAnsi="新宋体" w:eastAsia="新宋体" w:cs="新宋体"/>
                <w:sz w:val="20"/>
                <w:szCs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30"/>
              <w:adjustRightInd w:val="0"/>
              <w:snapToGrid w:val="0"/>
              <w:spacing w:line="400" w:lineRule="exact"/>
              <w:ind w:left="422" w:firstLine="331"/>
              <w:jc w:val="left"/>
              <w:rPr>
                <w:rFonts w:hint="eastAsia" w:ascii="新宋体" w:hAnsi="新宋体" w:eastAsia="新宋体" w:cs="新宋体"/>
                <w:sz w:val="22"/>
                <w:szCs w:val="22"/>
              </w:rPr>
            </w:pPr>
            <w:r>
              <w:rPr>
                <w:rFonts w:hint="eastAsia" w:ascii="新宋体" w:hAnsi="新宋体" w:eastAsia="新宋体" w:cs="新宋体"/>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30"/>
              <w:adjustRightInd w:val="0"/>
              <w:snapToGrid w:val="0"/>
              <w:spacing w:line="400" w:lineRule="exact"/>
              <w:ind w:left="422" w:firstLine="352"/>
              <w:rPr>
                <w:rFonts w:hint="eastAsia" w:ascii="新宋体" w:hAnsi="新宋体" w:eastAsia="新宋体" w:cs="新宋体"/>
                <w:sz w:val="22"/>
                <w:szCs w:val="22"/>
              </w:rPr>
            </w:pPr>
            <w:r>
              <w:rPr>
                <w:rFonts w:hint="eastAsia" w:ascii="新宋体" w:hAnsi="新宋体" w:eastAsia="新宋体" w:cs="新宋体"/>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30"/>
              <w:adjustRightInd w:val="0"/>
              <w:snapToGrid w:val="0"/>
              <w:spacing w:line="400" w:lineRule="exact"/>
              <w:ind w:left="422" w:firstLine="331"/>
              <w:rPr>
                <w:rFonts w:hint="eastAsia" w:ascii="新宋体" w:hAnsi="新宋体" w:eastAsia="新宋体" w:cs="新宋体"/>
                <w:sz w:val="22"/>
                <w:szCs w:val="22"/>
              </w:rPr>
            </w:pPr>
            <w:r>
              <w:rPr>
                <w:rFonts w:hint="eastAsia" w:ascii="新宋体" w:hAnsi="新宋体" w:eastAsia="新宋体" w:cs="新宋体"/>
                <w:sz w:val="22"/>
                <w:szCs w:val="22"/>
              </w:rPr>
              <w:t>签署日期：</w:t>
            </w:r>
          </w:p>
        </w:tc>
      </w:tr>
    </w:tbl>
    <w:p>
      <w:pPr>
        <w:spacing w:line="360" w:lineRule="exact"/>
        <w:jc w:val="left"/>
        <w:rPr>
          <w:rFonts w:ascii="宋体"/>
          <w:b/>
          <w:sz w:val="22"/>
          <w:szCs w:val="22"/>
          <w:u w:val="single"/>
        </w:rPr>
      </w:pPr>
      <w:r>
        <w:rPr>
          <w:rFonts w:hint="eastAsia" w:ascii="宋体"/>
          <w:b/>
          <w:bCs/>
          <w:sz w:val="22"/>
          <w:szCs w:val="22"/>
        </w:rPr>
        <w:t xml:space="preserve"> </w:t>
      </w:r>
      <w:r>
        <w:rPr>
          <w:rFonts w:hint="eastAsia" w:ascii="宋体"/>
          <w:b/>
          <w:sz w:val="22"/>
          <w:szCs w:val="22"/>
        </w:rPr>
        <w:t xml:space="preserve"> </w:t>
      </w:r>
      <w:r>
        <w:rPr>
          <w:rFonts w:hint="eastAsia" w:ascii="宋体"/>
          <w:b/>
          <w:sz w:val="22"/>
          <w:szCs w:val="22"/>
          <w:u w:val="single"/>
        </w:rPr>
        <w:t>备注：投标供应商必须提供本声明，不提供按无效投标处理。</w:t>
      </w:r>
    </w:p>
    <w:p>
      <w:pPr>
        <w:pStyle w:val="53"/>
        <w:rPr>
          <w:rFonts w:hint="eastAsia" w:ascii="新宋体" w:hAnsi="新宋体" w:eastAsia="新宋体" w:cs="新宋体"/>
          <w:b w:val="0"/>
          <w:bCs w:val="0"/>
          <w:sz w:val="22"/>
          <w:szCs w:val="22"/>
        </w:rPr>
      </w:pPr>
    </w:p>
    <w:p>
      <w:pPr>
        <w:spacing w:line="400" w:lineRule="exact"/>
        <w:rPr>
          <w:rFonts w:ascii="宋体" w:hAnsi="宋体" w:cs="宋体"/>
        </w:rPr>
      </w:pPr>
    </w:p>
    <w:p>
      <w:pPr>
        <w:pStyle w:val="26"/>
        <w:spacing w:after="0" w:line="400" w:lineRule="exact"/>
        <w:ind w:left="0" w:leftChars="0" w:right="0" w:rightChars="0"/>
        <w:rPr>
          <w:rFonts w:ascii="宋体" w:hAnsi="宋体" w:cs="宋体"/>
        </w:rPr>
      </w:pPr>
    </w:p>
    <w:p>
      <w:pPr>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（4）法定代表人诚信投标承诺书</w:t>
      </w:r>
    </w:p>
    <w:p>
      <w:pPr>
        <w:spacing w:line="460" w:lineRule="atLeast"/>
        <w:jc w:val="left"/>
        <w:rPr>
          <w:rFonts w:ascii="宋体"/>
          <w:sz w:val="22"/>
          <w:szCs w:val="22"/>
        </w:rPr>
      </w:pPr>
      <w:r>
        <w:rPr>
          <w:rFonts w:hint="eastAsia" w:ascii="宋体"/>
          <w:sz w:val="22"/>
          <w:szCs w:val="22"/>
        </w:rPr>
        <w:t>本人以企业法定代表人的身份郑重承诺：</w:t>
      </w:r>
    </w:p>
    <w:p>
      <w:pPr>
        <w:spacing w:line="460" w:lineRule="atLeast"/>
        <w:ind w:firstLine="440" w:firstLineChars="200"/>
        <w:jc w:val="left"/>
        <w:rPr>
          <w:rFonts w:ascii="宋体"/>
          <w:bCs/>
          <w:sz w:val="22"/>
          <w:szCs w:val="22"/>
        </w:rPr>
      </w:pPr>
      <w:r>
        <w:rPr>
          <w:rFonts w:hint="eastAsia" w:ascii="宋体"/>
          <w:bCs/>
          <w:sz w:val="22"/>
          <w:szCs w:val="22"/>
        </w:rPr>
        <w:t>将遵循公开、公平、公正和诚信信用的原则参加</w:t>
      </w:r>
      <w:r>
        <w:rPr>
          <w:rFonts w:hint="eastAsia" w:ascii="宋体" w:cs="楷体_GB2312"/>
          <w:bCs/>
          <w:sz w:val="22"/>
          <w:szCs w:val="22"/>
          <w:u w:val="single"/>
        </w:rPr>
        <w:t xml:space="preserve">              项目（项目编号：   ）</w:t>
      </w:r>
      <w:r>
        <w:rPr>
          <w:rFonts w:hint="eastAsia" w:ascii="宋体"/>
          <w:bCs/>
          <w:sz w:val="22"/>
          <w:szCs w:val="22"/>
        </w:rPr>
        <w:t>的投标；</w:t>
      </w:r>
    </w:p>
    <w:p>
      <w:pPr>
        <w:spacing w:line="460" w:lineRule="atLeast"/>
        <w:ind w:firstLine="440" w:firstLineChars="200"/>
        <w:jc w:val="left"/>
        <w:rPr>
          <w:rFonts w:ascii="宋体"/>
          <w:bCs/>
          <w:sz w:val="22"/>
          <w:szCs w:val="22"/>
          <w:u w:val="single"/>
        </w:rPr>
      </w:pPr>
      <w:r>
        <w:rPr>
          <w:rFonts w:hint="eastAsia" w:ascii="宋体"/>
          <w:bCs/>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bCs/>
          <w:sz w:val="22"/>
          <w:szCs w:val="22"/>
        </w:rPr>
      </w:pPr>
      <w:r>
        <w:rPr>
          <w:rFonts w:hint="eastAsia" w:ascii="宋体"/>
          <w:bCs/>
          <w:sz w:val="22"/>
          <w:szCs w:val="22"/>
        </w:rPr>
        <w:t>二、投标文件所提供的一切材料都是真实、有效、合法的。</w:t>
      </w:r>
    </w:p>
    <w:p>
      <w:pPr>
        <w:spacing w:line="460" w:lineRule="atLeast"/>
        <w:ind w:firstLine="440" w:firstLineChars="200"/>
        <w:jc w:val="left"/>
        <w:rPr>
          <w:rFonts w:ascii="宋体"/>
          <w:bCs/>
          <w:sz w:val="22"/>
          <w:szCs w:val="22"/>
        </w:rPr>
      </w:pPr>
      <w:r>
        <w:rPr>
          <w:rFonts w:hint="eastAsia" w:ascii="宋体"/>
          <w:bCs/>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bCs/>
          <w:sz w:val="22"/>
          <w:szCs w:val="22"/>
        </w:rPr>
      </w:pPr>
      <w:r>
        <w:rPr>
          <w:rFonts w:hint="eastAsia" w:ascii="宋体"/>
          <w:bCs/>
          <w:sz w:val="22"/>
          <w:szCs w:val="22"/>
        </w:rPr>
        <w:t>四、不与采购人或招标代理机构串通投标，不损害国家利益，社会公共利益或其他人的合法权益。</w:t>
      </w:r>
    </w:p>
    <w:p>
      <w:pPr>
        <w:spacing w:line="460" w:lineRule="atLeast"/>
        <w:ind w:firstLine="440" w:firstLineChars="200"/>
        <w:jc w:val="left"/>
        <w:rPr>
          <w:rFonts w:ascii="宋体"/>
          <w:bCs/>
          <w:sz w:val="22"/>
          <w:szCs w:val="22"/>
        </w:rPr>
      </w:pPr>
      <w:r>
        <w:rPr>
          <w:rFonts w:hint="eastAsia" w:ascii="宋体"/>
          <w:bCs/>
          <w:sz w:val="22"/>
          <w:szCs w:val="22"/>
        </w:rPr>
        <w:t>五、不向采购人或者评标委员会成员行贿以牟取中标。</w:t>
      </w:r>
    </w:p>
    <w:p>
      <w:pPr>
        <w:spacing w:line="460" w:lineRule="atLeast"/>
        <w:ind w:firstLine="440" w:firstLineChars="200"/>
        <w:jc w:val="left"/>
        <w:rPr>
          <w:rFonts w:ascii="宋体"/>
          <w:bCs/>
          <w:sz w:val="22"/>
          <w:szCs w:val="22"/>
        </w:rPr>
      </w:pPr>
      <w:r>
        <w:rPr>
          <w:rFonts w:hint="eastAsia" w:ascii="宋体"/>
          <w:bCs/>
          <w:sz w:val="22"/>
          <w:szCs w:val="22"/>
        </w:rPr>
        <w:t>六、不以其他人名义投标或者以其他方式弄虚作假，骗取中标。</w:t>
      </w:r>
    </w:p>
    <w:p>
      <w:pPr>
        <w:spacing w:line="460" w:lineRule="atLeast"/>
        <w:ind w:firstLine="440" w:firstLineChars="200"/>
        <w:jc w:val="left"/>
        <w:rPr>
          <w:rFonts w:ascii="宋体"/>
          <w:bCs/>
          <w:sz w:val="22"/>
          <w:szCs w:val="22"/>
        </w:rPr>
      </w:pPr>
      <w:r>
        <w:rPr>
          <w:rFonts w:hint="eastAsia" w:ascii="宋体"/>
          <w:bCs/>
          <w:sz w:val="22"/>
          <w:szCs w:val="22"/>
        </w:rPr>
        <w:t>七、不在开标后进行虚假恶意投诉。</w:t>
      </w:r>
    </w:p>
    <w:p>
      <w:pPr>
        <w:spacing w:line="460" w:lineRule="atLeast"/>
        <w:ind w:firstLine="440" w:firstLineChars="200"/>
        <w:jc w:val="left"/>
        <w:rPr>
          <w:rFonts w:ascii="宋体"/>
          <w:bCs/>
          <w:sz w:val="22"/>
          <w:szCs w:val="22"/>
        </w:rPr>
      </w:pPr>
      <w:r>
        <w:rPr>
          <w:rFonts w:hint="eastAsia" w:ascii="宋体"/>
          <w:bCs/>
          <w:sz w:val="22"/>
          <w:szCs w:val="22"/>
        </w:rPr>
        <w:t>八、我单位没有被政府机关</w:t>
      </w:r>
      <w:r>
        <w:rPr>
          <w:rFonts w:ascii="宋体"/>
          <w:bCs/>
          <w:sz w:val="22"/>
          <w:szCs w:val="22"/>
        </w:rPr>
        <w:t>列入失信被执行人</w:t>
      </w:r>
      <w:r>
        <w:rPr>
          <w:rFonts w:hint="eastAsia" w:ascii="宋体"/>
          <w:bCs/>
          <w:sz w:val="22"/>
          <w:szCs w:val="22"/>
        </w:rPr>
        <w:t>名单</w:t>
      </w:r>
      <w:r>
        <w:rPr>
          <w:rFonts w:ascii="宋体"/>
          <w:bCs/>
          <w:sz w:val="22"/>
          <w:szCs w:val="22"/>
        </w:rPr>
        <w:t>、重大税收违法案件当事人名单、政府采购严重违法失信行为记录名单及其他不符合《中华人民共和国政府采购法》第二十二条规定条件</w:t>
      </w:r>
      <w:r>
        <w:rPr>
          <w:rFonts w:hint="eastAsia" w:ascii="宋体"/>
          <w:bCs/>
          <w:sz w:val="22"/>
          <w:szCs w:val="22"/>
        </w:rPr>
        <w:t>的情形。</w:t>
      </w:r>
    </w:p>
    <w:p>
      <w:pPr>
        <w:spacing w:line="460" w:lineRule="atLeast"/>
        <w:ind w:firstLine="440" w:firstLineChars="200"/>
        <w:jc w:val="left"/>
        <w:rPr>
          <w:rFonts w:hint="eastAsia" w:ascii="宋体"/>
          <w:bCs/>
          <w:sz w:val="22"/>
          <w:szCs w:val="22"/>
        </w:rPr>
      </w:pPr>
      <w:r>
        <w:rPr>
          <w:rFonts w:hint="eastAsia" w:ascii="宋体"/>
          <w:bCs/>
          <w:sz w:val="22"/>
          <w:szCs w:val="22"/>
        </w:rPr>
        <w:t>九、我单位没有被各地、各级财政部门限制参加政府采购活动或曾被各地、各级财政部门限制参加政府采购活动但已不在限制期内。</w:t>
      </w:r>
    </w:p>
    <w:p>
      <w:pPr>
        <w:spacing w:line="460" w:lineRule="atLeast"/>
        <w:ind w:firstLine="440" w:firstLineChars="200"/>
        <w:jc w:val="left"/>
        <w:rPr>
          <w:rFonts w:ascii="宋体"/>
          <w:bCs/>
          <w:sz w:val="22"/>
          <w:szCs w:val="22"/>
        </w:rPr>
      </w:pPr>
      <w:r>
        <w:rPr>
          <w:rFonts w:hint="eastAsia" w:ascii="宋体"/>
          <w:bCs/>
          <w:sz w:val="22"/>
          <w:szCs w:val="22"/>
        </w:rPr>
        <w:t>十、我单位、法人代表及本次拟派的项目负责人近三年来无行贿犯罪记录；</w:t>
      </w:r>
    </w:p>
    <w:p>
      <w:pPr>
        <w:spacing w:line="460" w:lineRule="atLeast"/>
        <w:ind w:firstLine="440" w:firstLineChars="200"/>
        <w:jc w:val="left"/>
        <w:rPr>
          <w:rFonts w:ascii="宋体"/>
          <w:bCs/>
          <w:sz w:val="22"/>
          <w:szCs w:val="22"/>
        </w:rPr>
      </w:pPr>
      <w:r>
        <w:rPr>
          <w:rFonts w:hint="eastAsia" w:ascii="宋体"/>
          <w:bCs/>
          <w:sz w:val="22"/>
          <w:szCs w:val="22"/>
        </w:rPr>
        <w:t>十一、参与本项目政府采购活动3年内没有重大违法记录情况。</w:t>
      </w:r>
    </w:p>
    <w:p>
      <w:pPr>
        <w:spacing w:line="460" w:lineRule="atLeast"/>
        <w:ind w:firstLine="440" w:firstLineChars="200"/>
        <w:rPr>
          <w:rFonts w:ascii="宋体"/>
          <w:bCs/>
          <w:sz w:val="22"/>
          <w:szCs w:val="22"/>
        </w:rPr>
      </w:pPr>
      <w:r>
        <w:rPr>
          <w:rFonts w:hint="eastAsia" w:ascii="宋体"/>
          <w:bCs/>
          <w:sz w:val="22"/>
          <w:szCs w:val="22"/>
        </w:rPr>
        <w:t>本公司若有违反本承诺内容的行为，愿意承担法律责任，包括不限于：愿意接受相关行政主管部门作出的处罚；给采购人造成损失的，依法承担相应的赔偿责任。</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特此承诺！</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投标人全称（盖章）：</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投标人代表（签字或盖章）：</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日          期：  年  月  日</w:t>
      </w:r>
    </w:p>
    <w:p>
      <w:pPr>
        <w:spacing w:line="460" w:lineRule="atLeast"/>
        <w:ind w:right="1120"/>
        <w:rPr>
          <w:rFonts w:ascii="宋体"/>
          <w:bCs/>
          <w:sz w:val="22"/>
          <w:szCs w:val="22"/>
        </w:rPr>
      </w:pPr>
    </w:p>
    <w:p>
      <w:pPr>
        <w:spacing w:line="360" w:lineRule="exact"/>
        <w:jc w:val="left"/>
        <w:rPr>
          <w:rFonts w:hint="eastAsia" w:ascii="宋体"/>
          <w:bCs/>
          <w:sz w:val="22"/>
          <w:szCs w:val="22"/>
          <w:u w:val="single"/>
        </w:rPr>
      </w:pPr>
    </w:p>
    <w:p>
      <w:pPr>
        <w:spacing w:line="360" w:lineRule="exact"/>
        <w:jc w:val="left"/>
        <w:rPr>
          <w:rFonts w:ascii="宋体"/>
          <w:b/>
          <w:sz w:val="30"/>
        </w:rPr>
      </w:pPr>
      <w:r>
        <w:rPr>
          <w:rFonts w:hint="eastAsia" w:ascii="宋体"/>
          <w:b/>
          <w:sz w:val="22"/>
          <w:szCs w:val="22"/>
          <w:u w:val="single"/>
        </w:rPr>
        <w:t>备注：投标供应商必须提供本承诺书，不提供按无效投标处理。</w:t>
      </w:r>
    </w:p>
    <w:p>
      <w:pPr>
        <w:pStyle w:val="26"/>
        <w:spacing w:after="0" w:line="400" w:lineRule="exact"/>
        <w:ind w:left="0" w:leftChars="0" w:right="0" w:rightChars="0"/>
        <w:rPr>
          <w:rFonts w:ascii="宋体" w:hAnsi="宋体" w:cs="宋体"/>
        </w:rPr>
      </w:pPr>
    </w:p>
    <w:p>
      <w:pPr>
        <w:pStyle w:val="26"/>
        <w:spacing w:after="0" w:line="400" w:lineRule="exact"/>
        <w:ind w:left="0" w:leftChars="0" w:right="0" w:rightChars="0"/>
        <w:rPr>
          <w:rFonts w:ascii="宋体" w:hAnsi="宋体" w:cs="宋体"/>
        </w:rPr>
      </w:pPr>
    </w:p>
    <w:p>
      <w:pPr>
        <w:tabs>
          <w:tab w:val="left" w:pos="840"/>
        </w:tabs>
        <w:adjustRightInd w:val="0"/>
        <w:snapToGrid w:val="0"/>
        <w:spacing w:line="360" w:lineRule="auto"/>
        <w:ind w:left="420" w:leftChars="200" w:firstLine="330" w:firstLineChars="150"/>
        <w:rPr>
          <w:rFonts w:hint="eastAsia" w:ascii="新宋体" w:hAnsi="新宋体" w:eastAsia="新宋体"/>
          <w:sz w:val="22"/>
          <w:szCs w:val="22"/>
        </w:rPr>
      </w:pPr>
    </w:p>
    <w:p>
      <w:pPr>
        <w:pStyle w:val="26"/>
        <w:spacing w:after="0" w:line="400" w:lineRule="exact"/>
        <w:ind w:left="0" w:leftChars="0" w:right="0" w:rightChars="0"/>
        <w:rPr>
          <w:rFonts w:ascii="宋体" w:hAnsi="宋体" w:cs="宋体"/>
        </w:rPr>
      </w:pPr>
    </w:p>
    <w:p>
      <w:pPr>
        <w:spacing w:line="360" w:lineRule="auto"/>
        <w:ind w:firstLine="689" w:firstLineChars="245"/>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5）至本项目投标截止时间内任意时间的“信用中国（https://www.creditchina.gov.cn/）”、“中国政府采购网（http://www.ccgp.gov.cn/）”投标人信用查询网页截图（最终以开标当日采购人或采购代理机构网页查询结果为准）。</w:t>
      </w:r>
    </w:p>
    <w:p>
      <w:pPr>
        <w:spacing w:line="360" w:lineRule="auto"/>
        <w:ind w:firstLine="1124" w:firstLineChars="400"/>
        <w:rPr>
          <w:rFonts w:hint="eastAsia" w:ascii="新宋体" w:hAnsi="新宋体" w:eastAsia="新宋体" w:cs="新宋体"/>
          <w:b/>
          <w:kern w:val="0"/>
          <w:sz w:val="28"/>
          <w:szCs w:val="28"/>
        </w:rPr>
      </w:pPr>
    </w:p>
    <w:p>
      <w:pPr>
        <w:spacing w:line="360" w:lineRule="auto"/>
        <w:ind w:firstLine="1124" w:firstLineChars="400"/>
        <w:rPr>
          <w:rFonts w:hint="eastAsia" w:ascii="新宋体" w:hAnsi="新宋体" w:eastAsia="新宋体" w:cs="新宋体"/>
          <w:b/>
          <w:kern w:val="0"/>
          <w:sz w:val="28"/>
          <w:szCs w:val="28"/>
        </w:rPr>
      </w:pPr>
    </w:p>
    <w:p>
      <w:pPr>
        <w:spacing w:line="360" w:lineRule="auto"/>
        <w:ind w:firstLine="1124" w:firstLineChars="400"/>
        <w:rPr>
          <w:rFonts w:hint="eastAsia" w:ascii="新宋体" w:hAnsi="新宋体" w:eastAsia="新宋体" w:cs="新宋体"/>
          <w:b/>
          <w:kern w:val="0"/>
          <w:sz w:val="28"/>
          <w:szCs w:val="28"/>
        </w:rPr>
      </w:pPr>
    </w:p>
    <w:p>
      <w:pPr>
        <w:spacing w:line="360" w:lineRule="auto"/>
        <w:ind w:firstLine="551" w:firstLineChars="196"/>
        <w:rPr>
          <w:rFonts w:hint="eastAsia" w:ascii="宋体"/>
          <w:sz w:val="22"/>
          <w:szCs w:val="22"/>
        </w:rPr>
      </w:pPr>
      <w:r>
        <w:rPr>
          <w:rFonts w:hint="eastAsia" w:ascii="新宋体" w:hAnsi="新宋体" w:eastAsia="新宋体" w:cs="新宋体"/>
          <w:b/>
          <w:kern w:val="0"/>
          <w:sz w:val="28"/>
          <w:szCs w:val="28"/>
        </w:rPr>
        <w:t>（6）</w:t>
      </w:r>
      <w:r>
        <w:rPr>
          <w:rFonts w:ascii="新宋体" w:hAnsi="新宋体" w:eastAsia="新宋体" w:cs="新宋体"/>
          <w:b/>
          <w:kern w:val="0"/>
          <w:sz w:val="28"/>
          <w:szCs w:val="28"/>
        </w:rPr>
        <w:t>特定资格条件</w:t>
      </w:r>
      <w:r>
        <w:rPr>
          <w:rFonts w:hint="eastAsia" w:ascii="新宋体" w:hAnsi="新宋体" w:eastAsia="新宋体" w:cs="新宋体"/>
          <w:b/>
          <w:kern w:val="0"/>
          <w:sz w:val="28"/>
          <w:szCs w:val="28"/>
        </w:rPr>
        <w:t>：无</w:t>
      </w:r>
      <w:r>
        <w:rPr>
          <w:rFonts w:hint="eastAsia"/>
        </w:rPr>
        <w:br w:type="page"/>
      </w:r>
    </w:p>
    <w:p>
      <w:pPr>
        <w:spacing w:line="360" w:lineRule="auto"/>
        <w:ind w:firstLine="880" w:firstLineChars="400"/>
        <w:rPr>
          <w:rFonts w:hint="eastAsia" w:ascii="宋体"/>
          <w:sz w:val="22"/>
          <w:szCs w:val="22"/>
        </w:rPr>
      </w:pPr>
    </w:p>
    <w:p>
      <w:pPr>
        <w:spacing w:before="120" w:beforeLines="50" w:after="120" w:afterLines="50"/>
        <w:rPr>
          <w:rFonts w:hint="eastAsia"/>
          <w:sz w:val="22"/>
          <w:szCs w:val="22"/>
        </w:rPr>
      </w:pPr>
      <w:r>
        <w:rPr>
          <w:rFonts w:hint="eastAsia"/>
          <w:sz w:val="22"/>
          <w:szCs w:val="22"/>
        </w:rPr>
        <w:t>（商务技术文件封面，供参考）</w:t>
      </w:r>
      <w:bookmarkEnd w:id="131"/>
      <w:bookmarkEnd w:id="132"/>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（项目名称）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投标文件</w:t>
      </w: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2"/>
        <w:ind w:firstLine="281"/>
        <w:rPr>
          <w:rFonts w:hint="eastAsia" w:ascii="新宋体" w:hAnsi="新宋体" w:eastAsia="新宋体" w:cs="新宋体"/>
          <w:sz w:val="28"/>
          <w:szCs w:val="28"/>
        </w:rPr>
      </w:pPr>
    </w:p>
    <w:p>
      <w:pPr>
        <w:pStyle w:val="2"/>
        <w:ind w:firstLine="281"/>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jc w:val="center"/>
        <w:rPr>
          <w:rFonts w:hint="eastAsia" w:ascii="新宋体" w:hAnsi="新宋体" w:eastAsia="新宋体" w:cs="新宋体"/>
          <w:sz w:val="52"/>
          <w:szCs w:val="52"/>
        </w:rPr>
      </w:pPr>
      <w:r>
        <w:rPr>
          <w:rFonts w:hint="eastAsia" w:ascii="新宋体" w:hAnsi="新宋体" w:eastAsia="新宋体" w:cs="新宋体"/>
          <w:sz w:val="52"/>
          <w:szCs w:val="52"/>
        </w:rPr>
        <w:t>商 务 技 术 文 件</w:t>
      </w: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pStyle w:val="2"/>
        <w:ind w:firstLine="321"/>
        <w:rPr>
          <w:rFonts w:hint="eastAsia"/>
        </w:rPr>
      </w:pPr>
    </w:p>
    <w:p>
      <w:pPr>
        <w:spacing w:line="360" w:lineRule="auto"/>
        <w:rPr>
          <w:rFonts w:hint="eastAsia" w:ascii="新宋体" w:hAnsi="新宋体" w:eastAsia="新宋体" w:cs="新宋体"/>
          <w:szCs w:val="21"/>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投标人：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（盖单位章）</w:t>
      </w:r>
    </w:p>
    <w:p>
      <w:pPr>
        <w:rPr>
          <w:rFonts w:hint="eastAsia" w:ascii="新宋体" w:hAnsi="新宋体" w:eastAsia="新宋体" w:cs="新宋体"/>
          <w:sz w:val="28"/>
          <w:szCs w:val="28"/>
          <w:u w:val="single"/>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法定代表人或其委托代理人：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（签字或盖章）</w:t>
      </w:r>
    </w:p>
    <w:p>
      <w:pPr>
        <w:rPr>
          <w:rFonts w:hint="eastAsia" w:ascii="新宋体" w:hAnsi="新宋体" w:eastAsia="新宋体" w:cs="新宋体"/>
          <w:sz w:val="28"/>
          <w:szCs w:val="28"/>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日</w:t>
      </w:r>
    </w:p>
    <w:p>
      <w:pPr>
        <w:pStyle w:val="2"/>
        <w:ind w:firstLine="0" w:firstLineChars="0"/>
        <w:rPr>
          <w:rFonts w:hint="eastAsia" w:ascii="宋体" w:hAnsi="宋体"/>
          <w:sz w:val="22"/>
          <w:szCs w:val="22"/>
        </w:rPr>
      </w:pPr>
      <w:r>
        <w:rPr>
          <w:rFonts w:hint="eastAsia" w:ascii="宋体" w:hAnsi="宋体" w:cs="宋体"/>
        </w:rPr>
        <w:br w:type="page"/>
      </w:r>
    </w:p>
    <w:p>
      <w:pPr>
        <w:numPr>
          <w:ilvl w:val="0"/>
          <w:numId w:val="21"/>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针对评分细则，编制目录索引，注明评标细则项目所在投标文件页码，格式自拟</w:t>
      </w:r>
    </w:p>
    <w:p>
      <w:pPr>
        <w:numPr>
          <w:ilvl w:val="0"/>
          <w:numId w:val="21"/>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投标函</w:t>
      </w:r>
    </w:p>
    <w:p>
      <w:pPr>
        <w:numPr>
          <w:ilvl w:val="0"/>
          <w:numId w:val="21"/>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商务偏离表、技术偏离表</w:t>
      </w:r>
    </w:p>
    <w:p>
      <w:pPr>
        <w:numPr>
          <w:ilvl w:val="0"/>
          <w:numId w:val="21"/>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投标技术方案（以下内容格式自拟）</w:t>
      </w:r>
    </w:p>
    <w:p>
      <w:pPr>
        <w:numPr>
          <w:ilvl w:val="0"/>
          <w:numId w:val="22"/>
        </w:numPr>
        <w:spacing w:line="540" w:lineRule="exact"/>
        <w:ind w:firstLine="840"/>
        <w:rPr>
          <w:rFonts w:hint="eastAsia" w:ascii="新宋体" w:hAnsi="新宋体" w:eastAsia="新宋体" w:cs="新宋体"/>
          <w:sz w:val="22"/>
          <w:szCs w:val="22"/>
        </w:rPr>
      </w:pPr>
      <w:r>
        <w:rPr>
          <w:rFonts w:hint="eastAsia" w:ascii="新宋体" w:hAnsi="新宋体" w:eastAsia="新宋体" w:cs="新宋体"/>
          <w:sz w:val="22"/>
          <w:szCs w:val="22"/>
        </w:rPr>
        <w:t>制造商认证、业绩</w:t>
      </w:r>
    </w:p>
    <w:p>
      <w:pPr>
        <w:numPr>
          <w:ilvl w:val="0"/>
          <w:numId w:val="22"/>
        </w:numPr>
        <w:spacing w:line="540" w:lineRule="exact"/>
        <w:ind w:firstLine="840"/>
        <w:rPr>
          <w:rFonts w:hint="eastAsia" w:ascii="新宋体" w:hAnsi="新宋体" w:eastAsia="新宋体" w:cs="新宋体"/>
          <w:sz w:val="22"/>
          <w:szCs w:val="22"/>
        </w:rPr>
      </w:pPr>
      <w:r>
        <w:rPr>
          <w:rFonts w:hint="eastAsia" w:ascii="新宋体" w:hAnsi="新宋体" w:eastAsia="新宋体" w:cs="新宋体"/>
          <w:sz w:val="22"/>
          <w:szCs w:val="22"/>
        </w:rPr>
        <w:t>投标技术方案</w:t>
      </w:r>
    </w:p>
    <w:p>
      <w:pPr>
        <w:numPr>
          <w:ilvl w:val="0"/>
          <w:numId w:val="22"/>
        </w:numPr>
        <w:spacing w:line="540" w:lineRule="exact"/>
        <w:ind w:firstLine="840"/>
        <w:rPr>
          <w:rFonts w:hint="eastAsia" w:ascii="新宋体" w:hAnsi="新宋体" w:eastAsia="新宋体" w:cs="新宋体"/>
          <w:sz w:val="22"/>
          <w:szCs w:val="22"/>
        </w:rPr>
      </w:pPr>
      <w:r>
        <w:rPr>
          <w:rFonts w:hint="eastAsia" w:ascii="新宋体" w:hAnsi="新宋体" w:eastAsia="新宋体" w:cs="新宋体"/>
          <w:sz w:val="22"/>
          <w:szCs w:val="22"/>
        </w:rPr>
        <w:t>设备配置</w:t>
      </w:r>
    </w:p>
    <w:p>
      <w:pPr>
        <w:numPr>
          <w:ilvl w:val="0"/>
          <w:numId w:val="22"/>
        </w:numPr>
        <w:spacing w:line="540" w:lineRule="exact"/>
        <w:ind w:firstLine="840"/>
        <w:rPr>
          <w:rFonts w:hint="eastAsia" w:ascii="新宋体" w:hAnsi="新宋体" w:eastAsia="新宋体" w:cs="新宋体"/>
          <w:sz w:val="22"/>
          <w:szCs w:val="22"/>
        </w:rPr>
      </w:pPr>
      <w:r>
        <w:rPr>
          <w:rFonts w:hint="eastAsia" w:ascii="新宋体" w:hAnsi="新宋体" w:eastAsia="新宋体" w:cs="新宋体"/>
          <w:sz w:val="22"/>
          <w:szCs w:val="22"/>
        </w:rPr>
        <w:t>技术保障和系统验收保障</w:t>
      </w:r>
    </w:p>
    <w:p>
      <w:pPr>
        <w:numPr>
          <w:ilvl w:val="0"/>
          <w:numId w:val="21"/>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投标人自2017年1月1日以来同类项目业绩清单</w:t>
      </w:r>
    </w:p>
    <w:p>
      <w:pPr>
        <w:numPr>
          <w:ilvl w:val="0"/>
          <w:numId w:val="21"/>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资信证明文件（本部分为商务技术文件评分内容，各供应商参照评分标准根据自身情况提供）</w:t>
      </w:r>
    </w:p>
    <w:p>
      <w:pPr>
        <w:spacing w:line="460" w:lineRule="exact"/>
        <w:rPr>
          <w:rFonts w:hint="eastAsia" w:ascii="宋体" w:hAnsi="宋体"/>
          <w:b/>
          <w:bCs/>
          <w:sz w:val="22"/>
          <w:szCs w:val="22"/>
        </w:rPr>
      </w:pPr>
      <w:r>
        <w:rPr>
          <w:rFonts w:ascii="新宋体" w:hAnsi="新宋体" w:eastAsia="新宋体" w:cs="新宋体"/>
          <w:sz w:val="22"/>
          <w:szCs w:val="22"/>
        </w:rPr>
        <w:br w:type="page"/>
      </w:r>
      <w:r>
        <w:rPr>
          <w:rFonts w:hint="eastAsia" w:ascii="宋体" w:hAnsi="宋体"/>
          <w:b/>
          <w:bCs/>
          <w:sz w:val="22"/>
          <w:szCs w:val="22"/>
        </w:rPr>
        <w:t>附件一</w:t>
      </w:r>
    </w:p>
    <w:p>
      <w:pPr>
        <w:spacing w:line="460" w:lineRule="exact"/>
        <w:ind w:left="22" w:hanging="22" w:hangingChars="8"/>
        <w:jc w:val="center"/>
        <w:rPr>
          <w:rFonts w:hint="eastAsia" w:ascii="宋体" w:hAnsi="宋体"/>
          <w:b/>
          <w:bCs/>
          <w:sz w:val="28"/>
          <w:szCs w:val="28"/>
        </w:rPr>
      </w:pPr>
      <w:r>
        <w:rPr>
          <w:rFonts w:hint="eastAsia" w:ascii="宋体" w:hAnsi="宋体"/>
          <w:b/>
          <w:bCs/>
          <w:sz w:val="28"/>
          <w:szCs w:val="28"/>
        </w:rPr>
        <w:t>投 标 函</w:t>
      </w:r>
    </w:p>
    <w:p>
      <w:pPr>
        <w:spacing w:line="420" w:lineRule="exact"/>
        <w:rPr>
          <w:rFonts w:hint="eastAsia" w:ascii="宋体" w:hAnsi="宋体"/>
          <w:sz w:val="22"/>
          <w:szCs w:val="22"/>
        </w:rPr>
      </w:pPr>
      <w:r>
        <w:rPr>
          <w:rFonts w:hint="eastAsia" w:ascii="宋体" w:hAnsi="宋体"/>
          <w:sz w:val="22"/>
          <w:szCs w:val="22"/>
        </w:rPr>
        <w:t>中共温州市鹿城区委政法委员会：</w:t>
      </w:r>
    </w:p>
    <w:p>
      <w:pPr>
        <w:spacing w:line="420" w:lineRule="exact"/>
        <w:rPr>
          <w:rFonts w:hint="eastAsia" w:ascii="宋体" w:hAnsi="宋体"/>
          <w:sz w:val="22"/>
          <w:szCs w:val="22"/>
        </w:rPr>
      </w:pPr>
      <w:r>
        <w:rPr>
          <w:rFonts w:hint="eastAsia" w:ascii="宋体" w:hAnsi="宋体"/>
          <w:sz w:val="22"/>
          <w:szCs w:val="22"/>
        </w:rPr>
        <w:t>宁波国咨工程造价咨询有限公司：</w:t>
      </w:r>
    </w:p>
    <w:p>
      <w:pPr>
        <w:spacing w:line="420" w:lineRule="exact"/>
        <w:ind w:firstLine="440" w:firstLineChars="200"/>
        <w:rPr>
          <w:rFonts w:hint="eastAsia"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项目（项目编号：</w:t>
      </w:r>
      <w:r>
        <w:rPr>
          <w:rFonts w:hint="eastAsia" w:ascii="宋体" w:hAnsi="宋体"/>
          <w:sz w:val="22"/>
          <w:szCs w:val="22"/>
          <w:u w:val="single"/>
        </w:rPr>
        <w:t xml:space="preserve">        </w:t>
      </w:r>
      <w:r>
        <w:rPr>
          <w:rFonts w:hint="eastAsia" w:ascii="宋体" w:hAnsi="宋体"/>
          <w:sz w:val="22"/>
          <w:szCs w:val="22"/>
        </w:rPr>
        <w:t>）的投标邀请，我方</w:t>
      </w:r>
      <w:r>
        <w:rPr>
          <w:rFonts w:hint="eastAsia" w:ascii="宋体" w:hAnsi="宋体"/>
          <w:sz w:val="22"/>
          <w:szCs w:val="22"/>
          <w:u w:val="single"/>
        </w:rPr>
        <w:t xml:space="preserve">           　　</w:t>
      </w:r>
      <w:r>
        <w:rPr>
          <w:rFonts w:hint="eastAsia" w:ascii="宋体" w:hAnsi="宋体"/>
          <w:sz w:val="22"/>
          <w:szCs w:val="22"/>
        </w:rPr>
        <w:t>（投标人名称）作为投标人正式授权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（授权代表全名，职务）代表我方处理有关本项目投标的一切事宜。</w:t>
      </w:r>
    </w:p>
    <w:p>
      <w:pPr>
        <w:autoSpaceDE w:val="0"/>
        <w:autoSpaceDN w:val="0"/>
        <w:adjustRightInd w:val="0"/>
        <w:spacing w:line="420" w:lineRule="atLeast"/>
        <w:ind w:firstLine="440" w:firstLineChars="200"/>
        <w:rPr>
          <w:rFonts w:ascii="新宋体" w:hAnsi="Segoe UI Symbol" w:eastAsia="新宋体" w:cs="新宋体"/>
          <w:kern w:val="0"/>
          <w:sz w:val="22"/>
          <w:szCs w:val="22"/>
          <w:lang w:val="zh-CN"/>
        </w:rPr>
      </w:pPr>
      <w:r>
        <w:rPr>
          <w:rFonts w:hint="eastAsia" w:ascii="新宋体" w:hAnsi="Segoe UI Symbol" w:eastAsia="新宋体" w:cs="新宋体"/>
          <w:kern w:val="0"/>
          <w:sz w:val="22"/>
          <w:szCs w:val="22"/>
          <w:lang w:val="zh-CN"/>
        </w:rPr>
        <w:t>在此提交的投标文件中，包括如下内容，并已分别单独密封装袋：</w:t>
      </w:r>
    </w:p>
    <w:p>
      <w:pPr>
        <w:numPr>
          <w:ilvl w:val="0"/>
          <w:numId w:val="23"/>
        </w:numPr>
        <w:spacing w:line="420" w:lineRule="exact"/>
        <w:rPr>
          <w:rFonts w:hint="eastAsia" w:ascii="新宋体" w:hAnsi="新宋体" w:eastAsia="新宋体" w:cs="新宋体"/>
          <w:szCs w:val="21"/>
        </w:rPr>
      </w:pPr>
      <w:r>
        <w:rPr>
          <w:rFonts w:hint="eastAsia" w:ascii="新宋体" w:hAnsi="新宋体" w:eastAsia="新宋体" w:cs="新宋体"/>
          <w:sz w:val="22"/>
        </w:rPr>
        <w:t>按“投标人须知”要求编制的投标文件资格审查资料 ；</w:t>
      </w:r>
    </w:p>
    <w:p>
      <w:pPr>
        <w:numPr>
          <w:ilvl w:val="0"/>
          <w:numId w:val="23"/>
        </w:numPr>
        <w:spacing w:line="420" w:lineRule="exact"/>
        <w:rPr>
          <w:rFonts w:hint="eastAsia" w:ascii="新宋体" w:hAnsi="新宋体" w:eastAsia="新宋体" w:cs="新宋体"/>
          <w:szCs w:val="21"/>
        </w:rPr>
      </w:pPr>
      <w:r>
        <w:rPr>
          <w:rFonts w:hint="eastAsia" w:ascii="新宋体" w:hAnsi="新宋体" w:eastAsia="新宋体" w:cs="新宋体"/>
          <w:sz w:val="22"/>
        </w:rPr>
        <w:t>按“投标人须知”要求编制的投标文件商务商务技术文件 ；</w:t>
      </w:r>
    </w:p>
    <w:p>
      <w:pPr>
        <w:numPr>
          <w:ilvl w:val="0"/>
          <w:numId w:val="23"/>
        </w:numPr>
        <w:spacing w:line="420" w:lineRule="exact"/>
        <w:rPr>
          <w:rFonts w:hint="eastAsia" w:ascii="新宋体" w:hAnsi="新宋体" w:eastAsia="新宋体" w:cs="新宋体"/>
          <w:szCs w:val="21"/>
        </w:rPr>
      </w:pPr>
      <w:r>
        <w:rPr>
          <w:rFonts w:hint="eastAsia" w:ascii="新宋体" w:hAnsi="新宋体" w:eastAsia="新宋体" w:cs="新宋体"/>
          <w:sz w:val="22"/>
        </w:rPr>
        <w:t>按“投标人须知”要求编制的投标文件投标报价标 。</w:t>
      </w:r>
    </w:p>
    <w:p>
      <w:pPr>
        <w:autoSpaceDE w:val="0"/>
        <w:autoSpaceDN w:val="0"/>
        <w:adjustRightInd w:val="0"/>
        <w:spacing w:line="420" w:lineRule="atLeast"/>
        <w:ind w:firstLine="440"/>
        <w:rPr>
          <w:rFonts w:ascii="新宋体" w:hAnsi="Segoe UI Symbol" w:eastAsia="新宋体" w:cs="新宋体"/>
          <w:kern w:val="0"/>
          <w:sz w:val="22"/>
          <w:szCs w:val="22"/>
          <w:lang w:val="zh-CN"/>
        </w:rPr>
      </w:pPr>
      <w:r>
        <w:rPr>
          <w:rFonts w:hint="eastAsia" w:ascii="新宋体" w:hAnsi="Segoe UI Symbol" w:eastAsia="新宋体" w:cs="新宋体"/>
          <w:kern w:val="0"/>
          <w:sz w:val="22"/>
          <w:szCs w:val="22"/>
          <w:lang w:val="zh-CN"/>
        </w:rPr>
        <w:t>我方己完全明白采购文件的所有条款要求，并重申以下几点：</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同意提供按照贵方可能要求的与投标有关的一切数据或资料等。若贵方需要，我方愿意提供我方作出的一切承诺的证明材料。</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如中标，保证按照采购文件要求及投标文件的承诺与采购人签订合同，保证履行合同条款。</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同意在采购文件中供应商须知规定的开标日期起遵守本投标书中的承诺且在投标有效期满之前均具有约束力。</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如果在开标后规定的投标有效期内撤回投标，我方接受贵方处罚。</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完全理解贵方不一定要接受最低价的投标。</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在参加本项目前三年内（被通报或者处罚的违法行为有：</w:t>
      </w:r>
      <w:r>
        <w:rPr>
          <w:rFonts w:hint="eastAsia" w:ascii="新宋体" w:hAnsi="新宋体" w:eastAsia="新宋体" w:cs="新宋体"/>
          <w:sz w:val="22"/>
          <w:u w:val="single"/>
        </w:rPr>
        <w:t xml:space="preserve">                  </w:t>
      </w:r>
      <w:r>
        <w:rPr>
          <w:rFonts w:hint="eastAsia" w:ascii="新宋体" w:hAnsi="新宋体" w:eastAsia="新宋体" w:cs="新宋体"/>
          <w:sz w:val="22"/>
        </w:rPr>
        <w:t>）或（没有因违法经营受到刑事处罚或者责令停产停业、吊销许可证或者执照、较大数额罚款等行政处罚或处罚）或（在</w:t>
      </w:r>
      <w:r>
        <w:rPr>
          <w:rFonts w:hint="eastAsia" w:ascii="新宋体" w:hAnsi="新宋体" w:eastAsia="新宋体" w:cs="新宋体"/>
          <w:sz w:val="22"/>
          <w:u w:val="single"/>
        </w:rPr>
        <w:t xml:space="preserve">  </w:t>
      </w:r>
      <w:r>
        <w:rPr>
          <w:rFonts w:hint="eastAsia" w:ascii="新宋体" w:hAnsi="新宋体" w:eastAsia="新宋体" w:cs="新宋体"/>
          <w:sz w:val="22"/>
        </w:rPr>
        <w:t>至</w:t>
      </w:r>
      <w:r>
        <w:rPr>
          <w:rFonts w:hint="eastAsia" w:ascii="新宋体" w:hAnsi="新宋体" w:eastAsia="新宋体" w:cs="新宋体"/>
          <w:sz w:val="22"/>
          <w:u w:val="single"/>
        </w:rPr>
        <w:t xml:space="preserve">  </w:t>
      </w:r>
      <w:r>
        <w:rPr>
          <w:rFonts w:hint="eastAsia" w:ascii="新宋体" w:hAnsi="新宋体" w:eastAsia="新宋体" w:cs="新宋体"/>
          <w:sz w:val="22"/>
        </w:rPr>
        <w:t>期间禁止参加政府采购活动但是期限届满，须附相关证明文件）</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在投标截止前（未被“信用中国”网站(</w:t>
      </w:r>
      <w:r>
        <w:rPr>
          <w:rFonts w:hint="eastAsia" w:ascii="新宋体" w:hAnsi="新宋体" w:eastAsia="新宋体" w:cs="新宋体"/>
        </w:rPr>
        <w:fldChar w:fldCharType="begin"/>
      </w:r>
      <w:r>
        <w:rPr>
          <w:rFonts w:hint="eastAsia" w:ascii="新宋体" w:hAnsi="新宋体" w:eastAsia="新宋体" w:cs="新宋体"/>
        </w:rPr>
        <w:instrText xml:space="preserve"> HYPERLINK "http://www.creditchina.gov.cn" </w:instrText>
      </w:r>
      <w:r>
        <w:rPr>
          <w:rFonts w:hint="eastAsia" w:ascii="新宋体" w:hAnsi="新宋体" w:eastAsia="新宋体" w:cs="新宋体"/>
        </w:rPr>
        <w:fldChar w:fldCharType="separate"/>
      </w:r>
      <w:r>
        <w:rPr>
          <w:rFonts w:hint="eastAsia" w:ascii="新宋体" w:hAnsi="新宋体" w:eastAsia="新宋体" w:cs="新宋体"/>
          <w:sz w:val="22"/>
        </w:rPr>
        <w:t>www.creditchina.gov.cn</w:t>
      </w:r>
      <w:r>
        <w:rPr>
          <w:rFonts w:hint="eastAsia" w:ascii="新宋体" w:hAnsi="新宋体" w:eastAsia="新宋体" w:cs="新宋体"/>
          <w:sz w:val="22"/>
        </w:rPr>
        <w:fldChar w:fldCharType="end"/>
      </w:r>
      <w:r>
        <w:rPr>
          <w:rFonts w:hint="eastAsia" w:ascii="新宋体" w:hAnsi="新宋体" w:eastAsia="新宋体" w:cs="新宋体"/>
          <w:sz w:val="22"/>
        </w:rPr>
        <w:t>)列入失信被执行人、重大税收违法案件当事人名单；未被“中国政府采购网”(</w:t>
      </w:r>
      <w:r>
        <w:rPr>
          <w:rFonts w:hint="eastAsia" w:ascii="新宋体" w:hAnsi="新宋体" w:eastAsia="新宋体" w:cs="新宋体"/>
        </w:rPr>
        <w:fldChar w:fldCharType="begin"/>
      </w:r>
      <w:r>
        <w:rPr>
          <w:rFonts w:hint="eastAsia" w:ascii="新宋体" w:hAnsi="新宋体" w:eastAsia="新宋体" w:cs="新宋体"/>
        </w:rPr>
        <w:instrText xml:space="preserve"> HYPERLINK "http://www.ccgp.gov.cn" </w:instrText>
      </w:r>
      <w:r>
        <w:rPr>
          <w:rFonts w:hint="eastAsia" w:ascii="新宋体" w:hAnsi="新宋体" w:eastAsia="新宋体" w:cs="新宋体"/>
        </w:rPr>
        <w:fldChar w:fldCharType="separate"/>
      </w:r>
      <w:r>
        <w:rPr>
          <w:rFonts w:hint="eastAsia" w:ascii="新宋体" w:hAnsi="新宋体" w:eastAsia="新宋体" w:cs="新宋体"/>
          <w:sz w:val="22"/>
        </w:rPr>
        <w:t>www.ccgp.gov.cn</w:t>
      </w:r>
      <w:r>
        <w:rPr>
          <w:rFonts w:hint="eastAsia" w:ascii="新宋体" w:hAnsi="新宋体" w:eastAsia="新宋体" w:cs="新宋体"/>
          <w:sz w:val="22"/>
        </w:rPr>
        <w:fldChar w:fldCharType="end"/>
      </w:r>
      <w:r>
        <w:rPr>
          <w:rFonts w:hint="eastAsia" w:ascii="新宋体" w:hAnsi="新宋体" w:eastAsia="新宋体" w:cs="新宋体"/>
          <w:sz w:val="22"/>
        </w:rPr>
        <w:t>)列入政府采购严重违法失信行为记录名单。）或（被“信用中国”或“中国政府采购网”列入……名单。）</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单位、法定代表人（单位负责人）、本项目被授权人及本项目负责人在参加本项目前三年内（以法院判决书生效日期为准）均无行贿犯罪记录。</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新宋体" w:hAnsi="新宋体" w:eastAsia="新宋体" w:cs="新宋体"/>
          <w:sz w:val="22"/>
        </w:rPr>
      </w:pPr>
      <w:r>
        <w:rPr>
          <w:rFonts w:hint="eastAsia" w:ascii="新宋体" w:hAnsi="新宋体" w:eastAsia="新宋体" w:cs="新宋体"/>
          <w:sz w:val="22"/>
        </w:rPr>
        <w:t>(1)提供虚假材料（承诺）谋取中标、成交的；</w:t>
      </w:r>
    </w:p>
    <w:p>
      <w:pPr>
        <w:spacing w:line="420" w:lineRule="exact"/>
        <w:ind w:firstLine="440" w:firstLineChars="200"/>
        <w:rPr>
          <w:rFonts w:hint="eastAsia" w:ascii="新宋体" w:hAnsi="新宋体" w:eastAsia="新宋体" w:cs="新宋体"/>
          <w:sz w:val="22"/>
        </w:rPr>
      </w:pPr>
      <w:r>
        <w:rPr>
          <w:rFonts w:hint="eastAsia" w:ascii="新宋体" w:hAnsi="新宋体" w:eastAsia="新宋体" w:cs="新宋体"/>
          <w:sz w:val="22"/>
        </w:rPr>
        <w:t>(2)采取不正当手段诋毁、排挤其他供应商的；</w:t>
      </w:r>
    </w:p>
    <w:p>
      <w:pPr>
        <w:spacing w:line="420" w:lineRule="exact"/>
        <w:ind w:firstLine="440" w:firstLineChars="200"/>
        <w:rPr>
          <w:rFonts w:hint="eastAsia" w:ascii="新宋体" w:hAnsi="新宋体" w:eastAsia="新宋体" w:cs="新宋体"/>
          <w:sz w:val="22"/>
        </w:rPr>
      </w:pPr>
      <w:r>
        <w:rPr>
          <w:rFonts w:hint="eastAsia" w:ascii="新宋体" w:hAnsi="新宋体" w:eastAsia="新宋体" w:cs="新宋体"/>
          <w:sz w:val="22"/>
        </w:rPr>
        <w:t>(3)与采购人、其它供应商或者采购代理机构恶意串通的；</w:t>
      </w:r>
    </w:p>
    <w:p>
      <w:pPr>
        <w:spacing w:line="420" w:lineRule="exact"/>
        <w:ind w:firstLine="440" w:firstLineChars="200"/>
        <w:rPr>
          <w:rFonts w:hint="eastAsia" w:ascii="新宋体" w:hAnsi="新宋体" w:eastAsia="新宋体" w:cs="新宋体"/>
          <w:sz w:val="22"/>
        </w:rPr>
      </w:pPr>
      <w:r>
        <w:rPr>
          <w:rFonts w:hint="eastAsia" w:ascii="新宋体" w:hAnsi="新宋体" w:eastAsia="新宋体" w:cs="新宋体"/>
          <w:sz w:val="22"/>
        </w:rPr>
        <w:t>(4)向采购人、采购代理机构行贿或者提供其他不正当利益的；</w:t>
      </w:r>
    </w:p>
    <w:p>
      <w:pPr>
        <w:spacing w:line="420" w:lineRule="exact"/>
        <w:ind w:firstLine="440" w:firstLineChars="200"/>
        <w:rPr>
          <w:rFonts w:hint="eastAsia" w:ascii="新宋体" w:hAnsi="新宋体" w:eastAsia="新宋体" w:cs="新宋体"/>
          <w:sz w:val="22"/>
        </w:rPr>
      </w:pPr>
      <w:r>
        <w:rPr>
          <w:rFonts w:hint="eastAsia" w:ascii="新宋体" w:hAnsi="新宋体" w:eastAsia="新宋体" w:cs="新宋体"/>
          <w:sz w:val="22"/>
        </w:rPr>
        <w:t>(5)在招标采购过程中与采购人进行协商谈判的；</w:t>
      </w:r>
    </w:p>
    <w:p>
      <w:pPr>
        <w:spacing w:line="420" w:lineRule="exact"/>
        <w:ind w:firstLine="440" w:firstLineChars="200"/>
        <w:rPr>
          <w:rFonts w:hint="eastAsia" w:ascii="新宋体" w:hAnsi="新宋体" w:eastAsia="新宋体" w:cs="新宋体"/>
          <w:sz w:val="22"/>
        </w:rPr>
      </w:pPr>
      <w:r>
        <w:rPr>
          <w:rFonts w:hint="eastAsia" w:ascii="新宋体" w:hAnsi="新宋体" w:eastAsia="新宋体" w:cs="新宋体"/>
          <w:sz w:val="22"/>
        </w:rPr>
        <w:t>(6)拒绝有关部门监督检查或提供虚假情况的。</w:t>
      </w:r>
    </w:p>
    <w:p>
      <w:pPr>
        <w:numPr>
          <w:ilvl w:val="0"/>
          <w:numId w:val="24"/>
        </w:numPr>
        <w:spacing w:line="420" w:lineRule="exact"/>
        <w:rPr>
          <w:rFonts w:hint="eastAsia" w:ascii="新宋体" w:hAnsi="新宋体" w:eastAsia="新宋体" w:cs="新宋体"/>
          <w:sz w:val="22"/>
        </w:rPr>
      </w:pPr>
      <w:r>
        <w:rPr>
          <w:rFonts w:hint="eastAsia" w:ascii="新宋体" w:hAnsi="新宋体" w:eastAsia="新宋体" w:cs="新宋体"/>
          <w:sz w:val="22"/>
        </w:rPr>
        <w:t>所有与本投标有关的函件请发往下列地址：</w:t>
      </w:r>
    </w:p>
    <w:p>
      <w:pPr>
        <w:spacing w:line="420" w:lineRule="exact"/>
        <w:ind w:firstLine="435"/>
        <w:rPr>
          <w:rFonts w:hint="eastAsia" w:ascii="新宋体" w:hAnsi="新宋体" w:eastAsia="新宋体" w:cs="新宋体"/>
          <w:sz w:val="22"/>
          <w:szCs w:val="22"/>
        </w:rPr>
      </w:pPr>
      <w:r>
        <w:rPr>
          <w:rFonts w:hint="eastAsia" w:ascii="新宋体" w:hAnsi="新宋体" w:eastAsia="新宋体" w:cs="新宋体"/>
          <w:sz w:val="22"/>
          <w:szCs w:val="22"/>
        </w:rPr>
        <w:t xml:space="preserve">   地址</w:t>
      </w:r>
      <w:r>
        <w:rPr>
          <w:rFonts w:hint="eastAsia" w:ascii="新宋体" w:hAnsi="新宋体" w:eastAsia="新宋体" w:cs="新宋体"/>
          <w:sz w:val="22"/>
          <w:szCs w:val="22"/>
          <w:u w:val="single"/>
        </w:rPr>
        <w:t xml:space="preserve">                           </w:t>
      </w:r>
    </w:p>
    <w:p>
      <w:pPr>
        <w:spacing w:line="420" w:lineRule="exact"/>
        <w:ind w:firstLine="435"/>
        <w:rPr>
          <w:rFonts w:hint="eastAsia" w:ascii="新宋体" w:hAnsi="新宋体" w:eastAsia="新宋体" w:cs="新宋体"/>
          <w:sz w:val="22"/>
          <w:szCs w:val="22"/>
        </w:rPr>
      </w:pPr>
      <w:r>
        <w:rPr>
          <w:rFonts w:hint="eastAsia" w:ascii="新宋体" w:hAnsi="新宋体" w:eastAsia="新宋体" w:cs="新宋体"/>
          <w:sz w:val="22"/>
          <w:szCs w:val="22"/>
        </w:rPr>
        <w:t xml:space="preserve">   电话</w:t>
      </w:r>
      <w:r>
        <w:rPr>
          <w:rFonts w:hint="eastAsia" w:ascii="新宋体" w:hAnsi="新宋体" w:eastAsia="新宋体" w:cs="新宋体"/>
          <w:sz w:val="22"/>
          <w:szCs w:val="22"/>
          <w:u w:val="single"/>
        </w:rPr>
        <w:t xml:space="preserve">                           </w:t>
      </w:r>
    </w:p>
    <w:p>
      <w:pPr>
        <w:spacing w:line="420" w:lineRule="exact"/>
        <w:ind w:firstLine="435"/>
        <w:rPr>
          <w:rFonts w:hint="eastAsia" w:ascii="新宋体" w:hAnsi="新宋体" w:eastAsia="新宋体" w:cs="新宋体"/>
          <w:sz w:val="22"/>
          <w:szCs w:val="22"/>
          <w:u w:val="single"/>
        </w:rPr>
      </w:pPr>
      <w:r>
        <w:rPr>
          <w:rFonts w:hint="eastAsia" w:ascii="新宋体" w:hAnsi="新宋体" w:eastAsia="新宋体" w:cs="新宋体"/>
          <w:sz w:val="22"/>
          <w:szCs w:val="22"/>
        </w:rPr>
        <w:t xml:space="preserve">   传真</w:t>
      </w:r>
      <w:r>
        <w:rPr>
          <w:rFonts w:hint="eastAsia" w:ascii="新宋体" w:hAnsi="新宋体" w:eastAsia="新宋体" w:cs="新宋体"/>
          <w:sz w:val="22"/>
          <w:szCs w:val="22"/>
          <w:u w:val="single"/>
        </w:rPr>
        <w:t xml:space="preserve">                           </w:t>
      </w:r>
    </w:p>
    <w:p>
      <w:pPr>
        <w:spacing w:line="420" w:lineRule="exact"/>
        <w:ind w:firstLine="770" w:firstLineChars="350"/>
        <w:rPr>
          <w:rFonts w:hint="eastAsia" w:ascii="宋体" w:hAnsi="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pPr>
        <w:spacing w:line="420" w:lineRule="exact"/>
        <w:ind w:firstLine="4620"/>
        <w:rPr>
          <w:rFonts w:hint="eastAsia" w:ascii="新宋体" w:hAnsi="新宋体" w:eastAsia="新宋体" w:cs="hakuyoxingshu7000"/>
          <w:sz w:val="22"/>
          <w:szCs w:val="22"/>
        </w:rPr>
      </w:pPr>
      <w:r>
        <w:rPr>
          <w:rFonts w:hint="eastAsia" w:ascii="新宋体" w:hAnsi="新宋体" w:eastAsia="新宋体" w:cs="hakuyoxingshu7000"/>
          <w:sz w:val="22"/>
          <w:szCs w:val="22"/>
        </w:rPr>
        <w:t>投标人名称（盖章）</w:t>
      </w:r>
      <w:r>
        <w:rPr>
          <w:rFonts w:hint="eastAsia" w:ascii="新宋体" w:hAnsi="新宋体" w:eastAsia="新宋体" w:cs="hakuyoxingshu7000"/>
          <w:sz w:val="22"/>
          <w:szCs w:val="22"/>
          <w:u w:val="single"/>
        </w:rPr>
        <w:t xml:space="preserve">                  </w:t>
      </w:r>
    </w:p>
    <w:p>
      <w:pPr>
        <w:spacing w:line="420" w:lineRule="exact"/>
        <w:ind w:firstLine="4620"/>
        <w:rPr>
          <w:rFonts w:hint="eastAsia" w:ascii="新宋体" w:hAnsi="新宋体" w:eastAsia="新宋体" w:cs="hakuyoxingshu7000"/>
          <w:sz w:val="22"/>
          <w:szCs w:val="22"/>
        </w:rPr>
      </w:pPr>
      <w:r>
        <w:rPr>
          <w:rFonts w:hint="eastAsia" w:ascii="新宋体" w:hAnsi="新宋体" w:eastAsia="新宋体" w:cs="hakuyoxingshu7000"/>
          <w:sz w:val="22"/>
          <w:szCs w:val="22"/>
        </w:rPr>
        <w:t>投标人代表（签字）</w:t>
      </w:r>
      <w:r>
        <w:rPr>
          <w:rFonts w:hint="eastAsia" w:ascii="新宋体" w:hAnsi="新宋体" w:eastAsia="新宋体" w:cs="hakuyoxingshu7000"/>
          <w:sz w:val="22"/>
          <w:szCs w:val="22"/>
          <w:u w:val="single"/>
        </w:rPr>
        <w:t xml:space="preserve">                   </w:t>
      </w:r>
    </w:p>
    <w:p>
      <w:pPr>
        <w:spacing w:line="460" w:lineRule="exact"/>
        <w:ind w:firstLine="4620"/>
        <w:rPr>
          <w:rFonts w:hint="eastAsia" w:ascii="新宋体" w:hAnsi="新宋体" w:eastAsia="新宋体" w:cs="hakuyoxingshu7000"/>
          <w:sz w:val="22"/>
          <w:szCs w:val="22"/>
          <w:u w:val="single"/>
        </w:rPr>
      </w:pPr>
      <w:r>
        <w:rPr>
          <w:rFonts w:hint="eastAsia" w:ascii="新宋体" w:hAnsi="新宋体" w:eastAsia="新宋体" w:cs="hakuyoxingshu7000"/>
          <w:sz w:val="22"/>
          <w:szCs w:val="22"/>
        </w:rPr>
        <w:t>日    期</w:t>
      </w:r>
      <w:r>
        <w:rPr>
          <w:rFonts w:hint="eastAsia" w:ascii="新宋体" w:hAnsi="新宋体" w:eastAsia="新宋体" w:cs="hakuyoxingshu7000"/>
          <w:sz w:val="22"/>
          <w:szCs w:val="22"/>
          <w:u w:val="single"/>
        </w:rPr>
        <w:t xml:space="preserve">           </w:t>
      </w:r>
    </w:p>
    <w:p>
      <w:pPr>
        <w:spacing w:line="460" w:lineRule="exact"/>
        <w:ind w:firstLine="4620"/>
        <w:rPr>
          <w:rFonts w:hint="eastAsia" w:ascii="新宋体" w:hAnsi="新宋体" w:eastAsia="新宋体" w:cs="hakuyoxingshu7000"/>
          <w:sz w:val="22"/>
          <w:szCs w:val="22"/>
          <w:u w:val="single"/>
        </w:rPr>
      </w:pPr>
    </w:p>
    <w:p>
      <w:pPr>
        <w:spacing w:line="460" w:lineRule="exact"/>
        <w:rPr>
          <w:rFonts w:hint="eastAsia" w:ascii="新宋体" w:hAnsi="新宋体" w:eastAsia="新宋体"/>
          <w:b/>
          <w:sz w:val="22"/>
          <w:szCs w:val="22"/>
          <w:u w:val="single"/>
        </w:rPr>
      </w:pPr>
      <w:r>
        <w:rPr>
          <w:rFonts w:hint="eastAsia" w:ascii="宋体"/>
          <w:b/>
          <w:sz w:val="22"/>
          <w:szCs w:val="22"/>
          <w:u w:val="single"/>
        </w:rPr>
        <w:t>备注：</w:t>
      </w:r>
      <w:r>
        <w:rPr>
          <w:rFonts w:hint="eastAsia" w:ascii="新宋体" w:hAnsi="新宋体" w:eastAsia="新宋体"/>
          <w:b/>
          <w:sz w:val="22"/>
          <w:szCs w:val="22"/>
          <w:u w:val="single"/>
        </w:rPr>
        <w:t>不提供投标函的投标文件将被视为未实质性响应采购文件。</w:t>
      </w:r>
    </w:p>
    <w:p>
      <w:pPr>
        <w:spacing w:line="460" w:lineRule="exact"/>
        <w:ind w:firstLine="435"/>
        <w:rPr>
          <w:rFonts w:hint="eastAsia" w:ascii="新宋体" w:hAnsi="新宋体" w:eastAsia="新宋体"/>
          <w:b/>
          <w:sz w:val="22"/>
          <w:szCs w:val="22"/>
          <w:u w:val="single"/>
        </w:rPr>
      </w:pPr>
    </w:p>
    <w:p>
      <w:pPr>
        <w:spacing w:line="460" w:lineRule="exact"/>
        <w:rPr>
          <w:rFonts w:hint="eastAsia" w:ascii="新宋体" w:hAnsi="新宋体" w:eastAsia="新宋体"/>
          <w:b/>
          <w:bCs/>
          <w:sz w:val="22"/>
          <w:szCs w:val="22"/>
        </w:rPr>
      </w:pPr>
      <w:r>
        <w:rPr>
          <w:rFonts w:hint="eastAsia" w:ascii="新宋体" w:hAnsi="新宋体" w:eastAsia="新宋体"/>
          <w:b/>
          <w:sz w:val="22"/>
          <w:szCs w:val="22"/>
          <w:u w:val="single"/>
        </w:rPr>
        <w:br w:type="page"/>
      </w:r>
      <w:r>
        <w:rPr>
          <w:rFonts w:hint="eastAsia" w:ascii="新宋体" w:hAnsi="新宋体" w:eastAsia="新宋体"/>
          <w:b/>
          <w:bCs/>
          <w:sz w:val="22"/>
          <w:szCs w:val="22"/>
        </w:rPr>
        <w:t>附件二</w:t>
      </w:r>
    </w:p>
    <w:p>
      <w:pPr>
        <w:autoSpaceDE w:val="0"/>
        <w:autoSpaceDN w:val="0"/>
        <w:adjustRightInd w:val="0"/>
        <w:spacing w:line="360" w:lineRule="exact"/>
        <w:jc w:val="center"/>
        <w:rPr>
          <w:rFonts w:hint="eastAsia" w:ascii="新宋体" w:hAnsi="新宋体" w:eastAsia="新宋体" w:cs="新宋体"/>
          <w:sz w:val="32"/>
          <w:szCs w:val="32"/>
        </w:rPr>
      </w:pPr>
      <w:r>
        <w:rPr>
          <w:rFonts w:hint="eastAsia" w:ascii="新宋体" w:hAnsi="新宋体" w:eastAsia="新宋体" w:cs="新宋体"/>
          <w:sz w:val="32"/>
          <w:szCs w:val="32"/>
        </w:rPr>
        <w:t>商务偏离表</w:t>
      </w:r>
    </w:p>
    <w:p>
      <w:pPr>
        <w:autoSpaceDE w:val="0"/>
        <w:autoSpaceDN w:val="0"/>
        <w:adjustRightInd w:val="0"/>
        <w:spacing w:line="360" w:lineRule="exact"/>
        <w:ind w:firstLine="3413"/>
        <w:rPr>
          <w:rFonts w:hint="eastAsia" w:ascii="宋体"/>
          <w:sz w:val="32"/>
          <w:lang w:val="zh-CN"/>
        </w:rPr>
      </w:pPr>
      <w:r>
        <w:rPr>
          <w:rFonts w:hint="eastAsia" w:ascii="宋体"/>
          <w:sz w:val="32"/>
          <w:lang w:val="zh-CN"/>
        </w:rPr>
        <w:t xml:space="preserve">      </w:t>
      </w:r>
    </w:p>
    <w:tbl>
      <w:tblPr>
        <w:tblStyle w:val="5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wBefore w:w="0" w:type="dxa"/>
          <w:wAfter w:w="0" w:type="dxa"/>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4"/>
                <w:lang w:val="zh-CN"/>
              </w:rPr>
            </w:pPr>
            <w:r>
              <w:rPr>
                <w:rFonts w:hint="eastAsia" w:ascii="宋体"/>
                <w:b/>
                <w:sz w:val="24"/>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4"/>
                <w:lang w:val="zh-CN"/>
              </w:rPr>
            </w:pPr>
            <w:r>
              <w:rPr>
                <w:rFonts w:hint="eastAsia" w:ascii="宋体"/>
                <w:b/>
                <w:sz w:val="24"/>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4"/>
                <w:lang w:val="zh-CN"/>
              </w:rPr>
            </w:pPr>
            <w:r>
              <w:rPr>
                <w:rFonts w:hint="eastAsia" w:ascii="宋体"/>
                <w:b/>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4"/>
                <w:lang w:val="zh-CN"/>
              </w:rPr>
            </w:pPr>
            <w:r>
              <w:rPr>
                <w:rFonts w:hint="eastAsia" w:ascii="宋体"/>
                <w:b/>
                <w:sz w:val="24"/>
                <w:lang w:val="zh-CN"/>
              </w:rPr>
              <w:t>投标文件</w:t>
            </w:r>
          </w:p>
          <w:p>
            <w:pPr>
              <w:autoSpaceDE w:val="0"/>
              <w:autoSpaceDN w:val="0"/>
              <w:adjustRightInd w:val="0"/>
              <w:spacing w:line="360" w:lineRule="exact"/>
              <w:jc w:val="center"/>
              <w:rPr>
                <w:rFonts w:hint="eastAsia" w:ascii="宋体"/>
                <w:b/>
                <w:sz w:val="24"/>
                <w:lang w:val="zh-CN"/>
              </w:rPr>
            </w:pPr>
            <w:r>
              <w:rPr>
                <w:rFonts w:hint="eastAsia" w:ascii="宋体"/>
                <w:b/>
                <w:sz w:val="24"/>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4"/>
                <w:lang w:val="zh-CN"/>
              </w:rPr>
            </w:pPr>
            <w:r>
              <w:rPr>
                <w:rFonts w:hint="eastAsia" w:ascii="宋体"/>
                <w:b/>
                <w:sz w:val="24"/>
                <w:lang w:val="zh-CN"/>
              </w:rPr>
              <w:t>备 注</w:t>
            </w: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r>
        <w:tblPrEx>
          <w:tblCellMar>
            <w:top w:w="0" w:type="dxa"/>
            <w:left w:w="108" w:type="dxa"/>
            <w:bottom w:w="0" w:type="dxa"/>
            <w:right w:w="108" w:type="dxa"/>
          </w:tblCellMar>
        </w:tblPrEx>
        <w:trPr>
          <w:wBefore w:w="0" w:type="dxa"/>
          <w:wAfter w:w="0" w:type="dxa"/>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4"/>
                <w:lang w:val="zh-CN"/>
              </w:rPr>
            </w:pPr>
          </w:p>
        </w:tc>
      </w:tr>
    </w:tbl>
    <w:p>
      <w:pPr>
        <w:autoSpaceDE w:val="0"/>
        <w:autoSpaceDN w:val="0"/>
        <w:adjustRightInd w:val="0"/>
        <w:spacing w:line="360" w:lineRule="exact"/>
        <w:rPr>
          <w:rFonts w:hint="eastAsia" w:ascii="宋体"/>
          <w:b/>
          <w:sz w:val="24"/>
          <w:lang w:val="zh-CN"/>
        </w:rPr>
      </w:pPr>
      <w:r>
        <w:rPr>
          <w:rFonts w:hint="eastAsia" w:ascii="宋体"/>
          <w:b/>
          <w:sz w:val="24"/>
          <w:lang w:val="zh-CN"/>
        </w:rPr>
        <w:t>供应商盖章：</w:t>
      </w:r>
      <w:r>
        <w:rPr>
          <w:rFonts w:hint="eastAsia" w:ascii="宋体"/>
          <w:b/>
          <w:sz w:val="24"/>
          <w:u w:val="single"/>
          <w:lang w:val="zh-CN"/>
        </w:rPr>
        <w:t xml:space="preserve">              </w:t>
      </w:r>
      <w:r>
        <w:rPr>
          <w:rFonts w:hint="eastAsia" w:ascii="宋体"/>
          <w:b/>
          <w:sz w:val="24"/>
          <w:lang w:val="zh-CN"/>
        </w:rPr>
        <w:t xml:space="preserve">  </w:t>
      </w:r>
    </w:p>
    <w:p>
      <w:pPr>
        <w:autoSpaceDE w:val="0"/>
        <w:autoSpaceDN w:val="0"/>
        <w:adjustRightInd w:val="0"/>
        <w:spacing w:line="360" w:lineRule="exact"/>
        <w:rPr>
          <w:rFonts w:hint="eastAsia" w:ascii="宋体"/>
          <w:b/>
          <w:szCs w:val="21"/>
          <w:lang w:val="zh-CN"/>
        </w:rPr>
      </w:pPr>
    </w:p>
    <w:p>
      <w:pPr>
        <w:autoSpaceDE w:val="0"/>
        <w:autoSpaceDN w:val="0"/>
        <w:adjustRightInd w:val="0"/>
        <w:spacing w:line="360" w:lineRule="exact"/>
        <w:jc w:val="center"/>
        <w:rPr>
          <w:rFonts w:hint="eastAsia" w:ascii="新宋体" w:hAnsi="新宋体" w:eastAsia="新宋体" w:cs="新宋体"/>
          <w:sz w:val="32"/>
          <w:szCs w:val="32"/>
        </w:rPr>
      </w:pPr>
      <w:r>
        <w:rPr>
          <w:rFonts w:hint="eastAsia" w:ascii="新宋体" w:hAnsi="新宋体" w:eastAsia="新宋体" w:cs="新宋体"/>
          <w:sz w:val="32"/>
          <w:szCs w:val="32"/>
        </w:rPr>
        <w:t>技术偏离表</w:t>
      </w:r>
    </w:p>
    <w:p>
      <w:pPr>
        <w:pStyle w:val="3"/>
        <w:rPr>
          <w:rFonts w:hint="eastAsia"/>
        </w:rPr>
      </w:pPr>
    </w:p>
    <w:tbl>
      <w:tblPr>
        <w:tblStyle w:val="5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wBefore w:w="0" w:type="dxa"/>
          <w:wAfter w:w="0" w:type="dxa"/>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2"/>
                <w:lang w:val="zh-CN"/>
              </w:rPr>
            </w:pPr>
            <w:r>
              <w:rPr>
                <w:rFonts w:hint="eastAsia" w:ascii="宋体"/>
                <w:b/>
                <w:sz w:val="22"/>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2"/>
                <w:lang w:val="zh-CN"/>
              </w:rPr>
            </w:pPr>
            <w:r>
              <w:rPr>
                <w:rFonts w:hint="eastAsia" w:ascii="宋体"/>
                <w:b/>
                <w:sz w:val="22"/>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2"/>
                <w:lang w:val="zh-CN"/>
              </w:rPr>
            </w:pPr>
            <w:r>
              <w:rPr>
                <w:rFonts w:hint="eastAsia" w:ascii="宋体"/>
                <w:b/>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2"/>
                <w:lang w:val="zh-CN"/>
              </w:rPr>
            </w:pPr>
            <w:r>
              <w:rPr>
                <w:rFonts w:hint="eastAsia" w:ascii="宋体"/>
                <w:b/>
                <w:sz w:val="22"/>
                <w:lang w:val="zh-CN"/>
              </w:rPr>
              <w:t>投标文件</w:t>
            </w:r>
          </w:p>
          <w:p>
            <w:pPr>
              <w:autoSpaceDE w:val="0"/>
              <w:autoSpaceDN w:val="0"/>
              <w:adjustRightInd w:val="0"/>
              <w:spacing w:line="360" w:lineRule="exact"/>
              <w:jc w:val="center"/>
              <w:rPr>
                <w:rFonts w:hint="eastAsia" w:ascii="宋体"/>
                <w:b/>
                <w:sz w:val="22"/>
                <w:lang w:val="zh-CN"/>
              </w:rPr>
            </w:pPr>
            <w:r>
              <w:rPr>
                <w:rFonts w:hint="eastAsia" w:ascii="宋体"/>
                <w:b/>
                <w:sz w:val="22"/>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b/>
                <w:sz w:val="22"/>
                <w:lang w:val="zh-CN"/>
              </w:rPr>
            </w:pPr>
            <w:r>
              <w:rPr>
                <w:rFonts w:hint="eastAsia" w:ascii="宋体"/>
                <w:b/>
                <w:sz w:val="22"/>
                <w:lang w:val="zh-CN"/>
              </w:rPr>
              <w:t>备 注</w:t>
            </w: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r>
        <w:tblPrEx>
          <w:tblCellMar>
            <w:top w:w="0" w:type="dxa"/>
            <w:left w:w="108" w:type="dxa"/>
            <w:bottom w:w="0" w:type="dxa"/>
            <w:right w:w="108" w:type="dxa"/>
          </w:tblCellMar>
        </w:tblPrEx>
        <w:trPr>
          <w:wBefore w:w="0" w:type="dxa"/>
          <w:wAfter w:w="0" w:type="dxa"/>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b/>
                <w:sz w:val="22"/>
                <w:lang w:val="zh-CN"/>
              </w:rPr>
            </w:pPr>
          </w:p>
        </w:tc>
      </w:tr>
    </w:tbl>
    <w:p>
      <w:pPr>
        <w:spacing w:line="360" w:lineRule="exact"/>
        <w:rPr>
          <w:rFonts w:hint="eastAsia" w:ascii="宋体"/>
          <w:b/>
          <w:spacing w:val="20"/>
          <w:sz w:val="22"/>
        </w:rPr>
      </w:pPr>
      <w:r>
        <w:rPr>
          <w:rFonts w:hint="eastAsia" w:ascii="宋体"/>
          <w:b/>
          <w:sz w:val="22"/>
          <w:lang w:val="zh-CN"/>
        </w:rPr>
        <w:t>供应商盖章：</w:t>
      </w:r>
      <w:r>
        <w:rPr>
          <w:rFonts w:hint="eastAsia" w:ascii="宋体"/>
          <w:b/>
          <w:sz w:val="22"/>
          <w:u w:val="single"/>
          <w:lang w:val="zh-CN"/>
        </w:rPr>
        <w:t xml:space="preserve">             </w:t>
      </w:r>
    </w:p>
    <w:p>
      <w:pPr>
        <w:spacing w:line="400" w:lineRule="exact"/>
        <w:ind w:left="220" w:hanging="220" w:hangingChars="100"/>
        <w:rPr>
          <w:rFonts w:ascii="宋体"/>
          <w:sz w:val="22"/>
          <w:szCs w:val="22"/>
        </w:rPr>
      </w:pPr>
      <w:r>
        <w:rPr>
          <w:rFonts w:hint="eastAsia" w:ascii="宋体"/>
          <w:sz w:val="22"/>
          <w:szCs w:val="22"/>
        </w:rPr>
        <w:t>说明：</w:t>
      </w:r>
    </w:p>
    <w:p>
      <w:pPr>
        <w:spacing w:line="400" w:lineRule="exact"/>
        <w:ind w:left="220" w:hanging="220" w:hangingChars="100"/>
        <w:rPr>
          <w:rFonts w:ascii="新宋体" w:hAnsi="新宋体" w:eastAsia="新宋体" w:cs="新宋体"/>
          <w:sz w:val="22"/>
        </w:rPr>
      </w:pPr>
      <w:r>
        <w:rPr>
          <w:rFonts w:hint="eastAsia" w:ascii="新宋体" w:hAnsi="新宋体" w:eastAsia="新宋体" w:cs="新宋体"/>
          <w:sz w:val="22"/>
        </w:rPr>
        <w:t>1.如不填写，则视为完全响应招标文件。</w:t>
      </w:r>
    </w:p>
    <w:p>
      <w:pPr>
        <w:spacing w:line="400" w:lineRule="exact"/>
        <w:ind w:left="220" w:hanging="220" w:hangingChars="100"/>
        <w:rPr>
          <w:rFonts w:ascii="新宋体" w:hAnsi="新宋体" w:eastAsia="新宋体" w:cs="新宋体"/>
          <w:sz w:val="22"/>
        </w:rPr>
      </w:pPr>
      <w:r>
        <w:rPr>
          <w:rFonts w:hint="eastAsia" w:ascii="新宋体" w:hAnsi="新宋体" w:eastAsia="新宋体" w:cs="新宋体"/>
          <w:sz w:val="22"/>
        </w:rPr>
        <w:t>2.如出现偏离，投标供应商务必如实填写此表，否则存在的风险由投标供应商自行承担。</w:t>
      </w:r>
    </w:p>
    <w:p>
      <w:pPr>
        <w:spacing w:line="400" w:lineRule="exact"/>
        <w:rPr>
          <w:rFonts w:ascii="新宋体" w:hAnsi="新宋体" w:eastAsia="新宋体" w:cs="新宋体"/>
          <w:b/>
          <w:bCs/>
          <w:sz w:val="22"/>
        </w:rPr>
      </w:pPr>
      <w:r>
        <w:rPr>
          <w:rFonts w:hint="eastAsia" w:ascii="新宋体" w:hAnsi="新宋体" w:eastAsia="新宋体" w:cs="新宋体"/>
          <w:b/>
          <w:bCs/>
          <w:sz w:val="22"/>
        </w:rPr>
        <w:t>3</w:t>
      </w:r>
      <w:r>
        <w:rPr>
          <w:rFonts w:hint="eastAsia" w:ascii="新宋体" w:hAnsi="新宋体" w:eastAsia="新宋体" w:cs="新宋体"/>
          <w:b/>
          <w:bCs/>
          <w:sz w:val="22"/>
          <w:u w:val="single"/>
        </w:rPr>
        <w:t>.不提供此表的响应文件将被视为未实质性响应招标文件，其按无效投标处理</w:t>
      </w:r>
      <w:r>
        <w:rPr>
          <w:rFonts w:hint="eastAsia" w:ascii="新宋体" w:hAnsi="新宋体" w:eastAsia="新宋体" w:cs="新宋体"/>
          <w:b/>
          <w:bCs/>
          <w:sz w:val="22"/>
        </w:rPr>
        <w:t>。</w:t>
      </w:r>
    </w:p>
    <w:p>
      <w:pPr>
        <w:spacing w:line="400" w:lineRule="exact"/>
        <w:ind w:left="220" w:hanging="220" w:hangingChars="100"/>
        <w:rPr>
          <w:rFonts w:hint="eastAsia" w:ascii="新宋体" w:hAnsi="新宋体" w:eastAsia="新宋体" w:cs="新宋体"/>
          <w:sz w:val="22"/>
        </w:rPr>
      </w:pPr>
      <w:r>
        <w:rPr>
          <w:rFonts w:hint="eastAsia" w:ascii="新宋体" w:hAnsi="新宋体" w:eastAsia="新宋体" w:cs="新宋体"/>
          <w:sz w:val="22"/>
        </w:rPr>
        <w:t>4.表格可以延续。</w:t>
      </w:r>
    </w:p>
    <w:p>
      <w:pPr>
        <w:spacing w:line="460" w:lineRule="exact"/>
        <w:jc w:val="left"/>
        <w:rPr>
          <w:rFonts w:ascii="新宋体" w:hAnsi="新宋体" w:eastAsia="新宋体"/>
          <w:b/>
          <w:bCs/>
          <w:sz w:val="28"/>
          <w:szCs w:val="28"/>
        </w:rPr>
      </w:pPr>
      <w:r>
        <w:rPr>
          <w:rFonts w:ascii="新宋体" w:hAnsi="新宋体" w:eastAsia="新宋体" w:cs="新宋体"/>
          <w:sz w:val="22"/>
          <w:szCs w:val="22"/>
        </w:rPr>
        <w:br w:type="page"/>
      </w:r>
      <w:r>
        <w:rPr>
          <w:rFonts w:hint="eastAsia" w:ascii="新宋体" w:hAnsi="新宋体" w:eastAsia="新宋体"/>
          <w:b/>
          <w:bCs/>
          <w:sz w:val="22"/>
          <w:szCs w:val="22"/>
        </w:rPr>
        <w:t xml:space="preserve">附件三                               </w:t>
      </w:r>
      <w:r>
        <w:rPr>
          <w:rFonts w:hint="eastAsia" w:ascii="新宋体" w:hAnsi="新宋体" w:eastAsia="新宋体"/>
          <w:b/>
          <w:bCs/>
          <w:sz w:val="28"/>
          <w:szCs w:val="28"/>
        </w:rPr>
        <w:t>设备详细清单</w:t>
      </w:r>
    </w:p>
    <w:p>
      <w:pPr>
        <w:spacing w:line="380" w:lineRule="exact"/>
        <w:rPr>
          <w:rFonts w:ascii="新宋体" w:hAnsi="新宋体" w:eastAsia="新宋体" w:cs="宋体"/>
          <w:b/>
          <w:bCs/>
          <w:sz w:val="22"/>
          <w:szCs w:val="22"/>
        </w:rPr>
      </w:pPr>
      <w:r>
        <w:rPr>
          <w:rFonts w:hint="eastAsia" w:ascii="新宋体" w:hAnsi="新宋体" w:eastAsia="新宋体"/>
          <w:bCs/>
          <w:sz w:val="22"/>
          <w:szCs w:val="22"/>
        </w:rPr>
        <w:t>项目名称：                                         项目编号：</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83"/>
        <w:gridCol w:w="1967"/>
        <w:gridCol w:w="2182"/>
        <w:gridCol w:w="765"/>
        <w:gridCol w:w="133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atLeast"/>
        </w:trPr>
        <w:tc>
          <w:tcPr>
            <w:tcW w:w="878" w:type="dxa"/>
            <w:tcBorders>
              <w:top w:val="single" w:color="auto" w:sz="12" w:space="0"/>
              <w:left w:val="single" w:color="auto" w:sz="12" w:space="0"/>
              <w:bottom w:val="single" w:color="auto" w:sz="12" w:space="0"/>
            </w:tcBorders>
            <w:noWrap w:val="0"/>
            <w:vAlign w:val="top"/>
          </w:tcPr>
          <w:p>
            <w:pPr>
              <w:jc w:val="center"/>
              <w:rPr>
                <w:rFonts w:ascii="新宋体" w:hAnsi="新宋体" w:eastAsia="新宋体"/>
                <w:b/>
                <w:bCs/>
                <w:sz w:val="22"/>
                <w:szCs w:val="22"/>
              </w:rPr>
            </w:pPr>
            <w:r>
              <w:rPr>
                <w:rFonts w:hint="eastAsia" w:ascii="新宋体" w:hAnsi="新宋体" w:eastAsia="新宋体"/>
                <w:b/>
                <w:bCs/>
                <w:sz w:val="22"/>
                <w:szCs w:val="22"/>
              </w:rPr>
              <w:t>序号</w:t>
            </w:r>
          </w:p>
        </w:tc>
        <w:tc>
          <w:tcPr>
            <w:tcW w:w="1583" w:type="dxa"/>
            <w:tcBorders>
              <w:top w:val="single" w:color="auto" w:sz="12" w:space="0"/>
              <w:bottom w:val="single" w:color="auto" w:sz="12" w:space="0"/>
            </w:tcBorders>
            <w:noWrap w:val="0"/>
            <w:vAlign w:val="top"/>
          </w:tcPr>
          <w:p>
            <w:pPr>
              <w:jc w:val="center"/>
              <w:rPr>
                <w:rFonts w:ascii="新宋体" w:hAnsi="新宋体" w:eastAsia="新宋体"/>
                <w:b/>
                <w:bCs/>
                <w:sz w:val="22"/>
                <w:szCs w:val="22"/>
              </w:rPr>
            </w:pPr>
            <w:r>
              <w:rPr>
                <w:rFonts w:hint="eastAsia" w:ascii="新宋体" w:hAnsi="新宋体" w:eastAsia="新宋体"/>
                <w:b/>
                <w:bCs/>
                <w:sz w:val="22"/>
                <w:szCs w:val="22"/>
              </w:rPr>
              <w:t>设备名称</w:t>
            </w:r>
          </w:p>
        </w:tc>
        <w:tc>
          <w:tcPr>
            <w:tcW w:w="1967" w:type="dxa"/>
            <w:tcBorders>
              <w:top w:val="single" w:color="auto" w:sz="12" w:space="0"/>
              <w:bottom w:val="single" w:color="auto" w:sz="12" w:space="0"/>
            </w:tcBorders>
            <w:noWrap w:val="0"/>
            <w:vAlign w:val="top"/>
          </w:tcPr>
          <w:p>
            <w:pPr>
              <w:jc w:val="center"/>
              <w:rPr>
                <w:rFonts w:hint="eastAsia"/>
              </w:rPr>
            </w:pPr>
            <w:r>
              <w:rPr>
                <w:rFonts w:hint="eastAsia" w:ascii="宋体" w:hAnsi="宋体"/>
                <w:b/>
                <w:bCs/>
                <w:color w:val="000000"/>
              </w:rPr>
              <w:t>品牌及型号</w:t>
            </w:r>
          </w:p>
        </w:tc>
        <w:tc>
          <w:tcPr>
            <w:tcW w:w="2182" w:type="dxa"/>
            <w:tcBorders>
              <w:top w:val="single" w:color="auto" w:sz="12" w:space="0"/>
              <w:bottom w:val="single" w:color="auto" w:sz="12" w:space="0"/>
            </w:tcBorders>
            <w:noWrap w:val="0"/>
            <w:vAlign w:val="top"/>
          </w:tcPr>
          <w:p>
            <w:pPr>
              <w:ind w:firstLine="517" w:firstLineChars="245"/>
              <w:rPr>
                <w:rFonts w:hint="eastAsia"/>
              </w:rPr>
            </w:pPr>
            <w:r>
              <w:rPr>
                <w:rFonts w:hint="eastAsia" w:ascii="宋体" w:hAnsi="宋体"/>
                <w:b/>
                <w:bCs/>
                <w:color w:val="000000"/>
              </w:rPr>
              <w:t>详细描述</w:t>
            </w:r>
          </w:p>
        </w:tc>
        <w:tc>
          <w:tcPr>
            <w:tcW w:w="765" w:type="dxa"/>
            <w:tcBorders>
              <w:top w:val="single" w:color="auto" w:sz="12" w:space="0"/>
              <w:bottom w:val="single" w:color="auto" w:sz="12" w:space="0"/>
            </w:tcBorders>
            <w:noWrap w:val="0"/>
            <w:vAlign w:val="top"/>
          </w:tcPr>
          <w:p>
            <w:pPr>
              <w:jc w:val="center"/>
              <w:rPr>
                <w:rFonts w:ascii="新宋体" w:hAnsi="新宋体" w:eastAsia="新宋体"/>
                <w:b/>
                <w:bCs/>
                <w:sz w:val="22"/>
                <w:szCs w:val="22"/>
              </w:rPr>
            </w:pPr>
            <w:r>
              <w:rPr>
                <w:rFonts w:hint="eastAsia" w:ascii="新宋体" w:hAnsi="新宋体" w:eastAsia="新宋体"/>
                <w:b/>
                <w:bCs/>
                <w:sz w:val="22"/>
                <w:szCs w:val="22"/>
              </w:rPr>
              <w:t>数量</w:t>
            </w:r>
          </w:p>
        </w:tc>
        <w:tc>
          <w:tcPr>
            <w:tcW w:w="1336" w:type="dxa"/>
            <w:tcBorders>
              <w:top w:val="single" w:color="auto" w:sz="12" w:space="0"/>
              <w:bottom w:val="single" w:color="auto" w:sz="12" w:space="0"/>
            </w:tcBorders>
            <w:noWrap w:val="0"/>
            <w:vAlign w:val="top"/>
          </w:tcPr>
          <w:p>
            <w:pPr>
              <w:jc w:val="center"/>
              <w:rPr>
                <w:rFonts w:hint="eastAsia" w:ascii="新宋体" w:hAnsi="新宋体" w:eastAsia="新宋体"/>
                <w:b/>
                <w:bCs/>
                <w:sz w:val="22"/>
                <w:szCs w:val="22"/>
              </w:rPr>
            </w:pPr>
            <w:r>
              <w:rPr>
                <w:rFonts w:hint="eastAsia" w:ascii="新宋体" w:hAnsi="新宋体" w:eastAsia="新宋体"/>
                <w:b/>
                <w:bCs/>
                <w:sz w:val="22"/>
                <w:szCs w:val="22"/>
              </w:rPr>
              <w:t>单位</w:t>
            </w:r>
          </w:p>
        </w:tc>
        <w:tc>
          <w:tcPr>
            <w:tcW w:w="1143" w:type="dxa"/>
            <w:tcBorders>
              <w:top w:val="single" w:color="auto" w:sz="12" w:space="0"/>
              <w:bottom w:val="single" w:color="auto" w:sz="12" w:space="0"/>
              <w:right w:val="single" w:color="auto" w:sz="12" w:space="0"/>
            </w:tcBorders>
            <w:noWrap w:val="0"/>
            <w:vAlign w:val="top"/>
          </w:tcPr>
          <w:p>
            <w:pPr>
              <w:jc w:val="center"/>
              <w:rPr>
                <w:rFonts w:ascii="新宋体" w:hAnsi="新宋体" w:eastAsia="新宋体"/>
                <w:b/>
                <w:bCs/>
                <w:sz w:val="22"/>
                <w:szCs w:val="22"/>
              </w:rPr>
            </w:pPr>
            <w:r>
              <w:rPr>
                <w:rFonts w:hint="eastAsia" w:ascii="新宋体" w:hAnsi="新宋体" w:eastAsia="新宋体"/>
                <w:b/>
                <w:bCs/>
                <w:sz w:val="22"/>
                <w:szCs w:val="22"/>
              </w:rPr>
              <w:t>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4" w:hRule="atLeast"/>
        </w:trPr>
        <w:tc>
          <w:tcPr>
            <w:tcW w:w="878" w:type="dxa"/>
            <w:tcBorders>
              <w:top w:val="single" w:color="auto" w:sz="12" w:space="0"/>
              <w:left w:val="single" w:color="auto" w:sz="12" w:space="0"/>
            </w:tcBorders>
            <w:noWrap w:val="0"/>
            <w:vAlign w:val="center"/>
          </w:tcPr>
          <w:p>
            <w:pPr>
              <w:jc w:val="center"/>
              <w:rPr>
                <w:rFonts w:hint="eastAsia" w:ascii="新宋体" w:hAnsi="新宋体" w:eastAsia="新宋体"/>
                <w:b/>
                <w:bCs/>
                <w:sz w:val="22"/>
                <w:szCs w:val="22"/>
              </w:rPr>
            </w:pPr>
            <w:r>
              <w:rPr>
                <w:rFonts w:hint="eastAsia" w:ascii="新宋体" w:hAnsi="新宋体" w:eastAsia="新宋体"/>
                <w:b/>
                <w:bCs/>
                <w:sz w:val="22"/>
                <w:szCs w:val="22"/>
              </w:rPr>
              <w:t>1</w:t>
            </w:r>
          </w:p>
        </w:tc>
        <w:tc>
          <w:tcPr>
            <w:tcW w:w="1583" w:type="dxa"/>
            <w:tcBorders>
              <w:top w:val="single" w:color="auto" w:sz="12" w:space="0"/>
            </w:tcBorders>
            <w:noWrap w:val="0"/>
            <w:vAlign w:val="top"/>
          </w:tcPr>
          <w:p>
            <w:pPr>
              <w:rPr>
                <w:rFonts w:ascii="新宋体" w:hAnsi="新宋体" w:eastAsia="新宋体"/>
                <w:b/>
                <w:bCs/>
                <w:sz w:val="22"/>
                <w:szCs w:val="22"/>
              </w:rPr>
            </w:pPr>
          </w:p>
        </w:tc>
        <w:tc>
          <w:tcPr>
            <w:tcW w:w="1967" w:type="dxa"/>
            <w:tcBorders>
              <w:top w:val="single" w:color="auto" w:sz="12" w:space="0"/>
            </w:tcBorders>
            <w:noWrap w:val="0"/>
            <w:vAlign w:val="top"/>
          </w:tcPr>
          <w:p>
            <w:pPr>
              <w:rPr>
                <w:rFonts w:ascii="新宋体" w:hAnsi="新宋体" w:eastAsia="新宋体"/>
                <w:b/>
                <w:bCs/>
                <w:sz w:val="22"/>
                <w:szCs w:val="22"/>
              </w:rPr>
            </w:pPr>
          </w:p>
        </w:tc>
        <w:tc>
          <w:tcPr>
            <w:tcW w:w="2182" w:type="dxa"/>
            <w:tcBorders>
              <w:top w:val="single" w:color="auto" w:sz="12" w:space="0"/>
            </w:tcBorders>
            <w:noWrap w:val="0"/>
            <w:vAlign w:val="top"/>
          </w:tcPr>
          <w:p>
            <w:pPr>
              <w:rPr>
                <w:rFonts w:ascii="新宋体" w:hAnsi="新宋体" w:eastAsia="新宋体"/>
                <w:b/>
                <w:bCs/>
                <w:sz w:val="22"/>
                <w:szCs w:val="22"/>
              </w:rPr>
            </w:pPr>
          </w:p>
        </w:tc>
        <w:tc>
          <w:tcPr>
            <w:tcW w:w="765" w:type="dxa"/>
            <w:tcBorders>
              <w:top w:val="single" w:color="auto" w:sz="12" w:space="0"/>
            </w:tcBorders>
            <w:noWrap w:val="0"/>
            <w:vAlign w:val="top"/>
          </w:tcPr>
          <w:p>
            <w:pPr>
              <w:rPr>
                <w:rFonts w:ascii="新宋体" w:hAnsi="新宋体" w:eastAsia="新宋体"/>
                <w:b/>
                <w:bCs/>
                <w:sz w:val="22"/>
                <w:szCs w:val="22"/>
              </w:rPr>
            </w:pPr>
          </w:p>
        </w:tc>
        <w:tc>
          <w:tcPr>
            <w:tcW w:w="1336" w:type="dxa"/>
            <w:tcBorders>
              <w:top w:val="single" w:color="auto" w:sz="12" w:space="0"/>
              <w:right w:val="single" w:color="auto" w:sz="4" w:space="0"/>
            </w:tcBorders>
            <w:noWrap w:val="0"/>
            <w:vAlign w:val="top"/>
          </w:tcPr>
          <w:p>
            <w:pPr>
              <w:rPr>
                <w:rFonts w:ascii="新宋体" w:hAnsi="新宋体" w:eastAsia="新宋体"/>
                <w:b/>
                <w:bCs/>
                <w:sz w:val="22"/>
                <w:szCs w:val="22"/>
              </w:rPr>
            </w:pPr>
          </w:p>
        </w:tc>
        <w:tc>
          <w:tcPr>
            <w:tcW w:w="1143" w:type="dxa"/>
            <w:tcBorders>
              <w:top w:val="single" w:color="auto" w:sz="12" w:space="0"/>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6" w:hRule="atLeast"/>
        </w:trPr>
        <w:tc>
          <w:tcPr>
            <w:tcW w:w="878" w:type="dxa"/>
            <w:tcBorders>
              <w:left w:val="single" w:color="auto" w:sz="12" w:space="0"/>
            </w:tcBorders>
            <w:noWrap w:val="0"/>
            <w:vAlign w:val="center"/>
          </w:tcPr>
          <w:p>
            <w:pPr>
              <w:jc w:val="center"/>
              <w:rPr>
                <w:rFonts w:hint="eastAsia" w:ascii="新宋体" w:hAnsi="新宋体" w:eastAsia="新宋体"/>
                <w:b/>
                <w:bCs/>
                <w:sz w:val="22"/>
                <w:szCs w:val="22"/>
              </w:rPr>
            </w:pPr>
            <w:r>
              <w:rPr>
                <w:rFonts w:hint="eastAsia" w:ascii="新宋体" w:hAnsi="新宋体" w:eastAsia="新宋体"/>
                <w:b/>
                <w:bCs/>
                <w:sz w:val="22"/>
                <w:szCs w:val="22"/>
              </w:rPr>
              <w:t>2</w:t>
            </w: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center"/>
          </w:tcPr>
          <w:p>
            <w:pPr>
              <w:jc w:val="center"/>
              <w:rPr>
                <w:rFonts w:hint="eastAsia" w:ascii="新宋体" w:hAnsi="新宋体" w:eastAsia="新宋体"/>
                <w:b/>
                <w:bCs/>
                <w:sz w:val="22"/>
                <w:szCs w:val="22"/>
              </w:rPr>
            </w:pPr>
            <w:r>
              <w:rPr>
                <w:rFonts w:hint="eastAsia" w:ascii="新宋体" w:hAnsi="新宋体" w:eastAsia="新宋体"/>
                <w:b/>
                <w:bCs/>
                <w:sz w:val="22"/>
                <w:szCs w:val="22"/>
              </w:rPr>
              <w:t>3</w:t>
            </w: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center"/>
          </w:tcPr>
          <w:p>
            <w:pPr>
              <w:jc w:val="center"/>
              <w:rPr>
                <w:rFonts w:hint="eastAsia" w:ascii="新宋体" w:hAnsi="新宋体" w:eastAsia="新宋体"/>
                <w:b/>
                <w:bCs/>
                <w:sz w:val="22"/>
                <w:szCs w:val="22"/>
              </w:rPr>
            </w:pPr>
            <w:r>
              <w:rPr>
                <w:rFonts w:hint="eastAsia" w:ascii="新宋体" w:hAnsi="新宋体" w:eastAsia="新宋体"/>
                <w:b/>
                <w:bCs/>
                <w:sz w:val="22"/>
                <w:szCs w:val="22"/>
              </w:rPr>
              <w:t>4</w:t>
            </w: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center"/>
          </w:tcPr>
          <w:p>
            <w:pPr>
              <w:jc w:val="center"/>
              <w:rPr>
                <w:rFonts w:hint="eastAsia" w:ascii="新宋体" w:hAnsi="新宋体" w:eastAsia="新宋体"/>
                <w:b/>
                <w:bCs/>
                <w:sz w:val="22"/>
                <w:szCs w:val="22"/>
              </w:rPr>
            </w:pPr>
            <w:r>
              <w:rPr>
                <w:rFonts w:hint="eastAsia" w:ascii="新宋体" w:hAnsi="新宋体" w:eastAsia="新宋体"/>
                <w:b/>
                <w:bCs/>
                <w:sz w:val="22"/>
                <w:szCs w:val="22"/>
              </w:rPr>
              <w:t>5</w:t>
            </w: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top"/>
          </w:tcPr>
          <w:p>
            <w:pPr>
              <w:rPr>
                <w:rFonts w:ascii="新宋体" w:hAnsi="新宋体" w:eastAsia="新宋体"/>
                <w:b/>
                <w:bCs/>
                <w:sz w:val="22"/>
                <w:szCs w:val="22"/>
              </w:rPr>
            </w:pP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top"/>
          </w:tcPr>
          <w:p>
            <w:pPr>
              <w:rPr>
                <w:rFonts w:ascii="新宋体" w:hAnsi="新宋体" w:eastAsia="新宋体"/>
                <w:b/>
                <w:bCs/>
                <w:sz w:val="22"/>
                <w:szCs w:val="22"/>
              </w:rPr>
            </w:pP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top"/>
          </w:tcPr>
          <w:p>
            <w:pPr>
              <w:rPr>
                <w:rFonts w:ascii="新宋体" w:hAnsi="新宋体" w:eastAsia="新宋体"/>
                <w:b/>
                <w:bCs/>
                <w:sz w:val="22"/>
                <w:szCs w:val="22"/>
              </w:rPr>
            </w:pP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top"/>
          </w:tcPr>
          <w:p>
            <w:pPr>
              <w:rPr>
                <w:rFonts w:ascii="新宋体" w:hAnsi="新宋体" w:eastAsia="新宋体"/>
                <w:b/>
                <w:bCs/>
                <w:sz w:val="22"/>
                <w:szCs w:val="22"/>
              </w:rPr>
            </w:pP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trPr>
        <w:tc>
          <w:tcPr>
            <w:tcW w:w="878" w:type="dxa"/>
            <w:tcBorders>
              <w:left w:val="single" w:color="auto" w:sz="12" w:space="0"/>
            </w:tcBorders>
            <w:noWrap w:val="0"/>
            <w:vAlign w:val="top"/>
          </w:tcPr>
          <w:p>
            <w:pPr>
              <w:rPr>
                <w:rFonts w:ascii="新宋体" w:hAnsi="新宋体" w:eastAsia="新宋体"/>
                <w:b/>
                <w:bCs/>
                <w:sz w:val="22"/>
                <w:szCs w:val="22"/>
              </w:rPr>
            </w:pPr>
          </w:p>
        </w:tc>
        <w:tc>
          <w:tcPr>
            <w:tcW w:w="1583" w:type="dxa"/>
            <w:noWrap w:val="0"/>
            <w:vAlign w:val="top"/>
          </w:tcPr>
          <w:p>
            <w:pPr>
              <w:rPr>
                <w:rFonts w:ascii="新宋体" w:hAnsi="新宋体" w:eastAsia="新宋体"/>
                <w:b/>
                <w:bCs/>
                <w:sz w:val="22"/>
                <w:szCs w:val="22"/>
              </w:rPr>
            </w:pPr>
          </w:p>
        </w:tc>
        <w:tc>
          <w:tcPr>
            <w:tcW w:w="1967" w:type="dxa"/>
            <w:noWrap w:val="0"/>
            <w:vAlign w:val="top"/>
          </w:tcPr>
          <w:p>
            <w:pPr>
              <w:rPr>
                <w:rFonts w:ascii="新宋体" w:hAnsi="新宋体" w:eastAsia="新宋体"/>
                <w:b/>
                <w:bCs/>
                <w:sz w:val="22"/>
                <w:szCs w:val="22"/>
              </w:rPr>
            </w:pPr>
          </w:p>
        </w:tc>
        <w:tc>
          <w:tcPr>
            <w:tcW w:w="2182" w:type="dxa"/>
            <w:noWrap w:val="0"/>
            <w:vAlign w:val="top"/>
          </w:tcPr>
          <w:p>
            <w:pPr>
              <w:rPr>
                <w:rFonts w:ascii="新宋体" w:hAnsi="新宋体" w:eastAsia="新宋体"/>
                <w:b/>
                <w:bCs/>
                <w:sz w:val="22"/>
                <w:szCs w:val="22"/>
              </w:rPr>
            </w:pPr>
          </w:p>
        </w:tc>
        <w:tc>
          <w:tcPr>
            <w:tcW w:w="765" w:type="dxa"/>
            <w:noWrap w:val="0"/>
            <w:vAlign w:val="top"/>
          </w:tcPr>
          <w:p>
            <w:pPr>
              <w:rPr>
                <w:rFonts w:ascii="新宋体" w:hAnsi="新宋体" w:eastAsia="新宋体"/>
                <w:b/>
                <w:bCs/>
                <w:sz w:val="22"/>
                <w:szCs w:val="22"/>
              </w:rPr>
            </w:pPr>
          </w:p>
        </w:tc>
        <w:tc>
          <w:tcPr>
            <w:tcW w:w="1336" w:type="dxa"/>
            <w:tcBorders>
              <w:right w:val="single" w:color="auto" w:sz="4" w:space="0"/>
            </w:tcBorders>
            <w:noWrap w:val="0"/>
            <w:vAlign w:val="top"/>
          </w:tcPr>
          <w:p>
            <w:pPr>
              <w:rPr>
                <w:rFonts w:ascii="新宋体" w:hAnsi="新宋体" w:eastAsia="新宋体"/>
                <w:b/>
                <w:bCs/>
                <w:sz w:val="22"/>
                <w:szCs w:val="22"/>
              </w:rPr>
            </w:pPr>
          </w:p>
        </w:tc>
        <w:tc>
          <w:tcPr>
            <w:tcW w:w="1143" w:type="dxa"/>
            <w:tcBorders>
              <w:left w:val="single" w:color="auto" w:sz="4" w:space="0"/>
              <w:right w:val="single" w:color="auto" w:sz="12" w:space="0"/>
            </w:tcBorders>
            <w:noWrap w:val="0"/>
            <w:vAlign w:val="top"/>
          </w:tcPr>
          <w:p>
            <w:pPr>
              <w:rPr>
                <w:rFonts w:ascii="新宋体" w:hAnsi="新宋体" w:eastAsia="新宋体"/>
                <w:b/>
                <w:bCs/>
                <w:sz w:val="22"/>
                <w:szCs w:val="22"/>
              </w:rPr>
            </w:pPr>
          </w:p>
        </w:tc>
      </w:tr>
    </w:tbl>
    <w:p>
      <w:pPr>
        <w:ind w:left="745" w:leftChars="4" w:hanging="737" w:hangingChars="335"/>
        <w:rPr>
          <w:rFonts w:ascii="新宋体" w:hAnsi="新宋体" w:eastAsia="新宋体" w:cs="宋体"/>
          <w:sz w:val="22"/>
          <w:szCs w:val="22"/>
        </w:rPr>
      </w:pPr>
      <w:r>
        <w:rPr>
          <w:rFonts w:hint="eastAsia" w:ascii="新宋体" w:hAnsi="新宋体" w:eastAsia="新宋体" w:cs="Courier New"/>
          <w:kern w:val="0"/>
          <w:sz w:val="22"/>
          <w:szCs w:val="22"/>
          <w:lang w:val="zh-CN"/>
        </w:rPr>
        <w:t>注：</w:t>
      </w:r>
      <w:r>
        <w:rPr>
          <w:rFonts w:hint="eastAsia" w:ascii="新宋体" w:hAnsi="新宋体" w:eastAsia="新宋体" w:cs="Courier New"/>
          <w:kern w:val="0"/>
          <w:sz w:val="22"/>
          <w:szCs w:val="22"/>
        </w:rPr>
        <w:t>1.</w:t>
      </w:r>
      <w:r>
        <w:rPr>
          <w:rFonts w:hint="eastAsia" w:ascii="新宋体" w:hAnsi="新宋体" w:eastAsia="新宋体" w:cs="宋体"/>
          <w:sz w:val="22"/>
          <w:szCs w:val="22"/>
        </w:rPr>
        <w:t>此表仅提供了表格形式，投标人应根据需要准备足够数量的表格来填写。</w:t>
      </w:r>
    </w:p>
    <w:p>
      <w:pPr>
        <w:ind w:left="737" w:leftChars="212" w:hanging="292" w:hangingChars="133"/>
        <w:rPr>
          <w:rFonts w:ascii="新宋体" w:hAnsi="新宋体" w:eastAsia="新宋体" w:cs="Courier New"/>
          <w:kern w:val="0"/>
          <w:sz w:val="22"/>
          <w:szCs w:val="22"/>
        </w:rPr>
      </w:pPr>
    </w:p>
    <w:p>
      <w:pPr>
        <w:pStyle w:val="2"/>
        <w:ind w:firstLine="0" w:firstLineChars="0"/>
        <w:rPr>
          <w:rFonts w:ascii="新宋体" w:hAnsi="新宋体" w:eastAsia="新宋体"/>
        </w:rPr>
      </w:pPr>
    </w:p>
    <w:p>
      <w:pPr>
        <w:pStyle w:val="2"/>
        <w:ind w:firstLine="0" w:firstLineChars="0"/>
        <w:rPr>
          <w:rFonts w:ascii="新宋体" w:hAnsi="新宋体" w:eastAsia="新宋体"/>
        </w:rPr>
      </w:pPr>
    </w:p>
    <w:p>
      <w:pPr>
        <w:spacing w:line="500" w:lineRule="exact"/>
        <w:rPr>
          <w:rFonts w:hint="eastAsia" w:ascii="新宋体" w:hAnsi="新宋体" w:eastAsia="新宋体"/>
          <w:sz w:val="22"/>
          <w:szCs w:val="22"/>
        </w:rPr>
      </w:pP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投标人代表（签字或盖章）：</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 xml:space="preserve">日期：  年   月  日  </w:t>
      </w:r>
    </w:p>
    <w:p>
      <w:pPr>
        <w:tabs>
          <w:tab w:val="left" w:pos="780"/>
        </w:tabs>
        <w:spacing w:line="400" w:lineRule="exact"/>
        <w:ind w:left="180"/>
        <w:rPr>
          <w:rFonts w:hint="eastAsia" w:ascii="新宋体" w:hAnsi="新宋体" w:eastAsia="新宋体" w:cs="新宋体"/>
          <w:b/>
          <w:bCs/>
          <w:sz w:val="22"/>
          <w:szCs w:val="22"/>
        </w:rPr>
      </w:pPr>
      <w:r>
        <w:rPr>
          <w:rFonts w:hint="eastAsia" w:ascii="新宋体" w:hAnsi="新宋体" w:eastAsia="新宋体" w:cs="新宋体"/>
          <w:sz w:val="22"/>
          <w:szCs w:val="22"/>
        </w:rPr>
        <w:br w:type="page"/>
      </w:r>
      <w:r>
        <w:rPr>
          <w:rFonts w:hint="eastAsia" w:ascii="新宋体" w:hAnsi="新宋体" w:eastAsia="新宋体" w:cs="新宋体"/>
          <w:b/>
          <w:bCs/>
          <w:sz w:val="22"/>
          <w:szCs w:val="22"/>
        </w:rPr>
        <w:t>附件四</w:t>
      </w:r>
    </w:p>
    <w:p>
      <w:pPr>
        <w:spacing w:line="38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供应商为完成本项目组建的工作小组名单</w:t>
      </w:r>
    </w:p>
    <w:p>
      <w:pPr>
        <w:pStyle w:val="30"/>
        <w:spacing w:line="400" w:lineRule="atLeast"/>
        <w:ind w:left="17" w:hanging="17" w:hangingChars="6"/>
        <w:jc w:val="center"/>
        <w:rPr>
          <w:rFonts w:hint="eastAsia" w:ascii="新宋体" w:hAnsi="新宋体" w:eastAsia="新宋体" w:cs="新宋体"/>
          <w:b/>
          <w:sz w:val="28"/>
        </w:rPr>
      </w:pPr>
      <w:r>
        <w:rPr>
          <w:rFonts w:hint="eastAsia" w:ascii="新宋体" w:hAnsi="新宋体" w:eastAsia="新宋体" w:cs="新宋体"/>
          <w:b/>
          <w:sz w:val="28"/>
        </w:rPr>
        <w:t>（1）项目负责人简历表</w:t>
      </w:r>
    </w:p>
    <w:p>
      <w:pPr>
        <w:pStyle w:val="30"/>
        <w:spacing w:line="400" w:lineRule="atLeast"/>
        <w:ind w:left="663" w:hanging="663" w:hangingChars="300"/>
        <w:rPr>
          <w:rFonts w:hint="eastAsia" w:ascii="新宋体" w:hAnsi="新宋体" w:eastAsia="新宋体" w:cs="新宋体"/>
          <w:b/>
          <w:sz w:val="22"/>
        </w:rPr>
      </w:pPr>
      <w:r>
        <w:rPr>
          <w:rFonts w:hint="eastAsia" w:ascii="新宋体" w:hAnsi="新宋体" w:eastAsia="新宋体" w:cs="新宋体"/>
          <w:b/>
          <w:sz w:val="22"/>
        </w:rPr>
        <w:t>项目名称：                                            项目编号：</w:t>
      </w:r>
    </w:p>
    <w:tbl>
      <w:tblPr>
        <w:tblStyle w:val="5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姓   名</w:t>
            </w:r>
          </w:p>
        </w:tc>
        <w:tc>
          <w:tcPr>
            <w:tcW w:w="1799"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年  龄</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学  历</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毕业学校</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  业</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务</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称</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拟任何职</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参加工作</w:t>
            </w:r>
          </w:p>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时间</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  间</w:t>
            </w:r>
          </w:p>
        </w:tc>
        <w:tc>
          <w:tcPr>
            <w:tcW w:w="8070" w:type="dxa"/>
            <w:gridSpan w:val="6"/>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3427" w:type="dxa"/>
            <w:gridSpan w:val="3"/>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项  目  名  称</w:t>
            </w:r>
          </w:p>
        </w:tc>
        <w:tc>
          <w:tcPr>
            <w:tcW w:w="1440"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完成年份</w:t>
            </w:r>
          </w:p>
        </w:tc>
        <w:tc>
          <w:tcPr>
            <w:tcW w:w="3642"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r>
    </w:tbl>
    <w:p>
      <w:pPr>
        <w:pStyle w:val="30"/>
        <w:spacing w:line="340" w:lineRule="exact"/>
        <w:ind w:left="660" w:hanging="660" w:hangingChars="300"/>
        <w:rPr>
          <w:rFonts w:hint="eastAsia" w:ascii="新宋体" w:hAnsi="新宋体" w:eastAsia="新宋体" w:cs="新宋体"/>
          <w:sz w:val="22"/>
        </w:rPr>
      </w:pPr>
      <w:r>
        <w:rPr>
          <w:rFonts w:hint="eastAsia" w:ascii="新宋体" w:hAnsi="新宋体" w:eastAsia="新宋体" w:cs="新宋体"/>
          <w:sz w:val="22"/>
        </w:rPr>
        <w:t xml:space="preserve">                                          </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投标人代表（签字或盖章）：</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 xml:space="preserve">日期：  年   月  日  </w:t>
      </w:r>
    </w:p>
    <w:p>
      <w:pPr>
        <w:pStyle w:val="30"/>
        <w:tabs>
          <w:tab w:val="left" w:pos="0"/>
          <w:tab w:val="left" w:pos="540"/>
        </w:tabs>
        <w:spacing w:line="340" w:lineRule="exact"/>
        <w:rPr>
          <w:rFonts w:hint="eastAsia" w:ascii="新宋体" w:hAnsi="新宋体" w:eastAsia="新宋体" w:cs="新宋体"/>
          <w:sz w:val="22"/>
        </w:rPr>
      </w:pPr>
    </w:p>
    <w:p>
      <w:pPr>
        <w:jc w:val="center"/>
        <w:rPr>
          <w:rFonts w:hint="eastAsia" w:ascii="新宋体" w:hAnsi="新宋体" w:eastAsia="新宋体" w:cs="新宋体"/>
          <w:b/>
          <w:sz w:val="28"/>
          <w:szCs w:val="21"/>
        </w:rPr>
      </w:pPr>
      <w:r>
        <w:rPr>
          <w:rFonts w:hint="eastAsia" w:ascii="新宋体" w:hAnsi="新宋体" w:eastAsia="新宋体" w:cs="新宋体"/>
          <w:b/>
          <w:sz w:val="28"/>
          <w:szCs w:val="21"/>
        </w:rPr>
        <w:br w:type="page"/>
      </w:r>
      <w:r>
        <w:rPr>
          <w:rFonts w:hint="eastAsia" w:ascii="新宋体" w:hAnsi="新宋体" w:eastAsia="新宋体" w:cs="新宋体"/>
          <w:b/>
          <w:sz w:val="28"/>
          <w:szCs w:val="21"/>
        </w:rPr>
        <w:t>（2）拟投入的项目实施人员名单</w:t>
      </w:r>
    </w:p>
    <w:p>
      <w:pPr>
        <w:rPr>
          <w:rFonts w:hint="eastAsia" w:ascii="新宋体" w:hAnsi="新宋体" w:eastAsia="新宋体" w:cs="新宋体"/>
          <w:sz w:val="22"/>
        </w:rPr>
      </w:pPr>
      <w:r>
        <w:rPr>
          <w:rFonts w:hint="eastAsia" w:ascii="新宋体" w:hAnsi="新宋体" w:eastAsia="新宋体" w:cs="新宋体"/>
          <w:b/>
          <w:sz w:val="24"/>
        </w:rPr>
        <w:t>项目名称：</w:t>
      </w:r>
      <w:r>
        <w:rPr>
          <w:rFonts w:hint="eastAsia" w:ascii="新宋体" w:hAnsi="新宋体" w:eastAsia="新宋体" w:cs="新宋体"/>
          <w:b/>
          <w:sz w:val="22"/>
        </w:rPr>
        <w:t xml:space="preserve">                                         项目编号：</w:t>
      </w:r>
      <w:r>
        <w:rPr>
          <w:rFonts w:hint="eastAsia" w:ascii="新宋体" w:hAnsi="新宋体" w:eastAsia="新宋体" w:cs="新宋体"/>
          <w:sz w:val="22"/>
        </w:rPr>
        <w:t xml:space="preserve"> </w:t>
      </w: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序号</w:t>
            </w:r>
          </w:p>
        </w:tc>
        <w:tc>
          <w:tcPr>
            <w:tcW w:w="958"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姓名</w:t>
            </w:r>
          </w:p>
        </w:tc>
        <w:tc>
          <w:tcPr>
            <w:tcW w:w="958"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性别</w:t>
            </w:r>
          </w:p>
        </w:tc>
        <w:tc>
          <w:tcPr>
            <w:tcW w:w="767"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年龄</w:t>
            </w:r>
          </w:p>
        </w:tc>
        <w:tc>
          <w:tcPr>
            <w:tcW w:w="767"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学历</w:t>
            </w:r>
          </w:p>
        </w:tc>
        <w:tc>
          <w:tcPr>
            <w:tcW w:w="1340" w:type="dxa"/>
            <w:noWrap w:val="0"/>
            <w:vAlign w:val="center"/>
          </w:tcPr>
          <w:p>
            <w:pPr>
              <w:spacing w:line="280" w:lineRule="exact"/>
              <w:jc w:val="center"/>
              <w:rPr>
                <w:rFonts w:hint="eastAsia" w:ascii="新宋体" w:hAnsi="新宋体" w:eastAsia="新宋体" w:cs="新宋体"/>
                <w:sz w:val="22"/>
              </w:rPr>
            </w:pPr>
            <w:r>
              <w:rPr>
                <w:rFonts w:hint="eastAsia" w:ascii="新宋体" w:hAnsi="新宋体" w:eastAsia="新宋体" w:cs="新宋体"/>
                <w:sz w:val="22"/>
              </w:rPr>
              <w:t>职称/职务</w:t>
            </w:r>
          </w:p>
        </w:tc>
        <w:tc>
          <w:tcPr>
            <w:tcW w:w="1326" w:type="dxa"/>
            <w:noWrap w:val="0"/>
            <w:vAlign w:val="center"/>
          </w:tcPr>
          <w:p>
            <w:pPr>
              <w:spacing w:line="280" w:lineRule="exact"/>
              <w:jc w:val="center"/>
              <w:rPr>
                <w:rFonts w:hint="eastAsia" w:ascii="新宋体" w:hAnsi="新宋体" w:eastAsia="新宋体" w:cs="新宋体"/>
                <w:sz w:val="22"/>
              </w:rPr>
            </w:pPr>
            <w:r>
              <w:rPr>
                <w:rFonts w:hint="eastAsia" w:ascii="新宋体" w:hAnsi="新宋体" w:eastAsia="新宋体" w:cs="新宋体"/>
              </w:rPr>
              <w:t>本工程中的岗位</w:t>
            </w:r>
          </w:p>
        </w:tc>
        <w:tc>
          <w:tcPr>
            <w:tcW w:w="1825"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从事专业年限</w:t>
            </w:r>
          </w:p>
        </w:tc>
        <w:tc>
          <w:tcPr>
            <w:tcW w:w="1147" w:type="dxa"/>
            <w:noWrap w:val="0"/>
            <w:vAlign w:val="center"/>
          </w:tcPr>
          <w:p>
            <w:pPr>
              <w:spacing w:line="360" w:lineRule="auto"/>
              <w:jc w:val="center"/>
              <w:rPr>
                <w:rFonts w:hint="eastAsia" w:ascii="新宋体" w:hAnsi="新宋体" w:eastAsia="新宋体" w:cs="新宋体"/>
                <w:sz w:val="22"/>
              </w:rPr>
            </w:pPr>
            <w:r>
              <w:rPr>
                <w:rFonts w:hint="eastAsia" w:ascii="新宋体" w:hAnsi="新宋体" w:eastAsia="新宋体" w:cs="新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958"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767" w:type="dxa"/>
            <w:noWrap w:val="0"/>
            <w:vAlign w:val="center"/>
          </w:tcPr>
          <w:p>
            <w:pPr>
              <w:spacing w:line="360" w:lineRule="auto"/>
              <w:jc w:val="center"/>
              <w:rPr>
                <w:rFonts w:hint="eastAsia" w:ascii="新宋体" w:hAnsi="新宋体" w:eastAsia="新宋体" w:cs="新宋体"/>
                <w:sz w:val="22"/>
              </w:rPr>
            </w:pPr>
          </w:p>
        </w:tc>
        <w:tc>
          <w:tcPr>
            <w:tcW w:w="1340" w:type="dxa"/>
            <w:noWrap w:val="0"/>
            <w:vAlign w:val="center"/>
          </w:tcPr>
          <w:p>
            <w:pPr>
              <w:spacing w:line="360" w:lineRule="auto"/>
              <w:jc w:val="center"/>
              <w:rPr>
                <w:rFonts w:hint="eastAsia" w:ascii="新宋体" w:hAnsi="新宋体" w:eastAsia="新宋体" w:cs="新宋体"/>
                <w:sz w:val="22"/>
              </w:rPr>
            </w:pPr>
          </w:p>
        </w:tc>
        <w:tc>
          <w:tcPr>
            <w:tcW w:w="1326" w:type="dxa"/>
            <w:noWrap w:val="0"/>
            <w:vAlign w:val="center"/>
          </w:tcPr>
          <w:p>
            <w:pPr>
              <w:spacing w:line="360" w:lineRule="auto"/>
              <w:jc w:val="center"/>
              <w:rPr>
                <w:rFonts w:hint="eastAsia" w:ascii="新宋体" w:hAnsi="新宋体" w:eastAsia="新宋体" w:cs="新宋体"/>
                <w:sz w:val="22"/>
              </w:rPr>
            </w:pPr>
          </w:p>
        </w:tc>
        <w:tc>
          <w:tcPr>
            <w:tcW w:w="1825" w:type="dxa"/>
            <w:noWrap w:val="0"/>
            <w:vAlign w:val="top"/>
          </w:tcPr>
          <w:p>
            <w:pPr>
              <w:spacing w:line="360" w:lineRule="auto"/>
              <w:jc w:val="center"/>
              <w:rPr>
                <w:rFonts w:hint="eastAsia" w:ascii="新宋体" w:hAnsi="新宋体" w:eastAsia="新宋体" w:cs="新宋体"/>
                <w:sz w:val="22"/>
              </w:rPr>
            </w:pPr>
          </w:p>
        </w:tc>
        <w:tc>
          <w:tcPr>
            <w:tcW w:w="1147" w:type="dxa"/>
            <w:noWrap w:val="0"/>
            <w:vAlign w:val="center"/>
          </w:tcPr>
          <w:p>
            <w:pPr>
              <w:spacing w:line="360" w:lineRule="auto"/>
              <w:jc w:val="center"/>
              <w:rPr>
                <w:rFonts w:hint="eastAsia" w:ascii="新宋体" w:hAnsi="新宋体" w:eastAsia="新宋体" w:cs="新宋体"/>
                <w:sz w:val="22"/>
              </w:rPr>
            </w:pPr>
          </w:p>
        </w:tc>
      </w:tr>
    </w:tbl>
    <w:p>
      <w:pPr>
        <w:pStyle w:val="30"/>
        <w:spacing w:line="400" w:lineRule="atLeast"/>
        <w:ind w:left="660" w:hanging="660" w:hangingChars="300"/>
        <w:rPr>
          <w:rFonts w:hint="eastAsia" w:ascii="新宋体" w:hAnsi="新宋体" w:eastAsia="新宋体" w:cs="新宋体"/>
          <w:sz w:val="22"/>
        </w:rPr>
      </w:pPr>
      <w:r>
        <w:rPr>
          <w:rFonts w:hint="eastAsia" w:ascii="新宋体" w:hAnsi="新宋体" w:eastAsia="新宋体" w:cs="新宋体"/>
          <w:sz w:val="22"/>
        </w:rPr>
        <w:t>注：此表仅提供了表格形式，供应商可按此表格复制。</w:t>
      </w:r>
    </w:p>
    <w:p>
      <w:pPr>
        <w:pStyle w:val="30"/>
        <w:spacing w:line="400" w:lineRule="atLeast"/>
        <w:ind w:left="660" w:hanging="660" w:hangingChars="300"/>
        <w:rPr>
          <w:rFonts w:hint="eastAsia" w:ascii="新宋体" w:hAnsi="新宋体" w:eastAsia="新宋体" w:cs="新宋体"/>
          <w:sz w:val="22"/>
        </w:rPr>
      </w:pPr>
    </w:p>
    <w:p>
      <w:pPr>
        <w:pStyle w:val="30"/>
        <w:spacing w:line="400" w:lineRule="atLeast"/>
        <w:ind w:left="660" w:hanging="660" w:hangingChars="300"/>
        <w:rPr>
          <w:rFonts w:hint="eastAsia" w:ascii="新宋体" w:hAnsi="新宋体" w:eastAsia="新宋体" w:cs="新宋体"/>
          <w:sz w:val="22"/>
        </w:rPr>
      </w:pP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投标人代表（签字或盖章）：</w:t>
      </w:r>
    </w:p>
    <w:p>
      <w:pPr>
        <w:spacing w:line="380" w:lineRule="exact"/>
        <w:ind w:firstLine="4400" w:firstLineChars="2000"/>
        <w:rPr>
          <w:rFonts w:hint="eastAsia" w:ascii="新宋体" w:hAnsi="新宋体" w:eastAsia="新宋体" w:cs="新宋体"/>
          <w:sz w:val="22"/>
          <w:szCs w:val="22"/>
        </w:rPr>
      </w:pPr>
      <w:r>
        <w:rPr>
          <w:rFonts w:hint="eastAsia" w:ascii="新宋体" w:hAnsi="新宋体" w:eastAsia="新宋体" w:cs="新宋体"/>
          <w:sz w:val="22"/>
          <w:szCs w:val="22"/>
        </w:rPr>
        <w:t>日期：  年   月  日</w:t>
      </w:r>
    </w:p>
    <w:p>
      <w:pPr>
        <w:spacing w:line="380" w:lineRule="exact"/>
        <w:jc w:val="center"/>
        <w:rPr>
          <w:rFonts w:hint="eastAsia" w:ascii="新宋体" w:hAnsi="新宋体" w:eastAsia="新宋体" w:cs="新宋体"/>
          <w:sz w:val="22"/>
          <w:szCs w:val="22"/>
        </w:rPr>
      </w:pPr>
    </w:p>
    <w:p>
      <w:pPr>
        <w:spacing w:line="380" w:lineRule="exact"/>
        <w:jc w:val="center"/>
        <w:rPr>
          <w:rFonts w:hint="eastAsia" w:ascii="新宋体" w:hAnsi="新宋体" w:eastAsia="新宋体" w:cs="新宋体"/>
          <w:sz w:val="22"/>
          <w:szCs w:val="22"/>
        </w:rPr>
      </w:pPr>
    </w:p>
    <w:p>
      <w:pPr>
        <w:spacing w:line="380" w:lineRule="exact"/>
        <w:jc w:val="left"/>
        <w:rPr>
          <w:rFonts w:hint="eastAsia" w:ascii="新宋体" w:hAnsi="新宋体" w:eastAsia="新宋体" w:cs="新宋体"/>
          <w:sz w:val="22"/>
          <w:szCs w:val="22"/>
        </w:rPr>
      </w:pPr>
      <w:r>
        <w:rPr>
          <w:rFonts w:hint="eastAsia" w:ascii="新宋体" w:hAnsi="新宋体" w:eastAsia="新宋体" w:cs="新宋体"/>
          <w:b/>
          <w:bCs/>
          <w:sz w:val="22"/>
          <w:szCs w:val="22"/>
        </w:rPr>
        <w:t>附件五</w:t>
      </w:r>
    </w:p>
    <w:p>
      <w:pPr>
        <w:spacing w:line="540" w:lineRule="exact"/>
        <w:ind w:left="420" w:leftChars="200" w:firstLine="2270" w:firstLineChars="1028"/>
        <w:rPr>
          <w:rFonts w:hint="eastAsia" w:ascii="新宋体" w:hAnsi="新宋体" w:eastAsia="新宋体" w:cs="新宋体"/>
          <w:sz w:val="22"/>
          <w:szCs w:val="22"/>
        </w:rPr>
      </w:pPr>
      <w:r>
        <w:rPr>
          <w:rFonts w:hint="eastAsia" w:ascii="新宋体" w:hAnsi="Segoe UI Symbol" w:eastAsia="新宋体" w:cs="新宋体"/>
          <w:b/>
          <w:bCs/>
          <w:kern w:val="0"/>
          <w:sz w:val="22"/>
          <w:szCs w:val="22"/>
          <w:lang w:val="zh-CN"/>
        </w:rPr>
        <w:t>投标人自2017年1月1日以来同类项目业绩清单</w:t>
      </w:r>
    </w:p>
    <w:tbl>
      <w:tblPr>
        <w:tblStyle w:val="56"/>
        <w:tblW w:w="0" w:type="auto"/>
        <w:tblInd w:w="-13" w:type="dxa"/>
        <w:tblLayout w:type="fixed"/>
        <w:tblCellMar>
          <w:top w:w="0" w:type="dxa"/>
          <w:left w:w="0" w:type="dxa"/>
          <w:bottom w:w="0" w:type="dxa"/>
          <w:right w:w="0" w:type="dxa"/>
        </w:tblCellMar>
      </w:tblPr>
      <w:tblGrid>
        <w:gridCol w:w="695"/>
        <w:gridCol w:w="1904"/>
        <w:gridCol w:w="1291"/>
        <w:gridCol w:w="1475"/>
        <w:gridCol w:w="1106"/>
        <w:gridCol w:w="1413"/>
        <w:gridCol w:w="1780"/>
      </w:tblGrid>
      <w:tr>
        <w:tblPrEx>
          <w:tblCellMar>
            <w:top w:w="0" w:type="dxa"/>
            <w:left w:w="0" w:type="dxa"/>
            <w:bottom w:w="0" w:type="dxa"/>
            <w:right w:w="0" w:type="dxa"/>
          </w:tblCellMar>
        </w:tblPrEx>
        <w:trPr>
          <w:wBefore w:w="0" w:type="dxa"/>
          <w:wAfter w:w="0" w:type="dxa"/>
          <w:trHeight w:val="664" w:hRule="exact"/>
        </w:trPr>
        <w:tc>
          <w:tcPr>
            <w:tcW w:w="695" w:type="dxa"/>
            <w:tcBorders>
              <w:top w:val="single" w:color="000000" w:sz="10" w:space="0"/>
              <w:left w:val="single" w:color="000000" w:sz="10" w:space="0"/>
              <w:bottom w:val="single" w:color="000000" w:sz="4" w:space="0"/>
              <w:right w:val="single" w:color="000000" w:sz="4" w:space="0"/>
            </w:tcBorders>
            <w:noWrap w:val="0"/>
            <w:vAlign w:val="center"/>
          </w:tcPr>
          <w:p>
            <w:pPr>
              <w:pStyle w:val="499"/>
              <w:kinsoku w:val="0"/>
              <w:overflowPunct w:val="0"/>
              <w:spacing w:before="27" w:line="286" w:lineRule="exact"/>
              <w:ind w:left="115" w:right="121"/>
              <w:jc w:val="center"/>
            </w:pPr>
            <w:r>
              <w:rPr>
                <w:rFonts w:hint="eastAsia" w:ascii="宋体" w:cs="宋体"/>
                <w:sz w:val="22"/>
                <w:szCs w:val="22"/>
              </w:rPr>
              <w:t>序</w:t>
            </w:r>
            <w:r>
              <w:rPr>
                <w:rFonts w:ascii="宋体" w:cs="宋体"/>
                <w:sz w:val="22"/>
                <w:szCs w:val="22"/>
              </w:rPr>
              <w:t xml:space="preserve"> </w:t>
            </w:r>
            <w:r>
              <w:rPr>
                <w:rFonts w:hint="eastAsia" w:ascii="宋体" w:cs="宋体"/>
                <w:sz w:val="22"/>
                <w:szCs w:val="22"/>
              </w:rPr>
              <w:t>号</w:t>
            </w:r>
          </w:p>
        </w:tc>
        <w:tc>
          <w:tcPr>
            <w:tcW w:w="1904" w:type="dxa"/>
            <w:tcBorders>
              <w:top w:val="single" w:color="000000" w:sz="10" w:space="0"/>
              <w:left w:val="single" w:color="000000" w:sz="4" w:space="0"/>
              <w:bottom w:val="single" w:color="000000" w:sz="4" w:space="0"/>
              <w:right w:val="single" w:color="000000" w:sz="4" w:space="0"/>
            </w:tcBorders>
            <w:noWrap w:val="0"/>
            <w:vAlign w:val="center"/>
          </w:tcPr>
          <w:p>
            <w:pPr>
              <w:pStyle w:val="499"/>
              <w:kinsoku w:val="0"/>
              <w:overflowPunct w:val="0"/>
              <w:spacing w:before="27" w:line="286" w:lineRule="exact"/>
              <w:ind w:left="346" w:right="127" w:hanging="221"/>
              <w:jc w:val="center"/>
            </w:pPr>
            <w:r>
              <w:rPr>
                <w:rFonts w:hint="eastAsia" w:ascii="宋体" w:cs="宋体"/>
                <w:spacing w:val="-1"/>
                <w:sz w:val="22"/>
                <w:szCs w:val="22"/>
              </w:rPr>
              <w:t>项</w:t>
            </w:r>
            <w:r>
              <w:rPr>
                <w:rFonts w:hint="eastAsia" w:ascii="宋体" w:cs="宋体"/>
                <w:spacing w:val="-3"/>
                <w:sz w:val="22"/>
                <w:szCs w:val="22"/>
              </w:rPr>
              <w:t>目</w:t>
            </w:r>
            <w:r>
              <w:rPr>
                <w:rFonts w:hint="eastAsia" w:ascii="宋体" w:cs="宋体"/>
                <w:sz w:val="22"/>
                <w:szCs w:val="22"/>
              </w:rPr>
              <w:t>名称</w:t>
            </w:r>
          </w:p>
        </w:tc>
        <w:tc>
          <w:tcPr>
            <w:tcW w:w="1291" w:type="dxa"/>
            <w:tcBorders>
              <w:top w:val="single" w:color="000000" w:sz="10" w:space="0"/>
              <w:left w:val="single" w:color="000000" w:sz="4" w:space="0"/>
              <w:bottom w:val="single" w:color="000000" w:sz="4" w:space="0"/>
              <w:right w:val="single" w:color="000000" w:sz="4" w:space="0"/>
            </w:tcBorders>
            <w:noWrap w:val="0"/>
            <w:vAlign w:val="center"/>
          </w:tcPr>
          <w:p>
            <w:pPr>
              <w:pStyle w:val="499"/>
              <w:kinsoku w:val="0"/>
              <w:overflowPunct w:val="0"/>
              <w:spacing w:before="6" w:line="100" w:lineRule="exact"/>
              <w:jc w:val="center"/>
              <w:rPr>
                <w:sz w:val="10"/>
                <w:szCs w:val="10"/>
              </w:rPr>
            </w:pPr>
          </w:p>
          <w:p>
            <w:pPr>
              <w:pStyle w:val="499"/>
              <w:kinsoku w:val="0"/>
              <w:overflowPunct w:val="0"/>
              <w:ind w:left="88"/>
              <w:jc w:val="center"/>
            </w:pPr>
            <w:r>
              <w:rPr>
                <w:rFonts w:hint="eastAsia" w:ascii="宋体" w:cs="宋体"/>
                <w:spacing w:val="-1"/>
                <w:sz w:val="22"/>
                <w:szCs w:val="22"/>
              </w:rPr>
              <w:t>业主单位</w:t>
            </w:r>
          </w:p>
        </w:tc>
        <w:tc>
          <w:tcPr>
            <w:tcW w:w="1475" w:type="dxa"/>
            <w:tcBorders>
              <w:top w:val="single" w:color="000000" w:sz="10" w:space="0"/>
              <w:left w:val="single" w:color="000000" w:sz="4" w:space="0"/>
              <w:bottom w:val="single" w:color="000000" w:sz="4" w:space="0"/>
              <w:right w:val="single" w:color="000000" w:sz="4" w:space="0"/>
            </w:tcBorders>
            <w:noWrap w:val="0"/>
            <w:vAlign w:val="center"/>
          </w:tcPr>
          <w:p>
            <w:pPr>
              <w:pStyle w:val="499"/>
              <w:kinsoku w:val="0"/>
              <w:overflowPunct w:val="0"/>
              <w:spacing w:before="27" w:line="286" w:lineRule="exact"/>
              <w:ind w:left="344" w:right="124" w:hanging="221"/>
              <w:jc w:val="center"/>
            </w:pPr>
            <w:r>
              <w:rPr>
                <w:rFonts w:hint="eastAsia" w:ascii="宋体" w:cs="宋体"/>
                <w:spacing w:val="-1"/>
                <w:sz w:val="22"/>
                <w:szCs w:val="22"/>
              </w:rPr>
              <w:t>签</w:t>
            </w:r>
            <w:r>
              <w:rPr>
                <w:rFonts w:hint="eastAsia" w:ascii="宋体" w:cs="宋体"/>
                <w:spacing w:val="-3"/>
                <w:sz w:val="22"/>
                <w:szCs w:val="22"/>
              </w:rPr>
              <w:t>约</w:t>
            </w:r>
            <w:r>
              <w:rPr>
                <w:rFonts w:hint="eastAsia" w:ascii="宋体" w:cs="宋体"/>
                <w:sz w:val="22"/>
                <w:szCs w:val="22"/>
              </w:rPr>
              <w:t>日期</w:t>
            </w:r>
          </w:p>
        </w:tc>
        <w:tc>
          <w:tcPr>
            <w:tcW w:w="1106" w:type="dxa"/>
            <w:tcBorders>
              <w:top w:val="single" w:color="000000" w:sz="10" w:space="0"/>
              <w:left w:val="single" w:color="000000" w:sz="4" w:space="0"/>
              <w:bottom w:val="single" w:color="000000" w:sz="4" w:space="0"/>
              <w:right w:val="single" w:color="000000" w:sz="4" w:space="0"/>
            </w:tcBorders>
            <w:noWrap w:val="0"/>
            <w:vAlign w:val="center"/>
          </w:tcPr>
          <w:p>
            <w:pPr>
              <w:pStyle w:val="499"/>
              <w:kinsoku w:val="0"/>
              <w:overflowPunct w:val="0"/>
              <w:spacing w:before="6" w:line="100" w:lineRule="exact"/>
              <w:jc w:val="center"/>
              <w:rPr>
                <w:sz w:val="10"/>
                <w:szCs w:val="10"/>
              </w:rPr>
            </w:pPr>
          </w:p>
          <w:p>
            <w:pPr>
              <w:pStyle w:val="499"/>
              <w:kinsoku w:val="0"/>
              <w:overflowPunct w:val="0"/>
              <w:jc w:val="center"/>
            </w:pPr>
            <w:r>
              <w:rPr>
                <w:rFonts w:hint="eastAsia" w:ascii="宋体" w:cs="宋体"/>
                <w:spacing w:val="-1"/>
                <w:sz w:val="22"/>
                <w:szCs w:val="22"/>
              </w:rPr>
              <w:t>联</w:t>
            </w:r>
            <w:r>
              <w:rPr>
                <w:rFonts w:hint="eastAsia" w:ascii="宋体" w:cs="宋体"/>
                <w:spacing w:val="-3"/>
                <w:sz w:val="22"/>
                <w:szCs w:val="22"/>
              </w:rPr>
              <w:t>系</w:t>
            </w:r>
            <w:r>
              <w:rPr>
                <w:rFonts w:hint="eastAsia" w:ascii="宋体" w:cs="宋体"/>
                <w:sz w:val="22"/>
                <w:szCs w:val="22"/>
              </w:rPr>
              <w:t>人</w:t>
            </w:r>
          </w:p>
        </w:tc>
        <w:tc>
          <w:tcPr>
            <w:tcW w:w="1413" w:type="dxa"/>
            <w:tcBorders>
              <w:top w:val="single" w:color="000000" w:sz="10" w:space="0"/>
              <w:left w:val="single" w:color="000000" w:sz="4" w:space="0"/>
              <w:bottom w:val="single" w:color="000000" w:sz="4" w:space="0"/>
              <w:right w:val="single" w:color="000000" w:sz="4" w:space="0"/>
            </w:tcBorders>
            <w:noWrap w:val="0"/>
            <w:vAlign w:val="center"/>
          </w:tcPr>
          <w:p>
            <w:pPr>
              <w:pStyle w:val="499"/>
              <w:kinsoku w:val="0"/>
              <w:overflowPunct w:val="0"/>
              <w:spacing w:before="6" w:line="100" w:lineRule="exact"/>
              <w:jc w:val="center"/>
              <w:rPr>
                <w:sz w:val="10"/>
                <w:szCs w:val="10"/>
              </w:rPr>
            </w:pPr>
          </w:p>
          <w:p>
            <w:pPr>
              <w:pStyle w:val="499"/>
              <w:kinsoku w:val="0"/>
              <w:overflowPunct w:val="0"/>
              <w:ind w:left="77"/>
              <w:jc w:val="center"/>
            </w:pPr>
            <w:r>
              <w:rPr>
                <w:rFonts w:hint="eastAsia" w:ascii="宋体" w:cs="宋体"/>
                <w:spacing w:val="-1"/>
                <w:sz w:val="22"/>
                <w:szCs w:val="22"/>
              </w:rPr>
              <w:t>联</w:t>
            </w:r>
            <w:r>
              <w:rPr>
                <w:rFonts w:hint="eastAsia" w:ascii="宋体" w:cs="宋体"/>
                <w:spacing w:val="-3"/>
                <w:sz w:val="22"/>
                <w:szCs w:val="22"/>
              </w:rPr>
              <w:t>系</w:t>
            </w:r>
            <w:r>
              <w:rPr>
                <w:rFonts w:hint="eastAsia" w:ascii="宋体" w:cs="宋体"/>
                <w:spacing w:val="-1"/>
                <w:sz w:val="22"/>
                <w:szCs w:val="22"/>
              </w:rPr>
              <w:t>电</w:t>
            </w:r>
            <w:r>
              <w:rPr>
                <w:rFonts w:hint="eastAsia" w:ascii="宋体" w:cs="宋体"/>
                <w:sz w:val="22"/>
                <w:szCs w:val="22"/>
              </w:rPr>
              <w:t>话</w:t>
            </w:r>
          </w:p>
        </w:tc>
        <w:tc>
          <w:tcPr>
            <w:tcW w:w="1780" w:type="dxa"/>
            <w:tcBorders>
              <w:top w:val="single" w:color="000000" w:sz="10" w:space="0"/>
              <w:left w:val="single" w:color="000000" w:sz="4" w:space="0"/>
              <w:bottom w:val="single" w:color="000000" w:sz="4" w:space="0"/>
              <w:right w:val="single" w:color="000000" w:sz="10" w:space="0"/>
            </w:tcBorders>
            <w:noWrap w:val="0"/>
            <w:vAlign w:val="center"/>
          </w:tcPr>
          <w:p>
            <w:pPr>
              <w:pStyle w:val="499"/>
              <w:kinsoku w:val="0"/>
              <w:overflowPunct w:val="0"/>
              <w:spacing w:before="6" w:line="100" w:lineRule="exact"/>
              <w:jc w:val="center"/>
              <w:rPr>
                <w:sz w:val="10"/>
                <w:szCs w:val="10"/>
              </w:rPr>
            </w:pPr>
          </w:p>
          <w:p>
            <w:pPr>
              <w:pStyle w:val="499"/>
              <w:kinsoku w:val="0"/>
              <w:overflowPunct w:val="0"/>
              <w:jc w:val="center"/>
            </w:pPr>
            <w:r>
              <w:rPr>
                <w:rFonts w:hint="eastAsia" w:ascii="宋体" w:cs="宋体"/>
                <w:spacing w:val="-1"/>
                <w:sz w:val="22"/>
                <w:szCs w:val="22"/>
              </w:rPr>
              <w:t>备</w:t>
            </w:r>
            <w:r>
              <w:rPr>
                <w:rFonts w:hint="eastAsia" w:ascii="宋体" w:cs="宋体"/>
                <w:sz w:val="22"/>
                <w:szCs w:val="22"/>
              </w:rPr>
              <w:t>注</w:t>
            </w: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36"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671" w:hRule="exact"/>
        </w:trPr>
        <w:tc>
          <w:tcPr>
            <w:tcW w:w="695" w:type="dxa"/>
            <w:tcBorders>
              <w:top w:val="single" w:color="000000" w:sz="4" w:space="0"/>
              <w:left w:val="single" w:color="000000" w:sz="10" w:space="0"/>
              <w:bottom w:val="single" w:color="000000" w:sz="4"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4" w:space="0"/>
              <w:right w:val="single" w:color="000000" w:sz="10" w:space="0"/>
            </w:tcBorders>
            <w:noWrap w:val="0"/>
            <w:vAlign w:val="center"/>
          </w:tcPr>
          <w:p>
            <w:pPr>
              <w:jc w:val="center"/>
            </w:pPr>
          </w:p>
        </w:tc>
      </w:tr>
      <w:tr>
        <w:tblPrEx>
          <w:tblCellMar>
            <w:top w:w="0" w:type="dxa"/>
            <w:left w:w="0" w:type="dxa"/>
            <w:bottom w:w="0" w:type="dxa"/>
            <w:right w:w="0" w:type="dxa"/>
          </w:tblCellMar>
        </w:tblPrEx>
        <w:trPr>
          <w:wBefore w:w="0" w:type="dxa"/>
          <w:wAfter w:w="0" w:type="dxa"/>
          <w:trHeight w:val="711" w:hRule="exact"/>
        </w:trPr>
        <w:tc>
          <w:tcPr>
            <w:tcW w:w="695" w:type="dxa"/>
            <w:tcBorders>
              <w:top w:val="single" w:color="000000" w:sz="4" w:space="0"/>
              <w:left w:val="single" w:color="000000" w:sz="10" w:space="0"/>
              <w:bottom w:val="single" w:color="000000" w:sz="10" w:space="0"/>
              <w:right w:val="single" w:color="000000" w:sz="4" w:space="0"/>
            </w:tcBorders>
            <w:noWrap w:val="0"/>
            <w:vAlign w:val="center"/>
          </w:tcPr>
          <w:p>
            <w:pPr>
              <w:jc w:val="center"/>
            </w:pPr>
          </w:p>
        </w:tc>
        <w:tc>
          <w:tcPr>
            <w:tcW w:w="1904" w:type="dxa"/>
            <w:tcBorders>
              <w:top w:val="single" w:color="000000" w:sz="4" w:space="0"/>
              <w:left w:val="single" w:color="000000" w:sz="4" w:space="0"/>
              <w:bottom w:val="single" w:color="000000" w:sz="10" w:space="0"/>
              <w:right w:val="single" w:color="000000" w:sz="4" w:space="0"/>
            </w:tcBorders>
            <w:noWrap w:val="0"/>
            <w:vAlign w:val="center"/>
          </w:tcPr>
          <w:p>
            <w:pPr>
              <w:jc w:val="center"/>
            </w:pPr>
          </w:p>
        </w:tc>
        <w:tc>
          <w:tcPr>
            <w:tcW w:w="1291" w:type="dxa"/>
            <w:tcBorders>
              <w:top w:val="single" w:color="000000" w:sz="4" w:space="0"/>
              <w:left w:val="single" w:color="000000" w:sz="4" w:space="0"/>
              <w:bottom w:val="single" w:color="000000" w:sz="10" w:space="0"/>
              <w:right w:val="single" w:color="000000" w:sz="4" w:space="0"/>
            </w:tcBorders>
            <w:noWrap w:val="0"/>
            <w:vAlign w:val="center"/>
          </w:tcPr>
          <w:p>
            <w:pPr>
              <w:jc w:val="center"/>
            </w:pPr>
          </w:p>
        </w:tc>
        <w:tc>
          <w:tcPr>
            <w:tcW w:w="1475" w:type="dxa"/>
            <w:tcBorders>
              <w:top w:val="single" w:color="000000" w:sz="4" w:space="0"/>
              <w:left w:val="single" w:color="000000" w:sz="4" w:space="0"/>
              <w:bottom w:val="single" w:color="000000" w:sz="10" w:space="0"/>
              <w:right w:val="single" w:color="000000" w:sz="4" w:space="0"/>
            </w:tcBorders>
            <w:noWrap w:val="0"/>
            <w:vAlign w:val="center"/>
          </w:tcPr>
          <w:p>
            <w:pPr>
              <w:jc w:val="center"/>
            </w:pPr>
          </w:p>
        </w:tc>
        <w:tc>
          <w:tcPr>
            <w:tcW w:w="1106" w:type="dxa"/>
            <w:tcBorders>
              <w:top w:val="single" w:color="000000" w:sz="4" w:space="0"/>
              <w:left w:val="single" w:color="000000" w:sz="4" w:space="0"/>
              <w:bottom w:val="single" w:color="000000" w:sz="10" w:space="0"/>
              <w:right w:val="single" w:color="000000" w:sz="4" w:space="0"/>
            </w:tcBorders>
            <w:noWrap w:val="0"/>
            <w:vAlign w:val="center"/>
          </w:tcPr>
          <w:p>
            <w:pPr>
              <w:jc w:val="center"/>
            </w:pPr>
          </w:p>
        </w:tc>
        <w:tc>
          <w:tcPr>
            <w:tcW w:w="1413" w:type="dxa"/>
            <w:tcBorders>
              <w:top w:val="single" w:color="000000" w:sz="4" w:space="0"/>
              <w:left w:val="single" w:color="000000" w:sz="4" w:space="0"/>
              <w:bottom w:val="single" w:color="000000" w:sz="10" w:space="0"/>
              <w:right w:val="single" w:color="000000" w:sz="4" w:space="0"/>
            </w:tcBorders>
            <w:noWrap w:val="0"/>
            <w:vAlign w:val="center"/>
          </w:tcPr>
          <w:p>
            <w:pPr>
              <w:jc w:val="center"/>
            </w:pPr>
          </w:p>
        </w:tc>
        <w:tc>
          <w:tcPr>
            <w:tcW w:w="1780" w:type="dxa"/>
            <w:tcBorders>
              <w:top w:val="single" w:color="000000" w:sz="4" w:space="0"/>
              <w:left w:val="single" w:color="000000" w:sz="4" w:space="0"/>
              <w:bottom w:val="single" w:color="000000" w:sz="10" w:space="0"/>
              <w:right w:val="single" w:color="000000" w:sz="10" w:space="0"/>
            </w:tcBorders>
            <w:noWrap w:val="0"/>
            <w:vAlign w:val="center"/>
          </w:tcPr>
          <w:p>
            <w:pPr>
              <w:jc w:val="center"/>
            </w:pPr>
          </w:p>
        </w:tc>
      </w:tr>
    </w:tbl>
    <w:p>
      <w:pPr>
        <w:autoSpaceDE w:val="0"/>
        <w:autoSpaceDN w:val="0"/>
        <w:adjustRightInd w:val="0"/>
        <w:rPr>
          <w:rFonts w:ascii="新宋体" w:hAnsi="Segoe UI Symbol" w:eastAsia="新宋体" w:cs="新宋体"/>
          <w:kern w:val="0"/>
          <w:sz w:val="22"/>
          <w:szCs w:val="22"/>
          <w:lang w:val="zh-CN"/>
        </w:rPr>
      </w:pPr>
      <w:r>
        <w:rPr>
          <w:rFonts w:hint="eastAsia" w:ascii="新宋体" w:hAnsi="Segoe UI Symbol" w:eastAsia="新宋体" w:cs="新宋体"/>
          <w:kern w:val="0"/>
          <w:sz w:val="22"/>
          <w:szCs w:val="22"/>
          <w:lang w:val="zh-CN"/>
        </w:rPr>
        <w:t>注：</w:t>
      </w:r>
    </w:p>
    <w:p>
      <w:pPr>
        <w:numPr>
          <w:ilvl w:val="0"/>
          <w:numId w:val="25"/>
        </w:numPr>
        <w:tabs>
          <w:tab w:val="left" w:pos="420"/>
          <w:tab w:val="left" w:pos="1260"/>
          <w:tab w:val="left" w:pos="5355"/>
        </w:tabs>
        <w:autoSpaceDE w:val="0"/>
        <w:autoSpaceDN w:val="0"/>
        <w:adjustRightInd w:val="0"/>
        <w:spacing w:line="430" w:lineRule="atLeast"/>
        <w:rPr>
          <w:rFonts w:hint="eastAsia" w:ascii="新宋体" w:hAnsi="Segoe UI Symbol" w:eastAsia="新宋体" w:cs="新宋体"/>
          <w:kern w:val="0"/>
          <w:sz w:val="22"/>
          <w:szCs w:val="22"/>
          <w:lang w:val="zh-CN"/>
        </w:rPr>
      </w:pPr>
      <w:r>
        <w:rPr>
          <w:rFonts w:hint="eastAsia" w:ascii="新宋体" w:hAnsi="Segoe UI Symbol" w:eastAsia="新宋体" w:cs="新宋体"/>
          <w:kern w:val="0"/>
          <w:sz w:val="22"/>
          <w:szCs w:val="22"/>
          <w:lang w:val="zh-CN"/>
        </w:rPr>
        <w:t>每项业绩须附证明文件，证明文件以合同文本为依据（完整复印件且加盖投标供应商公章）；</w:t>
      </w:r>
    </w:p>
    <w:p>
      <w:pPr>
        <w:spacing w:line="380" w:lineRule="exact"/>
        <w:jc w:val="center"/>
        <w:rPr>
          <w:rFonts w:ascii="新宋体" w:hAnsi="新宋体" w:eastAsia="新宋体" w:cs="新宋体"/>
          <w:sz w:val="22"/>
          <w:szCs w:val="22"/>
        </w:rPr>
      </w:pPr>
    </w:p>
    <w:p>
      <w:pPr>
        <w:rPr>
          <w:rFonts w:ascii="新宋体" w:hAnsi="新宋体" w:eastAsia="新宋体" w:cs="新宋体"/>
          <w:sz w:val="22"/>
          <w:szCs w:val="22"/>
        </w:rPr>
      </w:pPr>
    </w:p>
    <w:p>
      <w:pPr>
        <w:rPr>
          <w:rFonts w:ascii="新宋体" w:hAnsi="新宋体" w:eastAsia="新宋体" w:cs="新宋体"/>
          <w:sz w:val="22"/>
          <w:szCs w:val="22"/>
        </w:rPr>
      </w:pPr>
    </w:p>
    <w:p>
      <w:pPr>
        <w:rPr>
          <w:rFonts w:ascii="新宋体" w:hAnsi="新宋体" w:eastAsia="新宋体" w:cs="新宋体"/>
          <w:sz w:val="22"/>
          <w:szCs w:val="22"/>
        </w:rPr>
      </w:pPr>
    </w:p>
    <w:p>
      <w:pPr>
        <w:rPr>
          <w:rFonts w:ascii="新宋体" w:hAnsi="新宋体" w:eastAsia="新宋体" w:cs="新宋体"/>
          <w:sz w:val="22"/>
          <w:szCs w:val="22"/>
        </w:rPr>
      </w:pPr>
    </w:p>
    <w:p>
      <w:pPr>
        <w:rPr>
          <w:rFonts w:hint="eastAsia" w:ascii="新宋体" w:hAnsi="新宋体" w:eastAsia="新宋体" w:cs="新宋体"/>
          <w:sz w:val="22"/>
          <w:szCs w:val="22"/>
        </w:rPr>
      </w:pPr>
    </w:p>
    <w:p>
      <w:p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spacing w:line="380" w:lineRule="exact"/>
        <w:rPr>
          <w:rFonts w:hint="eastAsia" w:ascii="新宋体" w:hAnsi="新宋体" w:eastAsia="新宋体" w:cs="新宋体"/>
          <w:sz w:val="22"/>
          <w:szCs w:val="22"/>
        </w:rPr>
      </w:pPr>
    </w:p>
    <w:p>
      <w:p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投标人代表（签字或盖章）：</w:t>
      </w:r>
    </w:p>
    <w:p>
      <w:pPr>
        <w:spacing w:line="380" w:lineRule="exact"/>
        <w:rPr>
          <w:rFonts w:hint="eastAsia" w:ascii="新宋体" w:hAnsi="新宋体" w:eastAsia="新宋体" w:cs="新宋体"/>
          <w:sz w:val="22"/>
          <w:szCs w:val="22"/>
        </w:rPr>
      </w:pPr>
    </w:p>
    <w:p>
      <w:p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日 期：  年  月  日</w:t>
      </w:r>
    </w:p>
    <w:p>
      <w:pPr>
        <w:tabs>
          <w:tab w:val="left" w:pos="655"/>
        </w:tabs>
        <w:spacing w:line="380" w:lineRule="exact"/>
        <w:rPr>
          <w:rFonts w:ascii="新宋体" w:hAnsi="新宋体" w:eastAsia="新宋体" w:cs="新宋体"/>
          <w:sz w:val="22"/>
          <w:szCs w:val="22"/>
        </w:rPr>
      </w:pPr>
    </w:p>
    <w:p>
      <w:pPr>
        <w:spacing w:line="380" w:lineRule="exact"/>
        <w:jc w:val="left"/>
        <w:rPr>
          <w:rFonts w:hint="eastAsia" w:ascii="新宋体" w:hAnsi="新宋体" w:eastAsia="新宋体" w:cs="新宋体"/>
          <w:b/>
          <w:bCs/>
          <w:sz w:val="22"/>
          <w:szCs w:val="22"/>
        </w:rPr>
      </w:pPr>
      <w:r>
        <w:rPr>
          <w:rFonts w:ascii="新宋体" w:hAnsi="新宋体" w:eastAsia="新宋体" w:cs="新宋体"/>
          <w:sz w:val="22"/>
          <w:szCs w:val="22"/>
        </w:rPr>
        <w:br w:type="page"/>
      </w:r>
    </w:p>
    <w:p>
      <w:pPr>
        <w:spacing w:line="380" w:lineRule="exact"/>
        <w:jc w:val="left"/>
        <w:rPr>
          <w:rFonts w:hint="eastAsia" w:ascii="新宋体" w:hAnsi="新宋体" w:eastAsia="新宋体" w:cs="新宋体"/>
          <w:b/>
          <w:bCs/>
          <w:sz w:val="22"/>
          <w:szCs w:val="22"/>
        </w:rPr>
      </w:pPr>
      <w:r>
        <w:rPr>
          <w:rFonts w:hint="eastAsia" w:ascii="新宋体" w:hAnsi="新宋体" w:eastAsia="新宋体" w:cs="新宋体"/>
          <w:b/>
          <w:bCs/>
          <w:sz w:val="22"/>
          <w:szCs w:val="22"/>
        </w:rPr>
        <w:t xml:space="preserve">附件六                  </w:t>
      </w:r>
    </w:p>
    <w:p>
      <w:pPr>
        <w:spacing w:line="380" w:lineRule="exact"/>
        <w:ind w:firstLine="2650" w:firstLineChars="1100"/>
        <w:jc w:val="left"/>
        <w:rPr>
          <w:rFonts w:ascii="宋体" w:hAnsi="宋体" w:cs="宋体"/>
          <w:bCs/>
          <w:sz w:val="24"/>
        </w:rPr>
      </w:pPr>
      <w:r>
        <w:rPr>
          <w:rFonts w:hint="eastAsia" w:ascii="宋体" w:hAnsi="宋体" w:cs="宋体"/>
          <w:b/>
          <w:sz w:val="24"/>
        </w:rPr>
        <w:t>节能、环保产品证明材料（如有）</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说明：</w:t>
      </w:r>
    </w:p>
    <w:p>
      <w:pPr>
        <w:spacing w:line="360" w:lineRule="auto"/>
        <w:ind w:firstLine="482" w:firstLineChars="200"/>
        <w:rPr>
          <w:rFonts w:ascii="宋体" w:hAnsi="宋体" w:cs="宋体"/>
          <w:b/>
          <w:sz w:val="24"/>
        </w:rPr>
      </w:pPr>
      <w:r>
        <w:rPr>
          <w:rFonts w:hint="eastAsia" w:ascii="宋体" w:hAnsi="宋体" w:cs="宋体"/>
          <w:b/>
          <w:sz w:val="24"/>
        </w:rPr>
        <w:t>1.投标人所投产品属于政府采购品目清单范围的，投标人应当提供经国家确定的认证机构出具的、处于有效期之内的节能产品、环境标志产品认证证书（复印件加盖投标人公章），另外投标人因对提供的环保、节能产品需在投标文件货物配置清单备注中注明；</w:t>
      </w:r>
    </w:p>
    <w:p>
      <w:pPr>
        <w:spacing w:line="380" w:lineRule="exact"/>
        <w:ind w:firstLine="482" w:firstLineChars="200"/>
        <w:rPr>
          <w:rFonts w:hint="eastAsia" w:ascii="宋体" w:hAnsi="宋体" w:cs="宋体"/>
          <w:b/>
          <w:sz w:val="24"/>
        </w:rPr>
      </w:pPr>
      <w:r>
        <w:rPr>
          <w:rFonts w:hint="eastAsia" w:ascii="宋体" w:hAnsi="宋体" w:cs="宋体"/>
          <w:b/>
          <w:sz w:val="24"/>
        </w:rPr>
        <w:t>2.评审小组成员审查此项只根据投标文件本身的内容，不再寻求其他的外部证据。</w:t>
      </w:r>
    </w:p>
    <w:p>
      <w:pPr>
        <w:spacing w:line="380" w:lineRule="exact"/>
        <w:jc w:val="center"/>
        <w:rPr>
          <w:rFonts w:hint="eastAsia" w:ascii="宋体" w:hAnsi="宋体" w:cs="宋体"/>
          <w:b/>
          <w:sz w:val="24"/>
        </w:rPr>
      </w:pPr>
    </w:p>
    <w:p>
      <w:pPr>
        <w:spacing w:line="380" w:lineRule="exact"/>
        <w:jc w:val="center"/>
        <w:rPr>
          <w:rFonts w:ascii="新宋体" w:hAnsi="新宋体" w:eastAsia="新宋体" w:cs="新宋体"/>
          <w:sz w:val="22"/>
          <w:szCs w:val="22"/>
        </w:rPr>
      </w:pPr>
      <w:r>
        <w:rPr>
          <w:rFonts w:hint="eastAsia" w:ascii="新宋体" w:hAnsi="新宋体" w:eastAsia="新宋体" w:cs="新宋体"/>
          <w:sz w:val="22"/>
          <w:szCs w:val="22"/>
        </w:rPr>
        <w:br w:type="page"/>
      </w:r>
    </w:p>
    <w:p>
      <w:pPr>
        <w:spacing w:before="120" w:beforeLines="50" w:after="120" w:afterLines="50"/>
        <w:rPr>
          <w:rFonts w:hint="eastAsia" w:ascii="新宋体" w:hAnsi="新宋体" w:eastAsia="新宋体" w:cs="新宋体"/>
          <w:sz w:val="22"/>
          <w:szCs w:val="22"/>
        </w:rPr>
      </w:pPr>
      <w:r>
        <w:rPr>
          <w:rFonts w:hint="eastAsia" w:ascii="新宋体" w:hAnsi="新宋体" w:eastAsia="新宋体" w:cs="新宋体"/>
          <w:sz w:val="22"/>
          <w:szCs w:val="22"/>
        </w:rPr>
        <w:t>（报价文件封面，供参考）</w:t>
      </w:r>
    </w:p>
    <w:p>
      <w:pPr>
        <w:rPr>
          <w:rFonts w:hint="eastAsia" w:ascii="新宋体" w:hAnsi="新宋体" w:eastAsia="新宋体" w:cs="新宋体"/>
        </w:rPr>
      </w:pPr>
    </w:p>
    <w:p>
      <w:pPr>
        <w:rPr>
          <w:rFonts w:hint="eastAsia" w:ascii="新宋体" w:hAnsi="新宋体" w:eastAsia="新宋体" w:cs="新宋体"/>
        </w:rPr>
      </w:pPr>
    </w:p>
    <w:p>
      <w:pPr>
        <w:rPr>
          <w:rFonts w:hint="eastAsia" w:ascii="新宋体" w:hAnsi="新宋体" w:eastAsia="新宋体" w:cs="新宋体"/>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（项目名称）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投标文件</w:t>
      </w: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2"/>
        <w:ind w:firstLine="281"/>
        <w:rPr>
          <w:rFonts w:hint="eastAsia" w:ascii="新宋体" w:hAnsi="新宋体" w:eastAsia="新宋体" w:cs="新宋体"/>
          <w:sz w:val="28"/>
          <w:szCs w:val="28"/>
        </w:rPr>
      </w:pPr>
    </w:p>
    <w:p>
      <w:pPr>
        <w:pStyle w:val="2"/>
        <w:ind w:firstLine="281"/>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jc w:val="center"/>
        <w:rPr>
          <w:rFonts w:hint="eastAsia" w:ascii="新宋体" w:hAnsi="新宋体" w:eastAsia="新宋体" w:cs="新宋体"/>
          <w:sz w:val="52"/>
          <w:szCs w:val="52"/>
        </w:rPr>
      </w:pPr>
      <w:r>
        <w:rPr>
          <w:rFonts w:hint="eastAsia" w:ascii="新宋体" w:hAnsi="新宋体" w:eastAsia="新宋体" w:cs="新宋体"/>
          <w:sz w:val="52"/>
          <w:szCs w:val="52"/>
        </w:rPr>
        <w:t>报 价 文 件</w:t>
      </w: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spacing w:line="360" w:lineRule="auto"/>
        <w:rPr>
          <w:rFonts w:hint="eastAsia" w:ascii="新宋体" w:hAnsi="新宋体" w:eastAsia="新宋体" w:cs="新宋体"/>
          <w:szCs w:val="21"/>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供应商：</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（盖单位章）</w:t>
      </w:r>
    </w:p>
    <w:p>
      <w:pPr>
        <w:rPr>
          <w:rFonts w:hint="eastAsia" w:ascii="新宋体" w:hAnsi="新宋体" w:eastAsia="新宋体" w:cs="新宋体"/>
          <w:sz w:val="28"/>
          <w:szCs w:val="28"/>
          <w:u w:val="single"/>
        </w:rPr>
      </w:pPr>
    </w:p>
    <w:p>
      <w:pPr>
        <w:jc w:val="center"/>
        <w:rPr>
          <w:rFonts w:hint="eastAsia" w:ascii="新宋体" w:hAnsi="新宋体" w:eastAsia="新宋体" w:cs="新宋体"/>
          <w:sz w:val="28"/>
          <w:szCs w:val="28"/>
        </w:rPr>
      </w:pPr>
      <w:r>
        <w:rPr>
          <w:rFonts w:hint="eastAsia" w:ascii="新宋体" w:hAnsi="新宋体" w:eastAsia="新宋体" w:cs="新宋体"/>
          <w:sz w:val="28"/>
          <w:szCs w:val="28"/>
        </w:rPr>
        <w:t>法定代表人（单位负责人）或其委托代理人：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（签字或盖章）</w:t>
      </w:r>
    </w:p>
    <w:p>
      <w:pPr>
        <w:rPr>
          <w:rFonts w:hint="eastAsia" w:ascii="新宋体" w:hAnsi="新宋体" w:eastAsia="新宋体" w:cs="新宋体"/>
          <w:sz w:val="28"/>
          <w:szCs w:val="28"/>
        </w:rPr>
      </w:pPr>
    </w:p>
    <w:p>
      <w:pPr>
        <w:overflowPunct w:val="0"/>
        <w:spacing w:line="380" w:lineRule="exact"/>
        <w:ind w:firstLine="2738" w:firstLineChars="978"/>
        <w:rPr>
          <w:rFonts w:hint="eastAsia"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日</w:t>
      </w:r>
    </w:p>
    <w:p>
      <w:pPr>
        <w:overflowPunct w:val="0"/>
        <w:spacing w:line="380" w:lineRule="exact"/>
        <w:rPr>
          <w:rFonts w:hint="eastAsia" w:ascii="新宋体" w:hAnsi="新宋体" w:eastAsia="新宋体" w:cs="新宋体"/>
          <w:b/>
          <w:bCs/>
          <w:sz w:val="22"/>
          <w:szCs w:val="22"/>
        </w:rPr>
      </w:pPr>
      <w:r>
        <w:rPr>
          <w:rFonts w:hint="eastAsia" w:ascii="新宋体" w:hAnsi="新宋体" w:eastAsia="新宋体" w:cs="新宋体"/>
          <w:sz w:val="22"/>
          <w:szCs w:val="22"/>
        </w:rPr>
        <w:br w:type="page"/>
      </w:r>
    </w:p>
    <w:p>
      <w:pPr>
        <w:jc w:val="center"/>
        <w:rPr>
          <w:rFonts w:hint="eastAsia" w:ascii="新宋体" w:hAnsi="新宋体" w:eastAsia="新宋体" w:cs="新宋体"/>
          <w:b/>
          <w:sz w:val="28"/>
        </w:rPr>
      </w:pPr>
      <w:r>
        <w:rPr>
          <w:rFonts w:hint="eastAsia" w:ascii="新宋体" w:hAnsi="新宋体" w:eastAsia="新宋体" w:cs="新宋体"/>
          <w:b/>
          <w:sz w:val="28"/>
        </w:rPr>
        <w:t>开标一览表</w:t>
      </w:r>
    </w:p>
    <w:p>
      <w:pPr>
        <w:overflowPunct w:val="0"/>
        <w:spacing w:line="380" w:lineRule="exact"/>
        <w:rPr>
          <w:rFonts w:hint="eastAsia" w:ascii="新宋体" w:hAnsi="新宋体" w:eastAsia="新宋体" w:cs="新宋体"/>
          <w:b/>
          <w:bCs/>
          <w:sz w:val="28"/>
        </w:rPr>
      </w:pPr>
    </w:p>
    <w:p>
      <w:pPr>
        <w:overflowPunct w:val="0"/>
        <w:spacing w:line="380" w:lineRule="exact"/>
        <w:rPr>
          <w:rFonts w:hint="eastAsia" w:ascii="新宋体" w:hAnsi="新宋体" w:eastAsia="新宋体" w:cs="新宋体"/>
          <w:bCs/>
          <w:sz w:val="22"/>
          <w:szCs w:val="22"/>
        </w:rPr>
      </w:pPr>
      <w:r>
        <w:rPr>
          <w:rFonts w:hint="eastAsia" w:ascii="新宋体" w:hAnsi="新宋体" w:eastAsia="新宋体" w:cs="新宋体"/>
          <w:bCs/>
          <w:sz w:val="22"/>
          <w:szCs w:val="22"/>
        </w:rPr>
        <w:t xml:space="preserve">  项目编号：</w:t>
      </w:r>
      <w:r>
        <w:rPr>
          <w:rFonts w:hint="eastAsia" w:ascii="新宋体" w:hAnsi="新宋体" w:eastAsia="新宋体" w:cs="新宋体"/>
          <w:bCs/>
          <w:sz w:val="22"/>
          <w:szCs w:val="22"/>
          <w:u w:val="single"/>
        </w:rPr>
        <w:t xml:space="preserve">        </w:t>
      </w:r>
      <w:r>
        <w:rPr>
          <w:rFonts w:hint="eastAsia" w:ascii="新宋体" w:hAnsi="新宋体" w:eastAsia="新宋体" w:cs="新宋体"/>
          <w:bCs/>
          <w:sz w:val="22"/>
          <w:szCs w:val="22"/>
        </w:rPr>
        <w:t xml:space="preserve">                                           报价单位：</w:t>
      </w:r>
      <w:r>
        <w:rPr>
          <w:rFonts w:hint="eastAsia" w:ascii="新宋体" w:hAnsi="新宋体" w:eastAsia="新宋体" w:cs="新宋体"/>
          <w:bCs/>
          <w:sz w:val="22"/>
          <w:szCs w:val="22"/>
          <w:u w:val="single"/>
        </w:rPr>
        <w:t>人民币元</w:t>
      </w:r>
    </w:p>
    <w:tbl>
      <w:tblPr>
        <w:tblStyle w:val="56"/>
        <w:tblpPr w:leftFromText="180" w:rightFromText="180" w:vertAnchor="text" w:horzAnchor="page" w:tblpX="1107" w:tblpY="38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64"/>
        <w:gridCol w:w="2835"/>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2364" w:type="dxa"/>
            <w:noWrap w:val="0"/>
            <w:vAlign w:val="center"/>
          </w:tcPr>
          <w:p>
            <w:pPr>
              <w:pStyle w:val="30"/>
              <w:spacing w:line="460" w:lineRule="atLeast"/>
              <w:jc w:val="center"/>
              <w:rPr>
                <w:rFonts w:hint="eastAsia" w:hAnsi="宋体"/>
                <w:sz w:val="22"/>
                <w:szCs w:val="22"/>
              </w:rPr>
            </w:pPr>
            <w:r>
              <w:rPr>
                <w:rFonts w:hint="eastAsia" w:hAnsi="宋体"/>
                <w:sz w:val="22"/>
                <w:szCs w:val="22"/>
              </w:rPr>
              <w:t>项目名称</w:t>
            </w:r>
          </w:p>
        </w:tc>
        <w:tc>
          <w:tcPr>
            <w:tcW w:w="2564" w:type="dxa"/>
            <w:noWrap w:val="0"/>
            <w:vAlign w:val="center"/>
          </w:tcPr>
          <w:p>
            <w:pPr>
              <w:pStyle w:val="30"/>
              <w:spacing w:line="460" w:lineRule="atLeast"/>
              <w:jc w:val="center"/>
              <w:rPr>
                <w:rFonts w:hint="eastAsia" w:hAnsi="宋体"/>
                <w:sz w:val="22"/>
                <w:szCs w:val="22"/>
              </w:rPr>
            </w:pPr>
            <w:r>
              <w:rPr>
                <w:rFonts w:hint="eastAsia" w:hAnsi="宋体"/>
                <w:sz w:val="22"/>
                <w:szCs w:val="22"/>
              </w:rPr>
              <w:t>项目建设期</w:t>
            </w:r>
          </w:p>
        </w:tc>
        <w:tc>
          <w:tcPr>
            <w:tcW w:w="2835" w:type="dxa"/>
            <w:noWrap w:val="0"/>
            <w:vAlign w:val="center"/>
          </w:tcPr>
          <w:p>
            <w:pPr>
              <w:pStyle w:val="30"/>
              <w:jc w:val="center"/>
              <w:rPr>
                <w:rFonts w:hAnsi="宋体"/>
                <w:sz w:val="22"/>
                <w:szCs w:val="22"/>
              </w:rPr>
            </w:pPr>
            <w:r>
              <w:rPr>
                <w:rFonts w:hint="eastAsia" w:hAnsi="宋体"/>
                <w:sz w:val="22"/>
                <w:szCs w:val="22"/>
              </w:rPr>
              <w:t>免费</w:t>
            </w:r>
          </w:p>
          <w:p>
            <w:pPr>
              <w:pStyle w:val="30"/>
              <w:jc w:val="center"/>
              <w:rPr>
                <w:rFonts w:hAnsi="宋体"/>
                <w:sz w:val="22"/>
                <w:szCs w:val="22"/>
              </w:rPr>
            </w:pPr>
            <w:r>
              <w:rPr>
                <w:rFonts w:hint="eastAsia" w:hAnsi="宋体"/>
                <w:sz w:val="22"/>
                <w:szCs w:val="22"/>
              </w:rPr>
              <w:t>质保期</w:t>
            </w:r>
          </w:p>
        </w:tc>
        <w:tc>
          <w:tcPr>
            <w:tcW w:w="1701" w:type="dxa"/>
            <w:noWrap w:val="0"/>
            <w:vAlign w:val="center"/>
          </w:tcPr>
          <w:p>
            <w:pPr>
              <w:pStyle w:val="30"/>
              <w:spacing w:line="460" w:lineRule="atLeast"/>
              <w:jc w:val="center"/>
              <w:rPr>
                <w:rFonts w:hAnsi="宋体"/>
                <w:sz w:val="22"/>
                <w:szCs w:val="22"/>
              </w:rPr>
            </w:pPr>
            <w:r>
              <w:rPr>
                <w:rFonts w:hint="eastAsia"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364" w:type="dxa"/>
            <w:noWrap w:val="0"/>
            <w:vAlign w:val="center"/>
          </w:tcPr>
          <w:p>
            <w:pPr>
              <w:pStyle w:val="30"/>
              <w:spacing w:line="460" w:lineRule="atLeast"/>
              <w:jc w:val="center"/>
              <w:rPr>
                <w:rFonts w:hAnsi="宋体"/>
                <w:sz w:val="22"/>
                <w:szCs w:val="22"/>
              </w:rPr>
            </w:pPr>
          </w:p>
        </w:tc>
        <w:tc>
          <w:tcPr>
            <w:tcW w:w="2564" w:type="dxa"/>
            <w:noWrap w:val="0"/>
            <w:vAlign w:val="center"/>
          </w:tcPr>
          <w:p>
            <w:pPr>
              <w:pStyle w:val="30"/>
              <w:spacing w:line="460" w:lineRule="atLeast"/>
              <w:jc w:val="center"/>
              <w:rPr>
                <w:rFonts w:hAnsi="宋体"/>
                <w:sz w:val="22"/>
                <w:szCs w:val="22"/>
              </w:rPr>
            </w:pPr>
          </w:p>
        </w:tc>
        <w:tc>
          <w:tcPr>
            <w:tcW w:w="2835" w:type="dxa"/>
            <w:noWrap w:val="0"/>
            <w:vAlign w:val="center"/>
          </w:tcPr>
          <w:p>
            <w:pPr>
              <w:pStyle w:val="30"/>
              <w:spacing w:line="460" w:lineRule="atLeast"/>
              <w:jc w:val="center"/>
              <w:rPr>
                <w:rFonts w:hAnsi="宋体"/>
                <w:sz w:val="22"/>
                <w:szCs w:val="22"/>
              </w:rPr>
            </w:pPr>
          </w:p>
        </w:tc>
        <w:tc>
          <w:tcPr>
            <w:tcW w:w="1701" w:type="dxa"/>
            <w:noWrap w:val="0"/>
            <w:vAlign w:val="center"/>
          </w:tcPr>
          <w:p>
            <w:pPr>
              <w:pStyle w:val="30"/>
              <w:spacing w:line="460" w:lineRule="atLeast"/>
              <w:jc w:val="center"/>
              <w:rPr>
                <w:rFonts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64" w:type="dxa"/>
            <w:vMerge w:val="restart"/>
            <w:noWrap w:val="0"/>
            <w:vAlign w:val="center"/>
          </w:tcPr>
          <w:p>
            <w:pPr>
              <w:jc w:val="center"/>
              <w:rPr>
                <w:rFonts w:ascii="宋体" w:hAnsi="宋体"/>
                <w:sz w:val="22"/>
                <w:szCs w:val="22"/>
              </w:rPr>
            </w:pPr>
            <w:r>
              <w:rPr>
                <w:rFonts w:hint="eastAsia" w:ascii="宋体" w:hAnsi="宋体"/>
                <w:sz w:val="22"/>
                <w:szCs w:val="22"/>
              </w:rPr>
              <w:t>投标报价</w:t>
            </w:r>
          </w:p>
        </w:tc>
        <w:tc>
          <w:tcPr>
            <w:tcW w:w="7100" w:type="dxa"/>
            <w:gridSpan w:val="3"/>
            <w:noWrap w:val="0"/>
            <w:vAlign w:val="center"/>
          </w:tcPr>
          <w:p>
            <w:pPr>
              <w:pStyle w:val="30"/>
              <w:spacing w:line="460" w:lineRule="atLeast"/>
              <w:rPr>
                <w:rFonts w:hAnsi="宋体"/>
                <w:sz w:val="22"/>
                <w:szCs w:val="22"/>
              </w:rPr>
            </w:pPr>
            <w:r>
              <w:rPr>
                <w:rFonts w:hint="eastAsia" w:hAnsi="宋体"/>
                <w:sz w:val="22"/>
                <w:szCs w:val="22"/>
              </w:rPr>
              <w:t>（大写）人民币：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64" w:type="dxa"/>
            <w:vMerge w:val="continue"/>
            <w:noWrap w:val="0"/>
            <w:vAlign w:val="center"/>
          </w:tcPr>
          <w:p>
            <w:pPr>
              <w:pStyle w:val="30"/>
              <w:spacing w:line="460" w:lineRule="atLeast"/>
              <w:rPr>
                <w:rFonts w:hAnsi="宋体"/>
                <w:sz w:val="22"/>
                <w:szCs w:val="22"/>
              </w:rPr>
            </w:pPr>
          </w:p>
        </w:tc>
        <w:tc>
          <w:tcPr>
            <w:tcW w:w="7100" w:type="dxa"/>
            <w:gridSpan w:val="3"/>
            <w:noWrap w:val="0"/>
            <w:vAlign w:val="center"/>
          </w:tcPr>
          <w:p>
            <w:pPr>
              <w:pStyle w:val="30"/>
              <w:spacing w:line="460" w:lineRule="atLeast"/>
              <w:rPr>
                <w:rFonts w:hAnsi="宋体"/>
                <w:sz w:val="22"/>
                <w:szCs w:val="22"/>
              </w:rPr>
            </w:pPr>
            <w:r>
              <w:rPr>
                <w:rFonts w:hint="eastAsia" w:hAnsi="宋体"/>
                <w:sz w:val="22"/>
                <w:szCs w:val="22"/>
              </w:rPr>
              <w:t>（小写）￥</w:t>
            </w:r>
          </w:p>
        </w:tc>
      </w:tr>
    </w:tbl>
    <w:p>
      <w:pPr>
        <w:overflowPunct w:val="0"/>
        <w:spacing w:line="380" w:lineRule="exact"/>
        <w:rPr>
          <w:rFonts w:hint="eastAsia" w:ascii="新宋体" w:hAnsi="新宋体" w:eastAsia="新宋体" w:cs="新宋体"/>
          <w:bCs/>
          <w:sz w:val="22"/>
          <w:szCs w:val="22"/>
        </w:rPr>
      </w:pPr>
    </w:p>
    <w:p>
      <w:pPr>
        <w:pStyle w:val="2"/>
        <w:ind w:firstLine="321"/>
        <w:rPr>
          <w:rFonts w:hint="eastAsia"/>
        </w:rPr>
      </w:pPr>
    </w:p>
    <w:p>
      <w:pPr>
        <w:tabs>
          <w:tab w:val="left" w:pos="540"/>
        </w:tabs>
        <w:spacing w:line="460" w:lineRule="exact"/>
        <w:rPr>
          <w:rFonts w:hint="eastAsia" w:ascii="新宋体" w:hAnsi="新宋体" w:eastAsia="新宋体" w:cs="新宋体"/>
          <w:bCs/>
          <w:kern w:val="0"/>
          <w:sz w:val="22"/>
          <w:szCs w:val="22"/>
          <w:lang w:val="zh-CN"/>
        </w:rPr>
      </w:pPr>
      <w:r>
        <w:rPr>
          <w:rFonts w:hint="eastAsia" w:ascii="宋体" w:hAnsi="宋体"/>
          <w:sz w:val="22"/>
          <w:szCs w:val="22"/>
        </w:rPr>
        <w:t>说明：</w:t>
      </w:r>
      <w:r>
        <w:rPr>
          <w:rFonts w:hint="eastAsia" w:ascii="宋体" w:hAnsi="宋体"/>
          <w:bCs/>
          <w:sz w:val="22"/>
          <w:szCs w:val="22"/>
        </w:rPr>
        <w:t>开标一览表中的投标报价</w:t>
      </w:r>
      <w:r>
        <w:rPr>
          <w:rFonts w:hint="eastAsia" w:ascii="宋体" w:hAnsi="宋体" w:cs="Courier New"/>
          <w:sz w:val="22"/>
          <w:szCs w:val="22"/>
        </w:rPr>
        <w:t>包含</w:t>
      </w:r>
      <w:r>
        <w:rPr>
          <w:rFonts w:hint="eastAsia" w:ascii="新宋体" w:hAnsi="新宋体" w:eastAsia="新宋体" w:cs="新宋体"/>
          <w:bCs/>
          <w:kern w:val="0"/>
          <w:sz w:val="22"/>
          <w:szCs w:val="22"/>
          <w:lang w:val="zh-CN"/>
        </w:rPr>
        <w:t>数据开发、平台开发、系统集成、信息采集、出处和网络安全、硬件设备供货、安装调试、质保期质保升级费用、验收（含第三方验收）、交通、人员费用、保险、税费、技术服务、售后服务、所需材料，服务及培训、招标代理服务费等全部费用，实行固定费用总包干。</w:t>
      </w:r>
    </w:p>
    <w:p>
      <w:pPr>
        <w:spacing w:line="460" w:lineRule="exact"/>
        <w:rPr>
          <w:rFonts w:hint="eastAsia" w:ascii="宋体" w:hAnsi="宋体" w:cs="Courier New"/>
          <w:sz w:val="22"/>
          <w:szCs w:val="22"/>
        </w:rPr>
      </w:pPr>
    </w:p>
    <w:p>
      <w:pPr>
        <w:spacing w:line="460" w:lineRule="exact"/>
        <w:rPr>
          <w:rFonts w:ascii="宋体" w:hAnsi="宋体"/>
          <w:b/>
          <w:sz w:val="22"/>
          <w:szCs w:val="22"/>
          <w:u w:val="single"/>
        </w:rPr>
      </w:pPr>
      <w:r>
        <w:rPr>
          <w:rFonts w:hint="eastAsia" w:ascii="宋体" w:hAnsi="宋体"/>
          <w:b/>
          <w:sz w:val="22"/>
          <w:szCs w:val="22"/>
          <w:u w:val="single"/>
        </w:rPr>
        <w:t>不提供此表的投标文件将被视为未实质性响应招标文件，其投标无效。</w:t>
      </w:r>
    </w:p>
    <w:p>
      <w:pPr>
        <w:overflowPunct w:val="0"/>
        <w:spacing w:line="460" w:lineRule="exact"/>
        <w:rPr>
          <w:rFonts w:hint="eastAsia" w:ascii="新宋体" w:hAnsi="新宋体" w:eastAsia="新宋体" w:cs="新宋体"/>
          <w:sz w:val="22"/>
          <w:szCs w:val="22"/>
        </w:rPr>
      </w:pP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投标人代表（签字或盖章）：</w:t>
      </w: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日 期：  年  月  日</w:t>
      </w:r>
    </w:p>
    <w:p>
      <w:pPr>
        <w:overflowPunct w:val="0"/>
        <w:spacing w:line="460" w:lineRule="exact"/>
        <w:rPr>
          <w:rFonts w:hint="eastAsia" w:ascii="新宋体" w:hAnsi="新宋体" w:eastAsia="新宋体" w:cs="新宋体"/>
          <w:sz w:val="22"/>
          <w:szCs w:val="22"/>
        </w:rPr>
      </w:pPr>
    </w:p>
    <w:p>
      <w:pPr>
        <w:overflowPunct w:val="0"/>
        <w:spacing w:line="380" w:lineRule="exact"/>
        <w:ind w:firstLine="9460" w:firstLineChars="4300"/>
        <w:rPr>
          <w:rFonts w:hint="eastAsia" w:ascii="新宋体" w:hAnsi="新宋体" w:eastAsia="新宋体" w:cs="新宋体"/>
          <w:sz w:val="22"/>
          <w:szCs w:val="22"/>
        </w:rPr>
      </w:pPr>
    </w:p>
    <w:p>
      <w:pPr>
        <w:spacing w:line="460" w:lineRule="exact"/>
        <w:jc w:val="center"/>
        <w:rPr>
          <w:rFonts w:ascii="宋体" w:hAnsi="宋体"/>
          <w:b/>
          <w:bCs/>
          <w:sz w:val="28"/>
          <w:szCs w:val="28"/>
        </w:rPr>
      </w:pPr>
      <w:r>
        <w:rPr>
          <w:rFonts w:hint="eastAsia" w:ascii="新宋体" w:hAnsi="新宋体" w:eastAsia="新宋体" w:cs="新宋体"/>
          <w:b/>
          <w:bCs/>
          <w:sz w:val="22"/>
          <w:szCs w:val="22"/>
        </w:rPr>
        <w:br w:type="page"/>
      </w:r>
      <w:r>
        <w:rPr>
          <w:rFonts w:hint="eastAsia" w:ascii="宋体" w:hAnsi="宋体"/>
          <w:b/>
          <w:bCs/>
          <w:sz w:val="28"/>
          <w:szCs w:val="28"/>
        </w:rPr>
        <w:t>投标分项报价表</w:t>
      </w:r>
    </w:p>
    <w:p>
      <w:pPr>
        <w:spacing w:line="380" w:lineRule="exact"/>
        <w:ind w:firstLine="880" w:firstLineChars="400"/>
        <w:rPr>
          <w:rFonts w:hint="eastAsia" w:ascii="宋体" w:hAnsi="宋体"/>
          <w:sz w:val="22"/>
        </w:rPr>
      </w:pPr>
      <w:r>
        <w:rPr>
          <w:rFonts w:hint="eastAsia" w:ascii="宋体" w:hAnsi="宋体"/>
          <w:sz w:val="22"/>
        </w:rPr>
        <w:t>项目名称：                                     项目编号：</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775"/>
        <w:gridCol w:w="780"/>
        <w:gridCol w:w="720"/>
        <w:gridCol w:w="1530"/>
        <w:gridCol w:w="1361"/>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noWrap w:val="0"/>
            <w:vAlign w:val="center"/>
          </w:tcPr>
          <w:p>
            <w:pPr>
              <w:spacing w:line="460" w:lineRule="exact"/>
              <w:rPr>
                <w:rFonts w:hint="eastAsia" w:ascii="宋体" w:hAnsi="宋体"/>
                <w:sz w:val="22"/>
                <w:szCs w:val="22"/>
              </w:rPr>
            </w:pPr>
            <w:r>
              <w:rPr>
                <w:rFonts w:hint="eastAsia" w:ascii="宋体" w:hAnsi="宋体"/>
                <w:sz w:val="22"/>
                <w:szCs w:val="22"/>
              </w:rPr>
              <w:t>序号</w:t>
            </w:r>
          </w:p>
        </w:tc>
        <w:tc>
          <w:tcPr>
            <w:tcW w:w="2775" w:type="dxa"/>
            <w:noWrap w:val="0"/>
            <w:vAlign w:val="center"/>
          </w:tcPr>
          <w:p>
            <w:pPr>
              <w:spacing w:line="460" w:lineRule="exact"/>
              <w:rPr>
                <w:rFonts w:hint="eastAsia" w:ascii="宋体" w:hAnsi="宋体"/>
                <w:sz w:val="22"/>
                <w:szCs w:val="22"/>
              </w:rPr>
            </w:pPr>
            <w:r>
              <w:rPr>
                <w:rFonts w:hint="eastAsia" w:ascii="宋体" w:hAnsi="宋体"/>
                <w:sz w:val="22"/>
                <w:szCs w:val="22"/>
              </w:rPr>
              <w:t>名  称</w:t>
            </w:r>
          </w:p>
        </w:tc>
        <w:tc>
          <w:tcPr>
            <w:tcW w:w="780" w:type="dxa"/>
            <w:noWrap w:val="0"/>
            <w:vAlign w:val="center"/>
          </w:tcPr>
          <w:p>
            <w:pPr>
              <w:spacing w:line="460" w:lineRule="exact"/>
              <w:rPr>
                <w:rFonts w:hint="eastAsia" w:ascii="宋体" w:hAnsi="宋体"/>
                <w:sz w:val="22"/>
                <w:szCs w:val="22"/>
              </w:rPr>
            </w:pPr>
            <w:r>
              <w:rPr>
                <w:rFonts w:hint="eastAsia" w:ascii="宋体" w:hAnsi="宋体"/>
                <w:sz w:val="22"/>
                <w:szCs w:val="22"/>
              </w:rPr>
              <w:t>单位</w:t>
            </w:r>
          </w:p>
        </w:tc>
        <w:tc>
          <w:tcPr>
            <w:tcW w:w="720" w:type="dxa"/>
            <w:noWrap w:val="0"/>
            <w:vAlign w:val="center"/>
          </w:tcPr>
          <w:p>
            <w:pPr>
              <w:spacing w:line="460" w:lineRule="exact"/>
              <w:rPr>
                <w:rFonts w:hint="eastAsia" w:ascii="宋体" w:hAnsi="宋体"/>
                <w:sz w:val="22"/>
                <w:szCs w:val="22"/>
              </w:rPr>
            </w:pPr>
            <w:r>
              <w:rPr>
                <w:rFonts w:hint="eastAsia" w:ascii="宋体" w:hAnsi="宋体"/>
                <w:sz w:val="22"/>
                <w:szCs w:val="22"/>
              </w:rPr>
              <w:t>数量</w:t>
            </w:r>
          </w:p>
        </w:tc>
        <w:tc>
          <w:tcPr>
            <w:tcW w:w="1530" w:type="dxa"/>
            <w:noWrap w:val="0"/>
            <w:vAlign w:val="center"/>
          </w:tcPr>
          <w:p>
            <w:pPr>
              <w:spacing w:line="460" w:lineRule="exact"/>
              <w:rPr>
                <w:rFonts w:hint="eastAsia" w:ascii="宋体" w:hAnsi="宋体"/>
                <w:sz w:val="22"/>
                <w:szCs w:val="22"/>
              </w:rPr>
            </w:pPr>
            <w:r>
              <w:rPr>
                <w:rFonts w:hint="eastAsia" w:ascii="宋体" w:hAnsi="宋体"/>
                <w:sz w:val="22"/>
                <w:szCs w:val="22"/>
              </w:rPr>
              <w:t>单价（元）</w:t>
            </w:r>
          </w:p>
        </w:tc>
        <w:tc>
          <w:tcPr>
            <w:tcW w:w="1361" w:type="dxa"/>
            <w:noWrap w:val="0"/>
            <w:vAlign w:val="center"/>
          </w:tcPr>
          <w:p>
            <w:pPr>
              <w:spacing w:line="460" w:lineRule="exact"/>
              <w:rPr>
                <w:rFonts w:hint="eastAsia" w:ascii="宋体" w:hAnsi="宋体"/>
                <w:sz w:val="22"/>
                <w:szCs w:val="22"/>
              </w:rPr>
            </w:pPr>
            <w:r>
              <w:rPr>
                <w:rFonts w:hint="eastAsia" w:ascii="宋体" w:hAnsi="宋体"/>
                <w:sz w:val="22"/>
                <w:szCs w:val="22"/>
              </w:rPr>
              <w:t>总价（元）</w:t>
            </w:r>
          </w:p>
        </w:tc>
        <w:tc>
          <w:tcPr>
            <w:tcW w:w="1045" w:type="dxa"/>
            <w:noWrap w:val="0"/>
            <w:vAlign w:val="center"/>
          </w:tcPr>
          <w:p>
            <w:pPr>
              <w:spacing w:line="460" w:lineRule="exact"/>
              <w:rPr>
                <w:rFonts w:hint="eastAsia"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top"/>
          </w:tcPr>
          <w:p>
            <w:pPr>
              <w:spacing w:line="460" w:lineRule="exact"/>
              <w:jc w:val="center"/>
              <w:rPr>
                <w:rFonts w:hint="eastAsia" w:ascii="宋体" w:hAnsi="宋体"/>
                <w:sz w:val="22"/>
                <w:szCs w:val="22"/>
              </w:rPr>
            </w:pPr>
            <w:r>
              <w:rPr>
                <w:rFonts w:hint="eastAsia" w:ascii="宋体" w:hAnsi="宋体"/>
                <w:sz w:val="22"/>
                <w:szCs w:val="22"/>
              </w:rPr>
              <w:t>1</w:t>
            </w:r>
          </w:p>
        </w:tc>
        <w:tc>
          <w:tcPr>
            <w:tcW w:w="2775" w:type="dxa"/>
            <w:shd w:val="clear" w:color="FFFFFF" w:fill="auto"/>
            <w:noWrap w:val="0"/>
            <w:vAlign w:val="top"/>
          </w:tcPr>
          <w:p>
            <w:pPr>
              <w:spacing w:line="460" w:lineRule="exact"/>
              <w:rPr>
                <w:rFonts w:hint="eastAsia" w:ascii="宋体" w:hAnsi="宋体"/>
                <w:sz w:val="22"/>
                <w:szCs w:val="22"/>
              </w:rPr>
            </w:pPr>
          </w:p>
        </w:tc>
        <w:tc>
          <w:tcPr>
            <w:tcW w:w="780" w:type="dxa"/>
            <w:shd w:val="clear" w:color="FFFFFF" w:fill="auto"/>
            <w:noWrap w:val="0"/>
            <w:vAlign w:val="top"/>
          </w:tcPr>
          <w:p>
            <w:pPr>
              <w:spacing w:line="460" w:lineRule="exact"/>
              <w:rPr>
                <w:rFonts w:hint="eastAsia" w:ascii="宋体" w:hAnsi="宋体"/>
                <w:sz w:val="22"/>
                <w:szCs w:val="22"/>
              </w:rPr>
            </w:pPr>
          </w:p>
        </w:tc>
        <w:tc>
          <w:tcPr>
            <w:tcW w:w="720" w:type="dxa"/>
            <w:shd w:val="clear" w:color="FFFFFF" w:fill="auto"/>
            <w:noWrap w:val="0"/>
            <w:vAlign w:val="top"/>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919" w:type="dxa"/>
            <w:shd w:val="clear" w:color="FFFFFF" w:fill="auto"/>
            <w:noWrap w:val="0"/>
            <w:vAlign w:val="top"/>
          </w:tcPr>
          <w:p>
            <w:pPr>
              <w:spacing w:line="460" w:lineRule="exact"/>
              <w:jc w:val="center"/>
              <w:rPr>
                <w:rFonts w:hint="eastAsia" w:ascii="宋体" w:hAnsi="宋体"/>
                <w:sz w:val="22"/>
                <w:szCs w:val="22"/>
              </w:rPr>
            </w:pPr>
            <w:r>
              <w:rPr>
                <w:rFonts w:hint="eastAsia" w:ascii="宋体" w:hAnsi="宋体"/>
                <w:sz w:val="22"/>
                <w:szCs w:val="22"/>
              </w:rPr>
              <w:t>2</w:t>
            </w:r>
          </w:p>
        </w:tc>
        <w:tc>
          <w:tcPr>
            <w:tcW w:w="2775" w:type="dxa"/>
            <w:shd w:val="clear" w:color="FFFFFF" w:fill="auto"/>
            <w:noWrap w:val="0"/>
            <w:vAlign w:val="top"/>
          </w:tcPr>
          <w:p>
            <w:pPr>
              <w:spacing w:line="460" w:lineRule="exact"/>
              <w:rPr>
                <w:rFonts w:hint="eastAsia" w:ascii="宋体" w:hAnsi="宋体"/>
                <w:sz w:val="22"/>
                <w:szCs w:val="22"/>
              </w:rPr>
            </w:pPr>
          </w:p>
        </w:tc>
        <w:tc>
          <w:tcPr>
            <w:tcW w:w="780" w:type="dxa"/>
            <w:shd w:val="clear" w:color="FFFFFF" w:fill="auto"/>
            <w:noWrap w:val="0"/>
            <w:vAlign w:val="top"/>
          </w:tcPr>
          <w:p>
            <w:pPr>
              <w:spacing w:line="460" w:lineRule="exact"/>
              <w:rPr>
                <w:rFonts w:hint="eastAsia" w:ascii="宋体" w:hAnsi="宋体"/>
                <w:sz w:val="22"/>
                <w:szCs w:val="22"/>
              </w:rPr>
            </w:pPr>
          </w:p>
        </w:tc>
        <w:tc>
          <w:tcPr>
            <w:tcW w:w="720" w:type="dxa"/>
            <w:shd w:val="clear" w:color="FFFFFF" w:fill="auto"/>
            <w:noWrap w:val="0"/>
            <w:vAlign w:val="top"/>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center"/>
          </w:tcPr>
          <w:p>
            <w:pPr>
              <w:spacing w:line="460" w:lineRule="exact"/>
              <w:jc w:val="center"/>
              <w:rPr>
                <w:rFonts w:hint="eastAsia" w:ascii="宋体" w:hAnsi="宋体"/>
                <w:sz w:val="22"/>
                <w:szCs w:val="22"/>
              </w:rPr>
            </w:pPr>
            <w:r>
              <w:rPr>
                <w:rFonts w:hint="eastAsia" w:ascii="宋体" w:hAnsi="宋体"/>
                <w:sz w:val="22"/>
                <w:szCs w:val="22"/>
              </w:rPr>
              <w:t>3</w:t>
            </w:r>
          </w:p>
        </w:tc>
        <w:tc>
          <w:tcPr>
            <w:tcW w:w="2775" w:type="dxa"/>
            <w:shd w:val="clear" w:color="FFFFFF" w:fill="auto"/>
            <w:noWrap w:val="0"/>
            <w:vAlign w:val="center"/>
          </w:tcPr>
          <w:p>
            <w:pPr>
              <w:spacing w:line="460" w:lineRule="exact"/>
              <w:rPr>
                <w:rFonts w:hint="eastAsia" w:ascii="宋体" w:hAnsi="宋体"/>
                <w:sz w:val="22"/>
                <w:szCs w:val="22"/>
              </w:rPr>
            </w:pPr>
          </w:p>
        </w:tc>
        <w:tc>
          <w:tcPr>
            <w:tcW w:w="780" w:type="dxa"/>
            <w:shd w:val="clear" w:color="FFFFFF" w:fill="auto"/>
            <w:noWrap w:val="0"/>
            <w:vAlign w:val="center"/>
          </w:tcPr>
          <w:p>
            <w:pPr>
              <w:spacing w:line="460" w:lineRule="exact"/>
              <w:rPr>
                <w:rFonts w:hint="eastAsia" w:ascii="宋体" w:hAnsi="宋体"/>
                <w:sz w:val="22"/>
                <w:szCs w:val="22"/>
              </w:rPr>
            </w:pPr>
          </w:p>
        </w:tc>
        <w:tc>
          <w:tcPr>
            <w:tcW w:w="720" w:type="dxa"/>
            <w:shd w:val="clear" w:color="FFFFFF" w:fill="auto"/>
            <w:noWrap w:val="0"/>
            <w:vAlign w:val="center"/>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center"/>
          </w:tcPr>
          <w:p>
            <w:pPr>
              <w:spacing w:line="460" w:lineRule="exact"/>
              <w:jc w:val="center"/>
              <w:rPr>
                <w:rFonts w:hint="eastAsia" w:ascii="宋体" w:hAnsi="宋体"/>
                <w:sz w:val="22"/>
                <w:szCs w:val="22"/>
              </w:rPr>
            </w:pPr>
            <w:r>
              <w:rPr>
                <w:rFonts w:hint="eastAsia" w:ascii="宋体" w:hAnsi="宋体"/>
                <w:sz w:val="22"/>
                <w:szCs w:val="22"/>
              </w:rPr>
              <w:t>4</w:t>
            </w:r>
          </w:p>
        </w:tc>
        <w:tc>
          <w:tcPr>
            <w:tcW w:w="2775" w:type="dxa"/>
            <w:shd w:val="clear" w:color="FFFFFF" w:fill="auto"/>
            <w:noWrap w:val="0"/>
            <w:vAlign w:val="center"/>
          </w:tcPr>
          <w:p>
            <w:pPr>
              <w:spacing w:line="460" w:lineRule="exact"/>
              <w:rPr>
                <w:rFonts w:hint="eastAsia" w:ascii="宋体" w:hAnsi="宋体"/>
                <w:sz w:val="22"/>
                <w:szCs w:val="22"/>
              </w:rPr>
            </w:pPr>
          </w:p>
        </w:tc>
        <w:tc>
          <w:tcPr>
            <w:tcW w:w="780" w:type="dxa"/>
            <w:shd w:val="clear" w:color="FFFFFF" w:fill="auto"/>
            <w:noWrap w:val="0"/>
            <w:vAlign w:val="center"/>
          </w:tcPr>
          <w:p>
            <w:pPr>
              <w:spacing w:line="460" w:lineRule="exact"/>
              <w:rPr>
                <w:rFonts w:hint="eastAsia" w:ascii="宋体" w:hAnsi="宋体"/>
                <w:sz w:val="22"/>
                <w:szCs w:val="22"/>
              </w:rPr>
            </w:pPr>
          </w:p>
        </w:tc>
        <w:tc>
          <w:tcPr>
            <w:tcW w:w="720" w:type="dxa"/>
            <w:shd w:val="clear" w:color="FFFFFF" w:fill="auto"/>
            <w:noWrap w:val="0"/>
            <w:vAlign w:val="center"/>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center"/>
          </w:tcPr>
          <w:p>
            <w:pPr>
              <w:spacing w:line="460" w:lineRule="exact"/>
              <w:jc w:val="center"/>
              <w:rPr>
                <w:rFonts w:hint="eastAsia" w:ascii="宋体" w:hAnsi="宋体"/>
                <w:sz w:val="22"/>
                <w:szCs w:val="22"/>
              </w:rPr>
            </w:pPr>
            <w:r>
              <w:rPr>
                <w:rFonts w:hint="eastAsia" w:ascii="宋体" w:hAnsi="宋体"/>
                <w:sz w:val="22"/>
                <w:szCs w:val="22"/>
              </w:rPr>
              <w:t>5</w:t>
            </w:r>
          </w:p>
        </w:tc>
        <w:tc>
          <w:tcPr>
            <w:tcW w:w="2775" w:type="dxa"/>
            <w:shd w:val="clear" w:color="FFFFFF" w:fill="auto"/>
            <w:noWrap w:val="0"/>
            <w:vAlign w:val="center"/>
          </w:tcPr>
          <w:p>
            <w:pPr>
              <w:spacing w:line="460" w:lineRule="exact"/>
              <w:rPr>
                <w:rFonts w:hint="eastAsia" w:ascii="宋体" w:hAnsi="宋体"/>
                <w:sz w:val="22"/>
                <w:szCs w:val="22"/>
              </w:rPr>
            </w:pPr>
          </w:p>
        </w:tc>
        <w:tc>
          <w:tcPr>
            <w:tcW w:w="780" w:type="dxa"/>
            <w:shd w:val="clear" w:color="FFFFFF" w:fill="auto"/>
            <w:noWrap w:val="0"/>
            <w:vAlign w:val="center"/>
          </w:tcPr>
          <w:p>
            <w:pPr>
              <w:spacing w:line="460" w:lineRule="exact"/>
              <w:rPr>
                <w:rFonts w:hint="eastAsia" w:ascii="宋体" w:hAnsi="宋体"/>
                <w:sz w:val="22"/>
                <w:szCs w:val="22"/>
              </w:rPr>
            </w:pPr>
          </w:p>
        </w:tc>
        <w:tc>
          <w:tcPr>
            <w:tcW w:w="720" w:type="dxa"/>
            <w:shd w:val="clear" w:color="FFFFFF" w:fill="auto"/>
            <w:noWrap w:val="0"/>
            <w:vAlign w:val="center"/>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center"/>
          </w:tcPr>
          <w:p>
            <w:pPr>
              <w:spacing w:line="460" w:lineRule="exact"/>
              <w:jc w:val="center"/>
              <w:rPr>
                <w:rFonts w:hint="eastAsia" w:ascii="宋体" w:hAnsi="宋体"/>
                <w:sz w:val="22"/>
                <w:szCs w:val="22"/>
              </w:rPr>
            </w:pPr>
            <w:r>
              <w:rPr>
                <w:rFonts w:hint="eastAsia" w:ascii="宋体" w:hAnsi="宋体"/>
                <w:sz w:val="22"/>
                <w:szCs w:val="22"/>
              </w:rPr>
              <w:t>6</w:t>
            </w:r>
          </w:p>
        </w:tc>
        <w:tc>
          <w:tcPr>
            <w:tcW w:w="2775" w:type="dxa"/>
            <w:shd w:val="clear" w:color="FFFFFF" w:fill="auto"/>
            <w:noWrap w:val="0"/>
            <w:vAlign w:val="center"/>
          </w:tcPr>
          <w:p>
            <w:pPr>
              <w:spacing w:line="460" w:lineRule="exact"/>
              <w:rPr>
                <w:rFonts w:hint="eastAsia" w:ascii="宋体" w:hAnsi="宋体"/>
                <w:sz w:val="22"/>
                <w:szCs w:val="22"/>
              </w:rPr>
            </w:pPr>
          </w:p>
        </w:tc>
        <w:tc>
          <w:tcPr>
            <w:tcW w:w="780" w:type="dxa"/>
            <w:shd w:val="clear" w:color="FFFFFF" w:fill="auto"/>
            <w:noWrap w:val="0"/>
            <w:vAlign w:val="center"/>
          </w:tcPr>
          <w:p>
            <w:pPr>
              <w:spacing w:line="460" w:lineRule="exact"/>
              <w:rPr>
                <w:rFonts w:hint="eastAsia" w:ascii="宋体" w:hAnsi="宋体"/>
                <w:sz w:val="22"/>
                <w:szCs w:val="22"/>
              </w:rPr>
            </w:pPr>
          </w:p>
        </w:tc>
        <w:tc>
          <w:tcPr>
            <w:tcW w:w="720" w:type="dxa"/>
            <w:shd w:val="clear" w:color="FFFFFF" w:fill="auto"/>
            <w:noWrap w:val="0"/>
            <w:vAlign w:val="center"/>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center"/>
          </w:tcPr>
          <w:p>
            <w:pPr>
              <w:spacing w:line="460" w:lineRule="exact"/>
              <w:jc w:val="center"/>
              <w:rPr>
                <w:rFonts w:hint="eastAsia" w:ascii="宋体" w:hAnsi="宋体"/>
                <w:sz w:val="22"/>
                <w:szCs w:val="22"/>
              </w:rPr>
            </w:pPr>
            <w:r>
              <w:rPr>
                <w:rFonts w:hint="eastAsia" w:ascii="宋体" w:hAnsi="宋体"/>
                <w:sz w:val="22"/>
                <w:szCs w:val="22"/>
              </w:rPr>
              <w:t>7</w:t>
            </w:r>
          </w:p>
        </w:tc>
        <w:tc>
          <w:tcPr>
            <w:tcW w:w="2775" w:type="dxa"/>
            <w:shd w:val="clear" w:color="FFFFFF" w:fill="auto"/>
            <w:noWrap w:val="0"/>
            <w:vAlign w:val="center"/>
          </w:tcPr>
          <w:p>
            <w:pPr>
              <w:spacing w:line="460" w:lineRule="exact"/>
              <w:rPr>
                <w:rFonts w:hint="eastAsia" w:ascii="宋体" w:hAnsi="宋体"/>
                <w:sz w:val="22"/>
                <w:szCs w:val="22"/>
              </w:rPr>
            </w:pPr>
          </w:p>
        </w:tc>
        <w:tc>
          <w:tcPr>
            <w:tcW w:w="780" w:type="dxa"/>
            <w:shd w:val="clear" w:color="FFFFFF" w:fill="auto"/>
            <w:noWrap w:val="0"/>
            <w:vAlign w:val="center"/>
          </w:tcPr>
          <w:p>
            <w:pPr>
              <w:spacing w:line="460" w:lineRule="exact"/>
              <w:rPr>
                <w:rFonts w:hint="eastAsia" w:ascii="宋体" w:hAnsi="宋体"/>
                <w:sz w:val="22"/>
                <w:szCs w:val="22"/>
              </w:rPr>
            </w:pPr>
          </w:p>
        </w:tc>
        <w:tc>
          <w:tcPr>
            <w:tcW w:w="720" w:type="dxa"/>
            <w:shd w:val="clear" w:color="FFFFFF" w:fill="auto"/>
            <w:noWrap w:val="0"/>
            <w:vAlign w:val="center"/>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top"/>
          </w:tcPr>
          <w:p>
            <w:pPr>
              <w:spacing w:line="460" w:lineRule="exact"/>
              <w:jc w:val="center"/>
              <w:rPr>
                <w:rFonts w:hint="eastAsia" w:ascii="宋体" w:hAnsi="宋体"/>
                <w:sz w:val="22"/>
                <w:szCs w:val="22"/>
              </w:rPr>
            </w:pPr>
            <w:r>
              <w:rPr>
                <w:rFonts w:hint="eastAsia" w:ascii="宋体" w:hAnsi="宋体"/>
                <w:sz w:val="22"/>
                <w:szCs w:val="22"/>
              </w:rPr>
              <w:t>8</w:t>
            </w:r>
          </w:p>
        </w:tc>
        <w:tc>
          <w:tcPr>
            <w:tcW w:w="2775" w:type="dxa"/>
            <w:shd w:val="clear" w:color="FFFFFF" w:fill="auto"/>
            <w:noWrap w:val="0"/>
            <w:vAlign w:val="top"/>
          </w:tcPr>
          <w:p>
            <w:pPr>
              <w:spacing w:line="460" w:lineRule="exact"/>
              <w:rPr>
                <w:rFonts w:hint="eastAsia" w:ascii="宋体" w:hAnsi="宋体"/>
                <w:sz w:val="22"/>
                <w:szCs w:val="22"/>
              </w:rPr>
            </w:pPr>
          </w:p>
        </w:tc>
        <w:tc>
          <w:tcPr>
            <w:tcW w:w="780" w:type="dxa"/>
            <w:shd w:val="clear" w:color="FFFFFF" w:fill="auto"/>
            <w:noWrap w:val="0"/>
            <w:vAlign w:val="top"/>
          </w:tcPr>
          <w:p>
            <w:pPr>
              <w:spacing w:line="460" w:lineRule="exact"/>
              <w:rPr>
                <w:rFonts w:hint="eastAsia" w:ascii="宋体" w:hAnsi="宋体"/>
                <w:sz w:val="22"/>
                <w:szCs w:val="22"/>
              </w:rPr>
            </w:pPr>
          </w:p>
        </w:tc>
        <w:tc>
          <w:tcPr>
            <w:tcW w:w="720" w:type="dxa"/>
            <w:shd w:val="clear" w:color="FFFFFF" w:fill="auto"/>
            <w:noWrap w:val="0"/>
            <w:vAlign w:val="top"/>
          </w:tcPr>
          <w:p>
            <w:pPr>
              <w:spacing w:line="460" w:lineRule="exact"/>
              <w:rPr>
                <w:rFonts w:hint="eastAsia" w:ascii="宋体" w:hAnsi="宋体"/>
                <w:sz w:val="22"/>
                <w:szCs w:val="22"/>
              </w:rPr>
            </w:pPr>
          </w:p>
        </w:tc>
        <w:tc>
          <w:tcPr>
            <w:tcW w:w="1530" w:type="dxa"/>
            <w:noWrap w:val="0"/>
            <w:vAlign w:val="center"/>
          </w:tcPr>
          <w:p>
            <w:pPr>
              <w:widowControl/>
              <w:adjustRightInd w:val="0"/>
              <w:snapToGrid w:val="0"/>
              <w:spacing w:line="460" w:lineRule="exact"/>
              <w:rPr>
                <w:rFonts w:hint="eastAsia" w:ascii="宋体" w:hAnsi="宋体"/>
                <w:sz w:val="22"/>
                <w:szCs w:val="22"/>
              </w:rPr>
            </w:pPr>
          </w:p>
        </w:tc>
        <w:tc>
          <w:tcPr>
            <w:tcW w:w="1361" w:type="dxa"/>
            <w:noWrap w:val="0"/>
            <w:vAlign w:val="center"/>
          </w:tcPr>
          <w:p>
            <w:pPr>
              <w:widowControl/>
              <w:adjustRightInd w:val="0"/>
              <w:snapToGrid w:val="0"/>
              <w:spacing w:line="460" w:lineRule="exact"/>
              <w:rPr>
                <w:rFonts w:hint="eastAsia" w:ascii="宋体" w:hAnsi="宋体"/>
                <w:sz w:val="22"/>
                <w:szCs w:val="22"/>
              </w:rPr>
            </w:pPr>
          </w:p>
        </w:tc>
        <w:tc>
          <w:tcPr>
            <w:tcW w:w="1045" w:type="dxa"/>
            <w:noWrap w:val="0"/>
            <w:vAlign w:val="center"/>
          </w:tcPr>
          <w:p>
            <w:pPr>
              <w:widowControl/>
              <w:adjustRightInd w:val="0"/>
              <w:snapToGrid w:val="0"/>
              <w:spacing w:line="460" w:lineRule="exact"/>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top"/>
          </w:tcPr>
          <w:p>
            <w:pPr>
              <w:spacing w:line="500" w:lineRule="exact"/>
              <w:jc w:val="center"/>
              <w:rPr>
                <w:rFonts w:hint="eastAsia" w:ascii="宋体" w:hAnsi="宋体" w:cs="宋体"/>
                <w:kern w:val="0"/>
                <w:szCs w:val="21"/>
              </w:rPr>
            </w:pPr>
          </w:p>
        </w:tc>
        <w:tc>
          <w:tcPr>
            <w:tcW w:w="2775" w:type="dxa"/>
            <w:shd w:val="clear" w:color="FFFFFF" w:fill="auto"/>
            <w:noWrap w:val="0"/>
            <w:vAlign w:val="center"/>
          </w:tcPr>
          <w:p>
            <w:pPr>
              <w:spacing w:line="500" w:lineRule="exact"/>
              <w:jc w:val="left"/>
              <w:rPr>
                <w:rFonts w:hint="eastAsia" w:ascii="宋体" w:hAnsi="宋体" w:cs="宋体"/>
                <w:kern w:val="0"/>
                <w:szCs w:val="21"/>
              </w:rPr>
            </w:pPr>
          </w:p>
        </w:tc>
        <w:tc>
          <w:tcPr>
            <w:tcW w:w="780" w:type="dxa"/>
            <w:shd w:val="clear" w:color="FFFFFF" w:fill="auto"/>
            <w:noWrap w:val="0"/>
            <w:vAlign w:val="center"/>
          </w:tcPr>
          <w:p>
            <w:pPr>
              <w:spacing w:line="500" w:lineRule="exact"/>
              <w:jc w:val="center"/>
              <w:rPr>
                <w:rFonts w:hint="eastAsia" w:ascii="宋体" w:hAnsi="宋体" w:cs="宋体"/>
                <w:kern w:val="0"/>
                <w:szCs w:val="21"/>
              </w:rPr>
            </w:pPr>
          </w:p>
        </w:tc>
        <w:tc>
          <w:tcPr>
            <w:tcW w:w="720" w:type="dxa"/>
            <w:shd w:val="clear" w:color="FFFFFF" w:fill="auto"/>
            <w:noWrap w:val="0"/>
            <w:vAlign w:val="center"/>
          </w:tcPr>
          <w:p>
            <w:pPr>
              <w:spacing w:line="500" w:lineRule="exact"/>
              <w:jc w:val="center"/>
              <w:rPr>
                <w:rFonts w:hint="eastAsia" w:ascii="宋体" w:hAnsi="宋体" w:cs="宋体"/>
                <w:kern w:val="0"/>
                <w:szCs w:val="21"/>
              </w:rPr>
            </w:pPr>
          </w:p>
        </w:tc>
        <w:tc>
          <w:tcPr>
            <w:tcW w:w="1530" w:type="dxa"/>
            <w:noWrap w:val="0"/>
            <w:vAlign w:val="center"/>
          </w:tcPr>
          <w:p>
            <w:pPr>
              <w:widowControl/>
              <w:adjustRightInd w:val="0"/>
              <w:snapToGrid w:val="0"/>
              <w:jc w:val="center"/>
              <w:rPr>
                <w:rFonts w:hint="eastAsia" w:ascii="宋体" w:hAnsi="宋体" w:cs="宋体"/>
                <w:kern w:val="0"/>
                <w:szCs w:val="21"/>
              </w:rPr>
            </w:pPr>
          </w:p>
        </w:tc>
        <w:tc>
          <w:tcPr>
            <w:tcW w:w="1361" w:type="dxa"/>
            <w:noWrap w:val="0"/>
            <w:vAlign w:val="center"/>
          </w:tcPr>
          <w:p>
            <w:pPr>
              <w:widowControl/>
              <w:adjustRightInd w:val="0"/>
              <w:snapToGrid w:val="0"/>
              <w:jc w:val="center"/>
              <w:rPr>
                <w:rFonts w:hint="eastAsia" w:ascii="宋体" w:hAnsi="宋体" w:cs="宋体"/>
                <w:kern w:val="0"/>
                <w:szCs w:val="21"/>
              </w:rPr>
            </w:pPr>
          </w:p>
        </w:tc>
        <w:tc>
          <w:tcPr>
            <w:tcW w:w="1045" w:type="dxa"/>
            <w:noWrap w:val="0"/>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19" w:type="dxa"/>
            <w:shd w:val="clear" w:color="FFFFFF" w:fill="auto"/>
            <w:noWrap w:val="0"/>
            <w:vAlign w:val="top"/>
          </w:tcPr>
          <w:p>
            <w:pPr>
              <w:spacing w:line="500" w:lineRule="exact"/>
              <w:jc w:val="center"/>
              <w:rPr>
                <w:rFonts w:hint="eastAsia" w:ascii="宋体" w:hAnsi="宋体" w:cs="宋体"/>
                <w:kern w:val="0"/>
                <w:szCs w:val="21"/>
              </w:rPr>
            </w:pPr>
          </w:p>
        </w:tc>
        <w:tc>
          <w:tcPr>
            <w:tcW w:w="2775" w:type="dxa"/>
            <w:shd w:val="clear" w:color="FFFFFF" w:fill="auto"/>
            <w:noWrap w:val="0"/>
            <w:vAlign w:val="top"/>
          </w:tcPr>
          <w:p>
            <w:pPr>
              <w:spacing w:line="500" w:lineRule="exact"/>
              <w:jc w:val="left"/>
              <w:rPr>
                <w:rFonts w:hint="eastAsia" w:ascii="宋体" w:hAnsi="宋体" w:cs="宋体"/>
                <w:kern w:val="0"/>
                <w:szCs w:val="21"/>
              </w:rPr>
            </w:pPr>
          </w:p>
        </w:tc>
        <w:tc>
          <w:tcPr>
            <w:tcW w:w="780" w:type="dxa"/>
            <w:shd w:val="clear" w:color="FFFFFF" w:fill="auto"/>
            <w:noWrap w:val="0"/>
            <w:vAlign w:val="top"/>
          </w:tcPr>
          <w:p>
            <w:pPr>
              <w:spacing w:line="500" w:lineRule="exact"/>
              <w:jc w:val="center"/>
              <w:rPr>
                <w:rFonts w:hint="eastAsia" w:ascii="宋体" w:hAnsi="宋体" w:cs="宋体"/>
                <w:kern w:val="0"/>
                <w:szCs w:val="21"/>
              </w:rPr>
            </w:pPr>
          </w:p>
        </w:tc>
        <w:tc>
          <w:tcPr>
            <w:tcW w:w="720" w:type="dxa"/>
            <w:shd w:val="clear" w:color="FFFFFF" w:fill="auto"/>
            <w:noWrap w:val="0"/>
            <w:vAlign w:val="top"/>
          </w:tcPr>
          <w:p>
            <w:pPr>
              <w:spacing w:line="500" w:lineRule="exact"/>
              <w:jc w:val="center"/>
              <w:rPr>
                <w:rFonts w:hint="eastAsia" w:ascii="宋体" w:hAnsi="宋体" w:cs="宋体"/>
                <w:kern w:val="0"/>
                <w:szCs w:val="21"/>
              </w:rPr>
            </w:pPr>
          </w:p>
        </w:tc>
        <w:tc>
          <w:tcPr>
            <w:tcW w:w="1530" w:type="dxa"/>
            <w:noWrap w:val="0"/>
            <w:vAlign w:val="center"/>
          </w:tcPr>
          <w:p>
            <w:pPr>
              <w:widowControl/>
              <w:adjustRightInd w:val="0"/>
              <w:snapToGrid w:val="0"/>
              <w:jc w:val="center"/>
              <w:rPr>
                <w:rFonts w:hint="eastAsia" w:ascii="宋体" w:hAnsi="宋体" w:cs="宋体"/>
                <w:kern w:val="0"/>
                <w:szCs w:val="21"/>
              </w:rPr>
            </w:pPr>
          </w:p>
        </w:tc>
        <w:tc>
          <w:tcPr>
            <w:tcW w:w="1361" w:type="dxa"/>
            <w:noWrap w:val="0"/>
            <w:vAlign w:val="center"/>
          </w:tcPr>
          <w:p>
            <w:pPr>
              <w:widowControl/>
              <w:adjustRightInd w:val="0"/>
              <w:snapToGrid w:val="0"/>
              <w:jc w:val="center"/>
              <w:rPr>
                <w:rFonts w:hint="eastAsia" w:ascii="宋体" w:hAnsi="宋体" w:cs="宋体"/>
                <w:kern w:val="0"/>
                <w:szCs w:val="21"/>
              </w:rPr>
            </w:pPr>
          </w:p>
        </w:tc>
        <w:tc>
          <w:tcPr>
            <w:tcW w:w="1045" w:type="dxa"/>
            <w:noWrap w:val="0"/>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6724" w:type="dxa"/>
            <w:gridSpan w:val="5"/>
            <w:noWrap w:val="0"/>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投标总价（元）</w:t>
            </w:r>
          </w:p>
        </w:tc>
        <w:tc>
          <w:tcPr>
            <w:tcW w:w="1361" w:type="dxa"/>
            <w:noWrap w:val="0"/>
            <w:vAlign w:val="center"/>
          </w:tcPr>
          <w:p>
            <w:pPr>
              <w:widowControl/>
              <w:adjustRightInd w:val="0"/>
              <w:snapToGrid w:val="0"/>
              <w:jc w:val="center"/>
              <w:rPr>
                <w:rFonts w:hint="eastAsia" w:ascii="宋体" w:hAnsi="宋体" w:cs="宋体"/>
                <w:kern w:val="0"/>
                <w:szCs w:val="21"/>
              </w:rPr>
            </w:pPr>
          </w:p>
        </w:tc>
        <w:tc>
          <w:tcPr>
            <w:tcW w:w="1045" w:type="dxa"/>
            <w:noWrap w:val="0"/>
            <w:vAlign w:val="center"/>
          </w:tcPr>
          <w:p>
            <w:pPr>
              <w:widowControl/>
              <w:adjustRightInd w:val="0"/>
              <w:snapToGrid w:val="0"/>
              <w:jc w:val="center"/>
              <w:rPr>
                <w:rFonts w:hint="eastAsia" w:ascii="宋体" w:hAnsi="宋体" w:cs="宋体"/>
                <w:kern w:val="0"/>
                <w:szCs w:val="21"/>
              </w:rPr>
            </w:pPr>
          </w:p>
        </w:tc>
      </w:tr>
    </w:tbl>
    <w:p>
      <w:pPr>
        <w:pStyle w:val="2"/>
        <w:ind w:firstLine="0" w:firstLineChars="0"/>
        <w:rPr>
          <w:rFonts w:hint="eastAsia"/>
        </w:rPr>
      </w:pPr>
    </w:p>
    <w:p>
      <w:pPr>
        <w:spacing w:line="460" w:lineRule="exact"/>
        <w:rPr>
          <w:rFonts w:ascii="宋体" w:hAnsi="宋体"/>
          <w:b/>
          <w:sz w:val="22"/>
          <w:szCs w:val="22"/>
        </w:rPr>
      </w:pPr>
      <w:r>
        <w:rPr>
          <w:rFonts w:hint="eastAsia" w:ascii="宋体" w:hAnsi="宋体"/>
          <w:b/>
          <w:sz w:val="22"/>
          <w:szCs w:val="22"/>
        </w:rPr>
        <w:t>1. “投标报价”应与《开标一览表》中“投标报价”相一致。</w:t>
      </w:r>
    </w:p>
    <w:p>
      <w:pPr>
        <w:spacing w:line="460" w:lineRule="exact"/>
        <w:rPr>
          <w:rFonts w:ascii="宋体" w:hAnsi="宋体"/>
          <w:b/>
          <w:sz w:val="22"/>
          <w:szCs w:val="22"/>
        </w:rPr>
      </w:pPr>
      <w:r>
        <w:rPr>
          <w:rFonts w:hint="eastAsia" w:ascii="宋体" w:hAnsi="宋体"/>
          <w:b/>
          <w:sz w:val="22"/>
          <w:szCs w:val="22"/>
        </w:rPr>
        <w:t>2. 各项费用如已包含在产品价格中请注明“含”，若免费请注明“免”, 若没有请注明“无”。</w:t>
      </w:r>
    </w:p>
    <w:p>
      <w:pPr>
        <w:spacing w:line="460" w:lineRule="exact"/>
        <w:rPr>
          <w:rFonts w:hint="eastAsia" w:ascii="宋体" w:hAnsi="宋体"/>
          <w:sz w:val="22"/>
          <w:szCs w:val="22"/>
        </w:rPr>
      </w:pPr>
      <w:r>
        <w:rPr>
          <w:rFonts w:hint="eastAsia" w:ascii="宋体" w:hAnsi="宋体"/>
          <w:sz w:val="22"/>
          <w:szCs w:val="22"/>
        </w:rPr>
        <w:t>3. 本表可在不改变格式的情况下根据具体需要自行增减。</w:t>
      </w:r>
    </w:p>
    <w:p>
      <w:pPr>
        <w:spacing w:line="460" w:lineRule="exact"/>
      </w:pPr>
      <w:r>
        <w:rPr>
          <w:rFonts w:hint="eastAsia" w:ascii="宋体" w:hAnsi="宋体"/>
          <w:sz w:val="22"/>
          <w:szCs w:val="22"/>
        </w:rPr>
        <w:t>4.根据《中华人民共和国政府采购法实施条例》第四十三条规定，在中标公告的内容中增加本表，请各供应商认真填写，确保相关数据的真实性、完整性和合理性。</w:t>
      </w:r>
    </w:p>
    <w:p>
      <w:pPr>
        <w:spacing w:line="460" w:lineRule="exact"/>
        <w:rPr>
          <w:rFonts w:hint="eastAsia" w:ascii="宋体" w:hAnsi="宋体"/>
          <w:b/>
          <w:sz w:val="22"/>
          <w:szCs w:val="22"/>
          <w:u w:val="single"/>
        </w:rPr>
      </w:pPr>
      <w:r>
        <w:rPr>
          <w:rFonts w:hint="eastAsia" w:ascii="宋体" w:hAnsi="宋体"/>
          <w:b/>
          <w:sz w:val="22"/>
          <w:szCs w:val="22"/>
          <w:u w:val="single"/>
        </w:rPr>
        <w:t>不提供《投标分项报价表》将视为没有实质性响应招标文件，其投标无效。</w:t>
      </w:r>
    </w:p>
    <w:p>
      <w:pPr>
        <w:spacing w:before="120" w:beforeLines="50" w:after="120" w:afterLines="50"/>
        <w:rPr>
          <w:rFonts w:hint="eastAsia" w:ascii="新宋体" w:hAnsi="新宋体" w:eastAsia="新宋体" w:cs="新宋体"/>
          <w:sz w:val="22"/>
          <w:szCs w:val="22"/>
        </w:rPr>
      </w:pPr>
    </w:p>
    <w:p>
      <w:pPr>
        <w:overflowPunct w:val="0"/>
        <w:spacing w:line="460" w:lineRule="exact"/>
        <w:rPr>
          <w:rFonts w:hint="eastAsia" w:ascii="新宋体" w:hAnsi="新宋体" w:eastAsia="新宋体" w:cs="新宋体"/>
          <w:sz w:val="22"/>
          <w:szCs w:val="22"/>
        </w:rPr>
      </w:pPr>
      <w:bookmarkStart w:id="133" w:name="_Toc15843"/>
      <w:bookmarkStart w:id="134" w:name="_Toc34572039"/>
      <w:r>
        <w:rPr>
          <w:rFonts w:hint="eastAsia" w:ascii="新宋体" w:hAnsi="新宋体" w:eastAsia="新宋体" w:cs="新宋体"/>
          <w:sz w:val="22"/>
          <w:szCs w:val="22"/>
        </w:rPr>
        <w:t>投标人全称（盖章）：</w:t>
      </w: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投标人代表（签字或盖章）：</w:t>
      </w: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日 期：  年  月  日</w:t>
      </w:r>
    </w:p>
    <w:p>
      <w:pPr>
        <w:pStyle w:val="2"/>
        <w:ind w:firstLine="0" w:firstLineChars="0"/>
        <w:rPr>
          <w:rFonts w:hint="eastAsia"/>
        </w:rPr>
      </w:pPr>
    </w:p>
    <w:p>
      <w:pPr>
        <w:pStyle w:val="2"/>
        <w:ind w:firstLine="0" w:firstLineChars="0"/>
        <w:rPr>
          <w:rFonts w:hint="eastAsia"/>
        </w:rPr>
      </w:pPr>
    </w:p>
    <w:p>
      <w:pPr>
        <w:pStyle w:val="5"/>
        <w:rPr>
          <w:rFonts w:hint="eastAsia" w:ascii="新宋体" w:hAnsi="新宋体" w:eastAsia="新宋体" w:cs="新宋体"/>
          <w:sz w:val="36"/>
          <w:szCs w:val="36"/>
        </w:rPr>
      </w:pPr>
      <w:r>
        <w:rPr>
          <w:rFonts w:hint="eastAsia" w:ascii="新宋体" w:hAnsi="新宋体" w:eastAsia="新宋体" w:cs="新宋体"/>
          <w:sz w:val="36"/>
          <w:szCs w:val="36"/>
        </w:rPr>
        <w:t>第五部分   采购内容及要求</w:t>
      </w:r>
      <w:bookmarkEnd w:id="133"/>
      <w:bookmarkEnd w:id="134"/>
    </w:p>
    <w:p>
      <w:pPr>
        <w:pStyle w:val="3"/>
        <w:rPr>
          <w:rFonts w:hint="eastAsia"/>
        </w:rPr>
      </w:pPr>
    </w:p>
    <w:p>
      <w:pPr>
        <w:pStyle w:val="6"/>
        <w:numPr>
          <w:ilvl w:val="0"/>
          <w:numId w:val="26"/>
        </w:numPr>
        <w:spacing w:before="0" w:after="0" w:line="360" w:lineRule="auto"/>
        <w:rPr>
          <w:rFonts w:hint="eastAsia" w:ascii="新宋体" w:hAnsi="新宋体" w:eastAsia="新宋体" w:cs="新宋体"/>
        </w:rPr>
      </w:pPr>
      <w:bookmarkStart w:id="135" w:name="_Toc34572040"/>
      <w:bookmarkStart w:id="136" w:name="_Toc34489672"/>
      <w:bookmarkStart w:id="137" w:name="_Toc249758721"/>
      <w:bookmarkStart w:id="138" w:name="_Toc249758871"/>
      <w:bookmarkStart w:id="139" w:name="_Toc262105510"/>
      <w:bookmarkStart w:id="140" w:name="_Toc262049425"/>
      <w:bookmarkStart w:id="141" w:name="_Toc422225262"/>
      <w:bookmarkStart w:id="142" w:name="_Toc7368"/>
      <w:r>
        <w:rPr>
          <w:rFonts w:hint="eastAsia" w:ascii="新宋体" w:hAnsi="新宋体" w:eastAsia="新宋体" w:cs="新宋体"/>
        </w:rPr>
        <w:t>项目概述</w:t>
      </w:r>
      <w:bookmarkEnd w:id="135"/>
      <w:bookmarkEnd w:id="136"/>
    </w:p>
    <w:p>
      <w:pPr>
        <w:tabs>
          <w:tab w:val="left" w:pos="482"/>
          <w:tab w:val="left" w:pos="2183"/>
          <w:tab w:val="left" w:pos="3884"/>
          <w:tab w:val="left" w:pos="5585"/>
        </w:tabs>
        <w:snapToGrid w:val="0"/>
        <w:spacing w:line="360" w:lineRule="auto"/>
        <w:rPr>
          <w:rFonts w:hint="eastAsia" w:ascii="宋体" w:hAnsi="宋体" w:cs="宋体"/>
          <w:sz w:val="22"/>
          <w:szCs w:val="22"/>
        </w:rPr>
      </w:pPr>
      <w:r>
        <w:rPr>
          <w:rFonts w:hint="eastAsia" w:ascii="宋体" w:hAnsi="宋体" w:cs="宋体"/>
          <w:sz w:val="22"/>
          <w:szCs w:val="22"/>
        </w:rPr>
        <w:t>（一）建设背景：</w:t>
      </w:r>
    </w:p>
    <w:p>
      <w:pPr>
        <w:tabs>
          <w:tab w:val="left" w:pos="482"/>
          <w:tab w:val="left" w:pos="2183"/>
          <w:tab w:val="left" w:pos="3884"/>
          <w:tab w:val="left" w:pos="5585"/>
        </w:tabs>
        <w:snapToGrid w:val="0"/>
        <w:spacing w:line="460" w:lineRule="atLeast"/>
        <w:ind w:firstLine="482"/>
        <w:rPr>
          <w:rFonts w:ascii="宋体"/>
          <w:sz w:val="22"/>
          <w:szCs w:val="22"/>
        </w:rPr>
      </w:pPr>
      <w:r>
        <w:rPr>
          <w:rFonts w:hint="eastAsia" w:ascii="宋体"/>
          <w:sz w:val="22"/>
          <w:szCs w:val="22"/>
        </w:rPr>
        <w:t>当前，随着经济建设的快速发展和城市化进程的加快，各类社会矛盾日益增多，矛盾纠纷调处难度大、激化因素多、处理不当、极易引发上访案件，给社会造成不安定因素。特别是随着经济社会的快速转型和利益格局的不断调整，一些深层次的矛盾和问题也逐渐突显出来，迫切要求各级党委政府高度重视和正确处理各类矛盾，努力把维护稳定的各项工作做好。</w:t>
      </w:r>
    </w:p>
    <w:p>
      <w:pPr>
        <w:tabs>
          <w:tab w:val="left" w:pos="482"/>
          <w:tab w:val="left" w:pos="2183"/>
          <w:tab w:val="left" w:pos="3884"/>
          <w:tab w:val="left" w:pos="5585"/>
        </w:tabs>
        <w:snapToGrid w:val="0"/>
        <w:spacing w:line="460" w:lineRule="atLeast"/>
        <w:ind w:firstLine="482"/>
        <w:rPr>
          <w:rFonts w:ascii="宋体"/>
          <w:sz w:val="22"/>
          <w:szCs w:val="22"/>
        </w:rPr>
      </w:pPr>
      <w:r>
        <w:rPr>
          <w:rFonts w:hint="eastAsia" w:ascii="宋体"/>
          <w:sz w:val="22"/>
          <w:szCs w:val="22"/>
        </w:rPr>
        <w:t>基层治理是国家治理的基石，遵循基层社会治理规律，科学设定基层社会治理的目标、范围和工作标准，提高社会治理社会化、法治化、智能化、专业化水平，加快形成共建共治共享基层治理新格局，是新时代推动基层社会治理创新发展的必然要求。为全面贯彻落实党的十九大精神，坚持和发展新时代“枫桥经验”，以加快推进基层治理体系和治理能力现代化为总目标，以“实战导向、实体运行、实效为先”为原则，按照集成、规范、智能的要求，整合资源、协同业务、共享数据，扎实推进鹿城区社会治理综合指挥建设，同步牵引和带动“最多跑一地”工作体系建设，着力提升基层社会治理社会化、法治化、智能化、专业化水平。</w:t>
      </w:r>
    </w:p>
    <w:p>
      <w:pPr>
        <w:tabs>
          <w:tab w:val="left" w:pos="482"/>
          <w:tab w:val="left" w:pos="2183"/>
          <w:tab w:val="left" w:pos="3884"/>
          <w:tab w:val="left" w:pos="5585"/>
        </w:tabs>
        <w:snapToGrid w:val="0"/>
        <w:spacing w:line="460" w:lineRule="atLeast"/>
        <w:ind w:firstLine="482"/>
        <w:rPr>
          <w:rFonts w:hint="eastAsia" w:ascii="宋体"/>
          <w:sz w:val="22"/>
          <w:szCs w:val="22"/>
        </w:rPr>
      </w:pPr>
      <w:r>
        <w:rPr>
          <w:rFonts w:hint="eastAsia" w:ascii="宋体"/>
          <w:sz w:val="22"/>
          <w:szCs w:val="22"/>
        </w:rPr>
        <w:t>通过打造鹿城区政法智控一张网建设项目，加强中心规范化建设推进鹿城区政法委“最多跑一次”。进一步完善运行体制机制，健全各项工作制度，实现鹿城区各类案件总量、万人诉讼率平稳下降，本地化解率逐步上升，人们群众获得感、幸福感、安全感逐年提升。通过整合力量资源，推动“多中心”集成为“一中心”。做优一窗受理，实现矛盾纠纷化解“最多跑一地”。集成信息化，智能化等多元化手段，推进就地化解，推进市级中心-片区中心的上下协作。打造集线上流转办事、动态管理、调度指挥、预警预测、精纯决策于一体的基层治理一体化平台。</w:t>
      </w:r>
    </w:p>
    <w:p>
      <w:pPr>
        <w:tabs>
          <w:tab w:val="left" w:pos="482"/>
          <w:tab w:val="left" w:pos="2183"/>
          <w:tab w:val="left" w:pos="3884"/>
          <w:tab w:val="left" w:pos="5585"/>
        </w:tabs>
        <w:snapToGrid w:val="0"/>
        <w:spacing w:line="460" w:lineRule="atLeast"/>
        <w:rPr>
          <w:rFonts w:hint="eastAsia" w:ascii="宋体" w:hAnsi="宋体" w:cs="宋体"/>
          <w:sz w:val="22"/>
          <w:szCs w:val="22"/>
        </w:rPr>
      </w:pPr>
      <w:r>
        <w:rPr>
          <w:rFonts w:hint="eastAsia" w:ascii="宋体" w:hAnsi="宋体" w:cs="宋体"/>
          <w:sz w:val="22"/>
          <w:szCs w:val="22"/>
        </w:rPr>
        <w:t>（二）建设目标：</w:t>
      </w:r>
    </w:p>
    <w:p>
      <w:pPr>
        <w:tabs>
          <w:tab w:val="left" w:pos="482"/>
          <w:tab w:val="left" w:pos="2183"/>
          <w:tab w:val="left" w:pos="3884"/>
          <w:tab w:val="left" w:pos="5585"/>
        </w:tabs>
        <w:snapToGrid w:val="0"/>
        <w:spacing w:line="460" w:lineRule="atLeast"/>
        <w:ind w:firstLine="482"/>
        <w:rPr>
          <w:rFonts w:hint="eastAsia" w:ascii="宋体"/>
          <w:sz w:val="22"/>
          <w:szCs w:val="22"/>
        </w:rPr>
      </w:pPr>
      <w:r>
        <w:rPr>
          <w:rFonts w:hint="eastAsia" w:ascii="宋体"/>
          <w:sz w:val="22"/>
          <w:szCs w:val="22"/>
        </w:rPr>
        <w:t>按照《浙江省县级社会矛盾纠纷调处化解中心规范化建设指引》、《温州市创建全国市域社会治理现代化试点城市三年行动计划（2020-2022年）》、《关于进一步加强县级社会矛盾纠纷调处化解中心建设的若干意见》等文件要求，以及区委九届九次全会提出的“锚定‘高水平区域治理现代化样板区’目标，大力推进‘城市大脑’建设，集成提升区社会矛盾纠纷调处化解中心功能”的会议精神，由鹿城区委政法委牵头，充分发挥信息技术支撑作用，综合集成政务服务网、基层社会治理综合信息系统、视频监控、视联网等信息化资源，打造鹿“智·平安”信息平台建设项目，使其成为集流转办事、动态管理、调度指挥、预测预警、应急维稳、重点人员管控、精准决策于一体的区域社会治理“智慧大脑”。</w:t>
      </w:r>
    </w:p>
    <w:p>
      <w:pPr>
        <w:pStyle w:val="2"/>
        <w:ind w:firstLine="321"/>
        <w:rPr>
          <w:rFonts w:hint="eastAsia"/>
        </w:rPr>
      </w:pPr>
    </w:p>
    <w:p>
      <w:pPr>
        <w:pStyle w:val="6"/>
        <w:numPr>
          <w:ilvl w:val="0"/>
          <w:numId w:val="26"/>
        </w:numPr>
        <w:spacing w:before="0" w:after="0" w:line="360" w:lineRule="auto"/>
        <w:rPr>
          <w:rFonts w:hint="eastAsia" w:ascii="新宋体" w:hAnsi="新宋体" w:eastAsia="新宋体" w:cs="新宋体"/>
        </w:rPr>
      </w:pPr>
      <w:r>
        <w:rPr>
          <w:rFonts w:hint="eastAsia" w:ascii="新宋体" w:hAnsi="新宋体" w:eastAsia="新宋体" w:cs="新宋体"/>
        </w:rPr>
        <w:t>招标内容及其要求</w:t>
      </w:r>
    </w:p>
    <w:p>
      <w:pPr>
        <w:numPr>
          <w:ilvl w:val="0"/>
          <w:numId w:val="27"/>
        </w:numPr>
        <w:tabs>
          <w:tab w:val="left" w:pos="482"/>
          <w:tab w:val="left" w:pos="2183"/>
          <w:tab w:val="left" w:pos="3884"/>
          <w:tab w:val="left" w:pos="5585"/>
        </w:tabs>
        <w:snapToGrid w:val="0"/>
        <w:spacing w:line="360" w:lineRule="auto"/>
        <w:rPr>
          <w:rFonts w:hint="eastAsia" w:ascii="宋体" w:hAnsi="宋体" w:cs="宋体"/>
          <w:sz w:val="22"/>
          <w:szCs w:val="22"/>
        </w:rPr>
      </w:pPr>
      <w:bookmarkStart w:id="143" w:name="_Toc34572094"/>
      <w:r>
        <w:rPr>
          <w:rFonts w:hint="eastAsia" w:ascii="宋体" w:hAnsi="宋体" w:cs="宋体"/>
          <w:sz w:val="22"/>
          <w:szCs w:val="22"/>
        </w:rPr>
        <w:t>执行标准：</w:t>
      </w:r>
    </w:p>
    <w:p>
      <w:pPr>
        <w:spacing w:line="360" w:lineRule="auto"/>
        <w:ind w:right="-176" w:rightChars="-84" w:firstLine="440" w:firstLineChars="200"/>
        <w:rPr>
          <w:rFonts w:ascii="宋体" w:hAnsi="宋体" w:cs="新宋体"/>
          <w:sz w:val="22"/>
          <w:szCs w:val="22"/>
        </w:rPr>
      </w:pPr>
      <w:r>
        <w:rPr>
          <w:rFonts w:hint="eastAsia" w:ascii="宋体" w:hAnsi="宋体" w:cs="新宋体"/>
          <w:sz w:val="22"/>
          <w:szCs w:val="22"/>
        </w:rPr>
        <w:t>《浙江省县级社会矛盾纠纷调处化解中心规范化建设指引》、</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《温州市创建全国市域社会治理现代化试点城市三年行动计划（2020-2022年）》</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《关于进一步加强县级社会矛盾纠纷调处化解中心建设的若干意见》</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《安全防范工程程序与要求》</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《计算机信息系统安全保护等级划分准则》</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《中华人民共和国政府信息公开条例》</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建设部《数字化城市管理模式建设导则》</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温州市人民政府办公室关于推进政府大数据平台建设的实施意见（2015.8）</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浙江省建设厅《浙江省数字化城市管理发展规划（2006-2015年）》</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《“十三五”国家信息化规划》</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《“十三五”国家政务信息化工程建设规划》</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《安全防范工程技术规范》（GB50348-2004）</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《安全防范系统雷电浪涌防护技术要求》（GA/T 670-2006）</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《安全防范系统通用图形符号》（GA/T74-2000）</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《城市市政综合监管信息系统 单元网格划分与编码规则》（CJ/T213）</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《城市市政综合监管信息系统 地理编码》（CJ/T215）</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《城市市政综合监管信息系统 监管数据无线采集设备》（CJ/T293）</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《城市市政综合监管信息系统技术规范》（CJJ/T106）</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《道路交通安全违法行为视频取证设备技术规范》（GA/T995-2012）</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《道路交通安全违法行为图像取证技术规范》（GA/T832-2014）</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《电子政务标准化指南》</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《电子政务工程技术指南》</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《电子政务系统总体设计要求》</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《公安交通管理外场设备基础施工通用要求》</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《国家电子政务工程建设项目管理暂行办法》</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《计算机软件测试文件编制指南》</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《计算机软件产品开发文件编制指南》</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《计算机软件开发规范》（GB8566-88）</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《计算机软件可靠性和可维护性管理》(GB/T 12394-93)；</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《计算机软件配置管理计划规范》(GB/T 12505-90)；</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《计算机软件需求说明编制指南》(GB 9385-88)；</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《计算机软件质量保证计划规范》（GB/T 12504-90）</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《计算机信息系统实体安全技术要求》</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《建设工程监理与相关服务收费管理规定》（国家发改委、建设部发改价格[2007]670号）</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《建设项目前期工作咨询收费暂行规定》</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《软件开发规范》(GB 8566-88)；</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《软件维护指南》（GB/T 14079-93）</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《温州市城市市容和环境卫生管理条例 》</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《温州市行政执法责任制规定》</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《温州市市政设施管理条例》</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《温州市信息经济发展“十三五”规划》</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《温州智慧城市建设总体规划（2015-2020年）》</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《信息处理系统计算机系统配置图符号及约定》；</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《信息技术、软件包质量要求和测试》</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《信息系统工程监理及相关信息技术咨询服务取费计算方法（参照标准）》 (中电企协监字[2014]01号)</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《信息资源目录体系和交换体系标准》；</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《招标代理服务收费管理暂行办法》（国家计委计价格[2002]1980号）</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《浙江省“互联网+”行动计划》</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《浙江省城市市容和环境卫生管理实施办法》</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《浙江省信息化发展“十三五”规划(“数字浙江2.0”发展规划)》</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《政务信息资源交换体系》（GB/T 21062-2007）</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《中共温州市委温州市人民政府关于实施信息化战略的决定》</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《中共中央国务院关于深入推进城市执法体制改革 改进城市管理工作的指导意见》（2015年12月24日）</w:t>
      </w:r>
    </w:p>
    <w:p>
      <w:pPr>
        <w:spacing w:line="360" w:lineRule="auto"/>
        <w:ind w:right="-176" w:rightChars="-84" w:firstLine="440" w:firstLineChars="200"/>
        <w:rPr>
          <w:rFonts w:hint="eastAsia" w:ascii="宋体" w:hAnsi="宋体" w:cs="新宋体"/>
          <w:sz w:val="22"/>
          <w:szCs w:val="22"/>
        </w:rPr>
      </w:pPr>
      <w:r>
        <w:rPr>
          <w:rFonts w:hint="eastAsia" w:ascii="宋体" w:hAnsi="宋体" w:cs="新宋体"/>
          <w:sz w:val="22"/>
          <w:szCs w:val="22"/>
        </w:rPr>
        <w:t>《中华人民共和国计算机信息系统安全保护条例》；</w:t>
      </w:r>
    </w:p>
    <w:p>
      <w:pPr>
        <w:spacing w:line="360" w:lineRule="auto"/>
        <w:ind w:right="-176" w:rightChars="-84" w:firstLine="420" w:firstLineChars="200"/>
        <w:rPr>
          <w:rFonts w:hint="eastAsia" w:ascii="宋体" w:hAnsi="宋体" w:cs="新宋体"/>
          <w:sz w:val="22"/>
          <w:szCs w:val="22"/>
        </w:rPr>
      </w:pPr>
      <w:r>
        <w:rPr>
          <w:rFonts w:hint="eastAsia"/>
        </w:rPr>
        <w:t>《中央预算内直接投资项目概算管理暂行办法》（发改投资[2015]482号）</w:t>
      </w:r>
    </w:p>
    <w:p>
      <w:pPr>
        <w:widowControl/>
        <w:numPr>
          <w:ilvl w:val="0"/>
          <w:numId w:val="28"/>
        </w:numPr>
        <w:tabs>
          <w:tab w:val="left" w:pos="482"/>
          <w:tab w:val="left" w:pos="2183"/>
          <w:tab w:val="left" w:pos="3884"/>
          <w:tab w:val="left" w:pos="5585"/>
        </w:tabs>
        <w:snapToGrid w:val="0"/>
        <w:spacing w:line="360" w:lineRule="auto"/>
        <w:rPr>
          <w:rFonts w:hint="eastAsia" w:ascii="宋体" w:hAnsi="宋体" w:cs="宋体"/>
          <w:sz w:val="22"/>
          <w:szCs w:val="22"/>
        </w:rPr>
      </w:pPr>
      <w:r>
        <w:rPr>
          <w:rFonts w:hint="eastAsia" w:ascii="宋体" w:hAnsi="宋体" w:cs="宋体"/>
          <w:sz w:val="22"/>
          <w:szCs w:val="22"/>
        </w:rPr>
        <w:t>主要技术要求：</w:t>
      </w:r>
    </w:p>
    <w:p>
      <w:pPr>
        <w:pStyle w:val="2"/>
        <w:ind w:firstLine="321"/>
        <w:rPr>
          <w:rFonts w:hint="eastAsia"/>
        </w:rPr>
      </w:pPr>
    </w:p>
    <w:p>
      <w:pPr>
        <w:pStyle w:val="2"/>
        <w:ind w:firstLine="321"/>
        <w:rPr>
          <w:rFonts w:hint="eastAsia"/>
        </w:rPr>
      </w:pPr>
    </w:p>
    <w:p>
      <w:pPr>
        <w:pStyle w:val="2"/>
        <w:ind w:firstLine="321"/>
        <w:rPr>
          <w:rFonts w:hint="eastAsia"/>
        </w:rPr>
      </w:pPr>
    </w:p>
    <w:p>
      <w:pPr>
        <w:pStyle w:val="2"/>
        <w:ind w:firstLine="321"/>
        <w:rPr>
          <w:rFonts w:hint="eastAsia"/>
        </w:rPr>
      </w:pPr>
    </w:p>
    <w:tbl>
      <w:tblPr>
        <w:tblStyle w:val="5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9180" w:type="dxa"/>
            <w:gridSpan w:val="3"/>
            <w:noWrap w:val="0"/>
            <w:vAlign w:val="center"/>
          </w:tcPr>
          <w:p>
            <w:pPr>
              <w:jc w:val="center"/>
              <w:rPr>
                <w:rFonts w:hint="eastAsia" w:ascii="宋体" w:hAnsi="宋体" w:cs="新宋体"/>
                <w:b/>
                <w:sz w:val="22"/>
                <w:szCs w:val="22"/>
              </w:rPr>
            </w:pPr>
            <w:r>
              <w:rPr>
                <w:rFonts w:hint="eastAsia" w:ascii="宋体" w:hAnsi="宋体" w:cs="新宋体"/>
                <w:b/>
                <w:sz w:val="22"/>
                <w:szCs w:val="22"/>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6120" w:type="dxa"/>
            <w:noWrap w:val="0"/>
            <w:vAlign w:val="center"/>
          </w:tcPr>
          <w:p>
            <w:pPr>
              <w:jc w:val="center"/>
              <w:rPr>
                <w:rFonts w:hint="eastAsia" w:ascii="宋体" w:hAnsi="宋体" w:cs="新宋体"/>
                <w:sz w:val="22"/>
                <w:szCs w:val="22"/>
              </w:rPr>
            </w:pPr>
            <w:r>
              <w:rPr>
                <w:rFonts w:hint="eastAsia" w:ascii="宋体" w:hAnsi="宋体" w:cs="新宋体"/>
                <w:sz w:val="22"/>
                <w:szCs w:val="22"/>
              </w:rPr>
              <w:t>描述</w:t>
            </w:r>
          </w:p>
        </w:tc>
        <w:tc>
          <w:tcPr>
            <w:tcW w:w="1980" w:type="dxa"/>
            <w:noWrap w:val="0"/>
            <w:vAlign w:val="center"/>
          </w:tcPr>
          <w:p>
            <w:pPr>
              <w:jc w:val="center"/>
              <w:rPr>
                <w:rFonts w:hint="eastAsia" w:ascii="宋体" w:hAnsi="宋体" w:cs="新宋体"/>
                <w:sz w:val="22"/>
                <w:szCs w:val="22"/>
              </w:rPr>
            </w:pPr>
            <w:r>
              <w:rPr>
                <w:rFonts w:hint="eastAsia" w:ascii="宋体" w:hAnsi="宋体" w:cs="宋体"/>
                <w:bCs/>
                <w:color w:val="000000"/>
                <w:kern w:val="0"/>
                <w:szCs w:val="21"/>
                <w:lang w:bidi="ar"/>
              </w:rPr>
              <w:t>数量</w:t>
            </w:r>
          </w:p>
        </w:tc>
        <w:tc>
          <w:tcPr>
            <w:tcW w:w="1080" w:type="dxa"/>
            <w:noWrap w:val="0"/>
            <w:vAlign w:val="center"/>
          </w:tcPr>
          <w:p>
            <w:pPr>
              <w:jc w:val="center"/>
              <w:rPr>
                <w:rFonts w:hint="eastAsia" w:ascii="宋体" w:hAnsi="宋体" w:cs="新宋体"/>
                <w:sz w:val="22"/>
                <w:szCs w:val="22"/>
              </w:rPr>
            </w:pPr>
            <w:r>
              <w:rPr>
                <w:rFonts w:hint="eastAsia" w:ascii="宋体" w:hAnsi="宋体"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rPr>
        <w:tc>
          <w:tcPr>
            <w:tcW w:w="612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鹿城区县域治理综合平台</w:t>
            </w:r>
          </w:p>
        </w:tc>
        <w:tc>
          <w:tcPr>
            <w:tcW w:w="198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1项</w:t>
            </w:r>
          </w:p>
        </w:tc>
        <w:tc>
          <w:tcPr>
            <w:tcW w:w="1080" w:type="dxa"/>
            <w:noWrap w:val="0"/>
            <w:vAlign w:val="center"/>
          </w:tcPr>
          <w:p>
            <w:pPr>
              <w:widowControl/>
              <w:jc w:val="center"/>
              <w:textAlignment w:val="center"/>
              <w:rPr>
                <w:rFonts w:hint="eastAsia" w:ascii="仿宋" w:hAnsi="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trPr>
        <w:tc>
          <w:tcPr>
            <w:tcW w:w="612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综治指挥作战平台</w:t>
            </w:r>
          </w:p>
        </w:tc>
        <w:tc>
          <w:tcPr>
            <w:tcW w:w="198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1项</w:t>
            </w:r>
          </w:p>
        </w:tc>
        <w:tc>
          <w:tcPr>
            <w:tcW w:w="1080" w:type="dxa"/>
            <w:noWrap w:val="0"/>
            <w:vAlign w:val="center"/>
          </w:tcPr>
          <w:p>
            <w:pPr>
              <w:widowControl/>
              <w:jc w:val="center"/>
              <w:textAlignment w:val="center"/>
              <w:rPr>
                <w:rFonts w:hint="eastAsia" w:ascii="仿宋" w:hAnsi="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trPr>
        <w:tc>
          <w:tcPr>
            <w:tcW w:w="612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前端信息采集系统</w:t>
            </w:r>
          </w:p>
        </w:tc>
        <w:tc>
          <w:tcPr>
            <w:tcW w:w="198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1项</w:t>
            </w:r>
          </w:p>
        </w:tc>
        <w:tc>
          <w:tcPr>
            <w:tcW w:w="1080" w:type="dxa"/>
            <w:noWrap w:val="0"/>
            <w:vAlign w:val="center"/>
          </w:tcPr>
          <w:p>
            <w:pPr>
              <w:widowControl/>
              <w:jc w:val="center"/>
              <w:textAlignment w:val="center"/>
              <w:rPr>
                <w:rFonts w:hint="eastAsia" w:ascii="仿宋" w:hAnsi="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5" w:hRule="atLeast"/>
        </w:trPr>
        <w:tc>
          <w:tcPr>
            <w:tcW w:w="612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网络安全加固</w:t>
            </w:r>
          </w:p>
        </w:tc>
        <w:tc>
          <w:tcPr>
            <w:tcW w:w="198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1项</w:t>
            </w:r>
          </w:p>
        </w:tc>
        <w:tc>
          <w:tcPr>
            <w:tcW w:w="1080" w:type="dxa"/>
            <w:noWrap w:val="0"/>
            <w:vAlign w:val="center"/>
          </w:tcPr>
          <w:p>
            <w:pPr>
              <w:widowControl/>
              <w:jc w:val="center"/>
              <w:textAlignment w:val="center"/>
              <w:rPr>
                <w:rFonts w:hint="eastAsia" w:ascii="仿宋" w:hAnsi="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612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应用数据存储平台</w:t>
            </w:r>
          </w:p>
        </w:tc>
        <w:tc>
          <w:tcPr>
            <w:tcW w:w="198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1项</w:t>
            </w:r>
          </w:p>
        </w:tc>
        <w:tc>
          <w:tcPr>
            <w:tcW w:w="1080" w:type="dxa"/>
            <w:noWrap w:val="0"/>
            <w:vAlign w:val="center"/>
          </w:tcPr>
          <w:p>
            <w:pPr>
              <w:widowControl/>
              <w:jc w:val="center"/>
              <w:textAlignment w:val="center"/>
              <w:rPr>
                <w:rFonts w:hint="eastAsia" w:ascii="仿宋" w:hAnsi="仿宋"/>
                <w:color w:val="000000"/>
                <w:kern w:val="0"/>
                <w:sz w:val="22"/>
                <w:szCs w:val="22"/>
              </w:rPr>
            </w:pPr>
          </w:p>
        </w:tc>
      </w:tr>
    </w:tbl>
    <w:p>
      <w:pPr>
        <w:tabs>
          <w:tab w:val="left" w:pos="482"/>
          <w:tab w:val="left" w:pos="2183"/>
          <w:tab w:val="left" w:pos="3884"/>
          <w:tab w:val="left" w:pos="5585"/>
        </w:tabs>
        <w:snapToGrid w:val="0"/>
        <w:spacing w:line="360" w:lineRule="auto"/>
        <w:rPr>
          <w:rFonts w:hint="eastAsia" w:ascii="宋体" w:hAnsi="宋体" w:cs="宋体"/>
          <w:b/>
          <w:sz w:val="22"/>
          <w:szCs w:val="22"/>
        </w:rPr>
      </w:pPr>
    </w:p>
    <w:p>
      <w:pPr>
        <w:tabs>
          <w:tab w:val="left" w:pos="482"/>
          <w:tab w:val="left" w:pos="2183"/>
          <w:tab w:val="left" w:pos="3884"/>
          <w:tab w:val="left" w:pos="5585"/>
        </w:tabs>
        <w:snapToGrid w:val="0"/>
        <w:spacing w:line="360" w:lineRule="auto"/>
        <w:rPr>
          <w:rFonts w:hint="eastAsia" w:ascii="宋体" w:hAnsi="宋体" w:cs="宋体"/>
          <w:b/>
          <w:sz w:val="22"/>
          <w:szCs w:val="22"/>
        </w:rPr>
      </w:pPr>
      <w:r>
        <w:rPr>
          <w:rFonts w:hint="eastAsia" w:ascii="宋体" w:hAnsi="宋体" w:cs="宋体"/>
          <w:b/>
          <w:sz w:val="22"/>
          <w:szCs w:val="22"/>
        </w:rPr>
        <w:t>（一）鹿城区县域治理综合平台</w:t>
      </w:r>
    </w:p>
    <w:tbl>
      <w:tblPr>
        <w:tblStyle w:val="56"/>
        <w:tblW w:w="0" w:type="auto"/>
        <w:jc w:val="center"/>
        <w:tblLayout w:type="fixed"/>
        <w:tblCellMar>
          <w:top w:w="0" w:type="dxa"/>
          <w:left w:w="108" w:type="dxa"/>
          <w:bottom w:w="0" w:type="dxa"/>
          <w:right w:w="108" w:type="dxa"/>
        </w:tblCellMar>
      </w:tblPr>
      <w:tblGrid>
        <w:gridCol w:w="1368"/>
        <w:gridCol w:w="3593"/>
        <w:gridCol w:w="4061"/>
      </w:tblGrid>
      <w:tr>
        <w:tblPrEx>
          <w:tblCellMar>
            <w:top w:w="0" w:type="dxa"/>
            <w:left w:w="108" w:type="dxa"/>
            <w:bottom w:w="0" w:type="dxa"/>
            <w:right w:w="108" w:type="dxa"/>
          </w:tblCellMar>
        </w:tblPrEx>
        <w:trPr>
          <w:wBefore w:w="0" w:type="dxa"/>
          <w:wAfter w:w="0" w:type="dxa"/>
          <w:trHeight w:val="420" w:hRule="atLeast"/>
          <w:jc w:val="center"/>
        </w:trPr>
        <w:tc>
          <w:tcPr>
            <w:tcW w:w="1368" w:type="dxa"/>
            <w:tcBorders>
              <w:top w:val="single" w:color="auto" w:sz="8" w:space="0"/>
              <w:left w:val="single" w:color="auto" w:sz="8" w:space="0"/>
              <w:bottom w:val="single" w:color="000000" w:sz="8" w:space="0"/>
              <w:right w:val="single" w:color="auto" w:sz="8"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序号</w:t>
            </w:r>
          </w:p>
        </w:tc>
        <w:tc>
          <w:tcPr>
            <w:tcW w:w="7654" w:type="dxa"/>
            <w:gridSpan w:val="2"/>
            <w:tcBorders>
              <w:top w:val="single" w:color="auto" w:sz="8" w:space="0"/>
              <w:left w:val="single" w:color="auto" w:sz="8" w:space="0"/>
              <w:bottom w:val="single" w:color="000000" w:sz="8" w:space="0"/>
              <w:right w:val="single" w:color="auto" w:sz="8"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模块名称</w:t>
            </w:r>
          </w:p>
        </w:tc>
      </w:tr>
      <w:tr>
        <w:tblPrEx>
          <w:tblCellMar>
            <w:top w:w="0" w:type="dxa"/>
            <w:left w:w="108" w:type="dxa"/>
            <w:bottom w:w="0" w:type="dxa"/>
            <w:right w:w="108" w:type="dxa"/>
          </w:tblCellMar>
        </w:tblPrEx>
        <w:trPr>
          <w:wBefore w:w="0" w:type="dxa"/>
          <w:wAfter w:w="0" w:type="dxa"/>
          <w:trHeight w:val="250" w:hRule="atLeast"/>
          <w:jc w:val="center"/>
        </w:trPr>
        <w:tc>
          <w:tcPr>
            <w:tcW w:w="1368" w:type="dxa"/>
            <w:tcBorders>
              <w:top w:val="nil"/>
              <w:left w:val="single" w:color="auto" w:sz="8" w:space="0"/>
              <w:bottom w:val="single" w:color="auto" w:sz="4" w:space="0"/>
              <w:right w:val="single" w:color="auto" w:sz="8"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1</w:t>
            </w:r>
          </w:p>
        </w:tc>
        <w:tc>
          <w:tcPr>
            <w:tcW w:w="3593" w:type="dxa"/>
            <w:vMerge w:val="restart"/>
            <w:tcBorders>
              <w:top w:val="nil"/>
              <w:left w:val="nil"/>
              <w:right w:val="single" w:color="auto" w:sz="8"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集成系统</w:t>
            </w:r>
          </w:p>
        </w:tc>
        <w:tc>
          <w:tcPr>
            <w:tcW w:w="4061" w:type="dxa"/>
            <w:tcBorders>
              <w:top w:val="nil"/>
              <w:left w:val="nil"/>
              <w:bottom w:val="single" w:color="auto" w:sz="4" w:space="0"/>
              <w:right w:val="single" w:color="auto" w:sz="8"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业务集成模块</w:t>
            </w:r>
          </w:p>
        </w:tc>
      </w:tr>
      <w:tr>
        <w:tblPrEx>
          <w:tblCellMar>
            <w:top w:w="0" w:type="dxa"/>
            <w:left w:w="108" w:type="dxa"/>
            <w:bottom w:w="0" w:type="dxa"/>
            <w:right w:w="108" w:type="dxa"/>
          </w:tblCellMar>
        </w:tblPrEx>
        <w:trPr>
          <w:wBefore w:w="0" w:type="dxa"/>
          <w:wAfter w:w="0" w:type="dxa"/>
          <w:trHeight w:val="22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2</w:t>
            </w:r>
          </w:p>
        </w:tc>
        <w:tc>
          <w:tcPr>
            <w:tcW w:w="3593" w:type="dxa"/>
            <w:vMerge w:val="continue"/>
            <w:tcBorders>
              <w:left w:val="nil"/>
              <w:bottom w:val="single" w:color="auto" w:sz="4" w:space="0"/>
              <w:right w:val="single" w:color="auto" w:sz="8"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大屏场景控制系统</w:t>
            </w:r>
          </w:p>
        </w:tc>
      </w:tr>
      <w:tr>
        <w:tblPrEx>
          <w:tblCellMar>
            <w:top w:w="0" w:type="dxa"/>
            <w:left w:w="108" w:type="dxa"/>
            <w:bottom w:w="0" w:type="dxa"/>
            <w:right w:w="108" w:type="dxa"/>
          </w:tblCellMar>
        </w:tblPrEx>
        <w:trPr>
          <w:wBefore w:w="0" w:type="dxa"/>
          <w:wAfter w:w="0" w:type="dxa"/>
          <w:trHeight w:val="22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3</w:t>
            </w:r>
          </w:p>
        </w:tc>
        <w:tc>
          <w:tcPr>
            <w:tcW w:w="359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社会治理数据专题库</w:t>
            </w: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数据来源管理</w:t>
            </w:r>
          </w:p>
        </w:tc>
      </w:tr>
      <w:tr>
        <w:tblPrEx>
          <w:tblCellMar>
            <w:top w:w="0" w:type="dxa"/>
            <w:left w:w="108" w:type="dxa"/>
            <w:bottom w:w="0" w:type="dxa"/>
            <w:right w:w="108" w:type="dxa"/>
          </w:tblCellMar>
        </w:tblPrEx>
        <w:trPr>
          <w:wBefore w:w="0" w:type="dxa"/>
          <w:wAfter w:w="0" w:type="dxa"/>
          <w:trHeight w:val="102"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4</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主题数据库</w:t>
            </w:r>
          </w:p>
        </w:tc>
      </w:tr>
      <w:tr>
        <w:tblPrEx>
          <w:tblCellMar>
            <w:top w:w="0" w:type="dxa"/>
            <w:left w:w="108" w:type="dxa"/>
            <w:bottom w:w="0" w:type="dxa"/>
            <w:right w:w="108" w:type="dxa"/>
          </w:tblCellMar>
        </w:tblPrEx>
        <w:trPr>
          <w:wBefore w:w="0" w:type="dxa"/>
          <w:wAfter w:w="0" w:type="dxa"/>
          <w:trHeight w:val="9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5</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数据仓库</w:t>
            </w:r>
          </w:p>
        </w:tc>
      </w:tr>
      <w:tr>
        <w:tblPrEx>
          <w:tblCellMar>
            <w:top w:w="0" w:type="dxa"/>
            <w:left w:w="108" w:type="dxa"/>
            <w:bottom w:w="0" w:type="dxa"/>
            <w:right w:w="108" w:type="dxa"/>
          </w:tblCellMar>
        </w:tblPrEx>
        <w:trPr>
          <w:wBefore w:w="0" w:type="dxa"/>
          <w:wAfter w:w="0" w:type="dxa"/>
          <w:trHeight w:val="9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6</w:t>
            </w:r>
          </w:p>
        </w:tc>
        <w:tc>
          <w:tcPr>
            <w:tcW w:w="3593"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数据对接</w:t>
            </w:r>
          </w:p>
        </w:tc>
      </w:tr>
      <w:tr>
        <w:tblPrEx>
          <w:tblCellMar>
            <w:top w:w="0" w:type="dxa"/>
            <w:left w:w="108" w:type="dxa"/>
            <w:bottom w:w="0" w:type="dxa"/>
            <w:right w:w="108" w:type="dxa"/>
          </w:tblCellMar>
        </w:tblPrEx>
        <w:trPr>
          <w:wBefore w:w="0" w:type="dxa"/>
          <w:wAfter w:w="0" w:type="dxa"/>
          <w:trHeight w:val="9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7</w:t>
            </w:r>
          </w:p>
        </w:tc>
        <w:tc>
          <w:tcPr>
            <w:tcW w:w="359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数据应用</w:t>
            </w: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平安考核专题</w:t>
            </w:r>
          </w:p>
        </w:tc>
      </w:tr>
      <w:tr>
        <w:tblPrEx>
          <w:tblCellMar>
            <w:top w:w="0" w:type="dxa"/>
            <w:left w:w="108" w:type="dxa"/>
            <w:bottom w:w="0" w:type="dxa"/>
            <w:right w:w="108" w:type="dxa"/>
          </w:tblCellMar>
        </w:tblPrEx>
        <w:trPr>
          <w:wBefore w:w="0" w:type="dxa"/>
          <w:wAfter w:w="0" w:type="dxa"/>
          <w:trHeight w:val="9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8</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平安指数专题</w:t>
            </w:r>
          </w:p>
        </w:tc>
      </w:tr>
      <w:tr>
        <w:tblPrEx>
          <w:tblCellMar>
            <w:top w:w="0" w:type="dxa"/>
            <w:left w:w="108" w:type="dxa"/>
            <w:bottom w:w="0" w:type="dxa"/>
            <w:right w:w="108" w:type="dxa"/>
          </w:tblCellMar>
        </w:tblPrEx>
        <w:trPr>
          <w:wBefore w:w="0" w:type="dxa"/>
          <w:wAfter w:w="0" w:type="dxa"/>
          <w:trHeight w:val="128"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9</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平安指标专题</w:t>
            </w:r>
          </w:p>
        </w:tc>
      </w:tr>
      <w:tr>
        <w:tblPrEx>
          <w:tblCellMar>
            <w:top w:w="0" w:type="dxa"/>
            <w:left w:w="108" w:type="dxa"/>
            <w:bottom w:w="0" w:type="dxa"/>
            <w:right w:w="108" w:type="dxa"/>
          </w:tblCellMar>
        </w:tblPrEx>
        <w:trPr>
          <w:wBefore w:w="0" w:type="dxa"/>
          <w:wAfter w:w="0" w:type="dxa"/>
          <w:trHeight w:val="15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1</w:t>
            </w:r>
            <w:r>
              <w:rPr>
                <w:rFonts w:ascii="宋体" w:hAnsi="宋体"/>
                <w:color w:val="000000"/>
                <w:kern w:val="0"/>
                <w:sz w:val="22"/>
                <w:szCs w:val="22"/>
              </w:rPr>
              <w:t>0</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事件分析专题</w:t>
            </w:r>
          </w:p>
        </w:tc>
      </w:tr>
      <w:tr>
        <w:tblPrEx>
          <w:tblCellMar>
            <w:top w:w="0" w:type="dxa"/>
            <w:left w:w="108" w:type="dxa"/>
            <w:bottom w:w="0" w:type="dxa"/>
            <w:right w:w="108" w:type="dxa"/>
          </w:tblCellMar>
        </w:tblPrEx>
        <w:trPr>
          <w:wBefore w:w="0" w:type="dxa"/>
          <w:wAfter w:w="0" w:type="dxa"/>
          <w:trHeight w:val="97"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1</w:t>
            </w:r>
            <w:r>
              <w:rPr>
                <w:rFonts w:ascii="宋体" w:hAnsi="宋体"/>
                <w:color w:val="000000"/>
                <w:kern w:val="0"/>
                <w:sz w:val="22"/>
                <w:szCs w:val="22"/>
              </w:rPr>
              <w:t>1</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社会舆情专题</w:t>
            </w:r>
          </w:p>
        </w:tc>
      </w:tr>
      <w:tr>
        <w:tblPrEx>
          <w:tblCellMar>
            <w:top w:w="0" w:type="dxa"/>
            <w:left w:w="108" w:type="dxa"/>
            <w:bottom w:w="0" w:type="dxa"/>
            <w:right w:w="108" w:type="dxa"/>
          </w:tblCellMar>
        </w:tblPrEx>
        <w:trPr>
          <w:wBefore w:w="0" w:type="dxa"/>
          <w:wAfter w:w="0" w:type="dxa"/>
          <w:trHeight w:val="532"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1</w:t>
            </w:r>
            <w:r>
              <w:rPr>
                <w:rFonts w:ascii="宋体" w:hAnsi="宋体"/>
                <w:color w:val="000000"/>
                <w:kern w:val="0"/>
                <w:sz w:val="22"/>
                <w:szCs w:val="22"/>
              </w:rPr>
              <w:t>2</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矛调中心专题</w:t>
            </w:r>
          </w:p>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（含一台导航一体机设备）</w:t>
            </w:r>
          </w:p>
        </w:tc>
      </w:tr>
      <w:tr>
        <w:tblPrEx>
          <w:tblCellMar>
            <w:top w:w="0" w:type="dxa"/>
            <w:left w:w="108" w:type="dxa"/>
            <w:bottom w:w="0" w:type="dxa"/>
            <w:right w:w="108" w:type="dxa"/>
          </w:tblCellMar>
        </w:tblPrEx>
        <w:trPr>
          <w:wBefore w:w="0" w:type="dxa"/>
          <w:wAfter w:w="0" w:type="dxa"/>
          <w:trHeight w:val="102"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1</w:t>
            </w:r>
            <w:r>
              <w:rPr>
                <w:rFonts w:ascii="宋体" w:hAnsi="宋体"/>
                <w:color w:val="000000"/>
                <w:kern w:val="0"/>
                <w:sz w:val="22"/>
                <w:szCs w:val="22"/>
              </w:rPr>
              <w:t>3</w:t>
            </w:r>
          </w:p>
        </w:tc>
        <w:tc>
          <w:tcPr>
            <w:tcW w:w="3593"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重点场所专题</w:t>
            </w:r>
          </w:p>
        </w:tc>
      </w:tr>
      <w:tr>
        <w:tblPrEx>
          <w:tblCellMar>
            <w:top w:w="0" w:type="dxa"/>
            <w:left w:w="108" w:type="dxa"/>
            <w:bottom w:w="0" w:type="dxa"/>
            <w:right w:w="108" w:type="dxa"/>
          </w:tblCellMar>
        </w:tblPrEx>
        <w:trPr>
          <w:wBefore w:w="0" w:type="dxa"/>
          <w:wAfter w:w="0" w:type="dxa"/>
          <w:trHeight w:val="9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1</w:t>
            </w:r>
            <w:r>
              <w:rPr>
                <w:rFonts w:ascii="宋体" w:hAnsi="宋体"/>
                <w:color w:val="000000"/>
                <w:kern w:val="0"/>
                <w:sz w:val="22"/>
                <w:szCs w:val="22"/>
              </w:rPr>
              <w:t>4</w:t>
            </w:r>
          </w:p>
        </w:tc>
        <w:tc>
          <w:tcPr>
            <w:tcW w:w="3593"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p>
        </w:tc>
        <w:tc>
          <w:tcPr>
            <w:tcW w:w="406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钉钉应用</w:t>
            </w:r>
          </w:p>
        </w:tc>
      </w:tr>
    </w:tbl>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1.1集成系统</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要求集成所有可对接系统（支持鹿城基于政务外网的信息化建设系统的接入），支持基层治理四平台、维稳信息系统、政法系统（视频）、智慧城管系统、社区智慧消防系统、社会舆情系统、智慧党建、民宗管理等系统的业务集成（统一工作门户）、大屏端集成（统一分析展示）、网络集成(统一打通政务外网)；</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要求提供大屏统一集约化访问，在大屏端实现基于社会治理相关的各类业务系统的入口集成，如可以集成基层治理四平台、维稳信息系统、智慧城管系统、智慧党建等系统，在大屏上可以随时打开切换不同业务系统。</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另外还要求提供一套场景控制系统，可以将整个大屏分成不同区域展示不同内容，并支持自定义数据分析页面的快速搭建，且模块之间的数据实现实时联动。</w:t>
      </w:r>
    </w:p>
    <w:p>
      <w:pPr>
        <w:tabs>
          <w:tab w:val="left" w:pos="482"/>
          <w:tab w:val="left" w:pos="2183"/>
          <w:tab w:val="left" w:pos="3884"/>
          <w:tab w:val="left" w:pos="5585"/>
        </w:tabs>
        <w:snapToGrid w:val="0"/>
        <w:spacing w:line="360" w:lineRule="auto"/>
        <w:jc w:val="center"/>
        <w:rPr>
          <w:rFonts w:hint="eastAsia" w:ascii="宋体" w:hAnsi="宋体" w:cs="宋体"/>
          <w:b/>
          <w:sz w:val="22"/>
          <w:szCs w:val="22"/>
        </w:rPr>
      </w:pPr>
    </w:p>
    <w:tbl>
      <w:tblPr>
        <w:tblStyle w:val="5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33"/>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9"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序号</w:t>
            </w:r>
          </w:p>
        </w:tc>
        <w:tc>
          <w:tcPr>
            <w:tcW w:w="2633"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系统模块</w:t>
            </w:r>
          </w:p>
        </w:tc>
        <w:tc>
          <w:tcPr>
            <w:tcW w:w="6228"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9"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w:t>
            </w:r>
          </w:p>
        </w:tc>
        <w:tc>
          <w:tcPr>
            <w:tcW w:w="2633"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业务集成模块</w:t>
            </w:r>
          </w:p>
        </w:tc>
        <w:tc>
          <w:tcPr>
            <w:tcW w:w="6228" w:type="dxa"/>
            <w:noWrap w:val="0"/>
            <w:vAlign w:val="top"/>
          </w:tcPr>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本模块主要实现通过一套门户系统集成鹿城基层治理相关的各类业务系统，方便管理使用。要求提供统一访问门户，实现基于社会治理相关的各类业务系统的入口集成。可以对各业务系统进行划分，如基层治理四平台、智慧城管、社会舆情、智慧党建、民宗、维稳信息等业务系统的集成，领导在中心就能看到鹿城区建设的所有接入的信息化系统情况。</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提供部门管理、用户管理、系统登录功能。可以通过部门管理、用户管理，对各部门及用户信息进行管理。支持增删改查功能，同时定义权限检验用户类型，对每一个需要管理权限的操作均进行拦截，并检验用户类型，判断该用户类型是否可执行该操作，即可达到权限管理的作用。</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要求提供权限管理功能，主要为登录用户提供各业务系统的访问权限控制，根据系统设置的安全规则或者安全策略，用户可以访问而且只能访问自己被授权的资源；提供用户权限功能与角色挂钩。</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要求提供日志管理功能。通过设置日志文件访问控制权限，实现对系统的删除、重要信息的浏览等关键操作进行日志跟踪记录，防止未授权的访问篡改。</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要求提供密钥管理功能。通过S／MIME、底层协议加密（SSL）和动态秘钥等方式，在数据传输的过程中进行加密，保证数据的安全性。</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要求提供模块管理功能。包括添加、修改、删除，模块的分类、移动；模块的启用、停用，模块的动作权限设置，模块的状态设置，模块的排序功能等，实现动态维护功能模块、动态生成菜单动态生成。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9"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2</w:t>
            </w:r>
          </w:p>
        </w:tc>
        <w:tc>
          <w:tcPr>
            <w:tcW w:w="2633"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大屏场景控制系统</w:t>
            </w:r>
          </w:p>
        </w:tc>
        <w:tc>
          <w:tcPr>
            <w:tcW w:w="6228" w:type="dxa"/>
            <w:noWrap w:val="0"/>
            <w:vAlign w:val="top"/>
          </w:tcPr>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要求提供大屏场景控制系统，本系统应具备以下功能：</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1、大屏调度配置</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要求可以通过大屏调度配置，实现配置大屏各模块的显示顺序以及调度方案。</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2、场景设置</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要求可以通过场景设置功能，设置一个大屏投放的场景，它可以包含多个页面。同时，用户能够增加、删除、修改场景。</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3、场景管理</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可以通过新增页面、页面编辑、尺寸编辑对场景进行管理。要求新增的页面支持ppt、超链接、视屏列表、页面模板这四种类型。要求新增场景时，可以对场景区域进行选择，如果选择“大屏”则添加的场景在大屏场景中展示；如果选择“时光轴”则添加的场景在时光轴中展示。</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4、页面管理</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要求系统可以支持对页面模板进行编辑，可以通过增加、删除、自由定位等方式，形成符合用户需要的界面样式，实现页面的快速搭建。</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5、页面控制</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要求系统可以通过选择一个场景的页面，点击切换，用户就能够将此页面投放到大屏上。通过上一页和下一页可以执行页面之间的连续切换。</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要求系统支持在桌面端和移动端两种控制方式。</w:t>
            </w:r>
          </w:p>
        </w:tc>
      </w:tr>
    </w:tbl>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1.2社会治理数据专题库</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社会治理数据专题库将依托鹿城区社会治理相关系统及温州市大数据中心实现汇聚鹿城区社会治理相关的主题数据，形成“数据资源专题库”，包括基层治理四平台、重点事件数据、重点人员、视频数据、图片数据等，通过有效性过滤，数据质量检查、清洗等技术手段，挖掘数据价值，并根据国家、省数据标准规范，打造数据专题库，数据统计、预警分析提供基础支撑。也可以为后期城市大脑、政法小脑提供数据积累和积淀，以及通过提供标准的服务接口，为镇街社会治理应用提供基础。</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数据资源库存储的是准实时的明细数据，为各类实时性的数据应用需求提供支撑，从数据库层次结构可分为接口层与整合层。数据交换平台为大数据局已建平台，依托该平台实现数据交换内容的来源问题。</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drawing>
          <wp:inline distT="0" distB="0" distL="114300" distR="114300">
            <wp:extent cx="3048635" cy="1920875"/>
            <wp:effectExtent l="0" t="0" r="18415" b="317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3048635" cy="1920875"/>
                    </a:xfrm>
                    <a:prstGeom prst="rect">
                      <a:avLst/>
                    </a:prstGeom>
                    <a:noFill/>
                    <a:ln>
                      <a:noFill/>
                    </a:ln>
                  </pic:spPr>
                </pic:pic>
              </a:graphicData>
            </a:graphic>
          </wp:inline>
        </w:drawing>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接口层存储的是由数据资源库从源系统采集的数据，其数据模型与源系统保持一致并与源系统保持实时/准实时同步。在该层可进行源系统数据剖析与质量分析的工作。</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全域模型层存储是经过数据清洗、转换、整合后的数据，是数据资源库的核心数据层，全域模型层中的数据原则上是统一编码格式的数据，可作为企业数据标准指导外围系统逐步统一数据格式。存储数据模型遵循全层数据模型（EDM），按数据主题层体系组织，落实具有物理特征的EDM逻辑模型。</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通过数据资源库汇总层的数据，可以向各业务单位与领导提供统一的数据视图，并建立起良好的关联关系。</w:t>
      </w:r>
    </w:p>
    <w:tbl>
      <w:tblPr>
        <w:tblStyle w:val="57"/>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60"/>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4" w:type="dxa"/>
            <w:noWrap w:val="0"/>
            <w:vAlign w:val="center"/>
          </w:tcPr>
          <w:p>
            <w:pPr>
              <w:jc w:val="center"/>
              <w:rPr>
                <w:rFonts w:hint="eastAsia" w:ascii="仿宋" w:hAnsi="仿宋"/>
                <w:color w:val="000000"/>
                <w:kern w:val="0"/>
                <w:sz w:val="22"/>
                <w:szCs w:val="22"/>
              </w:rPr>
            </w:pPr>
            <w:r>
              <w:rPr>
                <w:rFonts w:hint="eastAsia" w:ascii="仿宋" w:hAnsi="仿宋"/>
                <w:color w:val="000000"/>
                <w:kern w:val="0"/>
                <w:sz w:val="22"/>
                <w:szCs w:val="22"/>
              </w:rPr>
              <w:t>序号</w:t>
            </w:r>
          </w:p>
        </w:tc>
        <w:tc>
          <w:tcPr>
            <w:tcW w:w="1560" w:type="dxa"/>
            <w:noWrap w:val="0"/>
            <w:vAlign w:val="center"/>
          </w:tcPr>
          <w:p>
            <w:pPr>
              <w:jc w:val="center"/>
              <w:rPr>
                <w:rFonts w:hint="eastAsia" w:ascii="仿宋" w:hAnsi="仿宋"/>
                <w:color w:val="000000"/>
                <w:kern w:val="0"/>
                <w:sz w:val="22"/>
                <w:szCs w:val="22"/>
              </w:rPr>
            </w:pPr>
            <w:r>
              <w:rPr>
                <w:rFonts w:hint="eastAsia" w:ascii="仿宋" w:hAnsi="仿宋"/>
                <w:color w:val="000000"/>
                <w:kern w:val="0"/>
                <w:sz w:val="22"/>
                <w:szCs w:val="22"/>
              </w:rPr>
              <w:t>系统模块</w:t>
            </w:r>
          </w:p>
        </w:tc>
        <w:tc>
          <w:tcPr>
            <w:tcW w:w="7054" w:type="dxa"/>
            <w:noWrap w:val="0"/>
            <w:vAlign w:val="center"/>
          </w:tcPr>
          <w:p>
            <w:pPr>
              <w:jc w:val="center"/>
              <w:rPr>
                <w:rFonts w:hint="eastAsia" w:ascii="仿宋" w:hAnsi="仿宋"/>
                <w:color w:val="000000"/>
                <w:kern w:val="0"/>
                <w:sz w:val="22"/>
                <w:szCs w:val="22"/>
              </w:rPr>
            </w:pPr>
            <w:r>
              <w:rPr>
                <w:rFonts w:hint="eastAsia" w:ascii="仿宋" w:hAnsi="仿宋"/>
                <w:color w:val="000000"/>
                <w:kern w:val="0"/>
                <w:sz w:val="22"/>
                <w:szCs w:val="22"/>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w:t>
            </w:r>
          </w:p>
        </w:tc>
        <w:tc>
          <w:tcPr>
            <w:tcW w:w="156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数据来源管理</w:t>
            </w:r>
          </w:p>
        </w:tc>
        <w:tc>
          <w:tcPr>
            <w:tcW w:w="7054" w:type="dxa"/>
            <w:noWrap w:val="0"/>
            <w:vAlign w:val="top"/>
          </w:tcPr>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依托托鹿城区社会治理相关系统及温州市大数据中心对不同数据来源的相关信息数据进行模块化管理。对接过程中，需要根据各来源数据的不同规范，设置不同的采集接口，并对各采集数据独立管理，管理内容包括基础信息数据，事件数据，采集日志，接口监测等。并对各类采集数据统一转换为综合业务平台标准规范，实现数据的统一标准化。分别对接入的系统进行单独管理，记录每日数据同步情况，提供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2</w:t>
            </w:r>
          </w:p>
        </w:tc>
        <w:tc>
          <w:tcPr>
            <w:tcW w:w="156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主题数据库</w:t>
            </w:r>
          </w:p>
        </w:tc>
        <w:tc>
          <w:tcPr>
            <w:tcW w:w="7054" w:type="dxa"/>
            <w:noWrap w:val="0"/>
            <w:vAlign w:val="top"/>
          </w:tcPr>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各平台接入的数据在数据资源库落地，系统自动对各平台接入的数据进行有效性验证过滤，形成原始数据库（是源系统数据库表结构和内容的影子拷贝，用于完全备份源系统数据，并在数据转换时作为数据源，最大限度减少对源系统业务负载的冲击）、基础数据库（支持智慧政法所有业务的全局性库表）、专题数据库（支持智慧政法某项专项业务的库表）。</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主题数据库清单主要内容如下：</w:t>
            </w:r>
          </w:p>
          <w:p>
            <w:pPr>
              <w:pStyle w:val="471"/>
              <w:widowControl/>
              <w:textAlignment w:val="center"/>
              <w:rPr>
                <w:rFonts w:hint="eastAsia" w:ascii="仿宋" w:hAnsi="仿宋"/>
                <w:color w:val="000000"/>
                <w:kern w:val="0"/>
                <w:sz w:val="22"/>
                <w:szCs w:val="22"/>
              </w:rPr>
            </w:pPr>
            <w:r>
              <w:rPr>
                <w:rFonts w:hint="eastAsia" w:ascii="仿宋" w:hAnsi="仿宋"/>
                <w:color w:val="000000"/>
                <w:kern w:val="0"/>
                <w:sz w:val="22"/>
                <w:szCs w:val="22"/>
              </w:rPr>
              <w:drawing>
                <wp:inline distT="0" distB="0" distL="114300" distR="114300">
                  <wp:extent cx="4733925" cy="5255895"/>
                  <wp:effectExtent l="0" t="0" r="952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4733925" cy="5255895"/>
                          </a:xfrm>
                          <a:prstGeom prst="rect">
                            <a:avLst/>
                          </a:prstGeom>
                          <a:noFill/>
                          <a:ln>
                            <a:noFill/>
                          </a:ln>
                        </pic:spPr>
                      </pic:pic>
                    </a:graphicData>
                  </a:graphic>
                </wp:inline>
              </w:drawing>
            </w:r>
          </w:p>
          <w:p>
            <w:pPr>
              <w:pStyle w:val="471"/>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注：数据库，专题库不是一张表，而是相关联的一系列表组成。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3</w:t>
            </w:r>
          </w:p>
        </w:tc>
        <w:tc>
          <w:tcPr>
            <w:tcW w:w="156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数据仓库</w:t>
            </w:r>
          </w:p>
        </w:tc>
        <w:tc>
          <w:tcPr>
            <w:tcW w:w="7054" w:type="dxa"/>
            <w:noWrap w:val="0"/>
            <w:vAlign w:val="top"/>
          </w:tcPr>
          <w:p>
            <w:pPr>
              <w:pStyle w:val="17"/>
              <w:widowControl/>
              <w:numPr>
                <w:ilvl w:val="3"/>
                <w:numId w:val="0"/>
              </w:numPr>
              <w:tabs>
                <w:tab w:val="left" w:pos="851"/>
              </w:tabs>
              <w:spacing w:line="360" w:lineRule="auto"/>
              <w:ind w:firstLine="420"/>
              <w:textAlignment w:val="center"/>
              <w:rPr>
                <w:rFonts w:hint="eastAsia" w:ascii="仿宋" w:hAnsi="仿宋"/>
                <w:color w:val="000000"/>
                <w:sz w:val="22"/>
                <w:szCs w:val="22"/>
              </w:rPr>
            </w:pPr>
            <w:r>
              <w:rPr>
                <w:rFonts w:hint="eastAsia" w:ascii="仿宋" w:hAnsi="仿宋"/>
                <w:color w:val="000000"/>
                <w:sz w:val="22"/>
                <w:szCs w:val="22"/>
              </w:rPr>
              <w:t>数据仓库主要用于存放多维分析模型以及相应的数据分析结果。系统准确地采集到数据后，可以根据预先设置的数据模型（维表）对主题数据库内的数据进行数据分析，产生数据分析的事实表，用户可以根据要求调整数据模型的分析参数和权重，提高分析质量和精度，从而保证能够分析出最准确的结果。所有分析都有区域和时间两个基本维度，并按分析的不同叠加其他维度。数据仓库建设内容根据数据应用来制定，包括考核分析，人员分析，事件分析，舆情分析，场所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4</w:t>
            </w:r>
          </w:p>
        </w:tc>
        <w:tc>
          <w:tcPr>
            <w:tcW w:w="1560"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数据对接</w:t>
            </w:r>
          </w:p>
        </w:tc>
        <w:tc>
          <w:tcPr>
            <w:tcW w:w="7054" w:type="dxa"/>
            <w:noWrap w:val="0"/>
            <w:vAlign w:val="top"/>
          </w:tcPr>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要求系统汇聚提供三种对接方式，其中包括系统接口对接、数据前置库、信息导入等方式。</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1、接口对接：</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调用系统接口获取数据，在对接的系统中开发接口，需获取接口规范文档，包括访问接口地址、入参名称和格式、返回的状态情况等信息；</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2、数据前置库：</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将相关的业务数据推送到前置库，平台通过前置库的数据进行对接；</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3、信息导入：</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通过系统定期导出相关数据，平台通过导出的数据进行信息导入；</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主要支持以下相关系统的数据接入：</w:t>
            </w:r>
          </w:p>
          <w:p>
            <w:pPr>
              <w:pStyle w:val="471"/>
              <w:widowControl/>
              <w:textAlignment w:val="center"/>
              <w:rPr>
                <w:rFonts w:hint="eastAsia" w:ascii="仿宋" w:hAnsi="仿宋"/>
                <w:color w:val="000000"/>
                <w:kern w:val="0"/>
                <w:sz w:val="22"/>
                <w:szCs w:val="22"/>
              </w:rPr>
            </w:pPr>
            <w:r>
              <w:rPr>
                <w:rFonts w:hint="eastAsia" w:ascii="仿宋" w:hAnsi="仿宋"/>
                <w:color w:val="000000"/>
                <w:kern w:val="0"/>
                <w:sz w:val="22"/>
                <w:szCs w:val="22"/>
              </w:rPr>
              <w:drawing>
                <wp:inline distT="0" distB="0" distL="114300" distR="114300">
                  <wp:extent cx="4716145" cy="4201160"/>
                  <wp:effectExtent l="0" t="0" r="825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4716145" cy="4201160"/>
                          </a:xfrm>
                          <a:prstGeom prst="rect">
                            <a:avLst/>
                          </a:prstGeom>
                          <a:noFill/>
                          <a:ln>
                            <a:noFill/>
                          </a:ln>
                        </pic:spPr>
                      </pic:pic>
                    </a:graphicData>
                  </a:graphic>
                </wp:inline>
              </w:drawing>
            </w:r>
          </w:p>
        </w:tc>
      </w:tr>
    </w:tbl>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1.3数据应用</w:t>
      </w:r>
    </w:p>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要求可以直观展示全区社会治理综合全景态势和社会趋势情况，以数据使用，基层应用为核心，纳入考核，关注人员，事件，社会舆情等多方面数据应用专题，为治理工作提供辅助决策。</w:t>
      </w:r>
    </w:p>
    <w:tbl>
      <w:tblPr>
        <w:tblStyle w:val="57"/>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26"/>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jc w:val="center"/>
              <w:rPr>
                <w:rFonts w:hint="eastAsia" w:ascii="仿宋" w:hAnsi="仿宋"/>
                <w:color w:val="000000"/>
                <w:kern w:val="0"/>
                <w:sz w:val="22"/>
                <w:szCs w:val="22"/>
              </w:rPr>
            </w:pPr>
            <w:r>
              <w:rPr>
                <w:rFonts w:hint="eastAsia" w:ascii="仿宋" w:hAnsi="仿宋"/>
                <w:color w:val="000000"/>
                <w:kern w:val="0"/>
                <w:sz w:val="22"/>
                <w:szCs w:val="22"/>
              </w:rPr>
              <w:t>序号</w:t>
            </w:r>
          </w:p>
        </w:tc>
        <w:tc>
          <w:tcPr>
            <w:tcW w:w="1226" w:type="dxa"/>
            <w:noWrap w:val="0"/>
            <w:vAlign w:val="center"/>
          </w:tcPr>
          <w:p>
            <w:pPr>
              <w:jc w:val="center"/>
              <w:rPr>
                <w:rFonts w:hint="eastAsia" w:ascii="仿宋" w:hAnsi="仿宋"/>
                <w:color w:val="000000"/>
                <w:kern w:val="0"/>
                <w:sz w:val="22"/>
                <w:szCs w:val="22"/>
              </w:rPr>
            </w:pPr>
            <w:r>
              <w:rPr>
                <w:rFonts w:hint="eastAsia" w:ascii="仿宋" w:hAnsi="仿宋"/>
                <w:color w:val="000000"/>
                <w:kern w:val="0"/>
                <w:sz w:val="22"/>
                <w:szCs w:val="22"/>
              </w:rPr>
              <w:t>系统模块</w:t>
            </w:r>
          </w:p>
        </w:tc>
        <w:tc>
          <w:tcPr>
            <w:tcW w:w="7308" w:type="dxa"/>
            <w:noWrap w:val="0"/>
            <w:vAlign w:val="center"/>
          </w:tcPr>
          <w:p>
            <w:pPr>
              <w:jc w:val="center"/>
              <w:rPr>
                <w:rFonts w:hint="eastAsia" w:ascii="仿宋" w:hAnsi="仿宋"/>
                <w:color w:val="000000"/>
                <w:kern w:val="0"/>
                <w:sz w:val="22"/>
                <w:szCs w:val="22"/>
              </w:rPr>
            </w:pPr>
            <w:r>
              <w:rPr>
                <w:rFonts w:hint="eastAsia" w:ascii="仿宋" w:hAnsi="仿宋"/>
                <w:color w:val="000000"/>
                <w:kern w:val="0"/>
                <w:sz w:val="22"/>
                <w:szCs w:val="22"/>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1</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平安考核专题</w:t>
            </w:r>
          </w:p>
        </w:tc>
        <w:tc>
          <w:tcPr>
            <w:tcW w:w="7308" w:type="dxa"/>
            <w:noWrap w:val="0"/>
            <w:vAlign w:val="top"/>
          </w:tcPr>
          <w:p>
            <w:pPr>
              <w:pStyle w:val="17"/>
              <w:widowControl/>
              <w:numPr>
                <w:ilvl w:val="3"/>
                <w:numId w:val="0"/>
              </w:numPr>
              <w:tabs>
                <w:tab w:val="left" w:pos="851"/>
              </w:tabs>
              <w:spacing w:line="360" w:lineRule="auto"/>
              <w:ind w:firstLine="420"/>
              <w:textAlignment w:val="center"/>
              <w:rPr>
                <w:rFonts w:hint="eastAsia" w:ascii="仿宋" w:hAnsi="仿宋"/>
                <w:color w:val="000000"/>
                <w:sz w:val="22"/>
                <w:szCs w:val="22"/>
              </w:rPr>
            </w:pPr>
            <w:r>
              <w:rPr>
                <w:rFonts w:hint="eastAsia" w:ascii="仿宋" w:hAnsi="仿宋"/>
                <w:color w:val="000000"/>
                <w:sz w:val="22"/>
                <w:szCs w:val="22"/>
              </w:rPr>
              <w:t>要求平安考核系统可以通过折线图、饼图、地图及柱状图等多种展现方式，结合各类数据，利用大数据与统计分析等相关技术，实现实时掌控事态发展、精准感知，构建社会治理的预防预知预判能力，为领导层提供可靠的决策支撑。系统包含以下内容：</w:t>
            </w:r>
          </w:p>
          <w:p>
            <w:pPr>
              <w:pStyle w:val="17"/>
              <w:widowControl/>
              <w:numPr>
                <w:ilvl w:val="3"/>
                <w:numId w:val="0"/>
              </w:numPr>
              <w:tabs>
                <w:tab w:val="left" w:pos="851"/>
              </w:tabs>
              <w:spacing w:line="360" w:lineRule="auto"/>
              <w:ind w:firstLine="420"/>
              <w:textAlignment w:val="center"/>
              <w:rPr>
                <w:rFonts w:hint="eastAsia" w:ascii="仿宋" w:hAnsi="仿宋"/>
                <w:color w:val="000000"/>
                <w:sz w:val="22"/>
                <w:szCs w:val="22"/>
              </w:rPr>
            </w:pPr>
            <w:r>
              <w:rPr>
                <w:rFonts w:hint="eastAsia" w:ascii="仿宋" w:hAnsi="仿宋"/>
                <w:color w:val="000000"/>
                <w:sz w:val="22"/>
                <w:szCs w:val="22"/>
              </w:rPr>
              <w:t>1、省级平安考核数据管理分析：</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鹿城省级对区县考核数据的管理，并根据全省考核文件，显示鹿城考核排名变化。支持大屏指挥中心相关数据展示。通过浙江省平安建设考核系统抽取出各部门每个月上报事件数据进行管理，同时系统提供各事件与考核文件比对打分，并划分所属街道。</w:t>
            </w:r>
          </w:p>
          <w:p>
            <w:pPr>
              <w:pStyle w:val="17"/>
              <w:widowControl/>
              <w:numPr>
                <w:ilvl w:val="3"/>
                <w:numId w:val="0"/>
              </w:numPr>
              <w:tabs>
                <w:tab w:val="left" w:pos="851"/>
              </w:tabs>
              <w:spacing w:line="360" w:lineRule="auto"/>
              <w:ind w:firstLine="420"/>
              <w:textAlignment w:val="center"/>
              <w:rPr>
                <w:rFonts w:hint="eastAsia" w:ascii="仿宋" w:hAnsi="仿宋"/>
                <w:color w:val="000000"/>
                <w:sz w:val="22"/>
                <w:szCs w:val="22"/>
              </w:rPr>
            </w:pPr>
            <w:r>
              <w:rPr>
                <w:rFonts w:hint="eastAsia" w:ascii="仿宋" w:hAnsi="仿宋"/>
                <w:color w:val="000000"/>
                <w:sz w:val="22"/>
                <w:szCs w:val="22"/>
              </w:rPr>
              <w:t>2、市级平安考核数据管理分析：</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提供市级对区县考核内容的数据管理，提供考核扣分情况管理，包括扣分项，扣分事件，所属街道等基本信息管理。系统提供数据的导入导出功能，支持大屏数据调用。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相关市级考核汇总表: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drawing>
                <wp:inline distT="0" distB="0" distL="114300" distR="114300">
                  <wp:extent cx="4380230" cy="971550"/>
                  <wp:effectExtent l="0" t="0" r="1270" b="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5"/>
                          <a:stretch>
                            <a:fillRect/>
                          </a:stretch>
                        </pic:blipFill>
                        <pic:spPr>
                          <a:xfrm>
                            <a:off x="0" y="0"/>
                            <a:ext cx="4380230" cy="971550"/>
                          </a:xfrm>
                          <a:prstGeom prst="rect">
                            <a:avLst/>
                          </a:prstGeom>
                          <a:noFill/>
                          <a:ln>
                            <a:noFill/>
                          </a:ln>
                        </pic:spPr>
                      </pic:pic>
                    </a:graphicData>
                  </a:graphic>
                </wp:inline>
              </w:drawing>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市对县平安考绩情况表: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drawing>
                <wp:inline distT="0" distB="0" distL="114300" distR="114300">
                  <wp:extent cx="2011680" cy="4018280"/>
                  <wp:effectExtent l="0" t="0" r="7620" b="127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6"/>
                          <a:stretch>
                            <a:fillRect/>
                          </a:stretch>
                        </pic:blipFill>
                        <pic:spPr>
                          <a:xfrm>
                            <a:off x="0" y="0"/>
                            <a:ext cx="2011680" cy="4018280"/>
                          </a:xfrm>
                          <a:prstGeom prst="rect">
                            <a:avLst/>
                          </a:prstGeom>
                          <a:noFill/>
                          <a:ln>
                            <a:noFill/>
                          </a:ln>
                        </pic:spPr>
                      </pic:pic>
                    </a:graphicData>
                  </a:graphic>
                </wp:inline>
              </w:drawing>
            </w:r>
            <w:r>
              <w:rPr>
                <w:rFonts w:hint="eastAsia" w:ascii="仿宋" w:hAnsi="仿宋"/>
                <w:color w:val="000000"/>
                <w:kern w:val="0"/>
                <w:sz w:val="22"/>
                <w:szCs w:val="22"/>
              </w:rPr>
              <w:drawing>
                <wp:inline distT="0" distB="0" distL="114300" distR="114300">
                  <wp:extent cx="2290445" cy="4042410"/>
                  <wp:effectExtent l="0" t="0" r="14605" b="1524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7"/>
                          <a:stretch>
                            <a:fillRect/>
                          </a:stretch>
                        </pic:blipFill>
                        <pic:spPr>
                          <a:xfrm>
                            <a:off x="0" y="0"/>
                            <a:ext cx="2290445" cy="4042410"/>
                          </a:xfrm>
                          <a:prstGeom prst="rect">
                            <a:avLst/>
                          </a:prstGeom>
                          <a:noFill/>
                          <a:ln>
                            <a:noFill/>
                          </a:ln>
                        </pic:spPr>
                      </pic:pic>
                    </a:graphicData>
                  </a:graphic>
                </wp:inline>
              </w:drawing>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3、各街道考核指标管理分析</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提供各街道的考核指标数据的管理，提供各职能部门相关数据上报渠道，数据修改，删除，按月查询等功能。支持大屏指挥中心相关数据展示。</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4、负面清单数据视图</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根据不同考核需求及内容，通过整合省对区，市对区的考核重点扣分问题及具体内容，按月自动生成相关负面情况报表及主要事项。并提供钉钉应用调用，并进行钉消息推送。</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5、考核情况数据视图</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按每个月省级对区县考核，市级对区县考核的数据情况，实现考核报表自动生产，包括排名，扣分情况，主要事件，所属街道等信息。并提供钉钉应用调用，进行钉消息推送。</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6、大屏数据展示</w:t>
            </w:r>
          </w:p>
          <w:p>
            <w:pPr>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提供基于大屏端的相关考核数据的综合展示，根据省级，市级，街道等不同的考核内容，以图形，表格，地图，数据等多形式进行展示，为领导在指挥中心会商研判时提供数据支撑。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2</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平安指数专题</w:t>
            </w:r>
          </w:p>
        </w:tc>
        <w:tc>
          <w:tcPr>
            <w:tcW w:w="7308" w:type="dxa"/>
            <w:noWrap w:val="0"/>
            <w:vAlign w:val="top"/>
          </w:tcPr>
          <w:p>
            <w:pPr>
              <w:pStyle w:val="471"/>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系统根据浙江省平安指数标准，实现对鹿城区一级平安指数的数据管理，分析建模，展示功能，其中分析建模算法采用浙江省平安指数建设标准进行设计与建设，相关基础数据由政法委相关部门提供基础数据，系统根据没有数据情况按时间维度进行管理，分析结果数据以图表形式在大屏端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3</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平安指标专题</w:t>
            </w:r>
          </w:p>
        </w:tc>
        <w:tc>
          <w:tcPr>
            <w:tcW w:w="7308" w:type="dxa"/>
            <w:noWrap w:val="0"/>
            <w:vAlign w:val="top"/>
          </w:tcPr>
          <w:p>
            <w:pPr>
              <w:pStyle w:val="17"/>
              <w:widowControl/>
              <w:numPr>
                <w:ilvl w:val="3"/>
                <w:numId w:val="0"/>
              </w:numPr>
              <w:tabs>
                <w:tab w:val="left" w:pos="851"/>
              </w:tabs>
              <w:spacing w:line="360" w:lineRule="auto"/>
              <w:ind w:firstLine="440" w:firstLineChars="200"/>
              <w:textAlignment w:val="center"/>
              <w:rPr>
                <w:rFonts w:hint="eastAsia" w:ascii="仿宋" w:hAnsi="仿宋"/>
                <w:color w:val="000000"/>
                <w:sz w:val="22"/>
                <w:szCs w:val="22"/>
              </w:rPr>
            </w:pPr>
            <w:r>
              <w:rPr>
                <w:rFonts w:hint="eastAsia" w:ascii="仿宋" w:hAnsi="仿宋"/>
                <w:color w:val="000000"/>
                <w:sz w:val="22"/>
                <w:szCs w:val="22"/>
              </w:rPr>
              <w:t>要求系统根据鹿城公安每月提供的各类案件情况，对数据进行统一管理。并根据每月数据情况进行年度数据累计。并形成相关数据视图，提供大屏展示端，钉钉端数据调取。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ascii="仿宋" w:hAnsi="仿宋"/>
                <w:color w:val="000000"/>
                <w:kern w:val="0"/>
                <w:sz w:val="22"/>
                <w:szCs w:val="22"/>
              </w:rPr>
              <w:t>4</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事件分析专题</w:t>
            </w:r>
          </w:p>
        </w:tc>
        <w:tc>
          <w:tcPr>
            <w:tcW w:w="7308" w:type="dxa"/>
            <w:noWrap w:val="0"/>
            <w:vAlign w:val="top"/>
          </w:tcPr>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要求系统可以基于事件库数据，实现在指挥中心大屏端对事件进行统计分析展现，更直观了解所发事件的管控情况，包括事件的分布统计、档案信息、涉及人数、趋势对比、化解统计、热词分析等内容。要求包含以下功能;</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1、事件分布及分类统计</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展现全区及各街道事件数量分布、以及各种类型事件数量。可以柱状图或饼状图形式统计辖区内各区域不同类型事件数量，同时支持按辖区、时间进行条件查询。用于大屏展示。</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2、事件列表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按照区域、时间、事件类别、是否办结、是否归档等内容对事件进行列表式罗列，并可查看某事件详情。</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3、重点事件档案信息</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事件详情、重点挑头人员，上级主管部门、基本诉求、诉求分析（合理诉求、无理诉求、可协商诉求），维权方式及群体动向、以及化解、稳控、处置情况历史记录等。化解、稳控、处置情况包括责任单位及领导、化解专班、工作措施、化解难点、化解空间、化解期限、处置情况、后续稳控情况（打击、化解、稳控情况）。</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4、重点事件化解情况</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已化解、未化解事件，按照本月、本年度进行数量统计分析，并可通过条状图进行展现。</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5、重点事涉及人数</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事件涉及人数分析（5人以下、5～10人、11～20人、20以上），可按照本月、本季度、本年度进行数量统计分析，并通过柱状图进行展现，可大致展现其变化情况。</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6、热词事项数据统计</w:t>
            </w:r>
          </w:p>
          <w:p>
            <w:pPr>
              <w:pStyle w:val="471"/>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对经常出现的热词做统计分析，抓住社会热点问题。如可按照月、季、年的维度对事件中出现的热词进行统计，并按照数量进行排名；并根据下辖各区域内出现的热词出现的情况进行分析。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ascii="仿宋" w:hAnsi="仿宋"/>
                <w:color w:val="000000"/>
                <w:kern w:val="0"/>
                <w:sz w:val="22"/>
                <w:szCs w:val="22"/>
              </w:rPr>
              <w:t>5</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社会舆情专题</w:t>
            </w:r>
          </w:p>
        </w:tc>
        <w:tc>
          <w:tcPr>
            <w:tcW w:w="7308" w:type="dxa"/>
            <w:noWrap w:val="0"/>
            <w:vAlign w:val="top"/>
          </w:tcPr>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要求系统能通过对于网站、微信、微博、博客、论坛等信息的监测，发现社会舆情并进行分析展示。本次系统建设主要通过网信办舆情系统实现对鹿城本区域关注人员，事件，场所等进行数据同步，并实现基于大屏的数据展示分析。要求包含以下功能：</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1、关键词维护</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管理和生成关键词，关键词的来源有两种，一种是舆情监测本身产生的热词，二是研判管理系统发现的事件上报产生的热词，这些热词经过研判后加入舆情重点关注热词，进行重点舆情监控。</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2、舆情监测</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根据热词监测舆情，生成舆情列表，并可生成舆情趋势分析图谱。</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3、舆情预警</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实现舆情预警相关规则，阀值的设置。根据设置的条件，对于超过阈值的舆情进行预警。</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4、舆情事件分析</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对于某一舆情传播情况，可以自动生成涵盖事件简介、事件走势、网站统计、数据类型、关键词云、热门信息、热点网民、传播路径、相关词、网民观点、舆情总结等11个维度的全网事件分析报告。</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5、舆情溯源</w:t>
            </w:r>
          </w:p>
          <w:p>
            <w:pPr>
              <w:widowControl/>
              <w:spacing w:line="360" w:lineRule="auto"/>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通过舆情事件分析，可以快速找出某个舆情事件的信息传播源头。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ascii="仿宋" w:hAnsi="仿宋"/>
                <w:color w:val="000000"/>
                <w:kern w:val="0"/>
                <w:sz w:val="22"/>
                <w:szCs w:val="22"/>
              </w:rPr>
              <w:t>6</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矛调中心导航</w:t>
            </w:r>
          </w:p>
        </w:tc>
        <w:tc>
          <w:tcPr>
            <w:tcW w:w="7308" w:type="dxa"/>
            <w:noWrap w:val="0"/>
            <w:vAlign w:val="top"/>
          </w:tcPr>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要求可以通过导航一体机实现对矛调中心各业务窗口，办公室等场所的模拟导航地图，并可点击楼层办公室主要业务介绍。及从当前位置出发到目的地的路线规划。系统包含以下功能：</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1、模拟地图制作</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根据场地规划图，对所在场所的各楼层，布局进行模拟地图制作，简洁明了，方便查看。</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2、楼层选择</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根据实际场地情况，存在多楼层的情况，支持选择不同的楼层来查看，各自楼层的地图情况。</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3、场所信息查看</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可点击地图中的主要窗口，调解室等，系统显示相关场所的基本情况介绍，主要显示窗口业务。</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4、引导路线</w:t>
            </w:r>
          </w:p>
          <w:p>
            <w:pPr>
              <w:pStyle w:val="471"/>
              <w:widowControl/>
              <w:textAlignment w:val="center"/>
              <w:rPr>
                <w:rFonts w:hint="eastAsia" w:ascii="仿宋" w:hAnsi="仿宋"/>
                <w:color w:val="000000"/>
                <w:kern w:val="0"/>
                <w:sz w:val="22"/>
                <w:szCs w:val="22"/>
              </w:rPr>
            </w:pPr>
            <w:r>
              <w:rPr>
                <w:rFonts w:hint="eastAsia" w:ascii="仿宋" w:hAnsi="仿宋"/>
                <w:color w:val="000000"/>
                <w:kern w:val="0"/>
                <w:sz w:val="22"/>
                <w:szCs w:val="22"/>
              </w:rPr>
              <w:t>根据选择的主要场所，自动显示当前位置到相关场所的主要同行路径。在出现越层引导时，需要体现两层的路径规划。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ascii="仿宋" w:hAnsi="仿宋"/>
                <w:color w:val="000000"/>
                <w:kern w:val="0"/>
                <w:sz w:val="22"/>
                <w:szCs w:val="22"/>
              </w:rPr>
              <w:t>7</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重点场所专题</w:t>
            </w:r>
          </w:p>
        </w:tc>
        <w:tc>
          <w:tcPr>
            <w:tcW w:w="7308" w:type="dxa"/>
            <w:noWrap w:val="0"/>
            <w:vAlign w:val="top"/>
          </w:tcPr>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要求系统可以实现主要重点场所，包括医院附近，商城附近，学校附近，政府单位附近等结合GIS服务，实现对视频资源，应急力量，巡查情况，重点人分布，网格情况等实现专题专场分析。系统包含以下功能：</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1、巡查情况分析</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通过平安检查，基层治理四平台巡查及其他巡查手段获取到的相关巡查的频次来对各街道进行综合分析。</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2、地理位置分布</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提供基于GIS地图（三维地图需要业主自建平台，不包含在本次建设中）的各类重点场所分布及相关管辖单位人员信息的展示。</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3、视频资源调取</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实现基于重点场所周边的视频资源能自动获取到相关视频资源。并进行调取可视化查看，实时查看现场情况。</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4、应急力量</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实现在地图上展示重点场所周边的相关应急力量。并自动显示所选的场所周边的网格力量，卫建医疗，公安力量，城市执法力量，市场监管力量等，主要显示相关负责人及联系方式。实现实时指挥，及时处置。</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5、重点人分布</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显示重点场所及周边一定范围内相关重点人员的分布情况，并可调用相关人员的基本信息，家庭情况，车辆情况，人员类型等。</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6、事件情况</w:t>
            </w:r>
          </w:p>
          <w:p>
            <w:pPr>
              <w:widowControl/>
              <w:spacing w:line="360" w:lineRule="auto"/>
              <w:ind w:firstLine="420"/>
              <w:textAlignment w:val="center"/>
              <w:rPr>
                <w:rFonts w:hint="eastAsia" w:ascii="仿宋" w:hAnsi="仿宋"/>
                <w:color w:val="000000"/>
                <w:kern w:val="0"/>
                <w:sz w:val="22"/>
                <w:szCs w:val="22"/>
              </w:rPr>
            </w:pPr>
            <w:r>
              <w:rPr>
                <w:rFonts w:hint="eastAsia" w:ascii="仿宋" w:hAnsi="仿宋"/>
                <w:color w:val="000000"/>
                <w:kern w:val="0"/>
                <w:sz w:val="22"/>
                <w:szCs w:val="22"/>
              </w:rPr>
              <w:t>通过各类上报事件数据，实现对重点区域的事件情况分析，综合分析该区域的社会治理情况。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4" w:type="dxa"/>
            <w:noWrap w:val="0"/>
            <w:vAlign w:val="center"/>
          </w:tcPr>
          <w:p>
            <w:pPr>
              <w:widowControl/>
              <w:jc w:val="center"/>
              <w:textAlignment w:val="center"/>
              <w:rPr>
                <w:rFonts w:hint="eastAsia" w:ascii="仿宋" w:hAnsi="仿宋"/>
                <w:color w:val="000000"/>
                <w:kern w:val="0"/>
                <w:sz w:val="22"/>
                <w:szCs w:val="22"/>
              </w:rPr>
            </w:pPr>
            <w:r>
              <w:rPr>
                <w:rFonts w:ascii="仿宋" w:hAnsi="仿宋"/>
                <w:color w:val="000000"/>
                <w:kern w:val="0"/>
                <w:sz w:val="22"/>
                <w:szCs w:val="22"/>
              </w:rPr>
              <w:t>8</w:t>
            </w:r>
          </w:p>
        </w:tc>
        <w:tc>
          <w:tcPr>
            <w:tcW w:w="1226" w:type="dxa"/>
            <w:noWrap w:val="0"/>
            <w:vAlign w:val="center"/>
          </w:tcPr>
          <w:p>
            <w:pPr>
              <w:widowControl/>
              <w:jc w:val="center"/>
              <w:textAlignment w:val="center"/>
              <w:rPr>
                <w:rFonts w:hint="eastAsia" w:ascii="仿宋" w:hAnsi="仿宋"/>
                <w:color w:val="000000"/>
                <w:kern w:val="0"/>
                <w:sz w:val="22"/>
                <w:szCs w:val="22"/>
              </w:rPr>
            </w:pPr>
            <w:r>
              <w:rPr>
                <w:rFonts w:hint="eastAsia" w:ascii="仿宋" w:hAnsi="仿宋"/>
                <w:color w:val="000000"/>
                <w:kern w:val="0"/>
                <w:sz w:val="22"/>
                <w:szCs w:val="22"/>
              </w:rPr>
              <w:t>钉钉应用</w:t>
            </w:r>
          </w:p>
        </w:tc>
        <w:tc>
          <w:tcPr>
            <w:tcW w:w="7308" w:type="dxa"/>
            <w:noWrap w:val="0"/>
            <w:vAlign w:val="top"/>
          </w:tcPr>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要求系统可以实现基于钉钉开发相关应用功能，主要包括通知推送，报表展示，综合查询，配置管理，权限分级等功能组成。</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1、钉消息通知推送</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本模块主要实现基于钉钉的钉消息推送功能，根据后台管理及各业务模块需要推送到钉钉端时提供消息推送的接口调用。本次主要推送内容包括：省级考核数据更新消息，市级考核数据更新消息，街道考核数据更新消息，关注人员数量变化消息，重大舆情信息等。</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2、关注人员报表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对重点关注人员以报表形式实时动态关注，包括人员姓名、涉及事件、近期异动、异动时间，化解情况，对应专班负责人，所属街道，所属网格等信息查询查看功能，并提供最新变化人员的凸显。</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3、热点事件预警</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通知大数据分析技术，对各类业务事件数据进行热词分析，对热点事件以列表形式实时动态关注，包括名词、出现频率、热词占比、描述等信息。</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4、省级考核报表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提供每月省级考核情况报表的展示及查询历史报表情况功能。</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5、市级考核报表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提供每月市级考核情况报表的展示及查询历史报表情况功能。</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6、镇街考核报表</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提供镇街考核情况报表的展示及查询历史报表情况功能。</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7、关联配置管理</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实现对内容与人员的信息关联管理。当发现异常情况，可根据制定好的策略，及时通知相关人员进行处置。</w:t>
            </w:r>
          </w:p>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8、权限配置</w:t>
            </w:r>
          </w:p>
          <w:p>
            <w:pPr>
              <w:pStyle w:val="471"/>
              <w:widowControl/>
              <w:ind w:firstLine="440" w:firstLineChars="200"/>
              <w:textAlignment w:val="center"/>
              <w:rPr>
                <w:rFonts w:hint="eastAsia" w:ascii="仿宋" w:hAnsi="仿宋"/>
                <w:color w:val="000000"/>
                <w:kern w:val="0"/>
                <w:sz w:val="22"/>
                <w:szCs w:val="22"/>
              </w:rPr>
            </w:pPr>
            <w:r>
              <w:rPr>
                <w:rFonts w:hint="eastAsia" w:ascii="仿宋" w:hAnsi="仿宋"/>
                <w:color w:val="000000"/>
                <w:kern w:val="0"/>
                <w:sz w:val="22"/>
                <w:szCs w:val="22"/>
              </w:rPr>
              <w:t>提供相关钉钉用户数据的导入及各类数据查看权限的配置及钉消息推送权限的配置。</w:t>
            </w:r>
          </w:p>
        </w:tc>
      </w:tr>
    </w:tbl>
    <w:p>
      <w:pPr>
        <w:tabs>
          <w:tab w:val="left" w:pos="482"/>
          <w:tab w:val="left" w:pos="2183"/>
          <w:tab w:val="left" w:pos="3884"/>
          <w:tab w:val="left" w:pos="5585"/>
        </w:tabs>
        <w:snapToGrid w:val="0"/>
        <w:spacing w:line="460" w:lineRule="atLeast"/>
        <w:ind w:firstLine="480"/>
        <w:rPr>
          <w:rFonts w:hint="eastAsia" w:ascii="宋体"/>
          <w:sz w:val="22"/>
          <w:szCs w:val="22"/>
        </w:rPr>
      </w:pPr>
      <w:r>
        <w:rPr>
          <w:rFonts w:hint="eastAsia" w:ascii="宋体"/>
          <w:sz w:val="22"/>
          <w:szCs w:val="22"/>
        </w:rPr>
        <w:t>1.4矛调中心导航一体机</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1"/>
        <w:gridCol w:w="789"/>
        <w:gridCol w:w="880"/>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7" w:type="dxa"/>
            <w:noWrap w:val="0"/>
            <w:vAlign w:val="center"/>
          </w:tcPr>
          <w:p>
            <w:pPr>
              <w:widowControl/>
              <w:spacing w:line="360" w:lineRule="auto"/>
              <w:textAlignment w:val="center"/>
              <w:rPr>
                <w:rFonts w:hint="eastAsia" w:ascii="仿宋" w:hAnsi="仿宋"/>
                <w:color w:val="000000"/>
                <w:kern w:val="0"/>
                <w:sz w:val="22"/>
                <w:szCs w:val="22"/>
              </w:rPr>
            </w:pPr>
            <w:r>
              <w:rPr>
                <w:rFonts w:hint="eastAsia" w:ascii="仿宋" w:hAnsi="仿宋"/>
                <w:color w:val="000000"/>
                <w:kern w:val="0"/>
                <w:sz w:val="22"/>
                <w:szCs w:val="22"/>
              </w:rPr>
              <w:t>序号</w:t>
            </w:r>
          </w:p>
        </w:tc>
        <w:tc>
          <w:tcPr>
            <w:tcW w:w="1111" w:type="dxa"/>
            <w:noWrap w:val="0"/>
            <w:vAlign w:val="center"/>
          </w:tcPr>
          <w:p>
            <w:pPr>
              <w:widowControl/>
              <w:spacing w:line="360" w:lineRule="auto"/>
              <w:textAlignment w:val="center"/>
              <w:rPr>
                <w:rFonts w:hint="eastAsia" w:ascii="仿宋" w:hAnsi="仿宋"/>
                <w:color w:val="000000"/>
                <w:kern w:val="0"/>
                <w:sz w:val="22"/>
                <w:szCs w:val="22"/>
              </w:rPr>
            </w:pPr>
            <w:r>
              <w:rPr>
                <w:rFonts w:hint="eastAsia" w:ascii="仿宋" w:hAnsi="仿宋"/>
                <w:color w:val="000000"/>
                <w:kern w:val="0"/>
                <w:sz w:val="22"/>
                <w:szCs w:val="22"/>
              </w:rPr>
              <w:t>名称</w:t>
            </w:r>
          </w:p>
        </w:tc>
        <w:tc>
          <w:tcPr>
            <w:tcW w:w="789" w:type="dxa"/>
            <w:noWrap w:val="0"/>
            <w:vAlign w:val="top"/>
          </w:tcPr>
          <w:p>
            <w:pPr>
              <w:widowControl/>
              <w:spacing w:line="360" w:lineRule="auto"/>
              <w:textAlignment w:val="center"/>
              <w:rPr>
                <w:rFonts w:hint="eastAsia" w:ascii="仿宋" w:hAnsi="仿宋"/>
                <w:color w:val="000000"/>
                <w:kern w:val="0"/>
                <w:sz w:val="22"/>
                <w:szCs w:val="22"/>
              </w:rPr>
            </w:pPr>
            <w:r>
              <w:rPr>
                <w:rFonts w:hint="eastAsia" w:ascii="仿宋" w:hAnsi="仿宋"/>
                <w:color w:val="000000"/>
                <w:kern w:val="0"/>
                <w:sz w:val="22"/>
                <w:szCs w:val="22"/>
              </w:rPr>
              <w:t>数量</w:t>
            </w:r>
          </w:p>
        </w:tc>
        <w:tc>
          <w:tcPr>
            <w:tcW w:w="880" w:type="dxa"/>
            <w:noWrap w:val="0"/>
            <w:vAlign w:val="top"/>
          </w:tcPr>
          <w:p>
            <w:pPr>
              <w:widowControl/>
              <w:spacing w:line="360" w:lineRule="auto"/>
              <w:textAlignment w:val="center"/>
              <w:rPr>
                <w:rFonts w:hint="eastAsia" w:ascii="仿宋" w:hAnsi="仿宋"/>
                <w:color w:val="000000"/>
                <w:kern w:val="0"/>
                <w:sz w:val="22"/>
                <w:szCs w:val="22"/>
              </w:rPr>
            </w:pPr>
            <w:r>
              <w:rPr>
                <w:rFonts w:hint="eastAsia" w:ascii="仿宋" w:hAnsi="仿宋"/>
                <w:color w:val="000000"/>
                <w:kern w:val="0"/>
                <w:sz w:val="22"/>
                <w:szCs w:val="22"/>
              </w:rPr>
              <w:t>单位</w:t>
            </w:r>
          </w:p>
        </w:tc>
        <w:tc>
          <w:tcPr>
            <w:tcW w:w="5768" w:type="dxa"/>
            <w:noWrap w:val="0"/>
            <w:vAlign w:val="top"/>
          </w:tcPr>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7" w:type="dxa"/>
            <w:noWrap w:val="0"/>
            <w:vAlign w:val="center"/>
          </w:tcPr>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1</w:t>
            </w:r>
          </w:p>
        </w:tc>
        <w:tc>
          <w:tcPr>
            <w:tcW w:w="1111" w:type="dxa"/>
            <w:noWrap w:val="0"/>
            <w:vAlign w:val="center"/>
          </w:tcPr>
          <w:p>
            <w:pPr>
              <w:widowControl/>
              <w:autoSpaceDE w:val="0"/>
              <w:spacing w:line="360" w:lineRule="auto"/>
              <w:textAlignment w:val="center"/>
              <w:rPr>
                <w:rFonts w:hint="eastAsia" w:ascii="仿宋" w:hAnsi="仿宋"/>
                <w:color w:val="000000"/>
                <w:kern w:val="0"/>
                <w:sz w:val="22"/>
                <w:szCs w:val="22"/>
              </w:rPr>
            </w:pPr>
            <w:r>
              <w:rPr>
                <w:rFonts w:hint="eastAsia" w:ascii="仿宋" w:hAnsi="仿宋"/>
                <w:color w:val="000000"/>
                <w:kern w:val="0"/>
                <w:sz w:val="22"/>
                <w:szCs w:val="22"/>
              </w:rPr>
              <w:t>导航一体机</w:t>
            </w:r>
          </w:p>
        </w:tc>
        <w:tc>
          <w:tcPr>
            <w:tcW w:w="789" w:type="dxa"/>
            <w:noWrap w:val="0"/>
            <w:vAlign w:val="center"/>
          </w:tcPr>
          <w:p>
            <w:pPr>
              <w:widowControl/>
              <w:autoSpaceDE w:val="0"/>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1</w:t>
            </w:r>
          </w:p>
        </w:tc>
        <w:tc>
          <w:tcPr>
            <w:tcW w:w="880" w:type="dxa"/>
            <w:noWrap w:val="0"/>
            <w:vAlign w:val="center"/>
          </w:tcPr>
          <w:p>
            <w:pPr>
              <w:widowControl/>
              <w:spacing w:line="360" w:lineRule="auto"/>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台</w:t>
            </w:r>
          </w:p>
        </w:tc>
        <w:tc>
          <w:tcPr>
            <w:tcW w:w="5768" w:type="dxa"/>
            <w:noWrap w:val="0"/>
            <w:vAlign w:val="center"/>
          </w:tcPr>
          <w:p>
            <w:pPr>
              <w:widowControl/>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 xml:space="preserve">55寸卧式红外触摸查询终端：                                       液晶尺寸：55寸；屏幕比例 16：9； 分辨率：1920*1080；                      触摸方式：采用55寸红外光学触摸屏；                          玻璃：3mm黑色丝印触摸点数：10点；                           透光率：95%以上；触摸分辨率：4096*4096，触摸屏寿命：单点5000万次；可视角度：左右视角/178°上下视角/178° 内置专业触控主板                                            四核CPU：Intel i5；内存：4GB；固态硬盘：128GB；                                 一体机遵照安全、可靠、便于使用和维修的设计原则，表面采用进口金属烤漆工艺处理，外观简洁流畅；整机外观:材质铝合金外壳； 散热方式：空气流通散热；安装方式：落地安装，外观颜色：AS典雅白/可定制颜色；电源：专业电源AC 电压10V~240V,50/60HZ   工作环境 工作温度(℃) 0℃～40℃ </w:t>
            </w:r>
          </w:p>
          <w:p>
            <w:pPr>
              <w:widowControl/>
              <w:ind w:firstLine="444" w:firstLineChars="202"/>
              <w:textAlignment w:val="center"/>
              <w:rPr>
                <w:rFonts w:hint="eastAsia" w:ascii="仿宋" w:hAnsi="仿宋"/>
                <w:color w:val="000000"/>
                <w:kern w:val="0"/>
                <w:sz w:val="22"/>
                <w:szCs w:val="22"/>
              </w:rPr>
            </w:pPr>
            <w:r>
              <w:rPr>
                <w:rFonts w:hint="eastAsia" w:ascii="仿宋" w:hAnsi="仿宋"/>
                <w:color w:val="000000"/>
                <w:kern w:val="0"/>
                <w:sz w:val="22"/>
                <w:szCs w:val="22"/>
              </w:rPr>
              <w:t>工作湿度 10%～85%RH Non-Condensing                          产品通过3C、FCC、CE、ROHS认证</w:t>
            </w:r>
          </w:p>
        </w:tc>
      </w:tr>
    </w:tbl>
    <w:p>
      <w:pPr>
        <w:pStyle w:val="2"/>
        <w:ind w:firstLine="221"/>
        <w:rPr>
          <w:rFonts w:hint="eastAsia" w:ascii="宋体" w:hAnsi="宋体" w:cs="宋体"/>
          <w:kern w:val="2"/>
          <w:sz w:val="22"/>
          <w:szCs w:val="22"/>
        </w:rPr>
      </w:pPr>
    </w:p>
    <w:p>
      <w:pPr>
        <w:tabs>
          <w:tab w:val="left" w:pos="482"/>
          <w:tab w:val="left" w:pos="2183"/>
          <w:tab w:val="left" w:pos="3884"/>
          <w:tab w:val="left" w:pos="5585"/>
        </w:tabs>
        <w:snapToGrid w:val="0"/>
        <w:spacing w:line="360" w:lineRule="auto"/>
        <w:rPr>
          <w:rFonts w:hint="eastAsia" w:ascii="宋体" w:hAnsi="宋体" w:cs="宋体"/>
          <w:b/>
          <w:sz w:val="22"/>
          <w:szCs w:val="22"/>
        </w:rPr>
      </w:pPr>
      <w:r>
        <w:rPr>
          <w:rFonts w:hint="eastAsia" w:ascii="宋体" w:hAnsi="宋体" w:cs="宋体"/>
          <w:b/>
          <w:sz w:val="22"/>
          <w:szCs w:val="22"/>
        </w:rPr>
        <w:t>（二）综治</w:t>
      </w:r>
      <w:r>
        <w:rPr>
          <w:rFonts w:ascii="宋体" w:hAnsi="宋体" w:cs="宋体"/>
          <w:b/>
          <w:sz w:val="22"/>
          <w:szCs w:val="22"/>
        </w:rPr>
        <w:t>指挥作战平台</w:t>
      </w:r>
    </w:p>
    <w:tbl>
      <w:tblPr>
        <w:tblStyle w:val="56"/>
        <w:tblW w:w="0" w:type="auto"/>
        <w:tblInd w:w="0" w:type="dxa"/>
        <w:tblLayout w:type="fixed"/>
        <w:tblCellMar>
          <w:top w:w="15" w:type="dxa"/>
          <w:left w:w="15" w:type="dxa"/>
          <w:bottom w:w="15" w:type="dxa"/>
          <w:right w:w="15" w:type="dxa"/>
        </w:tblCellMar>
      </w:tblPr>
      <w:tblGrid>
        <w:gridCol w:w="666"/>
        <w:gridCol w:w="943"/>
        <w:gridCol w:w="1405"/>
        <w:gridCol w:w="6541"/>
      </w:tblGrid>
      <w:tr>
        <w:tblPrEx>
          <w:tblCellMar>
            <w:top w:w="15" w:type="dxa"/>
            <w:left w:w="15" w:type="dxa"/>
            <w:bottom w:w="15" w:type="dxa"/>
            <w:right w:w="15" w:type="dxa"/>
          </w:tblCellMar>
        </w:tblPrEx>
        <w:trPr>
          <w:wBefore w:w="0" w:type="dxa"/>
          <w:wAfter w:w="0" w:type="dxa"/>
          <w:trHeight w:val="285" w:hRule="atLeast"/>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名称</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功能板块</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模块组件</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功能描述</w:t>
            </w:r>
          </w:p>
        </w:tc>
      </w:tr>
      <w:tr>
        <w:tblPrEx>
          <w:tblCellMar>
            <w:top w:w="15" w:type="dxa"/>
            <w:left w:w="15" w:type="dxa"/>
            <w:bottom w:w="15" w:type="dxa"/>
            <w:right w:w="15" w:type="dxa"/>
          </w:tblCellMar>
        </w:tblPrEx>
        <w:trPr>
          <w:wBefore w:w="0" w:type="dxa"/>
          <w:wAfter w:w="0" w:type="dxa"/>
          <w:trHeight w:val="90" w:hRule="atLeast"/>
        </w:trPr>
        <w:tc>
          <w:tcPr>
            <w:tcW w:w="666" w:type="dxa"/>
            <w:vMerge w:val="restar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综治指挥作战平台</w:t>
            </w: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重点对象及场所资料库★</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重点人员资料库管理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重点人员（重点防疫人员、易走丢人员等）基础信息8要素；</w:t>
            </w:r>
          </w:p>
        </w:tc>
      </w:tr>
      <w:tr>
        <w:tblPrEx>
          <w:tblCellMar>
            <w:top w:w="15" w:type="dxa"/>
            <w:left w:w="15" w:type="dxa"/>
            <w:bottom w:w="15" w:type="dxa"/>
            <w:right w:w="15" w:type="dxa"/>
          </w:tblCellMar>
        </w:tblPrEx>
        <w:trPr>
          <w:wBefore w:w="0" w:type="dxa"/>
          <w:wAfter w:w="0" w:type="dxa"/>
          <w:trHeight w:val="447"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重点群体资料库</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重点防疫群体事件详情、防疫关键人员群体，基础信息8要素；</w:t>
            </w:r>
          </w:p>
        </w:tc>
      </w:tr>
      <w:tr>
        <w:tblPrEx>
          <w:tblCellMar>
            <w:top w:w="15" w:type="dxa"/>
            <w:left w:w="15" w:type="dxa"/>
            <w:bottom w:w="15" w:type="dxa"/>
            <w:right w:w="15" w:type="dxa"/>
          </w:tblCellMar>
        </w:tblPrEx>
        <w:trPr>
          <w:wBefore w:w="0" w:type="dxa"/>
          <w:wAfter w:w="0" w:type="dxa"/>
          <w:trHeight w:val="1001"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restart"/>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防疫重点人员云管控功能库★</w:t>
            </w:r>
          </w:p>
        </w:tc>
        <w:tc>
          <w:tcPr>
            <w:tcW w:w="14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指数分级库</w:t>
            </w:r>
          </w:p>
        </w:tc>
        <w:tc>
          <w:tcPr>
            <w:tcW w:w="6541"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指数分级库是对象分级分层管理的数据支撑点，基于鹿城综治云数据中心的静态数据与动态数据，运用大数据分析技术，通过数据清洗、数据比对、数据关联等数据模型，对重点防疫人员、易走丢人员等进行“人物画像”，</w:t>
            </w:r>
          </w:p>
        </w:tc>
      </w:tr>
      <w:tr>
        <w:tblPrEx>
          <w:tblCellMar>
            <w:top w:w="15" w:type="dxa"/>
            <w:left w:w="15" w:type="dxa"/>
            <w:bottom w:w="15" w:type="dxa"/>
            <w:right w:w="15" w:type="dxa"/>
          </w:tblCellMar>
        </w:tblPrEx>
        <w:trPr>
          <w:wBefore w:w="0" w:type="dxa"/>
          <w:wAfter w:w="0" w:type="dxa"/>
          <w:trHeight w:val="189"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防疫工作化解库</w:t>
            </w:r>
          </w:p>
        </w:tc>
        <w:tc>
          <w:tcPr>
            <w:tcW w:w="6541"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防疫专班由片区领导和相关人员组成。制定相关重点防疫人员稳控措施</w:t>
            </w:r>
          </w:p>
        </w:tc>
      </w:tr>
      <w:tr>
        <w:tblPrEx>
          <w:tblCellMar>
            <w:top w:w="15" w:type="dxa"/>
            <w:left w:w="15" w:type="dxa"/>
            <w:bottom w:w="15" w:type="dxa"/>
            <w:right w:w="15" w:type="dxa"/>
          </w:tblCellMar>
        </w:tblPrEx>
        <w:trPr>
          <w:wBefore w:w="0" w:type="dxa"/>
          <w:wAfter w:w="0" w:type="dxa"/>
          <w:trHeight w:val="102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措施落地库</w:t>
            </w:r>
          </w:p>
        </w:tc>
        <w:tc>
          <w:tcPr>
            <w:tcW w:w="6541"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通过综治云平台钉钉移动端模块，全程跟踪记录防疫工作落实的各项行动，利用平台可视化，倒逼防疫措施落地。实现平台智能处置“室内向室外”的扩展，防疫包挂人员落地措施时运用钉钉移动端实现GPS定位、拍照、录视频等并实施上传到综治云平台，实现管控全程可视化。</w:t>
            </w:r>
          </w:p>
        </w:tc>
      </w:tr>
      <w:tr>
        <w:tblPrEx>
          <w:tblCellMar>
            <w:top w:w="15" w:type="dxa"/>
            <w:left w:w="15" w:type="dxa"/>
            <w:bottom w:w="15" w:type="dxa"/>
            <w:right w:w="15" w:type="dxa"/>
          </w:tblCellMar>
        </w:tblPrEx>
        <w:trPr>
          <w:wBefore w:w="0" w:type="dxa"/>
          <w:wAfter w:w="0" w:type="dxa"/>
          <w:trHeight w:val="144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保障支撑库</w:t>
            </w:r>
          </w:p>
        </w:tc>
        <w:tc>
          <w:tcPr>
            <w:tcW w:w="6541"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保障支撑库包括领导包挂考核模块与指令传送模块。</w:t>
            </w:r>
            <w:r>
              <w:rPr>
                <w:rFonts w:hint="eastAsia" w:ascii="宋体" w:hAnsi="宋体"/>
                <w:color w:val="000000"/>
                <w:kern w:val="0"/>
                <w:sz w:val="22"/>
                <w:szCs w:val="22"/>
              </w:rPr>
              <w:br w:type="textWrapping"/>
            </w:r>
            <w:r>
              <w:rPr>
                <w:rFonts w:hint="eastAsia" w:ascii="宋体" w:hAnsi="宋体"/>
                <w:color w:val="000000"/>
                <w:kern w:val="0"/>
                <w:sz w:val="22"/>
                <w:szCs w:val="22"/>
              </w:rPr>
              <w:t>领导包挂考核模块：对于包挂干部的防疫措施落地情况等因素，系统会自动给包挂干部与基层综治参与人员的工作情况给出科学的评价。</w:t>
            </w:r>
            <w:r>
              <w:rPr>
                <w:rFonts w:hint="eastAsia" w:ascii="宋体" w:hAnsi="宋体"/>
                <w:color w:val="000000"/>
                <w:kern w:val="0"/>
                <w:sz w:val="22"/>
                <w:szCs w:val="22"/>
              </w:rPr>
              <w:br w:type="textWrapping"/>
            </w:r>
            <w:r>
              <w:rPr>
                <w:rFonts w:hint="eastAsia" w:ascii="宋体" w:hAnsi="宋体"/>
                <w:color w:val="000000"/>
                <w:kern w:val="0"/>
                <w:sz w:val="22"/>
                <w:szCs w:val="22"/>
              </w:rPr>
              <w:t>指令传送模块：云平台指挥中心通过平台将综治活动指令推送给事权单位，事权单位的签收、落地、答复等相应情况反馈至平台，第一时间直管掌握稳控工作开展情况。</w:t>
            </w:r>
          </w:p>
        </w:tc>
      </w:tr>
      <w:tr>
        <w:tblPrEx>
          <w:tblCellMar>
            <w:top w:w="15" w:type="dxa"/>
            <w:left w:w="15" w:type="dxa"/>
            <w:bottom w:w="15" w:type="dxa"/>
            <w:right w:w="15" w:type="dxa"/>
          </w:tblCellMar>
        </w:tblPrEx>
        <w:trPr>
          <w:wBefore w:w="0" w:type="dxa"/>
          <w:wAfter w:w="0" w:type="dxa"/>
          <w:trHeight w:val="1087"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异动推送库</w:t>
            </w:r>
          </w:p>
        </w:tc>
        <w:tc>
          <w:tcPr>
            <w:tcW w:w="6541"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通过重点防疫及易走丢人员管理云平台的多个录入及分析采集模块，平台可以实时了解社区在摸排过程等内容。一旦发现人员将第一时间通过钉钉移动端收到推送文字、图片等信息，联动作为。</w:t>
            </w:r>
          </w:p>
        </w:tc>
      </w:tr>
      <w:tr>
        <w:tblPrEx>
          <w:tblCellMar>
            <w:top w:w="15" w:type="dxa"/>
            <w:left w:w="15" w:type="dxa"/>
            <w:bottom w:w="15" w:type="dxa"/>
            <w:right w:w="15" w:type="dxa"/>
          </w:tblCellMar>
        </w:tblPrEx>
        <w:trPr>
          <w:wBefore w:w="0" w:type="dxa"/>
          <w:wAfter w:w="0" w:type="dxa"/>
          <w:trHeight w:val="825"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综合统计</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事件进度查询</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提供查询所有上报的防疫信息及信息的处置进度。待办事件跟已办事件的查询，用于接收需要处置的相关待办事件，可查看事件详情，并对事件进行信息补充及处置结果回馈，可以查询已办事件。</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事件类型分析</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根据不同的上报事件，按类型，时间，地区等多维分析。</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钉钉端移动端</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事件上报</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用于上报疫情信息，可直接通过手机钉钉端填写编辑文字、上传图片、视频、发送点位等形式进行涉稳信息上报</w:t>
            </w:r>
          </w:p>
        </w:tc>
      </w:tr>
      <w:tr>
        <w:tblPrEx>
          <w:tblCellMar>
            <w:top w:w="15" w:type="dxa"/>
            <w:left w:w="15" w:type="dxa"/>
            <w:bottom w:w="15" w:type="dxa"/>
            <w:right w:w="15" w:type="dxa"/>
          </w:tblCellMar>
        </w:tblPrEx>
        <w:trPr>
          <w:wBefore w:w="0" w:type="dxa"/>
          <w:wAfter w:w="0" w:type="dxa"/>
          <w:trHeight w:val="615"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一键响应</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钉钉端支持一键响应功能，能够快速进行人员的分组、选择，并批量给指定人员发送指令，以及跟进指令接收情况。</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事件协同</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支持手机钉钉端对事件的处置，处置流转信息和PC端同步。包括事件指派、事件处置、事件办结等。</w:t>
            </w:r>
          </w:p>
        </w:tc>
      </w:tr>
      <w:tr>
        <w:tblPrEx>
          <w:tblCellMar>
            <w:top w:w="15" w:type="dxa"/>
            <w:left w:w="15" w:type="dxa"/>
            <w:bottom w:w="15" w:type="dxa"/>
            <w:right w:w="15" w:type="dxa"/>
          </w:tblCellMar>
        </w:tblPrEx>
        <w:trPr>
          <w:wBefore w:w="0" w:type="dxa"/>
          <w:wAfter w:w="0" w:type="dxa"/>
          <w:trHeight w:val="285"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综合查询</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提供查询所有上报的疫情信息及信息的处置进度。</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安全权限</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开通各镇街、各部门人员的录入权限，使其可通过手机钉钉直接向该信息储备库录入人员、事件等信息数据</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零报管理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工作人员通过手机钉钉进行日报上报，相关负责人对上报的日报进行查看。包括零报上报、零报接收。</w:t>
            </w:r>
          </w:p>
        </w:tc>
      </w:tr>
      <w:tr>
        <w:tblPrEx>
          <w:tblCellMar>
            <w:top w:w="15" w:type="dxa"/>
            <w:left w:w="15" w:type="dxa"/>
            <w:bottom w:w="15" w:type="dxa"/>
            <w:right w:w="15" w:type="dxa"/>
          </w:tblCellMar>
        </w:tblPrEx>
        <w:trPr>
          <w:wBefore w:w="0" w:type="dxa"/>
          <w:wAfter w:w="0" w:type="dxa"/>
          <w:trHeight w:val="285" w:hRule="atLeast"/>
        </w:trPr>
        <w:tc>
          <w:tcPr>
            <w:tcW w:w="66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钉钉配置</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同步钉钉通讯录、信息下发和信息提醒、信息反馈</w:t>
            </w:r>
          </w:p>
        </w:tc>
      </w:tr>
      <w:tr>
        <w:tblPrEx>
          <w:tblCellMar>
            <w:top w:w="15" w:type="dxa"/>
            <w:left w:w="15" w:type="dxa"/>
            <w:bottom w:w="15" w:type="dxa"/>
            <w:right w:w="15" w:type="dxa"/>
          </w:tblCellMar>
        </w:tblPrEx>
        <w:trPr>
          <w:wBefore w:w="0" w:type="dxa"/>
          <w:wAfter w:w="0" w:type="dxa"/>
          <w:trHeight w:val="605" w:hRule="atLeast"/>
        </w:trPr>
        <w:tc>
          <w:tcPr>
            <w:tcW w:w="666" w:type="dxa"/>
            <w:vMerge w:val="restart"/>
            <w:tcBorders>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智能预警平台</w:t>
            </w:r>
          </w:p>
        </w:tc>
        <w:tc>
          <w:tcPr>
            <w:tcW w:w="94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重点库图像预警系统</w:t>
            </w:r>
          </w:p>
        </w:tc>
        <w:tc>
          <w:tcPr>
            <w:tcW w:w="14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重点区域人脸分析</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对进入防疫重点区域（如医院、市政府等）的人员通过人脸识别设备对人员进行自动识别。</w:t>
            </w:r>
          </w:p>
        </w:tc>
      </w:tr>
      <w:tr>
        <w:tblPrEx>
          <w:tblCellMar>
            <w:top w:w="15" w:type="dxa"/>
            <w:left w:w="15" w:type="dxa"/>
            <w:bottom w:w="15" w:type="dxa"/>
            <w:right w:w="15" w:type="dxa"/>
          </w:tblCellMar>
        </w:tblPrEx>
        <w:trPr>
          <w:wBefore w:w="0" w:type="dxa"/>
          <w:wAfter w:w="0" w:type="dxa"/>
          <w:trHeight w:val="292" w:hRule="atLeast"/>
        </w:trPr>
        <w:tc>
          <w:tcPr>
            <w:tcW w:w="666" w:type="dxa"/>
            <w:vMerge w:val="continue"/>
            <w:tcBorders>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 xml:space="preserve">人员信息数据专题库 人员信息数据专题库（普通库和敏感库） </w:t>
            </w:r>
          </w:p>
        </w:tc>
        <w:tc>
          <w:tcPr>
            <w:tcW w:w="654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 xml:space="preserve">重点防疫人员信息数据专题库人员信息数据专题库（防疫普通库和防疫敏感库） </w:t>
            </w:r>
          </w:p>
        </w:tc>
      </w:tr>
      <w:tr>
        <w:tblPrEx>
          <w:tblCellMar>
            <w:top w:w="15" w:type="dxa"/>
            <w:left w:w="15" w:type="dxa"/>
            <w:bottom w:w="15" w:type="dxa"/>
            <w:right w:w="15" w:type="dxa"/>
          </w:tblCellMar>
        </w:tblPrEx>
        <w:trPr>
          <w:wBefore w:w="0" w:type="dxa"/>
          <w:wAfter w:w="0" w:type="dxa"/>
          <w:trHeight w:val="292" w:hRule="atLeast"/>
        </w:trPr>
        <w:tc>
          <w:tcPr>
            <w:tcW w:w="666" w:type="dxa"/>
            <w:vMerge w:val="continue"/>
            <w:tcBorders>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行为分析库</w:t>
            </w:r>
          </w:p>
        </w:tc>
        <w:tc>
          <w:tcPr>
            <w:tcW w:w="654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含防疫人员人踪分析库、分级布控库</w:t>
            </w:r>
          </w:p>
        </w:tc>
      </w:tr>
      <w:tr>
        <w:tblPrEx>
          <w:tblCellMar>
            <w:top w:w="15" w:type="dxa"/>
            <w:left w:w="15" w:type="dxa"/>
            <w:bottom w:w="15" w:type="dxa"/>
            <w:right w:w="15" w:type="dxa"/>
          </w:tblCellMar>
        </w:tblPrEx>
        <w:trPr>
          <w:wBefore w:w="0" w:type="dxa"/>
          <w:wAfter w:w="0" w:type="dxa"/>
          <w:trHeight w:val="420" w:hRule="atLeast"/>
        </w:trPr>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系统管理</w:t>
            </w: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系统登录</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统一集成登录，系统需要通过账号密码验证登录，账号密码可由系统管理员设置</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用户管理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系统中用户的管理，支持用户列表、用户搜索，支持新增、编辑、删除、查看功能</w:t>
            </w:r>
          </w:p>
        </w:tc>
      </w:tr>
      <w:tr>
        <w:tblPrEx>
          <w:tblCellMar>
            <w:top w:w="15" w:type="dxa"/>
            <w:left w:w="15" w:type="dxa"/>
            <w:bottom w:w="15" w:type="dxa"/>
            <w:right w:w="15" w:type="dxa"/>
          </w:tblCellMar>
        </w:tblPrEx>
        <w:trPr>
          <w:wBefore w:w="0" w:type="dxa"/>
          <w:wAfter w:w="0" w:type="dxa"/>
          <w:trHeight w:val="285"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部门管理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所有部门的管理，支持新增、编辑、删除、查看功能</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模块管理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实现动态维护功能模块，功能模块的增加、删除、查找等功能，实现功能菜单动态生成</w:t>
            </w:r>
          </w:p>
        </w:tc>
      </w:tr>
      <w:tr>
        <w:tblPrEx>
          <w:tblCellMar>
            <w:top w:w="15" w:type="dxa"/>
            <w:left w:w="15" w:type="dxa"/>
            <w:bottom w:w="15" w:type="dxa"/>
            <w:right w:w="15" w:type="dxa"/>
          </w:tblCellMar>
        </w:tblPrEx>
        <w:trPr>
          <w:wBefore w:w="0" w:type="dxa"/>
          <w:wAfter w:w="0" w:type="dxa"/>
          <w:trHeight w:val="42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角色管理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系统涉及角色的管理，支持角色的新增、删除、编辑的功能，通过角色名称和权限确定完成角色创建</w:t>
            </w:r>
          </w:p>
        </w:tc>
      </w:tr>
      <w:tr>
        <w:tblPrEx>
          <w:tblCellMar>
            <w:top w:w="15" w:type="dxa"/>
            <w:left w:w="15" w:type="dxa"/>
            <w:bottom w:w="15" w:type="dxa"/>
            <w:right w:w="15" w:type="dxa"/>
          </w:tblCellMar>
        </w:tblPrEx>
        <w:trPr>
          <w:wBefore w:w="0" w:type="dxa"/>
          <w:wAfter w:w="0" w:type="dxa"/>
          <w:trHeight w:val="285"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权限管理</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通过权限信息完成权限的配置权限设置已树状结构配置</w:t>
            </w:r>
          </w:p>
        </w:tc>
      </w:tr>
      <w:tr>
        <w:tblPrEx>
          <w:tblCellMar>
            <w:top w:w="15" w:type="dxa"/>
            <w:left w:w="15" w:type="dxa"/>
            <w:bottom w:w="15" w:type="dxa"/>
            <w:right w:w="15" w:type="dxa"/>
          </w:tblCellMar>
        </w:tblPrEx>
        <w:trPr>
          <w:wBefore w:w="0" w:type="dxa"/>
          <w:wAfter w:w="0" w:type="dxa"/>
          <w:trHeight w:val="1749" w:hRule="atLeast"/>
        </w:trPr>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综治指挥作战平台数据中心建设</w:t>
            </w: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★数据资源子库</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数据资源子库依托鹿城区大数据中心数据交换平台，建立综治数据资源子库，各综治相关平台接入的数据在数据资源子库落地，系统自动对各平台接入的数据进行有效性验证过滤，形成原始数据库、有效数据库、专题数据库、基础数据库、业务事件库、档案库、图片库、预警人员库等主题数据库等，支撑各子系统的业务运行。</w:t>
            </w:r>
          </w:p>
        </w:tc>
      </w:tr>
      <w:tr>
        <w:tblPrEx>
          <w:tblCellMar>
            <w:top w:w="15" w:type="dxa"/>
            <w:left w:w="15" w:type="dxa"/>
            <w:bottom w:w="15" w:type="dxa"/>
            <w:right w:w="15" w:type="dxa"/>
          </w:tblCellMar>
        </w:tblPrEx>
        <w:trPr>
          <w:wBefore w:w="0" w:type="dxa"/>
          <w:wAfter w:w="0" w:type="dxa"/>
          <w:trHeight w:val="825"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p>
        </w:tc>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数据交换模块</w:t>
            </w:r>
          </w:p>
        </w:tc>
        <w:tc>
          <w:tcPr>
            <w:tcW w:w="65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数据交换模块是依托鹿城区大数据中心数据交换平台实现将其他系统的数据通过ETL过程交换到本系统的数据库，从而实现非侵入式的数据资源交换和共享，同时又能保持本系统和其他业务系统的松耦合，也能保留以后接入更多的第三方业务系统的能力。</w:t>
            </w:r>
          </w:p>
        </w:tc>
      </w:tr>
    </w:tbl>
    <w:p>
      <w:pPr>
        <w:pStyle w:val="2"/>
        <w:ind w:firstLine="321"/>
        <w:rPr>
          <w:rFonts w:hint="eastAsia"/>
        </w:rPr>
      </w:pPr>
    </w:p>
    <w:p>
      <w:pPr>
        <w:tabs>
          <w:tab w:val="left" w:pos="482"/>
          <w:tab w:val="left" w:pos="2183"/>
          <w:tab w:val="left" w:pos="3884"/>
          <w:tab w:val="left" w:pos="5585"/>
        </w:tabs>
        <w:snapToGrid w:val="0"/>
        <w:spacing w:line="360" w:lineRule="auto"/>
        <w:rPr>
          <w:rFonts w:hint="eastAsia" w:ascii="宋体" w:hAnsi="宋体" w:cs="宋体"/>
          <w:b/>
          <w:sz w:val="22"/>
          <w:szCs w:val="22"/>
        </w:rPr>
      </w:pPr>
      <w:r>
        <w:rPr>
          <w:rFonts w:hint="eastAsia" w:ascii="宋体" w:hAnsi="宋体" w:cs="宋体"/>
          <w:b/>
          <w:sz w:val="22"/>
          <w:szCs w:val="22"/>
        </w:rPr>
        <w:t>（三）前端信息采集系统</w:t>
      </w:r>
    </w:p>
    <w:tbl>
      <w:tblPr>
        <w:tblStyle w:val="56"/>
        <w:tblW w:w="0" w:type="auto"/>
        <w:tblInd w:w="0" w:type="dxa"/>
        <w:tblLayout w:type="fixed"/>
        <w:tblCellMar>
          <w:top w:w="15" w:type="dxa"/>
          <w:left w:w="15" w:type="dxa"/>
          <w:bottom w:w="15" w:type="dxa"/>
          <w:right w:w="15" w:type="dxa"/>
        </w:tblCellMar>
      </w:tblPr>
      <w:tblGrid>
        <w:gridCol w:w="993"/>
        <w:gridCol w:w="6841"/>
        <w:gridCol w:w="825"/>
        <w:gridCol w:w="896"/>
      </w:tblGrid>
      <w:tr>
        <w:tblPrEx>
          <w:tblCellMar>
            <w:top w:w="15" w:type="dxa"/>
            <w:left w:w="15" w:type="dxa"/>
            <w:bottom w:w="15" w:type="dxa"/>
            <w:right w:w="15" w:type="dxa"/>
          </w:tblCellMar>
        </w:tblPrEx>
        <w:trPr>
          <w:wBefore w:w="0" w:type="dxa"/>
          <w:wAfter w:w="0" w:type="dxa"/>
          <w:trHeight w:val="432"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模块组件</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功能要求描述</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widowControl/>
              <w:ind w:firstLine="110" w:firstLineChars="50"/>
              <w:jc w:val="left"/>
              <w:textAlignment w:val="center"/>
              <w:rPr>
                <w:rFonts w:hint="eastAsia" w:ascii="宋体" w:hAnsi="宋体"/>
                <w:color w:val="000000"/>
                <w:kern w:val="0"/>
                <w:sz w:val="22"/>
                <w:szCs w:val="22"/>
              </w:rPr>
            </w:pPr>
            <w:r>
              <w:rPr>
                <w:rFonts w:hint="eastAsia" w:ascii="宋体" w:hAnsi="宋体"/>
                <w:color w:val="000000"/>
                <w:kern w:val="0"/>
                <w:sz w:val="22"/>
                <w:szCs w:val="22"/>
              </w:rPr>
              <w:t>数量</w:t>
            </w:r>
          </w:p>
        </w:tc>
        <w:tc>
          <w:tcPr>
            <w:tcW w:w="896" w:type="dxa"/>
            <w:tcBorders>
              <w:top w:val="single" w:color="000000" w:sz="4" w:space="0"/>
              <w:left w:val="single" w:color="000000" w:sz="4" w:space="0"/>
              <w:bottom w:val="single" w:color="000000" w:sz="4" w:space="0"/>
              <w:right w:val="single" w:color="auto" w:sz="4" w:space="0"/>
            </w:tcBorders>
            <w:noWrap w:val="0"/>
            <w:vAlign w:val="center"/>
          </w:tcPr>
          <w:p>
            <w:pPr>
              <w:widowControl/>
              <w:ind w:firstLine="110" w:firstLineChars="50"/>
              <w:jc w:val="left"/>
              <w:textAlignment w:val="center"/>
              <w:rPr>
                <w:rFonts w:hint="eastAsia" w:ascii="宋体" w:hAnsi="宋体"/>
                <w:color w:val="000000"/>
                <w:kern w:val="0"/>
                <w:sz w:val="22"/>
                <w:szCs w:val="22"/>
              </w:rPr>
            </w:pPr>
            <w:r>
              <w:rPr>
                <w:rFonts w:hint="eastAsia" w:ascii="宋体" w:hAnsi="宋体"/>
                <w:color w:val="000000"/>
                <w:kern w:val="0"/>
                <w:sz w:val="22"/>
                <w:szCs w:val="22"/>
              </w:rPr>
              <w:t>单位</w:t>
            </w:r>
          </w:p>
        </w:tc>
      </w:tr>
      <w:tr>
        <w:tblPrEx>
          <w:tblCellMar>
            <w:top w:w="15" w:type="dxa"/>
            <w:left w:w="15" w:type="dxa"/>
            <w:bottom w:w="15" w:type="dxa"/>
            <w:right w:w="15" w:type="dxa"/>
          </w:tblCellMar>
        </w:tblPrEx>
        <w:trPr>
          <w:wBefore w:w="0" w:type="dxa"/>
          <w:wAfter w:w="0" w:type="dxa"/>
          <w:trHeight w:val="90"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智能感知终端</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采集对象：4G终端。</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制式频段：TDD-LTE（B38/41、B39、B40）；FDD-LTE（B1、B3）。设备支持至少两个频段，满足异频配置要求。</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采集内容：IMSI。</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采集时间：0.5~2秒(释放用户时间)。</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重复采集时间：2分钟~24小时（可配置）。</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发射功率（MAX）：10W（每载波）。</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功率级数可调：5级。</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采集速率：1200用户/分钟。</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最大范围：0～500m可调（视发射功率和周围运营商覆盖环境而定，网络覆盖环境良好的情况下能达到500m）。</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本地通信方式：以太网有线连接或Wi-Fi。</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后台数据传输方式：支持无线和有线2种方式。</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工作电压：交流220VAC（130-270V），适应复杂电压环境。</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环境温度：-20℃～50℃。</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防护等级：IP65。</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安全性：数据加密传输。</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可靠性：MTBF（平均无故障时间）：≥30000小时。</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ascii="宋体" w:hAnsi="宋体"/>
                <w:color w:val="000000"/>
                <w:kern w:val="0"/>
                <w:sz w:val="22"/>
                <w:szCs w:val="22"/>
              </w:rPr>
              <w:t>3</w:t>
            </w:r>
          </w:p>
        </w:tc>
        <w:tc>
          <w:tcPr>
            <w:tcW w:w="896"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台</w:t>
            </w:r>
          </w:p>
        </w:tc>
      </w:tr>
      <w:tr>
        <w:tblPrEx>
          <w:tblCellMar>
            <w:top w:w="15" w:type="dxa"/>
            <w:left w:w="15" w:type="dxa"/>
            <w:bottom w:w="15" w:type="dxa"/>
            <w:right w:w="15" w:type="dxa"/>
          </w:tblCellMar>
        </w:tblPrEx>
        <w:trPr>
          <w:wBefore w:w="0" w:type="dxa"/>
          <w:wAfter w:w="0" w:type="dxa"/>
          <w:trHeight w:val="447" w:hRule="atLeast"/>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后台网管平台</w:t>
            </w:r>
          </w:p>
        </w:tc>
        <w:tc>
          <w:tcPr>
            <w:tcW w:w="68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（1）统计功能：根据卡号、机身码、采集制式等行数据统计。</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（2）伴随功能：实现人人伴随分析等多种伴随分析。</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（3）数据碰撞功能：支持交集碰撞、并集碰撞和差集碰撞三种数据逻辑碰撞功能。</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（4）数据监控：支持按照设备和区域，实时显示当前时刻的数据采集量。</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（5）设备远程维护：支持通过后台远程巡检设备，并对设备进行参数调整。</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（6）地图服务：支持在GIS地图上查看设备状态、及对目标进行轨迹查看。</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olor w:val="000000"/>
                <w:kern w:val="0"/>
                <w:sz w:val="22"/>
                <w:szCs w:val="22"/>
              </w:rPr>
            </w:pPr>
            <w:r>
              <w:rPr>
                <w:rFonts w:ascii="宋体" w:hAnsi="宋体"/>
                <w:color w:val="000000"/>
                <w:kern w:val="0"/>
                <w:sz w:val="22"/>
                <w:szCs w:val="22"/>
              </w:rPr>
              <w:t>1</w:t>
            </w:r>
          </w:p>
        </w:tc>
        <w:tc>
          <w:tcPr>
            <w:tcW w:w="89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台</w:t>
            </w:r>
          </w:p>
        </w:tc>
      </w:tr>
    </w:tbl>
    <w:p>
      <w:pPr>
        <w:pStyle w:val="2"/>
        <w:ind w:firstLine="321"/>
        <w:rPr>
          <w:rFonts w:hint="eastAsia"/>
        </w:rPr>
      </w:pPr>
    </w:p>
    <w:p>
      <w:pPr>
        <w:tabs>
          <w:tab w:val="left" w:pos="482"/>
          <w:tab w:val="left" w:pos="2183"/>
          <w:tab w:val="left" w:pos="3884"/>
          <w:tab w:val="left" w:pos="5585"/>
        </w:tabs>
        <w:snapToGrid w:val="0"/>
        <w:spacing w:line="360" w:lineRule="auto"/>
        <w:rPr>
          <w:rFonts w:hint="eastAsia" w:ascii="宋体" w:hAnsi="宋体" w:cs="宋体"/>
          <w:b/>
          <w:sz w:val="22"/>
          <w:szCs w:val="22"/>
        </w:rPr>
      </w:pPr>
      <w:r>
        <w:rPr>
          <w:rFonts w:hint="eastAsia" w:ascii="宋体" w:hAnsi="宋体" w:cs="宋体"/>
          <w:b/>
          <w:sz w:val="22"/>
          <w:szCs w:val="22"/>
        </w:rPr>
        <w:t>（四）安全加固</w:t>
      </w:r>
    </w:p>
    <w:p>
      <w:pPr>
        <w:pStyle w:val="2"/>
        <w:autoSpaceDE/>
        <w:autoSpaceDN/>
        <w:adjustRightInd/>
        <w:ind w:firstLine="0" w:firstLineChars="0"/>
        <w:jc w:val="both"/>
        <w:rPr>
          <w:rFonts w:hint="eastAsia" w:ascii="宋体"/>
          <w:b w:val="0"/>
          <w:kern w:val="2"/>
          <w:sz w:val="22"/>
          <w:szCs w:val="22"/>
        </w:rPr>
      </w:pPr>
      <w:r>
        <w:rPr>
          <w:rFonts w:hint="eastAsia" w:ascii="宋体"/>
          <w:b w:val="0"/>
          <w:kern w:val="2"/>
          <w:sz w:val="22"/>
          <w:szCs w:val="22"/>
        </w:rPr>
        <w:t>4.1边界安全防护系统</w:t>
      </w:r>
    </w:p>
    <w:tbl>
      <w:tblPr>
        <w:tblStyle w:val="56"/>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1"/>
        <w:gridCol w:w="6356"/>
        <w:gridCol w:w="840"/>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315" w:hRule="atLeast"/>
        </w:trPr>
        <w:tc>
          <w:tcPr>
            <w:tcW w:w="1471" w:type="dxa"/>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名称</w:t>
            </w:r>
          </w:p>
        </w:tc>
        <w:tc>
          <w:tcPr>
            <w:tcW w:w="6356" w:type="dxa"/>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功能要求描述</w:t>
            </w:r>
          </w:p>
        </w:tc>
        <w:tc>
          <w:tcPr>
            <w:tcW w:w="840" w:type="dxa"/>
            <w:tcBorders>
              <w:right w:val="single" w:color="auto" w:sz="4" w:space="0"/>
            </w:tcBorders>
            <w:noWrap w:val="0"/>
            <w:vAlign w:val="top"/>
          </w:tcPr>
          <w:p>
            <w:pPr>
              <w:widowControl/>
              <w:jc w:val="left"/>
              <w:textAlignment w:val="center"/>
              <w:rPr>
                <w:rFonts w:ascii="宋体" w:hAnsi="宋体"/>
                <w:color w:val="000000"/>
                <w:kern w:val="0"/>
                <w:sz w:val="22"/>
                <w:szCs w:val="22"/>
              </w:rPr>
            </w:pPr>
            <w:r>
              <w:rPr>
                <w:rFonts w:ascii="宋体" w:hAnsi="宋体"/>
                <w:color w:val="000000"/>
                <w:kern w:val="0"/>
                <w:sz w:val="22"/>
                <w:szCs w:val="22"/>
              </w:rPr>
              <w:t>数量</w:t>
            </w:r>
          </w:p>
        </w:tc>
        <w:tc>
          <w:tcPr>
            <w:tcW w:w="907" w:type="dxa"/>
            <w:tcBorders>
              <w:left w:val="single" w:color="auto" w:sz="4" w:space="0"/>
            </w:tcBorders>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918" w:hRule="atLeast"/>
        </w:trPr>
        <w:tc>
          <w:tcPr>
            <w:tcW w:w="1471" w:type="dxa"/>
            <w:noWrap w:val="0"/>
            <w:vAlign w:val="top"/>
          </w:tcPr>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边界安全防护系统</w:t>
            </w:r>
          </w:p>
        </w:tc>
        <w:tc>
          <w:tcPr>
            <w:tcW w:w="6356" w:type="dxa"/>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 xml:space="preserve">性能指标 </w:t>
            </w:r>
            <w:r>
              <w:rPr>
                <w:rFonts w:ascii="宋体" w:hAnsi="宋体"/>
                <w:color w:val="000000"/>
                <w:kern w:val="0"/>
                <w:sz w:val="22"/>
                <w:szCs w:val="22"/>
              </w:rPr>
              <w:t>4</w:t>
            </w:r>
            <w:r>
              <w:rPr>
                <w:rFonts w:hint="eastAsia" w:ascii="宋体" w:hAnsi="宋体"/>
                <w:color w:val="000000"/>
                <w:kern w:val="0"/>
                <w:sz w:val="22"/>
                <w:szCs w:val="22"/>
              </w:rPr>
              <w:t>个千兆电口，2个千兆光口（含模块）</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整机吞吐量</w:t>
            </w:r>
            <w:r>
              <w:rPr>
                <w:rFonts w:ascii="宋体" w:hAnsi="宋体"/>
                <w:color w:val="000000"/>
                <w:kern w:val="0"/>
                <w:sz w:val="22"/>
                <w:szCs w:val="22"/>
              </w:rPr>
              <w:t>12</w:t>
            </w:r>
            <w:r>
              <w:rPr>
                <w:rFonts w:hint="eastAsia" w:ascii="宋体" w:hAnsi="宋体"/>
                <w:color w:val="000000"/>
                <w:kern w:val="0"/>
                <w:sz w:val="22"/>
                <w:szCs w:val="22"/>
              </w:rPr>
              <w:t>Gbps，并发连接数</w:t>
            </w:r>
            <w:r>
              <w:rPr>
                <w:rFonts w:ascii="宋体" w:hAnsi="宋体"/>
                <w:color w:val="000000"/>
                <w:kern w:val="0"/>
                <w:sz w:val="22"/>
                <w:szCs w:val="22"/>
              </w:rPr>
              <w:t>6</w:t>
            </w:r>
            <w:r>
              <w:rPr>
                <w:rFonts w:hint="eastAsia" w:ascii="宋体" w:hAnsi="宋体"/>
                <w:color w:val="000000"/>
                <w:kern w:val="0"/>
                <w:sz w:val="22"/>
                <w:szCs w:val="22"/>
              </w:rPr>
              <w:t>00万，包含网络安全攻击防护功能，IPS/web安全防护模块，APT监测模块，流量控制，漏洞扫描等功能，配置IPS/web安全防护模块三年升级，实时漏洞扫描三年升级</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部署方式 支持路由，网桥，虚拟网线，旁路镜像，单臂，以及混合部署方式；</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路由支持 支持静态路由，策略路由，</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支持多链路出站负载，支持基于源/目的IP、源/目的端口、协议、ISP、应用类型以及国家/地域来进行选路的策略路由选路功能；（需提供相关功能截图证明）</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地址转换 支持IPv4／IPv6 NAT地址转换，支持源地址转换SNAT，目的地址转换DNAT和双向地址转换双向NAT，支持NAT64、NAT46 地址转换；</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支持DNS-Mapping，一条策略支持多域名配置；访问控制 访问控制策略支持模拟策略匹配，输入源目的IP、端口、协议五元组信息，模拟策略匹配方式，给出最可能的匹配结果，方便排查故障，或环境部署前的调试；</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★DoS/DDoS攻击防护 支持IP地址扫描防护，端口扫描防护，并支持自定义防护的阈值和封锁时间；</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支持SYN Flood、UDP Flood、ICMP Flood、DNS Flood、ICMP Flood、ICMP</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v6 Flood攻击防护；并支持自定义防护的目的IP丢包阈值、源IP封锁阈值和封锁时间；</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支持支持一次性任务、立即任务、周期任务等多种调度方式；支持漏洞扫描、安全基线检查、变更检查的三合一任务，三者也可任意组合执行任务。（提供截图证明）</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邮件安全 支持邮件附件过滤，针对SMTP、POP3、IMAP协议下指定的邮件附件类型过滤；</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支持邮件内容检测，针对SMTP、POP3、IMAP邮件协议的内容检测，如邮件附件病毒检测、邮件内容恶意链接检测，邮件账号撞库攻击检测等，并给出恶意邮件的提示；</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僵尸主机检测 设备具备独立的僵尸网络与病毒防护库，防护类型包括木马远控、恶意脚本、勒索病毒、僵尸网络、挖矿病毒等，特征总数在105万条以上，支持自定义僵尸网络规则库；</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支持蜜罐功能，定位内网感染僵尸网络病毒的真实主机IP地址；</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支持非法进程链展示，通过对进程进行溯源，对违规的进程呈现给安全管理员，比如主进程释放子进程，子进程调用文件等行为进行细粒度展示，并可在防火墙界面通过联动一键处置恶意进程</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漏洞攻击防护</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设备具备独立的入侵防护漏洞规则特征库，特征总数在7400条以上，支持自定义漏洞攻击规则库；</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支持联动WEB应用防护、僵尸主机检测功能封锁，并记录日志，并支持选择仅封锁具有高危行为特征的IP或对任意具有攻击特征的IP执行访问封锁；</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安全可视 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 xml:space="preserve">支持与门户网站安全保护系统进行联动，定期从公网节点对互联网业务系统进行可用性、漏洞扫描和篡改监测，并通过邮件、微信公众号等方式进行主动告警通知 </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智能监控分支端设备URL、应用识别库，若不是最新版本智能提醒升级。</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 xml:space="preserve">集中管理 集中管理平台支持以地图方式通过不同颜色展示全网防火墙健康、离线、告警状态，同时可展开省、市、区等多级分支，支持展示24小时内告警的防火墙设备和展示实时异常的防火墙； </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防火墙支持接入集中管理平台，实现多设备的统一管理和数据分析，集中管理平台应支持硬件和云端两种部署方式；(提供截图证明)</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系统配置管理 支持场景化的配置向导功能，可以选择不同的部署方式以及使用场景实现产品的快速实施；支持页面定制，并开放HTML源码供管理员快速完成定制工作，包括快速更换企业Logo、公告文件、发现病毒、Web认证、修改密码、认证结果、禁止访问等，贴合管理员的安全管理工作。（提供界面截图证明）</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支持自动基线学习数据库语义语法，并支持提取参数自动生成SQL模板，可以减少审计日志的重复写入和节省磁盘的存储空间；（提供界面截图证明）</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 xml:space="preserve">售后服务要求 必须在省内有厂家直属的服务办事机构，提供7*24小时快速上门服务和2小时内快速响应服务；(官网上必须可查询到办事机构地址) </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提供三年质保和升级服务</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厂商资质 厂商应是国家互联网应急响应中心网络安全应急服务国家级支撑单位；</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要求厂商是微软安全响应中心（Microsoft Security Response Center）发起的MAPP（Microsoft Active Protection Program）计划成员，可在微软发布每月安全公告之前获得微软产品的详细漏洞信息，为用户提供更及时的安全防护；</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厂商需是CSA云安全联盟会员单位；</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所投厂商具备云安全成熟度成熟度模型CSA-CMMI 5认证，提供证书复印件</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厂商需是国家信息安全漏洞库CNNVD技术支撑单位；</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厂商售后服务体系通过ISO9001认证；</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产品资质 产品应具备计算机信息系统安全专用产品销售许可证；</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产品应具备ISCCC中国国家信息安全产品认证证书；</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信息技术产品安全测评证书（EAL3+）；</w:t>
            </w: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 xml:space="preserve">产品成熟度要求 要求所投防火墙产品符合公安部第二代防火墙标准（GA／T 1177-2014）的要求，并提供公安部颁发的第二代防火墙销售许可证； </w:t>
            </w:r>
          </w:p>
          <w:p>
            <w:pPr>
              <w:widowControl/>
              <w:jc w:val="left"/>
              <w:textAlignment w:val="center"/>
              <w:rPr>
                <w:rFonts w:ascii="宋体" w:hAnsi="宋体"/>
                <w:color w:val="000000"/>
                <w:kern w:val="0"/>
                <w:sz w:val="22"/>
                <w:szCs w:val="22"/>
              </w:rPr>
            </w:pPr>
            <w:r>
              <w:rPr>
                <w:rFonts w:hint="eastAsia" w:ascii="宋体" w:hAnsi="宋体"/>
                <w:color w:val="000000"/>
                <w:kern w:val="0"/>
                <w:sz w:val="22"/>
                <w:szCs w:val="22"/>
              </w:rPr>
              <w:t xml:space="preserve">要求所投防火墙产品连续4年入围Gartner企业级防火墙魔力象限; </w:t>
            </w:r>
          </w:p>
        </w:tc>
        <w:tc>
          <w:tcPr>
            <w:tcW w:w="840" w:type="dxa"/>
            <w:tcBorders>
              <w:right w:val="single" w:color="auto" w:sz="4" w:space="0"/>
            </w:tcBorders>
            <w:noWrap w:val="0"/>
            <w:vAlign w:val="top"/>
          </w:tcPr>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center"/>
              <w:textAlignment w:val="center"/>
              <w:rPr>
                <w:rFonts w:ascii="宋体" w:hAnsi="宋体"/>
                <w:color w:val="000000"/>
                <w:kern w:val="0"/>
                <w:sz w:val="22"/>
                <w:szCs w:val="22"/>
              </w:rPr>
            </w:pPr>
            <w:r>
              <w:rPr>
                <w:rFonts w:ascii="宋体" w:hAnsi="宋体"/>
                <w:color w:val="000000"/>
                <w:kern w:val="0"/>
                <w:sz w:val="22"/>
                <w:szCs w:val="22"/>
              </w:rPr>
              <w:t>2</w:t>
            </w:r>
          </w:p>
        </w:tc>
        <w:tc>
          <w:tcPr>
            <w:tcW w:w="907" w:type="dxa"/>
            <w:tcBorders>
              <w:left w:val="single" w:color="auto" w:sz="4" w:space="0"/>
            </w:tcBorders>
            <w:noWrap w:val="0"/>
            <w:vAlign w:val="top"/>
          </w:tcPr>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ascii="宋体" w:hAnsi="宋体"/>
                <w:color w:val="000000"/>
                <w:kern w:val="0"/>
                <w:sz w:val="22"/>
                <w:szCs w:val="22"/>
              </w:rPr>
            </w:pPr>
          </w:p>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台</w:t>
            </w:r>
          </w:p>
        </w:tc>
      </w:tr>
    </w:tbl>
    <w:p>
      <w:pPr>
        <w:tabs>
          <w:tab w:val="left" w:pos="482"/>
          <w:tab w:val="left" w:pos="2183"/>
          <w:tab w:val="left" w:pos="3884"/>
          <w:tab w:val="left" w:pos="5585"/>
        </w:tabs>
        <w:snapToGrid w:val="0"/>
        <w:spacing w:line="360" w:lineRule="auto"/>
        <w:rPr>
          <w:rFonts w:hint="eastAsia" w:ascii="宋体" w:hAnsi="宋体" w:cs="宋体"/>
          <w:b/>
          <w:color w:val="000000"/>
          <w:sz w:val="22"/>
          <w:szCs w:val="22"/>
        </w:rPr>
      </w:pPr>
    </w:p>
    <w:p>
      <w:pPr>
        <w:pStyle w:val="2"/>
        <w:autoSpaceDE/>
        <w:autoSpaceDN/>
        <w:adjustRightInd/>
        <w:ind w:firstLine="0" w:firstLineChars="0"/>
        <w:jc w:val="both"/>
        <w:rPr>
          <w:rFonts w:hint="eastAsia" w:ascii="宋体"/>
          <w:b w:val="0"/>
          <w:color w:val="000000"/>
          <w:kern w:val="2"/>
          <w:sz w:val="22"/>
          <w:szCs w:val="22"/>
        </w:rPr>
      </w:pPr>
      <w:r>
        <w:rPr>
          <w:rFonts w:hint="eastAsia" w:ascii="宋体"/>
          <w:b w:val="0"/>
          <w:color w:val="000000"/>
          <w:kern w:val="2"/>
          <w:sz w:val="22"/>
          <w:szCs w:val="22"/>
        </w:rPr>
        <w:t>4.2协同准入管理网关平台系统</w:t>
      </w:r>
    </w:p>
    <w:tbl>
      <w:tblPr>
        <w:tblStyle w:val="56"/>
        <w:tblW w:w="0" w:type="auto"/>
        <w:tblInd w:w="0" w:type="dxa"/>
        <w:tblLayout w:type="fixed"/>
        <w:tblCellMar>
          <w:top w:w="15" w:type="dxa"/>
          <w:left w:w="15" w:type="dxa"/>
          <w:bottom w:w="15" w:type="dxa"/>
          <w:right w:w="15" w:type="dxa"/>
        </w:tblCellMar>
      </w:tblPr>
      <w:tblGrid>
        <w:gridCol w:w="765"/>
        <w:gridCol w:w="765"/>
        <w:gridCol w:w="6264"/>
        <w:gridCol w:w="855"/>
        <w:gridCol w:w="906"/>
      </w:tblGrid>
      <w:tr>
        <w:tblPrEx>
          <w:tblCellMar>
            <w:top w:w="15" w:type="dxa"/>
            <w:left w:w="15" w:type="dxa"/>
            <w:bottom w:w="15" w:type="dxa"/>
            <w:right w:w="15" w:type="dxa"/>
          </w:tblCellMar>
        </w:tblPrEx>
        <w:trPr>
          <w:wBefore w:w="0" w:type="dxa"/>
          <w:wAfter w:w="0" w:type="dxa"/>
          <w:trHeight w:val="28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名称</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功能要求描述</w:t>
            </w:r>
          </w:p>
        </w:tc>
        <w:tc>
          <w:tcPr>
            <w:tcW w:w="8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数量</w:t>
            </w:r>
          </w:p>
        </w:tc>
        <w:tc>
          <w:tcPr>
            <w:tcW w:w="90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单位</w:t>
            </w:r>
          </w:p>
        </w:tc>
      </w:tr>
      <w:tr>
        <w:tblPrEx>
          <w:tblCellMar>
            <w:top w:w="15" w:type="dxa"/>
            <w:left w:w="15" w:type="dxa"/>
            <w:bottom w:w="15" w:type="dxa"/>
            <w:right w:w="15" w:type="dxa"/>
          </w:tblCellMar>
        </w:tblPrEx>
        <w:trPr>
          <w:wBefore w:w="0" w:type="dxa"/>
          <w:wAfter w:w="0" w:type="dxa"/>
          <w:trHeight w:val="76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硬件配置</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宋体" w:hAnsi="宋体"/>
                <w:color w:val="000000"/>
                <w:kern w:val="0"/>
                <w:sz w:val="22"/>
                <w:szCs w:val="22"/>
              </w:rPr>
            </w:pPr>
            <w:r>
              <w:rPr>
                <w:rFonts w:hint="eastAsia" w:ascii="宋体" w:hAnsi="宋体"/>
                <w:color w:val="000000"/>
                <w:kern w:val="0"/>
                <w:sz w:val="22"/>
                <w:szCs w:val="22"/>
              </w:rPr>
              <w:t>硬件指标：4个千兆电口，一个管理口，支持ByPass，平均无故障时间（MTBF）：≥50000小时, ；每秒事务数目（TPS）：≥1000(次/秒)；</w:t>
            </w:r>
          </w:p>
        </w:tc>
        <w:tc>
          <w:tcPr>
            <w:tcW w:w="855" w:type="dxa"/>
            <w:vMerge w:val="restar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2</w:t>
            </w:r>
          </w:p>
        </w:tc>
        <w:tc>
          <w:tcPr>
            <w:tcW w:w="90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台</w:t>
            </w:r>
          </w:p>
        </w:tc>
      </w:tr>
      <w:tr>
        <w:tblPrEx>
          <w:tblCellMar>
            <w:top w:w="15" w:type="dxa"/>
            <w:left w:w="15" w:type="dxa"/>
            <w:bottom w:w="15" w:type="dxa"/>
            <w:right w:w="15" w:type="dxa"/>
          </w:tblCellMar>
        </w:tblPrEx>
        <w:trPr>
          <w:wBefore w:w="0" w:type="dxa"/>
          <w:wAfter w:w="0" w:type="dxa"/>
          <w:trHeight w:val="28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协议支持</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宋体" w:hAnsi="宋体"/>
                <w:color w:val="000000"/>
                <w:kern w:val="0"/>
                <w:sz w:val="22"/>
                <w:szCs w:val="22"/>
              </w:rPr>
            </w:pPr>
            <w:r>
              <w:rPr>
                <w:rFonts w:hint="eastAsia" w:ascii="宋体" w:hAnsi="宋体"/>
                <w:color w:val="000000"/>
                <w:kern w:val="0"/>
                <w:sz w:val="22"/>
                <w:szCs w:val="22"/>
              </w:rPr>
              <w:t>支持ipv4、ipv6节点管理与系统管理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终端部署</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宋体" w:hAnsi="宋体"/>
                <w:color w:val="000000"/>
                <w:kern w:val="0"/>
                <w:sz w:val="22"/>
                <w:szCs w:val="22"/>
              </w:rPr>
            </w:pPr>
            <w:r>
              <w:rPr>
                <w:rFonts w:hint="eastAsia" w:ascii="宋体" w:hAnsi="宋体"/>
                <w:color w:val="000000"/>
                <w:kern w:val="0"/>
                <w:sz w:val="22"/>
                <w:szCs w:val="22"/>
              </w:rPr>
              <w:t>准入设备只支持提供无客户端部署</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准入架构</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终端发现★</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能够实时监测并发现接入内网的PC、移动终端、其他IP设备等终端。</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对自动发现的终端能够按照类别自动归类，以方便网络终端的统计管理。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能够实现终端节点交换机端口的可视化定位，方便排查管理。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准入技术</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准入设备支持802.1x协议准入方式，无需第三方RADIUS服务器支持。</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准入设备支持基于多厂商Virtual Gateway的VLAN隔离技术，实现无客户端下端口级准入控制。</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支持交换机接口动态VLAN下发、端口隔离模式的网络边界管理。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支持策略路由部署模式</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端口镜像模式部署--以后考虑完善这块模式部署</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76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定向引导</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支持终端入网IE浏览器重定向引导，当用户访问网页时能够自动转向到指定的页面或地址，并支持http代理及多重重定向引导。</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可根据用户的实际环境自定义非80端口的Web服务端口号及用户重定向引导。</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违规外联</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违规外联</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准入设备能够支持按照用户角色定义，结合自定义安全域，限制上网人员的内网访问范围，防止其越权访问操作，并能根据违规情况自动实现相应违规处理、关闭节点计划做下违规控制。</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76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边界管理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IP/MAC绑定</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具有入网设备自动学习功能，支持IP/MAC/端口三者强制绑定，以及违规终端切换到断网VLAN，防止终端仿冒IP接入网络或移动设备位置。</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支持在DHCP环境下的IP、MAC绑定功能</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76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NAT设备★</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具有NAT识别和检测机制能够及时发现网内私接的小路由器、无线AP、随身WIFI等NAT设备，帮助清查通过网中网隐藏的真实网络终端。</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Hub管理</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支持对连接HUB的交换机端口采用多种策略进行VLAN切换</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支持对hub设备进行管理识别</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DHCP</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提供DHCP服务。</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能够根据用户、IP/MAC绑定信息等条件，为指定终端设备分配特定的IP地址。</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认证</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联动认证</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能够全面结合用户已有的认证或业务系统，可以与RADIUS、钉钉、微信、系统做联动认证。</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76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管理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短信认证</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支持短信认证模式，用户在登记入网手机号码后，能够在手机上接收到入网的短信验证码，并在浏览器页面上利用短信验证码认证入网。</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认证控制</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支持某类（角色）账户只能在指定的时间段、IP段认证入网。</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可以实现特定实名制用户、只能在特定的ip地址扫码入网。</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来宾管理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来宾角色</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能够提供来宾角色选择，能够设定来宾设备的访问权限和入网时长</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来宾码</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员工可以为来宾申请来宾码，来宾使用来宾码可以接入网络；</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能够设定那些角色的用户能够申请来宾码。</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IP地址管理</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提供IP地址分配表，能够通过IP地址矩阵直观的查看各网段中未分配、开机、关机的数量和分布情况。</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能够直接、快捷的查看全网终端历史上线、下线、在线时长等详细的IP使用情况。</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运维</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管理角色控制</w:t>
            </w:r>
          </w:p>
        </w:tc>
        <w:tc>
          <w:tcPr>
            <w:tcW w:w="62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准入设备须采用系统管理员、安全管理员、审计员三权分立机制，防止单个角色管理者权限滥用。</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管理</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c>
          <w:tcPr>
            <w:tcW w:w="6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报警信息</w:t>
            </w:r>
          </w:p>
        </w:tc>
        <w:tc>
          <w:tcPr>
            <w:tcW w:w="6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支持报警信息通过Syslog、邮件输出。</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第三方准出产品联动★</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支持与本次采购的边界安全防护系统深度联动，构建内网准入、准出的全面安全管理体系。</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15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第三方IT基础服务器联动（DHCP/DNS）</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支持与大型第三方dhcp双向地址管理联动，实现ip地址实名制与可回溯管理。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285" w:hRule="atLeast"/>
        </w:trPr>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支持与第三方dns服务器联动管理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第三方漏洞安全扫描平台联动★</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漏洞扫描平台联动，实现符合相应安全特征才能予以准入</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510"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指纹识别★</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通过多维度指纹信息，做到有portal的节点识别，同时还能对打印机与摄像头识别管理</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765" w:hRule="atLeast"/>
        </w:trPr>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产品成熟度</w:t>
            </w:r>
          </w:p>
        </w:tc>
        <w:tc>
          <w:tcPr>
            <w:tcW w:w="6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产品必须市场成熟一年以上，并能提供自主研发知识产权“协同准入管理网关平台”证明，同时能提供区县政府级别（含）以上的成功案例证明。</w:t>
            </w:r>
          </w:p>
        </w:tc>
        <w:tc>
          <w:tcPr>
            <w:tcW w:w="855" w:type="dxa"/>
            <w:vMerge w:val="continue"/>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left"/>
              <w:rPr>
                <w:rFonts w:hint="eastAsia" w:ascii="宋体" w:hAnsi="宋体"/>
                <w:color w:val="000000"/>
                <w:kern w:val="0"/>
                <w:sz w:val="22"/>
                <w:szCs w:val="22"/>
              </w:rPr>
            </w:pPr>
          </w:p>
        </w:tc>
        <w:tc>
          <w:tcPr>
            <w:tcW w:w="906"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left"/>
              <w:rPr>
                <w:rFonts w:hint="eastAsia" w:ascii="宋体" w:hAnsi="宋体"/>
                <w:color w:val="000000"/>
                <w:kern w:val="0"/>
                <w:sz w:val="22"/>
                <w:szCs w:val="22"/>
              </w:rPr>
            </w:pPr>
          </w:p>
        </w:tc>
      </w:tr>
    </w:tbl>
    <w:p>
      <w:pPr>
        <w:pStyle w:val="2"/>
        <w:autoSpaceDE/>
        <w:autoSpaceDN/>
        <w:adjustRightInd/>
        <w:ind w:firstLine="0" w:firstLineChars="0"/>
        <w:jc w:val="both"/>
        <w:rPr>
          <w:rFonts w:hint="eastAsia" w:ascii="宋体"/>
          <w:b w:val="0"/>
          <w:kern w:val="2"/>
          <w:sz w:val="22"/>
          <w:szCs w:val="22"/>
        </w:rPr>
      </w:pPr>
    </w:p>
    <w:p>
      <w:pPr>
        <w:tabs>
          <w:tab w:val="left" w:pos="482"/>
          <w:tab w:val="left" w:pos="2183"/>
          <w:tab w:val="left" w:pos="3884"/>
          <w:tab w:val="left" w:pos="5585"/>
        </w:tabs>
        <w:snapToGrid w:val="0"/>
        <w:spacing w:line="360" w:lineRule="auto"/>
        <w:rPr>
          <w:rFonts w:hint="eastAsia" w:ascii="宋体" w:hAnsi="宋体" w:cs="宋体"/>
          <w:b/>
          <w:sz w:val="22"/>
          <w:szCs w:val="22"/>
        </w:rPr>
      </w:pPr>
      <w:r>
        <w:rPr>
          <w:rFonts w:hint="eastAsia" w:ascii="宋体" w:hAnsi="宋体" w:cs="宋体"/>
          <w:b/>
          <w:sz w:val="22"/>
          <w:szCs w:val="22"/>
        </w:rPr>
        <w:t>（五）</w:t>
      </w:r>
      <w:r>
        <w:rPr>
          <w:rFonts w:ascii="宋体" w:hAnsi="宋体" w:cs="宋体"/>
          <w:b/>
          <w:sz w:val="22"/>
          <w:szCs w:val="22"/>
        </w:rPr>
        <w:t>应用数据存储</w:t>
      </w:r>
      <w:r>
        <w:rPr>
          <w:rFonts w:hint="eastAsia" w:ascii="宋体" w:hAnsi="宋体" w:cs="宋体"/>
          <w:b/>
          <w:sz w:val="22"/>
          <w:szCs w:val="22"/>
        </w:rPr>
        <w:t>平台</w:t>
      </w:r>
    </w:p>
    <w:tbl>
      <w:tblPr>
        <w:tblStyle w:val="56"/>
        <w:tblW w:w="0" w:type="auto"/>
        <w:tblInd w:w="0" w:type="dxa"/>
        <w:tblLayout w:type="fixed"/>
        <w:tblCellMar>
          <w:top w:w="15" w:type="dxa"/>
          <w:left w:w="15" w:type="dxa"/>
          <w:bottom w:w="15" w:type="dxa"/>
          <w:right w:w="15" w:type="dxa"/>
        </w:tblCellMar>
      </w:tblPr>
      <w:tblGrid>
        <w:gridCol w:w="765"/>
        <w:gridCol w:w="1469"/>
        <w:gridCol w:w="7321"/>
      </w:tblGrid>
      <w:tr>
        <w:tblPrEx>
          <w:tblCellMar>
            <w:top w:w="15" w:type="dxa"/>
            <w:left w:w="15" w:type="dxa"/>
            <w:bottom w:w="15" w:type="dxa"/>
            <w:right w:w="15" w:type="dxa"/>
          </w:tblCellMar>
        </w:tblPrEx>
        <w:trPr>
          <w:wBefore w:w="0" w:type="dxa"/>
          <w:wAfter w:w="0" w:type="dxa"/>
          <w:trHeight w:val="285" w:hRule="atLeast"/>
        </w:trPr>
        <w:tc>
          <w:tcPr>
            <w:tcW w:w="22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指标项</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2"/>
                <w:szCs w:val="22"/>
              </w:rPr>
            </w:pPr>
            <w:r>
              <w:rPr>
                <w:rFonts w:hint="eastAsia" w:ascii="宋体" w:hAnsi="宋体"/>
                <w:color w:val="000000"/>
                <w:kern w:val="0"/>
                <w:sz w:val="22"/>
                <w:szCs w:val="22"/>
              </w:rPr>
              <w:t>功能要求描述</w:t>
            </w:r>
          </w:p>
        </w:tc>
      </w:tr>
      <w:tr>
        <w:tblPrEx>
          <w:tblCellMar>
            <w:top w:w="15" w:type="dxa"/>
            <w:left w:w="15" w:type="dxa"/>
            <w:bottom w:w="15" w:type="dxa"/>
            <w:right w:w="15" w:type="dxa"/>
          </w:tblCellMar>
        </w:tblPrEx>
        <w:trPr>
          <w:wBefore w:w="0" w:type="dxa"/>
          <w:wAfter w:w="0" w:type="dxa"/>
          <w:trHeight w:val="66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整体要求</w:t>
            </w: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基本要求</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配备综合运维管理平台软件，对用户单位原有综合计算管理平台进行无缝升级，保障原平台管理的稳定，不影响现在现有业务正常运行</w:t>
            </w:r>
          </w:p>
        </w:tc>
      </w:tr>
      <w:tr>
        <w:tblPrEx>
          <w:tblCellMar>
            <w:top w:w="15" w:type="dxa"/>
            <w:left w:w="15" w:type="dxa"/>
            <w:bottom w:w="15" w:type="dxa"/>
            <w:right w:w="15" w:type="dxa"/>
          </w:tblCellMar>
        </w:tblPrEx>
        <w:trPr>
          <w:wBefore w:w="0" w:type="dxa"/>
          <w:wAfter w:w="0" w:type="dxa"/>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★支持部署一体化安全资源池，支持虚拟下一代防火墙、虚拟负载均衡、虚拟ssl vpn、虚拟上网行为管理等安全资源，以统一平台的方式部署在安全资池中，按需分配。对安装部署的虚拟下一代防火墙、虚拟负载均衡、虚拟ssl vpn、虚拟上网行为管理软件通过国家软件著作权</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管理方式</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★采用WEB（HTML5）管理方式，不采用客户端管理方式，方便管理。</w:t>
            </w:r>
          </w:p>
        </w:tc>
      </w:tr>
      <w:tr>
        <w:tblPrEx>
          <w:tblCellMar>
            <w:top w:w="15" w:type="dxa"/>
            <w:left w:w="15" w:type="dxa"/>
            <w:bottom w:w="15" w:type="dxa"/>
            <w:right w:w="15" w:type="dxa"/>
          </w:tblCellMar>
        </w:tblPrEx>
        <w:trPr>
          <w:wBefore w:w="0" w:type="dxa"/>
          <w:wAfter w:w="0" w:type="dxa"/>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架构要求</w:t>
            </w:r>
          </w:p>
        </w:tc>
        <w:tc>
          <w:tcPr>
            <w:tcW w:w="732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★采用符合超融合特性的系统架构横向扩展的体系结构，具有高可靠、无交换背板和No SAN等特性；在一个资源池内，支持横向扩展；分布式架构需将所有节点的空间能无缝融合为单一的存储池，节间无主次之分,无计算、存储、管理节点之分。</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x86虚拟化平台支持</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★根据业务快速部署、灵活转换的弹性需求，该平台须支持至少三种市场占有率靠前的虚拟化Hypervisor，如VMware vSphere ESXi，XenServer等。</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物理操作系平台支持</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支持WINDOWS 2008 R2以上、LINUX等市场占有率靠前的物理操作系统。</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分布式文件系统</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需提供企业级分布式文件的解决方案，不接受采用开源产品（例如GlusterFS、Ceph等）进行二次开发，单节点故障时不会影响整个存储空间的使用且数据不会发生错误或丢失。</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横向线性扩展</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单一集群内没有节点/节点数、SSD和HDD存储容量的限制，可扩展大于1000节点，在不中断业务的情况下将新节点/节点加入现有集群中，实现集群计算和存储资源的无缝扩展。</w:t>
            </w:r>
          </w:p>
        </w:tc>
      </w:tr>
      <w:tr>
        <w:tblPrEx>
          <w:tblCellMar>
            <w:top w:w="15" w:type="dxa"/>
            <w:left w:w="15" w:type="dxa"/>
            <w:bottom w:w="15" w:type="dxa"/>
            <w:right w:w="15" w:type="dxa"/>
          </w:tblCellMar>
        </w:tblPrEx>
        <w:trPr>
          <w:wBefore w:w="0" w:type="dxa"/>
          <w:wAfter w:w="0" w:type="dxa"/>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元数据保护模式</w:t>
            </w:r>
          </w:p>
        </w:tc>
        <w:tc>
          <w:tcPr>
            <w:tcW w:w="73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使用已验证的成熟的强一致性算法（保证分布式文件系统元数据写入的一致性，并且通过至少5副本的方式保证元数据始终可靠。</w:t>
            </w:r>
          </w:p>
        </w:tc>
      </w:tr>
      <w:tr>
        <w:tblPrEx>
          <w:tblCellMar>
            <w:top w:w="15" w:type="dxa"/>
            <w:left w:w="15" w:type="dxa"/>
            <w:bottom w:w="15" w:type="dxa"/>
            <w:right w:w="15" w:type="dxa"/>
          </w:tblCellMar>
        </w:tblPrEx>
        <w:trPr>
          <w:wBefore w:w="0" w:type="dxa"/>
          <w:wAfter w:w="0" w:type="dxa"/>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3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r>
      <w:tr>
        <w:tblPrEx>
          <w:tblCellMar>
            <w:top w:w="15" w:type="dxa"/>
            <w:left w:w="15" w:type="dxa"/>
            <w:bottom w:w="15" w:type="dxa"/>
            <w:right w:w="15" w:type="dxa"/>
          </w:tblCellMar>
        </w:tblPrEx>
        <w:trPr>
          <w:wBefore w:w="0" w:type="dxa"/>
          <w:wAfter w:w="0" w:type="dxa"/>
          <w:trHeight w:val="108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业务数据保护模式</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多数据副本：可以实现数据保留2份，备份策略可最高支持保存12份副本，充分保护数据；当整个节点所有硬件全部失效时不会影响数据正常访问，业务不中断；要求节点不使用Raid技术或分布式Raid技术保护数据，避免由于磁盘故障导致整个Raid组性能降级，从而影响业务正常运行。</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可实现从磁盘、节点、机柜到数据中心级数据保护。</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数据分层</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为满足业务快速处理需求，可实现 SSD，SAS，SATA不同存储性能池。</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介质大小支持</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最大单块硬盘支持不小于8TB。</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节点动态变更质量控制</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可以设置数据重新分布消耗的带宽以保证应用的正常访问，可以自定义带宽消耗策略，防止由于节点或磁盘添加、删除时大量的数据迁移对应用的影响。</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支持IO多路径负载均衡</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支持至少8条IO多路径负载均衡，无需额外软件。</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存储快照</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在存储层面提供基于虚拟机磁盘粒度的快照，并且具备自动快照管理功能，可以定制时间间隔自动拍摄快照，并且自定义保存最新的多个快照。</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相关联的LUN间可做快照组，保证快照的一致性，并中对快照进行读写操作。</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空间管理能力</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支持LUN的精简配置，提高空间使用效率。</w:t>
            </w:r>
          </w:p>
        </w:tc>
      </w:tr>
      <w:tr>
        <w:tblPrEx>
          <w:tblCellMar>
            <w:top w:w="15" w:type="dxa"/>
            <w:left w:w="15" w:type="dxa"/>
            <w:bottom w:w="15" w:type="dxa"/>
            <w:right w:w="15" w:type="dxa"/>
          </w:tblCellMar>
        </w:tblPrEx>
        <w:trPr>
          <w:wBefore w:w="0" w:type="dxa"/>
          <w:wAfter w:w="0" w:type="dxa"/>
          <w:trHeight w:val="435"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统一管理能力</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统一运维管理平台</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通过一个平台，实现存储管理、数据库管理（ORACLE）、虚拟化管理（VMWARE）、物理服务器管理。</w:t>
            </w:r>
          </w:p>
        </w:tc>
      </w:tr>
      <w:tr>
        <w:tblPrEx>
          <w:tblCellMar>
            <w:top w:w="15" w:type="dxa"/>
            <w:left w:w="15" w:type="dxa"/>
            <w:bottom w:w="15" w:type="dxa"/>
            <w:right w:w="15" w:type="dxa"/>
          </w:tblCellMar>
        </w:tblPrEx>
        <w:trPr>
          <w:wBefore w:w="0" w:type="dxa"/>
          <w:wAfter w:w="0" w:type="dxa"/>
          <w:trHeight w:val="151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物理服务器管理</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管理内容必须包括：支持远程监控图形界面，可实现与操作系统无关的远程对服务器的完全控制，包括远程的开关机、重启；必须支持软硬件智能化健康检查，包括CPU、内存、SDD、HDD、网卡、电源等硬件的健康状况；必须支持性能数据采集和分析，缺省保留整个集群的性能数据，便于进行性能问题诊断和报表；提供灵活的性能报表展示，粒度达到每个独立的物理磁盘、网卡、主机等。</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数据库管理</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★对ORACLE及ORACLE RAC进行管理。</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实时图表：可实现直观动态显示数据库组件关系及实时数据展现</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性能趋势：数百项性能关键指标，提供多种追溯与对比方式。</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锁等待检查：实时检查数据库锁的状态信息。</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日志智能分析：提取关键字对文本进行智能分析与报警。</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存储管理</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可以监控不同节点、不同磁盘的容量、性能（IOPS和带宽）的情况，以及不同节点、磁盘之间数据的复制情况。</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可针对LUN级、客户端级、存储节点级进行IO图形历史分析，数据至少保留一周。</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功能需求：实现在线添加和减少节点、硬盘功能。</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虚拟化管理</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对vsphere进行整体管理，对虚拟机的CPU、内存、磁盘等关键指标进行监控。</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实现对虚拟的开关机操作。</w:t>
            </w:r>
          </w:p>
        </w:tc>
      </w:tr>
      <w:tr>
        <w:tblPrEx>
          <w:tblCellMar>
            <w:top w:w="15" w:type="dxa"/>
            <w:left w:w="15" w:type="dxa"/>
            <w:bottom w:w="15" w:type="dxa"/>
            <w:right w:w="15" w:type="dxa"/>
          </w:tblCellMar>
        </w:tblPrEx>
        <w:trPr>
          <w:wBefore w:w="0" w:type="dxa"/>
          <w:wAfter w:w="0" w:type="dxa"/>
          <w:trHeight w:val="28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缓存加速</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配置读写缓存加速。</w:t>
            </w:r>
          </w:p>
        </w:tc>
      </w:tr>
      <w:tr>
        <w:tblPrEx>
          <w:tblCellMar>
            <w:top w:w="15" w:type="dxa"/>
            <w:left w:w="15" w:type="dxa"/>
            <w:bottom w:w="15" w:type="dxa"/>
            <w:right w:w="15" w:type="dxa"/>
          </w:tblCellMar>
        </w:tblPrEx>
        <w:trPr>
          <w:wBefore w:w="0" w:type="dxa"/>
          <w:wAfter w:w="0" w:type="dxa"/>
          <w:trHeight w:val="87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自动故障切换</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提供故障切换能力，当组件自身故障时，不影响整个集群正常运行，保证业务连续性；当SSD和SATA盘出现故障情况下，可以通过热插拔方式进行盘的替换；当整个节点处故障的情况下，可以支持整个节点的热插拔硬件替换。</w:t>
            </w:r>
          </w:p>
        </w:tc>
      </w:tr>
      <w:tr>
        <w:tblPrEx>
          <w:tblCellMar>
            <w:top w:w="15" w:type="dxa"/>
            <w:left w:w="15" w:type="dxa"/>
            <w:bottom w:w="15" w:type="dxa"/>
            <w:right w:w="15" w:type="dxa"/>
          </w:tblCellMar>
        </w:tblPrEx>
        <w:trPr>
          <w:wBefore w:w="0" w:type="dxa"/>
          <w:wAfter w:w="0" w:type="dxa"/>
          <w:trHeight w:val="660"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跨地域的集中式管理</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可以在同一界面中对分布在不同数据中心或物理位置的多个集群进行统一管理。</w:t>
            </w:r>
          </w:p>
        </w:tc>
      </w:tr>
      <w:tr>
        <w:tblPrEx>
          <w:tblCellMar>
            <w:top w:w="15" w:type="dxa"/>
            <w:left w:w="15" w:type="dxa"/>
            <w:bottom w:w="15" w:type="dxa"/>
            <w:right w:w="15" w:type="dxa"/>
          </w:tblCellMar>
        </w:tblPrEx>
        <w:trPr>
          <w:wBefore w:w="0" w:type="dxa"/>
          <w:wAfter w:w="0" w:type="dxa"/>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存储介质兼容性</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支持可利用任何 HDDs, SSDs, &amp; PCIe 闪存卡和共享存储对外提供块存储服务。</w:t>
            </w:r>
          </w:p>
        </w:tc>
      </w:tr>
      <w:tr>
        <w:tblPrEx>
          <w:tblCellMar>
            <w:top w:w="15" w:type="dxa"/>
            <w:left w:w="15" w:type="dxa"/>
            <w:bottom w:w="15" w:type="dxa"/>
            <w:right w:w="15" w:type="dxa"/>
          </w:tblCellMar>
        </w:tblPrEx>
        <w:trPr>
          <w:wBefore w:w="0" w:type="dxa"/>
          <w:wAfter w:w="0" w:type="dxa"/>
          <w:trHeight w:val="660" w:hRule="atLeast"/>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许可配置</w:t>
            </w:r>
          </w:p>
        </w:tc>
        <w:tc>
          <w:tcPr>
            <w:tcW w:w="14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配置要求</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1、本次配置2个计算节点管理许可，用于本次新计算平台2节点，2个交换机管理许可，4个ORACLE管理许可，200个虚拟机管理许可授权。</w:t>
            </w:r>
          </w:p>
        </w:tc>
      </w:tr>
      <w:tr>
        <w:tblPrEx>
          <w:tblCellMar>
            <w:top w:w="15" w:type="dxa"/>
            <w:left w:w="15" w:type="dxa"/>
            <w:bottom w:w="15" w:type="dxa"/>
            <w:right w:w="15" w:type="dxa"/>
          </w:tblCellMar>
        </w:tblPrEx>
        <w:trPr>
          <w:wBefore w:w="0" w:type="dxa"/>
          <w:wAfter w:w="0" w:type="dxa"/>
          <w:trHeight w:val="1305"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2"/>
                <w:szCs w:val="22"/>
              </w:rPr>
            </w:pPr>
            <w:r>
              <w:rPr>
                <w:rFonts w:hint="eastAsia" w:ascii="宋体" w:hAnsi="宋体"/>
                <w:color w:val="000000"/>
                <w:kern w:val="0"/>
                <w:sz w:val="22"/>
                <w:szCs w:val="22"/>
              </w:rPr>
              <w:t>3、2台计算节点能力不低于：2U机架式，性能≥CPU 2*SILVER 4114，256G内存，2*480G SSD缓存，1*480G SSD系统，网卡：2*10GB（光口含模块），6*1GB，6*4TSATA数据盘,冗余电源，物理节点PCI I/O插槽，本次配置≥3个 PCIe插槽（其中PCIe 3.0 x8≥1个）；支持8个I/O插槽，支持PCIe 3.0，配置冗余电源模块并支持热插拔高效电源模块；</w:t>
            </w:r>
          </w:p>
        </w:tc>
      </w:tr>
      <w:tr>
        <w:tblPrEx>
          <w:tblCellMar>
            <w:top w:w="15" w:type="dxa"/>
            <w:left w:w="15" w:type="dxa"/>
            <w:bottom w:w="15" w:type="dxa"/>
            <w:right w:w="15" w:type="dxa"/>
          </w:tblCellMar>
        </w:tblPrEx>
        <w:trPr>
          <w:wBefore w:w="0" w:type="dxa"/>
          <w:wAfter w:w="0" w:type="dxa"/>
          <w:trHeight w:val="108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服务</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其他要求</w:t>
            </w:r>
          </w:p>
        </w:tc>
        <w:tc>
          <w:tcPr>
            <w:tcW w:w="73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2"/>
                <w:szCs w:val="22"/>
                <w:u w:val="single"/>
              </w:rPr>
            </w:pPr>
            <w:r>
              <w:rPr>
                <w:rFonts w:hint="eastAsia" w:ascii="宋体" w:hAnsi="宋体" w:cs="宋体"/>
                <w:bCs/>
                <w:color w:val="000000"/>
                <w:kern w:val="0"/>
                <w:sz w:val="22"/>
                <w:szCs w:val="22"/>
                <w:u w:val="single"/>
                <w:lang w:bidi="ar"/>
              </w:rPr>
              <w:t>★用户保留要求中标人开标后三个工作日内提供测试机对照招标参数的所有功能进行测试的权利；如经测试发现与标书要求或投标文件不一致或中标人单位有意拖延预期无法提供检测报告和测试机，则视为欺诈行为，招标人将不授予合同，投标单位将承担一切后果和责任</w:t>
            </w:r>
          </w:p>
        </w:tc>
      </w:tr>
    </w:tbl>
    <w:p>
      <w:pPr>
        <w:pStyle w:val="2"/>
        <w:ind w:firstLine="321"/>
        <w:rPr>
          <w:rFonts w:hint="eastAsia"/>
        </w:rPr>
      </w:pPr>
    </w:p>
    <w:p>
      <w:pPr>
        <w:pStyle w:val="6"/>
        <w:spacing w:before="0" w:after="0" w:line="360" w:lineRule="auto"/>
        <w:rPr>
          <w:rFonts w:hint="eastAsia" w:ascii="新宋体" w:hAnsi="新宋体" w:eastAsia="新宋体" w:cs="新宋体"/>
        </w:rPr>
      </w:pPr>
      <w:bookmarkStart w:id="144" w:name="_Toc34572091"/>
      <w:bookmarkStart w:id="145" w:name="_Toc34489724"/>
      <w:r>
        <w:rPr>
          <w:rFonts w:hint="eastAsia" w:ascii="新宋体" w:hAnsi="新宋体" w:eastAsia="新宋体" w:cs="新宋体"/>
        </w:rPr>
        <w:t>三、服务要求</w:t>
      </w:r>
      <w:bookmarkEnd w:id="144"/>
      <w:bookmarkEnd w:id="145"/>
    </w:p>
    <w:p>
      <w:pPr>
        <w:spacing w:line="440" w:lineRule="exact"/>
        <w:ind w:right="-176" w:rightChars="-84"/>
        <w:rPr>
          <w:rFonts w:hint="eastAsia" w:ascii="新宋体" w:hAnsi="新宋体" w:eastAsia="新宋体" w:cs="新宋体"/>
          <w:b/>
          <w:bCs/>
          <w:sz w:val="24"/>
        </w:rPr>
      </w:pPr>
      <w:r>
        <w:rPr>
          <w:rFonts w:hint="eastAsia" w:ascii="新宋体" w:hAnsi="新宋体" w:eastAsia="新宋体" w:cs="新宋体"/>
          <w:b/>
          <w:bCs/>
          <w:sz w:val="24"/>
        </w:rPr>
        <w:t>（一）、质保期</w:t>
      </w:r>
    </w:p>
    <w:p>
      <w:pPr>
        <w:pStyle w:val="30"/>
        <w:adjustRightInd w:val="0"/>
        <w:snapToGrid w:val="0"/>
        <w:spacing w:line="400" w:lineRule="atLeast"/>
        <w:ind w:firstLine="442"/>
        <w:rPr>
          <w:sz w:val="22"/>
          <w:szCs w:val="22"/>
        </w:rPr>
      </w:pPr>
      <w:r>
        <w:rPr>
          <w:rFonts w:hint="eastAsia"/>
          <w:sz w:val="22"/>
          <w:szCs w:val="22"/>
        </w:rPr>
        <w:t>1、除特殊注明外，</w:t>
      </w:r>
      <w:r>
        <w:rPr>
          <w:sz w:val="22"/>
          <w:szCs w:val="22"/>
        </w:rPr>
        <w:t>除特殊说明外</w:t>
      </w:r>
      <w:r>
        <w:rPr>
          <w:rFonts w:hint="eastAsia"/>
          <w:sz w:val="22"/>
          <w:szCs w:val="22"/>
        </w:rPr>
        <w:t>，设备、系统软件及运维质保期均为三年，从验收通过之日起计算。，质保期限大于三年的，按投标单位质保期限提供质保服务</w:t>
      </w:r>
      <w:r>
        <w:rPr>
          <w:sz w:val="22"/>
          <w:szCs w:val="22"/>
        </w:rPr>
        <w:t>,国家有强制标准的，按国家强制标准执行</w:t>
      </w:r>
      <w:r>
        <w:rPr>
          <w:rFonts w:hint="eastAsia"/>
          <w:sz w:val="22"/>
          <w:szCs w:val="22"/>
        </w:rPr>
        <w:t>；质保期内因产品本身缺陷（非人为因素）造成各种故障应由中标供应商免费技术服务和维修。</w:t>
      </w:r>
    </w:p>
    <w:p>
      <w:pPr>
        <w:widowControl/>
        <w:tabs>
          <w:tab w:val="left" w:pos="482"/>
          <w:tab w:val="left" w:pos="2183"/>
          <w:tab w:val="left" w:pos="3884"/>
          <w:tab w:val="left" w:pos="5585"/>
        </w:tabs>
        <w:autoSpaceDE w:val="0"/>
        <w:autoSpaceDN w:val="0"/>
        <w:adjustRightInd w:val="0"/>
        <w:snapToGrid w:val="0"/>
        <w:spacing w:line="440" w:lineRule="atLeast"/>
        <w:ind w:firstLine="440" w:firstLineChars="200"/>
        <w:textAlignment w:val="bottom"/>
        <w:rPr>
          <w:rFonts w:ascii="宋体"/>
          <w:sz w:val="22"/>
          <w:szCs w:val="22"/>
        </w:rPr>
      </w:pPr>
      <w:r>
        <w:rPr>
          <w:rFonts w:hint="eastAsia" w:ascii="宋体"/>
          <w:sz w:val="22"/>
          <w:szCs w:val="22"/>
        </w:rPr>
        <w:t>2、在质保期内，中标供应商应负责对其提供的设备进行现场维修、损坏件更换，不收取额外费用。</w:t>
      </w:r>
    </w:p>
    <w:p>
      <w:pPr>
        <w:spacing w:line="440" w:lineRule="exact"/>
        <w:ind w:right="-176" w:rightChars="-84"/>
        <w:rPr>
          <w:rFonts w:hint="eastAsia" w:ascii="新宋体" w:hAnsi="新宋体" w:eastAsia="新宋体" w:cs="新宋体"/>
          <w:b/>
          <w:bCs/>
          <w:sz w:val="24"/>
        </w:rPr>
      </w:pPr>
      <w:r>
        <w:rPr>
          <w:rFonts w:hint="eastAsia" w:ascii="新宋体" w:hAnsi="新宋体" w:eastAsia="新宋体" w:cs="新宋体"/>
          <w:b/>
          <w:bCs/>
          <w:sz w:val="24"/>
        </w:rPr>
        <w:t>（二）、送货及安装</w:t>
      </w:r>
    </w:p>
    <w:p>
      <w:pPr>
        <w:spacing w:line="440" w:lineRule="exact"/>
        <w:ind w:left="-176" w:leftChars="-84" w:right="-176" w:rightChars="-84" w:firstLine="550" w:firstLineChars="250"/>
        <w:rPr>
          <w:rFonts w:hint="eastAsia" w:ascii="宋体" w:hAnsi="宋体" w:cs="新宋体"/>
          <w:sz w:val="22"/>
          <w:szCs w:val="22"/>
        </w:rPr>
      </w:pPr>
      <w:r>
        <w:rPr>
          <w:rFonts w:hint="eastAsia" w:ascii="宋体" w:hAnsi="宋体" w:cs="新宋体"/>
          <w:sz w:val="22"/>
          <w:szCs w:val="22"/>
        </w:rPr>
        <w:t>1、送货地点：按采购人指定地点送货安装。</w:t>
      </w:r>
    </w:p>
    <w:p>
      <w:pPr>
        <w:spacing w:line="440" w:lineRule="exact"/>
        <w:ind w:left="-176" w:leftChars="-84" w:right="-176" w:rightChars="-84" w:firstLine="550" w:firstLineChars="250"/>
        <w:rPr>
          <w:rFonts w:hint="eastAsia" w:ascii="宋体" w:hAnsi="宋体" w:cs="新宋体"/>
          <w:sz w:val="22"/>
          <w:szCs w:val="22"/>
        </w:rPr>
      </w:pPr>
      <w:r>
        <w:rPr>
          <w:rFonts w:hint="eastAsia" w:ascii="宋体" w:hAnsi="宋体" w:cs="新宋体"/>
          <w:sz w:val="22"/>
          <w:szCs w:val="22"/>
        </w:rPr>
        <w:t>2、质量标准：符合我国国家有关技术规范要求和技术标准。</w:t>
      </w:r>
    </w:p>
    <w:p>
      <w:pPr>
        <w:spacing w:line="440" w:lineRule="exact"/>
        <w:ind w:left="-176" w:leftChars="-84" w:right="-176" w:rightChars="-84" w:firstLine="550" w:firstLineChars="250"/>
        <w:rPr>
          <w:rFonts w:hint="eastAsia" w:ascii="宋体" w:hAnsi="宋体" w:cs="新宋体"/>
          <w:sz w:val="22"/>
          <w:szCs w:val="22"/>
        </w:rPr>
      </w:pPr>
      <w:r>
        <w:rPr>
          <w:rFonts w:hint="eastAsia" w:ascii="宋体" w:hAnsi="宋体" w:cs="新宋体"/>
          <w:sz w:val="22"/>
          <w:szCs w:val="22"/>
        </w:rPr>
        <w:t>3、本项目包括供就位与安装。安装期间中标供应商须派技术人员提供安装及技术服务。</w:t>
      </w:r>
    </w:p>
    <w:p>
      <w:pPr>
        <w:spacing w:line="440" w:lineRule="exact"/>
        <w:ind w:left="-176" w:leftChars="-84" w:right="-176" w:rightChars="-84" w:firstLine="550" w:firstLineChars="250"/>
        <w:rPr>
          <w:rFonts w:hint="eastAsia" w:ascii="宋体" w:hAnsi="宋体" w:cs="新宋体"/>
          <w:sz w:val="22"/>
          <w:szCs w:val="22"/>
        </w:rPr>
      </w:pPr>
      <w:r>
        <w:rPr>
          <w:rFonts w:hint="eastAsia" w:ascii="宋体" w:hAnsi="宋体" w:cs="新宋体"/>
          <w:sz w:val="22"/>
          <w:szCs w:val="22"/>
        </w:rPr>
        <w:t>4、安装及技术服务过程中发生的费用由中标供应商负责，供应商应在投标文件中提出其安装调试过程中使用单位需配合的内容。</w:t>
      </w:r>
    </w:p>
    <w:p>
      <w:pPr>
        <w:spacing w:line="440" w:lineRule="exact"/>
        <w:ind w:right="-176" w:rightChars="-84"/>
        <w:rPr>
          <w:rFonts w:hint="eastAsia" w:ascii="新宋体" w:hAnsi="新宋体" w:eastAsia="新宋体" w:cs="新宋体"/>
          <w:b/>
          <w:bCs/>
          <w:sz w:val="24"/>
        </w:rPr>
      </w:pPr>
      <w:r>
        <w:rPr>
          <w:rFonts w:hint="eastAsia" w:ascii="新宋体" w:hAnsi="新宋体" w:eastAsia="新宋体" w:cs="新宋体"/>
          <w:b/>
          <w:bCs/>
          <w:sz w:val="24"/>
        </w:rPr>
        <w:t>（三）、项目建设期</w:t>
      </w:r>
    </w:p>
    <w:p>
      <w:pPr>
        <w:spacing w:line="440" w:lineRule="exact"/>
        <w:ind w:right="-176" w:rightChars="-84" w:firstLine="660" w:firstLineChars="300"/>
        <w:rPr>
          <w:rFonts w:hint="eastAsia" w:ascii="宋体" w:hAnsi="宋体" w:cs="新宋体"/>
          <w:color w:val="000000"/>
          <w:sz w:val="22"/>
          <w:szCs w:val="22"/>
        </w:rPr>
      </w:pPr>
      <w:r>
        <w:rPr>
          <w:rFonts w:hint="eastAsia" w:ascii="宋体" w:hAnsi="宋体" w:cs="新宋体"/>
          <w:color w:val="000000"/>
          <w:sz w:val="22"/>
          <w:szCs w:val="22"/>
        </w:rPr>
        <w:t>合同签订后4个月内完成</w:t>
      </w:r>
    </w:p>
    <w:p>
      <w:pPr>
        <w:spacing w:line="440" w:lineRule="exact"/>
        <w:ind w:right="-176" w:rightChars="-84"/>
        <w:rPr>
          <w:rFonts w:hint="eastAsia" w:ascii="新宋体" w:hAnsi="新宋体" w:eastAsia="新宋体" w:cs="新宋体"/>
          <w:b/>
          <w:bCs/>
          <w:color w:val="000000"/>
          <w:sz w:val="24"/>
        </w:rPr>
      </w:pPr>
      <w:r>
        <w:rPr>
          <w:rFonts w:hint="eastAsia" w:ascii="新宋体" w:hAnsi="新宋体" w:eastAsia="新宋体" w:cs="新宋体"/>
          <w:b/>
          <w:bCs/>
          <w:color w:val="000000"/>
          <w:sz w:val="24"/>
        </w:rPr>
        <w:t>（四）、付款方式</w:t>
      </w:r>
    </w:p>
    <w:p>
      <w:pPr>
        <w:pStyle w:val="30"/>
        <w:snapToGrid w:val="0"/>
        <w:spacing w:line="400" w:lineRule="atLeast"/>
        <w:ind w:firstLine="420" w:firstLineChars="200"/>
        <w:rPr>
          <w:rFonts w:hint="eastAsia" w:eastAsia="新宋体"/>
          <w:bCs/>
          <w:color w:val="FF0000"/>
        </w:rPr>
      </w:pPr>
      <w:r>
        <w:rPr>
          <w:rFonts w:hint="eastAsia"/>
          <w:color w:val="000000"/>
        </w:rPr>
        <w:t xml:space="preserve"> </w:t>
      </w:r>
      <w:r>
        <w:rPr>
          <w:rFonts w:hint="eastAsia"/>
          <w:color w:val="000000"/>
          <w:sz w:val="22"/>
          <w:szCs w:val="22"/>
        </w:rPr>
        <w:t>在合同生效以及具备实施条件后</w:t>
      </w:r>
      <w:r>
        <w:rPr>
          <w:color w:val="000000"/>
          <w:sz w:val="22"/>
          <w:szCs w:val="22"/>
        </w:rPr>
        <w:t>15日</w:t>
      </w:r>
      <w:r>
        <w:rPr>
          <w:rFonts w:hint="eastAsia"/>
          <w:color w:val="000000"/>
          <w:sz w:val="22"/>
          <w:szCs w:val="22"/>
        </w:rPr>
        <w:t>内，采购人向中标供应商支付合同金额30%的预付款</w:t>
      </w:r>
      <w:r>
        <w:rPr>
          <w:color w:val="000000"/>
          <w:sz w:val="22"/>
          <w:szCs w:val="22"/>
        </w:rPr>
        <w:t>。</w:t>
      </w:r>
      <w:r>
        <w:rPr>
          <w:rFonts w:hint="eastAsia" w:hAnsi="宋体"/>
          <w:color w:val="000000"/>
          <w:sz w:val="22"/>
          <w:szCs w:val="22"/>
        </w:rPr>
        <w:t>项目完工完成初验合格后采购人在15个工作日内付合同总金额50%的货款，项目最终验收合格后采购人在15个工作日内付合同总金额20%的货款。</w:t>
      </w:r>
    </w:p>
    <w:p>
      <w:pPr>
        <w:spacing w:line="440" w:lineRule="exact"/>
        <w:ind w:right="-176" w:rightChars="-84"/>
        <w:rPr>
          <w:rFonts w:hint="eastAsia" w:ascii="新宋体" w:hAnsi="新宋体" w:eastAsia="新宋体" w:cs="新宋体"/>
          <w:b/>
          <w:bCs/>
          <w:sz w:val="24"/>
        </w:rPr>
      </w:pPr>
      <w:r>
        <w:rPr>
          <w:rFonts w:hint="eastAsia" w:ascii="新宋体" w:hAnsi="新宋体" w:eastAsia="新宋体" w:cs="新宋体"/>
          <w:b/>
          <w:bCs/>
          <w:sz w:val="24"/>
        </w:rPr>
        <w:t>（五）、培训</w:t>
      </w:r>
    </w:p>
    <w:p>
      <w:pPr>
        <w:spacing w:line="440" w:lineRule="exact"/>
        <w:ind w:left="-176" w:leftChars="-84" w:right="-176" w:rightChars="-84" w:firstLine="550" w:firstLineChars="250"/>
        <w:rPr>
          <w:rFonts w:hint="eastAsia" w:ascii="宋体" w:hAnsi="宋体" w:cs="新宋体"/>
          <w:sz w:val="22"/>
          <w:szCs w:val="22"/>
        </w:rPr>
      </w:pPr>
      <w:r>
        <w:rPr>
          <w:rFonts w:hint="eastAsia" w:ascii="宋体" w:hAnsi="宋体" w:cs="新宋体"/>
          <w:sz w:val="22"/>
          <w:szCs w:val="22"/>
        </w:rPr>
        <w:t>中标供应商应对用户的维修人员提供培训，使其能对产品进行日常的维护保养及能对一般故障进行维修。</w:t>
      </w:r>
    </w:p>
    <w:p>
      <w:pPr>
        <w:spacing w:line="440" w:lineRule="exact"/>
        <w:ind w:right="-176" w:rightChars="-84"/>
        <w:rPr>
          <w:rFonts w:hint="eastAsia" w:ascii="宋体" w:hAnsi="宋体" w:cs="新宋体"/>
          <w:b/>
          <w:bCs/>
          <w:sz w:val="24"/>
        </w:rPr>
      </w:pPr>
      <w:r>
        <w:rPr>
          <w:rFonts w:hint="eastAsia" w:ascii="宋体" w:hAnsi="宋体" w:cs="新宋体"/>
          <w:b/>
          <w:bCs/>
          <w:sz w:val="24"/>
        </w:rPr>
        <w:t>（六）、验收</w:t>
      </w:r>
    </w:p>
    <w:p>
      <w:pPr>
        <w:spacing w:line="440" w:lineRule="exact"/>
        <w:ind w:right="-176" w:rightChars="-84" w:firstLine="539" w:firstLineChars="245"/>
        <w:rPr>
          <w:rFonts w:hint="eastAsia" w:ascii="宋体" w:hAnsi="宋体" w:cs="新宋体"/>
          <w:color w:val="000000"/>
          <w:sz w:val="22"/>
          <w:szCs w:val="22"/>
        </w:rPr>
      </w:pPr>
      <w:r>
        <w:rPr>
          <w:rFonts w:hint="eastAsia" w:ascii="宋体" w:hAnsi="宋体" w:cs="新宋体"/>
          <w:color w:val="000000"/>
          <w:sz w:val="22"/>
          <w:szCs w:val="22"/>
        </w:rPr>
        <w:t>系统开发完成和货物到达指定地点后，验收结果应符合有关要求。</w:t>
      </w:r>
    </w:p>
    <w:p>
      <w:pPr>
        <w:pStyle w:val="2"/>
        <w:spacing w:line="440" w:lineRule="exact"/>
        <w:ind w:firstLine="0" w:firstLineChars="0"/>
        <w:rPr>
          <w:rFonts w:hint="eastAsia" w:ascii="宋体" w:hAnsi="宋体"/>
          <w:color w:val="000000"/>
          <w:sz w:val="24"/>
        </w:rPr>
      </w:pPr>
      <w:r>
        <w:rPr>
          <w:rFonts w:hint="eastAsia" w:ascii="宋体" w:hAnsi="宋体" w:cs="新宋体"/>
          <w:bCs/>
          <w:kern w:val="2"/>
          <w:sz w:val="24"/>
          <w:szCs w:val="24"/>
        </w:rPr>
        <w:t>（七）、</w:t>
      </w:r>
      <w:r>
        <w:rPr>
          <w:rFonts w:hint="eastAsia" w:ascii="宋体" w:hAnsi="宋体"/>
          <w:color w:val="000000"/>
          <w:sz w:val="24"/>
        </w:rPr>
        <w:t>数据保密</w:t>
      </w:r>
    </w:p>
    <w:p>
      <w:pPr>
        <w:spacing w:line="440" w:lineRule="exact"/>
        <w:ind w:left="-176" w:leftChars="-84" w:right="-176" w:rightChars="-84" w:firstLine="550" w:firstLineChars="250"/>
        <w:rPr>
          <w:rFonts w:ascii="宋体" w:hAnsi="宋体" w:cs="新宋体"/>
          <w:sz w:val="22"/>
          <w:szCs w:val="22"/>
        </w:rPr>
      </w:pPr>
      <w:r>
        <w:rPr>
          <w:rFonts w:hint="eastAsia" w:ascii="宋体" w:hAnsi="宋体" w:cs="新宋体"/>
          <w:sz w:val="22"/>
          <w:szCs w:val="22"/>
        </w:rPr>
        <w:t>在项目开发过程中和在系统运行过程中，中标供应商必须对采购人提供的任何数据及文档（包括设计文档、测试数据、文件档案资料及系统源代码等）有保密的责任和义务。</w:t>
      </w:r>
    </w:p>
    <w:p>
      <w:pPr>
        <w:pStyle w:val="2"/>
        <w:ind w:firstLine="241"/>
        <w:rPr>
          <w:rFonts w:hint="eastAsia" w:ascii="新宋体" w:hAnsi="新宋体" w:eastAsia="新宋体" w:cs="新宋体"/>
          <w:bCs/>
          <w:kern w:val="2"/>
          <w:sz w:val="24"/>
          <w:szCs w:val="24"/>
        </w:rPr>
      </w:pPr>
    </w:p>
    <w:p>
      <w:pPr>
        <w:pStyle w:val="2"/>
        <w:ind w:firstLine="321"/>
        <w:rPr>
          <w:rFonts w:hint="eastAsia"/>
        </w:rPr>
      </w:pPr>
    </w:p>
    <w:p>
      <w:pPr>
        <w:pStyle w:val="2"/>
        <w:ind w:firstLine="321"/>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5"/>
        <w:rPr>
          <w:rFonts w:hint="eastAsia" w:ascii="新宋体" w:hAnsi="新宋体" w:eastAsia="新宋体" w:cs="新宋体"/>
          <w:sz w:val="36"/>
          <w:szCs w:val="36"/>
        </w:rPr>
      </w:pPr>
      <w:r>
        <w:rPr>
          <w:rFonts w:hint="eastAsia" w:ascii="新宋体" w:hAnsi="新宋体" w:eastAsia="新宋体" w:cs="新宋体"/>
          <w:sz w:val="36"/>
          <w:szCs w:val="36"/>
        </w:rPr>
        <w:t>第六部分</w:t>
      </w:r>
      <w:bookmarkEnd w:id="137"/>
      <w:bookmarkEnd w:id="138"/>
      <w:bookmarkEnd w:id="139"/>
      <w:bookmarkEnd w:id="140"/>
      <w:bookmarkEnd w:id="141"/>
      <w:r>
        <w:rPr>
          <w:rFonts w:hint="eastAsia" w:ascii="新宋体" w:hAnsi="新宋体" w:eastAsia="新宋体" w:cs="新宋体"/>
          <w:sz w:val="36"/>
          <w:szCs w:val="36"/>
        </w:rPr>
        <w:t xml:space="preserve">   评标原则及方法</w:t>
      </w:r>
      <w:bookmarkEnd w:id="142"/>
      <w:bookmarkEnd w:id="143"/>
    </w:p>
    <w:bookmarkEnd w:id="4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Pr>
        <w:pStyle w:val="3"/>
        <w:overflowPunct w:val="0"/>
        <w:spacing w:after="0" w:line="440" w:lineRule="exact"/>
        <w:rPr>
          <w:rFonts w:hint="eastAsia" w:ascii="新宋体" w:hAnsi="新宋体" w:eastAsia="新宋体" w:cs="新宋体"/>
          <w:b/>
        </w:rPr>
      </w:pPr>
      <w:bookmarkStart w:id="146" w:name="_Toc221356961"/>
      <w:bookmarkStart w:id="147" w:name="_Toc221356898"/>
      <w:r>
        <w:rPr>
          <w:rFonts w:hint="eastAsia" w:ascii="新宋体" w:hAnsi="新宋体" w:eastAsia="新宋体" w:cs="新宋体"/>
          <w:b/>
        </w:rPr>
        <w:t>一. 总  则</w:t>
      </w:r>
      <w:bookmarkEnd w:id="146"/>
      <w:bookmarkEnd w:id="147"/>
    </w:p>
    <w:p>
      <w:pPr>
        <w:overflowPunct w:val="0"/>
        <w:spacing w:line="440" w:lineRule="exact"/>
        <w:ind w:firstLine="440" w:firstLineChars="200"/>
        <w:rPr>
          <w:rFonts w:hint="eastAsia" w:ascii="宋体" w:hAnsi="宋体" w:cs="新宋体"/>
          <w:sz w:val="22"/>
          <w:szCs w:val="22"/>
        </w:rPr>
      </w:pPr>
      <w:r>
        <w:rPr>
          <w:rFonts w:hint="eastAsia" w:ascii="宋体" w:hAnsi="宋体" w:cs="新宋体"/>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3"/>
        <w:overflowPunct w:val="0"/>
        <w:spacing w:after="0" w:line="440" w:lineRule="exact"/>
        <w:rPr>
          <w:rFonts w:hint="eastAsia" w:ascii="宋体" w:hAnsi="宋体" w:cs="新宋体"/>
          <w:b/>
        </w:rPr>
      </w:pPr>
      <w:bookmarkStart w:id="148" w:name="_Toc221356899"/>
      <w:bookmarkStart w:id="149" w:name="_Toc221356962"/>
      <w:r>
        <w:rPr>
          <w:rFonts w:hint="eastAsia" w:ascii="宋体" w:hAnsi="宋体" w:cs="新宋体"/>
          <w:b/>
        </w:rPr>
        <w:t>二、评标组织</w:t>
      </w:r>
      <w:bookmarkEnd w:id="148"/>
      <w:bookmarkEnd w:id="149"/>
    </w:p>
    <w:p>
      <w:pPr>
        <w:overflowPunct w:val="0"/>
        <w:spacing w:line="440" w:lineRule="exact"/>
        <w:ind w:firstLine="440" w:firstLineChars="200"/>
        <w:rPr>
          <w:rFonts w:hint="eastAsia" w:ascii="宋体" w:hAnsi="宋体" w:cs="新宋体"/>
          <w:sz w:val="22"/>
          <w:szCs w:val="22"/>
        </w:rPr>
      </w:pPr>
      <w:r>
        <w:rPr>
          <w:rFonts w:hint="eastAsia" w:ascii="宋体" w:hAnsi="宋体" w:cs="新宋体"/>
          <w:sz w:val="22"/>
          <w:szCs w:val="22"/>
        </w:rPr>
        <w:t>评标工作由采购人依法组建的评标委员会负责，评标全过程由有关部门指导监督。</w:t>
      </w:r>
    </w:p>
    <w:p>
      <w:pPr>
        <w:autoSpaceDE w:val="0"/>
        <w:autoSpaceDN w:val="0"/>
        <w:adjustRightInd w:val="0"/>
        <w:spacing w:line="440" w:lineRule="exact"/>
        <w:rPr>
          <w:rFonts w:hint="eastAsia" w:ascii="宋体" w:hAnsi="宋体" w:cs="新宋体"/>
          <w:b/>
          <w:bCs/>
          <w:kern w:val="0"/>
          <w:sz w:val="22"/>
          <w:szCs w:val="22"/>
          <w:lang w:val="zh-CN"/>
        </w:rPr>
      </w:pPr>
      <w:r>
        <w:rPr>
          <w:rFonts w:hint="eastAsia" w:ascii="宋体" w:hAnsi="宋体" w:cs="新宋体"/>
          <w:b/>
          <w:bCs/>
          <w:kern w:val="0"/>
          <w:sz w:val="22"/>
          <w:szCs w:val="22"/>
          <w:lang w:val="zh-CN"/>
        </w:rPr>
        <w:t>三、评标程序</w:t>
      </w:r>
    </w:p>
    <w:p>
      <w:pPr>
        <w:overflowPunct w:val="0"/>
        <w:spacing w:line="440" w:lineRule="exact"/>
        <w:ind w:firstLine="440" w:firstLineChars="200"/>
        <w:rPr>
          <w:rFonts w:hint="eastAsia" w:ascii="宋体" w:hAnsi="宋体" w:cs="新宋体"/>
          <w:sz w:val="22"/>
          <w:szCs w:val="22"/>
        </w:rPr>
      </w:pPr>
      <w:r>
        <w:rPr>
          <w:rFonts w:hint="eastAsia" w:ascii="宋体" w:hAnsi="宋体" w:cs="新宋体"/>
          <w:sz w:val="22"/>
          <w:szCs w:val="22"/>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3"/>
        <w:adjustRightInd w:val="0"/>
        <w:snapToGrid w:val="0"/>
        <w:spacing w:after="0" w:line="440" w:lineRule="exact"/>
        <w:rPr>
          <w:rFonts w:hint="eastAsia" w:ascii="宋体" w:hAnsi="宋体"/>
          <w:b/>
          <w:sz w:val="22"/>
          <w:szCs w:val="22"/>
        </w:rPr>
      </w:pPr>
      <w:r>
        <w:rPr>
          <w:rFonts w:hint="eastAsia" w:ascii="宋体" w:hAnsi="宋体"/>
          <w:b/>
          <w:sz w:val="22"/>
          <w:szCs w:val="22"/>
        </w:rPr>
        <w:t>四、 评标办法</w:t>
      </w:r>
    </w:p>
    <w:p>
      <w:pPr>
        <w:pStyle w:val="24"/>
        <w:numPr>
          <w:ilvl w:val="0"/>
          <w:numId w:val="29"/>
        </w:numPr>
        <w:adjustRightInd/>
        <w:spacing w:line="440" w:lineRule="exact"/>
        <w:jc w:val="both"/>
        <w:rPr>
          <w:rFonts w:hint="eastAsia"/>
          <w:b/>
          <w:sz w:val="22"/>
          <w:szCs w:val="22"/>
          <w:u w:val="single"/>
        </w:rPr>
      </w:pPr>
      <w:r>
        <w:rPr>
          <w:rFonts w:hint="eastAsia"/>
          <w:b/>
          <w:sz w:val="22"/>
        </w:rPr>
        <w:t>本项目评标办法采取百分制综合评分法</w:t>
      </w:r>
      <w:r>
        <w:rPr>
          <w:rFonts w:hint="eastAsia"/>
          <w:sz w:val="22"/>
        </w:rPr>
        <w:t>，</w:t>
      </w:r>
      <w:r>
        <w:rPr>
          <w:rFonts w:hint="eastAsia"/>
          <w:b/>
          <w:sz w:val="22"/>
        </w:rPr>
        <w:t>其中</w:t>
      </w:r>
      <w:r>
        <w:rPr>
          <w:rFonts w:hint="eastAsia"/>
          <w:b/>
          <w:bCs/>
          <w:sz w:val="22"/>
        </w:rPr>
        <w:t>商务技术</w:t>
      </w:r>
      <w:r>
        <w:rPr>
          <w:rFonts w:hint="eastAsia"/>
          <w:b/>
          <w:sz w:val="22"/>
        </w:rPr>
        <w:t>90分（技术权值为90%），投标报价10分（价格权值为10%）。</w:t>
      </w:r>
      <w:r>
        <w:rPr>
          <w:rFonts w:hint="eastAsia"/>
          <w:sz w:val="22"/>
          <w:szCs w:val="22"/>
        </w:rPr>
        <w:t>即最大限度地满足招标文件实质性要求前提下，按照招标文件中规定的各项评分内容进行综合评审。以最终得分（即商务技术得分与投标报价得分之和）高低进行排序，得分第一名的投标人确定为中标候选人（得分相同投标报价低的排序前位；得分且投标报价相同的，技术服务部分得分高的排序前位）。</w:t>
      </w:r>
    </w:p>
    <w:p>
      <w:pPr>
        <w:spacing w:line="440" w:lineRule="exact"/>
        <w:ind w:firstLine="440" w:firstLineChars="200"/>
        <w:rPr>
          <w:rFonts w:hint="eastAsia" w:ascii="宋体" w:hAnsi="宋体" w:cs="新宋体"/>
          <w:sz w:val="22"/>
          <w:szCs w:val="22"/>
        </w:rPr>
      </w:pPr>
      <w:r>
        <w:rPr>
          <w:rFonts w:hint="eastAsia" w:ascii="宋体" w:hAnsi="宋体"/>
          <w:sz w:val="22"/>
        </w:rPr>
        <w:t>评标过程中遇到特殊情况，由评标委员会遵循公平、公正原则，采取记名投票方式按照少数服从多数原则决定。</w:t>
      </w:r>
    </w:p>
    <w:p>
      <w:pPr>
        <w:pStyle w:val="3"/>
        <w:spacing w:after="0" w:line="440" w:lineRule="exact"/>
        <w:rPr>
          <w:rFonts w:hint="eastAsia" w:ascii="宋体" w:hAnsi="宋体" w:cs="新宋体"/>
          <w:b/>
          <w:sz w:val="22"/>
          <w:szCs w:val="22"/>
        </w:rPr>
      </w:pPr>
      <w:r>
        <w:rPr>
          <w:rFonts w:hint="eastAsia" w:ascii="宋体" w:hAnsi="宋体" w:cs="新宋体"/>
          <w:b/>
          <w:sz w:val="22"/>
          <w:szCs w:val="22"/>
        </w:rPr>
        <w:t>五、评分细则</w:t>
      </w:r>
    </w:p>
    <w:p>
      <w:pPr>
        <w:numPr>
          <w:ilvl w:val="0"/>
          <w:numId w:val="30"/>
        </w:numPr>
        <w:spacing w:line="440" w:lineRule="exact"/>
        <w:rPr>
          <w:rFonts w:hint="eastAsia" w:ascii="宋体" w:hAnsi="宋体" w:cs="新宋体"/>
          <w:b/>
          <w:bCs/>
          <w:sz w:val="22"/>
          <w:szCs w:val="22"/>
        </w:rPr>
      </w:pPr>
      <w:r>
        <w:rPr>
          <w:rFonts w:hint="eastAsia" w:ascii="宋体" w:hAnsi="宋体" w:cs="新宋体"/>
          <w:b/>
          <w:bCs/>
          <w:sz w:val="22"/>
          <w:szCs w:val="22"/>
        </w:rPr>
        <w:t>商务技术文件的评定（90分）</w:t>
      </w:r>
    </w:p>
    <w:p>
      <w:pPr>
        <w:spacing w:line="440" w:lineRule="exact"/>
        <w:ind w:firstLine="330" w:firstLineChars="150"/>
        <w:rPr>
          <w:rFonts w:hint="eastAsia" w:ascii="宋体" w:hAnsi="宋体" w:cs="新宋体"/>
          <w:sz w:val="22"/>
          <w:szCs w:val="22"/>
        </w:rPr>
      </w:pPr>
      <w:r>
        <w:rPr>
          <w:rFonts w:hint="eastAsia" w:ascii="宋体" w:hAnsi="宋体" w:cs="新宋体"/>
          <w:sz w:val="22"/>
          <w:szCs w:val="22"/>
        </w:rPr>
        <w:t>各评委成员按下列评分项目进行评定，每人一张评分计算表，由评标委员会成员各自评定打分并记实名。</w:t>
      </w:r>
      <w:r>
        <w:rPr>
          <w:rFonts w:hint="eastAsia" w:ascii="宋体" w:hAnsi="宋体" w:cs="新宋体"/>
          <w:b/>
          <w:sz w:val="22"/>
          <w:szCs w:val="22"/>
        </w:rPr>
        <w:t>如任何一张表的一项评分内容分值超过规定的范围，则该张表无效。</w:t>
      </w:r>
      <w:r>
        <w:rPr>
          <w:rFonts w:hint="eastAsia" w:ascii="宋体" w:hAnsi="宋体" w:cs="新宋体"/>
          <w:sz w:val="22"/>
          <w:szCs w:val="22"/>
        </w:rPr>
        <w:t>评标委员会成员对各投标人的各项评分内容评分合计值的算术平均值为该投标人商务技术文件的最终得分（四舍五入，保留小数点后二位）。</w:t>
      </w:r>
    </w:p>
    <w:p>
      <w:pPr>
        <w:pStyle w:val="3"/>
        <w:rPr>
          <w:rFonts w:hint="eastAsia"/>
        </w:rPr>
      </w:pPr>
    </w:p>
    <w:tbl>
      <w:tblPr>
        <w:tblStyle w:val="56"/>
        <w:tblW w:w="0" w:type="auto"/>
        <w:tblInd w:w="0" w:type="dxa"/>
        <w:tblLayout w:type="fixed"/>
        <w:tblCellMar>
          <w:top w:w="15" w:type="dxa"/>
          <w:left w:w="15" w:type="dxa"/>
          <w:bottom w:w="15" w:type="dxa"/>
          <w:right w:w="15" w:type="dxa"/>
        </w:tblCellMar>
      </w:tblPr>
      <w:tblGrid>
        <w:gridCol w:w="509"/>
        <w:gridCol w:w="1186"/>
        <w:gridCol w:w="700"/>
        <w:gridCol w:w="7340"/>
      </w:tblGrid>
      <w:tr>
        <w:tblPrEx>
          <w:tblCellMar>
            <w:top w:w="15" w:type="dxa"/>
            <w:left w:w="15" w:type="dxa"/>
            <w:bottom w:w="15" w:type="dxa"/>
            <w:right w:w="15" w:type="dxa"/>
          </w:tblCellMar>
        </w:tblPrEx>
        <w:trPr>
          <w:wBefore w:w="0" w:type="dxa"/>
          <w:wAfter w:w="0" w:type="dxa"/>
          <w:trHeight w:val="25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评分内容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分值</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评分标准说明</w:t>
            </w:r>
          </w:p>
        </w:tc>
      </w:tr>
      <w:tr>
        <w:tblPrEx>
          <w:tblCellMar>
            <w:top w:w="15" w:type="dxa"/>
            <w:left w:w="15" w:type="dxa"/>
            <w:bottom w:w="15" w:type="dxa"/>
            <w:right w:w="15" w:type="dxa"/>
          </w:tblCellMar>
        </w:tblPrEx>
        <w:trPr>
          <w:wBefore w:w="0" w:type="dxa"/>
          <w:wAfter w:w="0" w:type="dxa"/>
          <w:trHeight w:val="931"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1</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投标人履约能力</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10</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投标人具备业务服务范围为主机托管、带宽租赁、云计算服务的信息安全管理体系国际认证(ISO/IEC27001:2013)，提供证书得5分，不提供不得分；</w:t>
            </w:r>
          </w:p>
        </w:tc>
      </w:tr>
      <w:tr>
        <w:tblPrEx>
          <w:tblCellMar>
            <w:top w:w="15" w:type="dxa"/>
            <w:left w:w="15" w:type="dxa"/>
            <w:bottom w:w="15" w:type="dxa"/>
            <w:right w:w="15" w:type="dxa"/>
          </w:tblCellMar>
        </w:tblPrEx>
        <w:trPr>
          <w:wBefore w:w="0" w:type="dxa"/>
          <w:wAfter w:w="0" w:type="dxa"/>
          <w:trHeight w:val="9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投标人有数据中心云平台机房且已通过国家信息安全等级保护3级及以上测评，提供证书得3分，不提供不得分；</w:t>
            </w:r>
          </w:p>
        </w:tc>
      </w:tr>
      <w:tr>
        <w:tblPrEx>
          <w:tblCellMar>
            <w:top w:w="15" w:type="dxa"/>
            <w:left w:w="15" w:type="dxa"/>
            <w:bottom w:w="15" w:type="dxa"/>
            <w:right w:w="15" w:type="dxa"/>
          </w:tblCellMar>
        </w:tblPrEx>
        <w:trPr>
          <w:wBefore w:w="0" w:type="dxa"/>
          <w:wAfter w:w="0" w:type="dxa"/>
          <w:trHeight w:val="485"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投标人具备独立的政务云或私有云平台运营能力，提供相关证明或合同得2分，无不得分；如采购第三方资源合同得1分，无不得分；</w:t>
            </w:r>
          </w:p>
        </w:tc>
      </w:tr>
      <w:tr>
        <w:tblPrEx>
          <w:tblCellMar>
            <w:top w:w="15" w:type="dxa"/>
            <w:left w:w="15" w:type="dxa"/>
            <w:bottom w:w="15" w:type="dxa"/>
            <w:right w:w="15" w:type="dxa"/>
          </w:tblCellMar>
        </w:tblPrEx>
        <w:trPr>
          <w:wBefore w:w="0" w:type="dxa"/>
          <w:wAfter w:w="0" w:type="dxa"/>
          <w:trHeight w:val="464"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注：以上证书扫描件加盖单位公章，否则不认可。</w:t>
            </w:r>
          </w:p>
        </w:tc>
      </w:tr>
      <w:tr>
        <w:tblPrEx>
          <w:tblCellMar>
            <w:top w:w="15" w:type="dxa"/>
            <w:left w:w="15" w:type="dxa"/>
            <w:bottom w:w="15" w:type="dxa"/>
            <w:right w:w="15" w:type="dxa"/>
          </w:tblCellMar>
        </w:tblPrEx>
        <w:trPr>
          <w:wBefore w:w="0" w:type="dxa"/>
          <w:wAfter w:w="0" w:type="dxa"/>
          <w:trHeight w:val="9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总体技术方案</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sz w:val="22"/>
                <w:szCs w:val="22"/>
              </w:rPr>
              <w:t>10</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bCs/>
                <w:color w:val="000000"/>
                <w:sz w:val="22"/>
                <w:szCs w:val="22"/>
              </w:rPr>
            </w:pPr>
            <w:r>
              <w:rPr>
                <w:rFonts w:hint="eastAsia" w:ascii="宋体" w:hAnsi="宋体" w:cs="宋体"/>
                <w:bCs/>
                <w:color w:val="000000"/>
                <w:kern w:val="0"/>
                <w:sz w:val="22"/>
                <w:szCs w:val="22"/>
                <w:lang w:bidi="ar"/>
              </w:rPr>
              <w:t>根据投标人对本项目需求分析是否具有针对性，切合项目目标程度，是否能够充分详细分析用户需求，提出合理化方案；总体方案提出的技术路线合理、可行，总体框架、结构成熟；0-10分</w:t>
            </w:r>
          </w:p>
        </w:tc>
      </w:tr>
      <w:tr>
        <w:tblPrEx>
          <w:tblCellMar>
            <w:top w:w="15" w:type="dxa"/>
            <w:left w:w="15" w:type="dxa"/>
            <w:bottom w:w="15" w:type="dxa"/>
            <w:right w:w="15" w:type="dxa"/>
          </w:tblCellMar>
        </w:tblPrEx>
        <w:trPr>
          <w:wBefore w:w="0" w:type="dxa"/>
          <w:wAfter w:w="0" w:type="dxa"/>
          <w:trHeight w:val="211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关键技术方案</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Cs/>
                <w:color w:val="000000"/>
                <w:sz w:val="22"/>
                <w:szCs w:val="22"/>
              </w:rPr>
            </w:pPr>
            <w:r>
              <w:rPr>
                <w:rFonts w:ascii="宋体" w:hAnsi="宋体" w:cs="宋体"/>
                <w:bCs/>
                <w:color w:val="000000"/>
                <w:sz w:val="22"/>
                <w:szCs w:val="22"/>
              </w:rPr>
              <w:t>1</w:t>
            </w:r>
            <w:r>
              <w:rPr>
                <w:rFonts w:hint="eastAsia" w:ascii="宋体" w:hAnsi="宋体" w:cs="宋体"/>
                <w:bCs/>
                <w:color w:val="000000"/>
                <w:sz w:val="22"/>
                <w:szCs w:val="22"/>
              </w:rPr>
              <w:t>6</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31"/>
              </w:numPr>
              <w:jc w:val="left"/>
              <w:textAlignment w:val="center"/>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由于本次采购的平台数据具有多样性与复杂等特点，本次所投的</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自带多元数据交换模块，</w:t>
            </w:r>
            <w:r>
              <w:rPr>
                <w:rFonts w:hint="eastAsia" w:ascii="宋体" w:hAnsi="宋体" w:cs="宋体"/>
                <w:bCs/>
                <w:color w:val="000000"/>
                <w:kern w:val="0"/>
                <w:sz w:val="22"/>
                <w:szCs w:val="22"/>
                <w:lang w:eastAsia="zh-Hans" w:bidi="ar"/>
              </w:rPr>
              <w:t>且</w:t>
            </w:r>
            <w:r>
              <w:rPr>
                <w:rFonts w:hint="eastAsia" w:ascii="宋体" w:hAnsi="宋体" w:cs="宋体"/>
                <w:bCs/>
                <w:color w:val="000000"/>
                <w:kern w:val="0"/>
                <w:sz w:val="22"/>
                <w:szCs w:val="22"/>
                <w:lang w:bidi="ar"/>
              </w:rPr>
              <w:t>多元数据交换模块为所投</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原厂商自有知识产权（提供复印件加盖公章）</w:t>
            </w:r>
            <w:r>
              <w:rPr>
                <w:rFonts w:hint="eastAsia" w:ascii="宋体" w:hAnsi="宋体" w:cs="宋体"/>
                <w:bCs/>
                <w:color w:val="000000"/>
                <w:kern w:val="0"/>
                <w:sz w:val="22"/>
                <w:szCs w:val="22"/>
                <w:lang w:eastAsia="zh-Hans" w:bidi="ar"/>
              </w:rPr>
              <w:t>得</w:t>
            </w:r>
            <w:r>
              <w:rPr>
                <w:rFonts w:hint="eastAsia" w:ascii="宋体" w:hAnsi="宋体" w:cs="宋体"/>
                <w:bCs/>
                <w:color w:val="000000"/>
                <w:kern w:val="0"/>
                <w:sz w:val="22"/>
                <w:szCs w:val="22"/>
                <w:lang w:bidi="ar"/>
              </w:rPr>
              <w:t>4分，</w:t>
            </w:r>
          </w:p>
          <w:p>
            <w:pPr>
              <w:widowControl/>
              <w:numPr>
                <w:ilvl w:val="0"/>
                <w:numId w:val="31"/>
              </w:numPr>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由于本次采购的平台数据具有多样性与复杂等特点，本次所投的</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自带</w:t>
            </w:r>
            <w:r>
              <w:rPr>
                <w:rFonts w:hint="eastAsia" w:ascii="宋体" w:hAnsi="宋体" w:cs="宋体"/>
                <w:bCs/>
                <w:color w:val="000000"/>
                <w:kern w:val="0"/>
                <w:sz w:val="22"/>
                <w:szCs w:val="22"/>
                <w:lang w:eastAsia="zh-Hans" w:bidi="ar"/>
              </w:rPr>
              <w:t>数据管理模块</w:t>
            </w:r>
            <w:r>
              <w:rPr>
                <w:rFonts w:hint="eastAsia" w:ascii="宋体" w:hAnsi="宋体" w:cs="宋体"/>
                <w:bCs/>
                <w:color w:val="000000"/>
                <w:kern w:val="0"/>
                <w:sz w:val="22"/>
                <w:szCs w:val="22"/>
                <w:lang w:bidi="ar"/>
              </w:rPr>
              <w:t>，</w:t>
            </w:r>
            <w:r>
              <w:rPr>
                <w:rFonts w:hint="eastAsia" w:ascii="宋体" w:hAnsi="宋体" w:cs="宋体"/>
                <w:bCs/>
                <w:color w:val="000000"/>
                <w:kern w:val="0"/>
                <w:sz w:val="22"/>
                <w:szCs w:val="22"/>
                <w:lang w:eastAsia="zh-Hans" w:bidi="ar"/>
              </w:rPr>
              <w:t>且数据管理模块</w:t>
            </w:r>
            <w:r>
              <w:rPr>
                <w:rFonts w:hint="eastAsia" w:ascii="宋体" w:hAnsi="宋体" w:cs="宋体"/>
                <w:bCs/>
                <w:color w:val="000000"/>
                <w:kern w:val="0"/>
                <w:sz w:val="22"/>
                <w:szCs w:val="22"/>
                <w:lang w:bidi="ar"/>
              </w:rPr>
              <w:t>为所投</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原厂商自有知识产权（提供复印件加盖公章）</w:t>
            </w:r>
            <w:r>
              <w:rPr>
                <w:rFonts w:hint="eastAsia" w:ascii="宋体" w:hAnsi="宋体" w:cs="宋体"/>
                <w:bCs/>
                <w:color w:val="000000"/>
                <w:kern w:val="0"/>
                <w:sz w:val="22"/>
                <w:szCs w:val="22"/>
                <w:lang w:eastAsia="zh-Hans" w:bidi="ar"/>
              </w:rPr>
              <w:t>得</w:t>
            </w:r>
            <w:r>
              <w:rPr>
                <w:rFonts w:hint="eastAsia" w:ascii="宋体" w:hAnsi="宋体" w:cs="宋体"/>
                <w:bCs/>
                <w:color w:val="000000"/>
                <w:kern w:val="0"/>
                <w:sz w:val="22"/>
                <w:szCs w:val="22"/>
                <w:lang w:bidi="ar"/>
              </w:rPr>
              <w:t>4分，</w:t>
            </w:r>
          </w:p>
          <w:p>
            <w:pPr>
              <w:widowControl/>
              <w:numPr>
                <w:ilvl w:val="0"/>
                <w:numId w:val="31"/>
              </w:numPr>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由于本次采购的平台数据具有多样性与复杂等特点，本次所投的</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自带多</w:t>
            </w:r>
            <w:r>
              <w:rPr>
                <w:rFonts w:hint="eastAsia" w:ascii="宋体" w:hAnsi="宋体" w:cs="宋体"/>
                <w:bCs/>
                <w:color w:val="000000"/>
                <w:kern w:val="0"/>
                <w:sz w:val="22"/>
                <w:szCs w:val="22"/>
                <w:lang w:eastAsia="zh-Hans" w:bidi="ar"/>
              </w:rPr>
              <w:t>数据资源库模块</w:t>
            </w:r>
            <w:r>
              <w:rPr>
                <w:rFonts w:hint="eastAsia" w:ascii="宋体" w:hAnsi="宋体" w:cs="宋体"/>
                <w:bCs/>
                <w:color w:val="000000"/>
                <w:kern w:val="0"/>
                <w:sz w:val="22"/>
                <w:szCs w:val="22"/>
                <w:lang w:bidi="ar"/>
              </w:rPr>
              <w:t>，</w:t>
            </w:r>
            <w:r>
              <w:rPr>
                <w:rFonts w:hint="eastAsia" w:ascii="宋体" w:hAnsi="宋体" w:cs="宋体"/>
                <w:bCs/>
                <w:color w:val="000000"/>
                <w:kern w:val="0"/>
                <w:sz w:val="22"/>
                <w:szCs w:val="22"/>
                <w:lang w:eastAsia="zh-Hans" w:bidi="ar"/>
              </w:rPr>
              <w:t>且数据资源库模块</w:t>
            </w:r>
            <w:r>
              <w:rPr>
                <w:rFonts w:hint="eastAsia" w:ascii="宋体" w:hAnsi="宋体" w:cs="宋体"/>
                <w:bCs/>
                <w:color w:val="000000"/>
                <w:kern w:val="0"/>
                <w:sz w:val="22"/>
                <w:szCs w:val="22"/>
                <w:lang w:bidi="ar"/>
              </w:rPr>
              <w:t>为所投</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原厂商自有知识产权（提供复印件加盖公章）</w:t>
            </w:r>
            <w:r>
              <w:rPr>
                <w:rFonts w:hint="eastAsia" w:ascii="宋体" w:hAnsi="宋体" w:cs="宋体"/>
                <w:bCs/>
                <w:color w:val="000000"/>
                <w:kern w:val="0"/>
                <w:sz w:val="22"/>
                <w:szCs w:val="22"/>
                <w:lang w:eastAsia="zh-Hans" w:bidi="ar"/>
              </w:rPr>
              <w:t>得</w:t>
            </w:r>
            <w:r>
              <w:rPr>
                <w:rFonts w:hint="eastAsia" w:ascii="宋体" w:hAnsi="宋体" w:cs="宋体"/>
                <w:bCs/>
                <w:color w:val="000000"/>
                <w:kern w:val="0"/>
                <w:sz w:val="22"/>
                <w:szCs w:val="22"/>
                <w:lang w:bidi="ar"/>
              </w:rPr>
              <w:t>4分，</w:t>
            </w:r>
          </w:p>
          <w:p>
            <w:pPr>
              <w:widowControl/>
              <w:numPr>
                <w:ilvl w:val="0"/>
                <w:numId w:val="31"/>
              </w:numPr>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联动协作稳定性，边界安全防护系统和政法应用采集系统计算分析资源池为同一品牌加4分；</w:t>
            </w:r>
          </w:p>
        </w:tc>
      </w:tr>
      <w:tr>
        <w:tblPrEx>
          <w:tblCellMar>
            <w:top w:w="15" w:type="dxa"/>
            <w:left w:w="15" w:type="dxa"/>
            <w:bottom w:w="15" w:type="dxa"/>
            <w:right w:w="15" w:type="dxa"/>
          </w:tblCellMar>
        </w:tblPrEx>
        <w:trPr>
          <w:wBefore w:w="0" w:type="dxa"/>
          <w:wAfter w:w="0" w:type="dxa"/>
          <w:trHeight w:val="9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项目实施方案</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5</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bCs/>
                <w:color w:val="000000"/>
                <w:sz w:val="22"/>
                <w:szCs w:val="22"/>
              </w:rPr>
            </w:pPr>
            <w:r>
              <w:rPr>
                <w:rFonts w:hint="eastAsia" w:ascii="宋体" w:hAnsi="宋体" w:cs="宋体"/>
                <w:bCs/>
                <w:color w:val="000000"/>
                <w:kern w:val="0"/>
                <w:sz w:val="22"/>
                <w:szCs w:val="22"/>
                <w:lang w:bidi="ar"/>
              </w:rPr>
              <w:t>根据投标人提供的项目实施方案中的具体点位分布及安装，实施协调方法、实施流程、实施进度详细的描述，综合打分。0-5分</w:t>
            </w:r>
          </w:p>
        </w:tc>
      </w:tr>
      <w:tr>
        <w:tblPrEx>
          <w:tblCellMar>
            <w:top w:w="15" w:type="dxa"/>
            <w:left w:w="15" w:type="dxa"/>
            <w:bottom w:w="15" w:type="dxa"/>
            <w:right w:w="15" w:type="dxa"/>
          </w:tblCellMar>
        </w:tblPrEx>
        <w:trPr>
          <w:wBefore w:w="0" w:type="dxa"/>
          <w:wAfter w:w="0" w:type="dxa"/>
          <w:trHeight w:val="797"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系统主要功能演示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15</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sz w:val="22"/>
                <w:szCs w:val="22"/>
              </w:rPr>
            </w:pPr>
            <w:r>
              <w:rPr>
                <w:rFonts w:hint="eastAsia" w:ascii="宋体" w:hAnsi="宋体" w:cs="宋体"/>
                <w:bCs/>
                <w:color w:val="000000"/>
                <w:kern w:val="0"/>
                <w:sz w:val="22"/>
                <w:szCs w:val="22"/>
                <w:lang w:bidi="ar"/>
              </w:rPr>
              <w:t>各投标人根据如下功能进行</w:t>
            </w:r>
            <w:r>
              <w:rPr>
                <w:rFonts w:hint="eastAsia" w:ascii="宋体" w:hAnsi="宋体" w:cs="宋体"/>
                <w:bCs/>
                <w:color w:val="000000"/>
                <w:kern w:val="0"/>
                <w:sz w:val="22"/>
                <w:szCs w:val="22"/>
                <w:lang w:eastAsia="zh-Hans" w:bidi="ar"/>
              </w:rPr>
              <w:t>现场演示</w:t>
            </w:r>
            <w:r>
              <w:rPr>
                <w:rFonts w:hint="eastAsia" w:ascii="宋体" w:hAnsi="宋体" w:cs="宋体"/>
                <w:bCs/>
                <w:color w:val="000000"/>
                <w:kern w:val="0"/>
                <w:sz w:val="22"/>
                <w:szCs w:val="22"/>
                <w:lang w:bidi="ar"/>
              </w:rPr>
              <w:t>，由评审小组根据内容完整性与功能满足度进行综合打分，演示时间10分钟，满分15分。</w:t>
            </w:r>
          </w:p>
          <w:p>
            <w:pPr>
              <w:rPr>
                <w:rFonts w:hint="eastAsia" w:ascii="宋体" w:hAnsi="宋体"/>
                <w:sz w:val="22"/>
                <w:szCs w:val="22"/>
              </w:rPr>
            </w:pPr>
          </w:p>
          <w:p>
            <w:pPr>
              <w:widowControl/>
              <w:numPr>
                <w:ilvl w:val="0"/>
                <w:numId w:val="32"/>
              </w:numPr>
              <w:jc w:val="left"/>
              <w:textAlignment w:val="center"/>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模拟中心大屏，演示同比例大小的显示内容（要求展示内容显示正常；）。要求采用C/S结构客户端启动方式启动（非浏览器访问地址访问）。要求能通过手机端控制系统进行一键切换，实时同步电脑（大屏端）内容的切换，切换内容包括平安考核专题，平安指标专题，关注人员专题，事件分析专题，社会舆情专题，重点场所专题。有此功能得3分；</w:t>
            </w:r>
            <w:r>
              <w:rPr>
                <w:rFonts w:hint="eastAsia" w:ascii="宋体" w:hAnsi="宋体" w:cs="宋体"/>
                <w:bCs/>
                <w:color w:val="000000"/>
                <w:kern w:val="0"/>
                <w:sz w:val="22"/>
                <w:szCs w:val="22"/>
                <w:lang w:bidi="ar"/>
              </w:rPr>
              <w:br w:type="textWrapping"/>
            </w:r>
            <w:r>
              <w:rPr>
                <w:rFonts w:hint="eastAsia" w:ascii="宋体" w:hAnsi="宋体" w:cs="宋体"/>
                <w:bCs/>
                <w:color w:val="000000"/>
                <w:kern w:val="0"/>
                <w:sz w:val="22"/>
                <w:szCs w:val="22"/>
                <w:lang w:bidi="ar"/>
              </w:rPr>
              <w:t xml:space="preserve">2、演示大屏端各模块的内容：平安考核专题包括内容包括省级平安考核（上月得分和全省、全市排名，上月全省排名TOP10，上月扣分/加分排名），市级平安考核排行（上月得分和排名情况，重点工作扣分占比，上月各区县考核分析）等。平安指标专题内容包括按月/年显示案件总数和分类总数，各镇街案件数排行和各镇街根据案件分类展示案件数等并支持根据选择时间的不同，各分析模块的数据同步刷新。关注人员专题包括重点人员统计、化解情况、人员异动类型、人员类型和近期异动表等。事件分析包括地图事件展示、按本月/本年度进行事件类型占比分析、事件化解情况分析、事件涉及人数统计分析、事件列表、热词统计排行等，并支持根据选择全部事件，已发生事件，苗头性隐患事件的不同，各分析模块的数据同步刷新。社会舆情包括本月各镇街舆情情况、舆情总数与分类数、舆情事件走势分析、舆情关键字及排行和舆情事件列表等。重点场所包括场所周边街道巡查，重点场所地理分布，相关视频调用，应急力量，场所周边重点人分布，场所周边事件情况等。有此功能得3分；                       </w:t>
            </w:r>
            <w:r>
              <w:rPr>
                <w:rFonts w:hint="eastAsia" w:ascii="宋体" w:hAnsi="宋体" w:cs="宋体"/>
                <w:bCs/>
                <w:color w:val="000000"/>
                <w:kern w:val="0"/>
                <w:sz w:val="22"/>
                <w:szCs w:val="22"/>
                <w:lang w:bidi="ar"/>
              </w:rPr>
              <w:br w:type="textWrapping"/>
            </w:r>
            <w:r>
              <w:rPr>
                <w:rFonts w:ascii="宋体" w:hAnsi="宋体" w:cs="宋体"/>
                <w:bCs/>
                <w:color w:val="000000"/>
                <w:kern w:val="0"/>
                <w:sz w:val="22"/>
                <w:szCs w:val="22"/>
                <w:lang w:bidi="ar"/>
              </w:rPr>
              <w:t>3</w:t>
            </w:r>
            <w:r>
              <w:rPr>
                <w:rFonts w:hint="eastAsia" w:ascii="宋体" w:hAnsi="宋体" w:cs="宋体"/>
                <w:bCs/>
                <w:color w:val="000000"/>
                <w:kern w:val="0"/>
                <w:sz w:val="22"/>
                <w:szCs w:val="22"/>
                <w:lang w:bidi="ar"/>
              </w:rPr>
              <w:t>、演示</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 xml:space="preserve">中指数分级库与图像预警模块联动功能，通过指数分级库中的大数据分析引擎能实时对重点人（以防疫人员为例）进行分析，并做出相应的图像预人员联动库启动动作，有此功能得3分；             </w:t>
            </w:r>
            <w:r>
              <w:rPr>
                <w:rFonts w:hint="eastAsia" w:ascii="宋体" w:hAnsi="宋体" w:cs="宋体"/>
                <w:bCs/>
                <w:color w:val="000000"/>
                <w:kern w:val="0"/>
                <w:sz w:val="22"/>
                <w:szCs w:val="22"/>
                <w:lang w:bidi="ar"/>
              </w:rPr>
              <w:br w:type="textWrapping"/>
            </w:r>
            <w:r>
              <w:rPr>
                <w:rFonts w:ascii="宋体" w:hAnsi="宋体" w:cs="宋体"/>
                <w:bCs/>
                <w:color w:val="000000"/>
                <w:kern w:val="0"/>
                <w:sz w:val="22"/>
                <w:szCs w:val="22"/>
                <w:lang w:bidi="ar"/>
              </w:rPr>
              <w:t>4</w:t>
            </w:r>
            <w:r>
              <w:rPr>
                <w:rFonts w:hint="eastAsia" w:ascii="宋体" w:hAnsi="宋体" w:cs="宋体"/>
                <w:bCs/>
                <w:color w:val="000000"/>
                <w:kern w:val="0"/>
                <w:sz w:val="22"/>
                <w:szCs w:val="22"/>
                <w:lang w:bidi="ar"/>
              </w:rPr>
              <w:t>、演示终端PC节点用钉钉扫码认证，通过网络安全准入控制系统与</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统一身份认证系统，并做相应的认证IP绑定（特定的IP只能特定的用户扫码认证），同时用户钉钉扫码接入后，准入平台能展示交换机的可视化，并定位接入用户的位置信息。有此功能得3分，没有不得分；</w:t>
            </w:r>
            <w:r>
              <w:rPr>
                <w:rFonts w:hint="eastAsia" w:ascii="宋体" w:hAnsi="宋体" w:cs="宋体"/>
                <w:bCs/>
                <w:color w:val="000000"/>
                <w:kern w:val="0"/>
                <w:sz w:val="22"/>
                <w:szCs w:val="22"/>
                <w:lang w:bidi="ar"/>
              </w:rPr>
              <w:br w:type="textWrapping"/>
            </w:r>
            <w:r>
              <w:rPr>
                <w:rFonts w:ascii="宋体" w:hAnsi="宋体" w:cs="宋体"/>
                <w:bCs/>
                <w:color w:val="000000"/>
                <w:kern w:val="0"/>
                <w:sz w:val="22"/>
                <w:szCs w:val="22"/>
                <w:lang w:bidi="ar"/>
              </w:rPr>
              <w:t>5</w:t>
            </w:r>
            <w:r>
              <w:rPr>
                <w:rFonts w:hint="eastAsia" w:ascii="宋体" w:hAnsi="宋体" w:cs="宋体"/>
                <w:bCs/>
                <w:color w:val="000000"/>
                <w:kern w:val="0"/>
                <w:sz w:val="22"/>
                <w:szCs w:val="22"/>
                <w:lang w:bidi="ar"/>
              </w:rPr>
              <w:t>、演示</w:t>
            </w:r>
            <w:r>
              <w:rPr>
                <w:rFonts w:ascii="宋体" w:hAnsi="宋体" w:cs="宋体"/>
                <w:bCs/>
                <w:color w:val="000000"/>
                <w:kern w:val="0"/>
                <w:sz w:val="22"/>
                <w:szCs w:val="22"/>
                <w:lang w:bidi="ar"/>
              </w:rPr>
              <w:t>综治指挥作战平台</w:t>
            </w:r>
            <w:r>
              <w:rPr>
                <w:rFonts w:hint="eastAsia" w:ascii="宋体" w:hAnsi="宋体" w:cs="宋体"/>
                <w:bCs/>
                <w:color w:val="000000"/>
                <w:kern w:val="0"/>
                <w:sz w:val="22"/>
                <w:szCs w:val="22"/>
                <w:lang w:bidi="ar"/>
              </w:rPr>
              <w:t xml:space="preserve">中人踪行为分析库与异动推送库联动功能，通过异动推送库中的数据弹窗提醒能实时弹出重点人（以防疫人员为例）对应行为分析库，有此功能得3分，             </w:t>
            </w:r>
            <w:r>
              <w:rPr>
                <w:rFonts w:hint="eastAsia" w:ascii="宋体" w:hAnsi="宋体" w:cs="宋体"/>
                <w:bCs/>
                <w:color w:val="000000"/>
                <w:kern w:val="0"/>
                <w:sz w:val="22"/>
                <w:szCs w:val="22"/>
                <w:lang w:bidi="ar"/>
              </w:rPr>
              <w:br w:type="textWrapping"/>
            </w:r>
          </w:p>
          <w:p>
            <w:pPr>
              <w:widowControl/>
              <w:jc w:val="left"/>
              <w:textAlignment w:val="center"/>
              <w:rPr>
                <w:rFonts w:hint="eastAsia" w:ascii="宋体" w:hAnsi="宋体" w:cs="宋体"/>
                <w:bCs/>
                <w:color w:val="000000"/>
                <w:sz w:val="22"/>
                <w:szCs w:val="22"/>
              </w:rPr>
            </w:pPr>
            <w:r>
              <w:rPr>
                <w:rFonts w:hint="eastAsia" w:ascii="宋体" w:hAnsi="宋体" w:cs="宋体"/>
                <w:sz w:val="22"/>
                <w:szCs w:val="22"/>
              </w:rPr>
              <w:t>要求使用真实的软件系统进行模拟演示，若只有PPT等非真实的软件系统演示、讲解，本项不得分；</w:t>
            </w:r>
          </w:p>
        </w:tc>
      </w:tr>
      <w:tr>
        <w:tblPrEx>
          <w:tblCellMar>
            <w:top w:w="15" w:type="dxa"/>
            <w:left w:w="15" w:type="dxa"/>
            <w:bottom w:w="15" w:type="dxa"/>
            <w:right w:w="15" w:type="dxa"/>
          </w:tblCellMar>
        </w:tblPrEx>
        <w:trPr>
          <w:wBefore w:w="0" w:type="dxa"/>
          <w:wAfter w:w="0" w:type="dxa"/>
          <w:trHeight w:val="549"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6</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关键技术服务力量保障</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12</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项目负责人同时具有信息系统项目管理师和PMP证书得3分,不同时符合的不得分（0-3分）；</w:t>
            </w:r>
          </w:p>
        </w:tc>
      </w:tr>
      <w:tr>
        <w:tblPrEx>
          <w:tblCellMar>
            <w:top w:w="15" w:type="dxa"/>
            <w:left w:w="15" w:type="dxa"/>
            <w:bottom w:w="15" w:type="dxa"/>
            <w:right w:w="15" w:type="dxa"/>
          </w:tblCellMar>
        </w:tblPrEx>
        <w:trPr>
          <w:wBefore w:w="0" w:type="dxa"/>
          <w:wAfter w:w="0" w:type="dxa"/>
          <w:trHeight w:val="555"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技术总监具有国家软件考试系统分析师证书得3分，没有不得分；（0-3分）</w:t>
            </w:r>
          </w:p>
        </w:tc>
      </w:tr>
      <w:tr>
        <w:tblPrEx>
          <w:tblCellMar>
            <w:top w:w="15" w:type="dxa"/>
            <w:left w:w="15" w:type="dxa"/>
            <w:bottom w:w="15" w:type="dxa"/>
            <w:right w:w="15" w:type="dxa"/>
          </w:tblCellMar>
        </w:tblPrEx>
        <w:trPr>
          <w:wBefore w:w="0" w:type="dxa"/>
          <w:wAfter w:w="0" w:type="dxa"/>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技术团队中有成员持有CISA（注册信息系统审计师）证书得3分，没有不得分；（0-3分）</w:t>
            </w:r>
          </w:p>
        </w:tc>
      </w:tr>
      <w:tr>
        <w:tblPrEx>
          <w:tblCellMar>
            <w:top w:w="15" w:type="dxa"/>
            <w:left w:w="15" w:type="dxa"/>
            <w:bottom w:w="15" w:type="dxa"/>
            <w:right w:w="15" w:type="dxa"/>
          </w:tblCellMar>
        </w:tblPrEx>
        <w:trPr>
          <w:wBefore w:w="0" w:type="dxa"/>
          <w:wAfter w:w="0" w:type="dxa"/>
          <w:trHeight w:val="465"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技术团队中有成员持有OCM(数据库高级工程师）证书得3分，没有不得分；（0-3分）</w:t>
            </w:r>
          </w:p>
        </w:tc>
      </w:tr>
      <w:tr>
        <w:tblPrEx>
          <w:tblCellMar>
            <w:top w:w="15" w:type="dxa"/>
            <w:left w:w="15" w:type="dxa"/>
            <w:bottom w:w="15" w:type="dxa"/>
            <w:right w:w="15" w:type="dxa"/>
          </w:tblCellMar>
        </w:tblPrEx>
        <w:trPr>
          <w:wBefore w:w="0" w:type="dxa"/>
          <w:wAfter w:w="0" w:type="dxa"/>
          <w:trHeight w:val="4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cs="宋体"/>
                <w:bCs/>
                <w:color w:val="000000"/>
                <w:sz w:val="22"/>
                <w:szCs w:val="22"/>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bCs/>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Cs/>
                <w:color w:val="000000"/>
                <w:sz w:val="22"/>
                <w:szCs w:val="22"/>
              </w:rPr>
            </w:pP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以上各个人证书如提供证书扫描件需加盖公章，所有研发团队人员均须提提供所在投标供应商近三个月社保证明文件，扫描件加盖公章。</w:t>
            </w:r>
          </w:p>
        </w:tc>
      </w:tr>
      <w:tr>
        <w:tblPrEx>
          <w:tblCellMar>
            <w:top w:w="15" w:type="dxa"/>
            <w:left w:w="15" w:type="dxa"/>
            <w:bottom w:w="15" w:type="dxa"/>
            <w:right w:w="15" w:type="dxa"/>
          </w:tblCellMar>
        </w:tblPrEx>
        <w:trPr>
          <w:wBefore w:w="0" w:type="dxa"/>
          <w:wAfter w:w="0" w:type="dxa"/>
          <w:trHeight w:val="765"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7</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投标人业绩</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3</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根据投标人自2017年以来类似项目业绩的数量进行打分：每个得1分，最多3分；（提供完整合同及中标通知书扫描件，并加盖公章，否则不得分）</w:t>
            </w:r>
          </w:p>
        </w:tc>
      </w:tr>
      <w:tr>
        <w:tblPrEx>
          <w:tblCellMar>
            <w:top w:w="15" w:type="dxa"/>
            <w:left w:w="15" w:type="dxa"/>
            <w:bottom w:w="15" w:type="dxa"/>
            <w:right w:w="15" w:type="dxa"/>
          </w:tblCellMar>
        </w:tblPrEx>
        <w:trPr>
          <w:wBefore w:w="0" w:type="dxa"/>
          <w:wAfter w:w="0" w:type="dxa"/>
          <w:trHeight w:val="765" w:hRule="atLeast"/>
        </w:trPr>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8</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投标货物的性能及技术指标</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16</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根据投标软硬件产品的详细性能指标、参数及其证明材料是否符合招标文件要求进行评审打分。 注：带“★”的重要技术参数不满足的每项扣1分，其余不带“★”的技术参数不满足的每项扣</w:t>
            </w:r>
            <w:r>
              <w:rPr>
                <w:rFonts w:ascii="宋体" w:hAnsi="宋体" w:cs="宋体"/>
                <w:bCs/>
                <w:color w:val="000000"/>
                <w:kern w:val="0"/>
                <w:sz w:val="22"/>
                <w:szCs w:val="22"/>
                <w:lang w:bidi="ar"/>
              </w:rPr>
              <w:t>1</w:t>
            </w:r>
            <w:r>
              <w:rPr>
                <w:rFonts w:hint="eastAsia" w:ascii="宋体" w:hAnsi="宋体" w:cs="宋体"/>
                <w:bCs/>
                <w:color w:val="000000"/>
                <w:kern w:val="0"/>
                <w:sz w:val="22"/>
                <w:szCs w:val="22"/>
                <w:lang w:bidi="ar"/>
              </w:rPr>
              <w:t>分，扣完为止。</w:t>
            </w:r>
          </w:p>
        </w:tc>
      </w:tr>
      <w:tr>
        <w:tblPrEx>
          <w:tblCellMar>
            <w:top w:w="15" w:type="dxa"/>
            <w:left w:w="15" w:type="dxa"/>
            <w:bottom w:w="15" w:type="dxa"/>
            <w:right w:w="15" w:type="dxa"/>
          </w:tblCellMar>
        </w:tblPrEx>
        <w:trPr>
          <w:wBefore w:w="0" w:type="dxa"/>
          <w:wAfter w:w="0" w:type="dxa"/>
          <w:trHeight w:val="70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售后服务</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3</w:t>
            </w:r>
          </w:p>
        </w:tc>
        <w:tc>
          <w:tcPr>
            <w:tcW w:w="7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bCs/>
                <w:color w:val="000000"/>
                <w:kern w:val="0"/>
                <w:sz w:val="22"/>
                <w:szCs w:val="22"/>
                <w:lang w:bidi="ar"/>
              </w:rPr>
            </w:pPr>
            <w:r>
              <w:rPr>
                <w:rFonts w:hint="eastAsia" w:ascii="宋体" w:hAnsi="宋体" w:cs="宋体"/>
                <w:bCs/>
                <w:color w:val="000000"/>
                <w:kern w:val="0"/>
                <w:sz w:val="22"/>
                <w:szCs w:val="22"/>
                <w:lang w:bidi="ar"/>
              </w:rPr>
              <w:t>根据售后服务承诺的范围和完善程度（包括售后服务标准、服务人员配备、故障响应修复时间方式及保障措施）。0-3分</w:t>
            </w:r>
          </w:p>
        </w:tc>
      </w:tr>
    </w:tbl>
    <w:p>
      <w:pPr>
        <w:pStyle w:val="2"/>
        <w:ind w:firstLine="0" w:firstLineChars="0"/>
        <w:rPr>
          <w:rFonts w:hint="eastAsia"/>
        </w:rPr>
      </w:pPr>
    </w:p>
    <w:p>
      <w:pPr>
        <w:numPr>
          <w:ilvl w:val="0"/>
          <w:numId w:val="30"/>
        </w:numPr>
        <w:spacing w:line="440" w:lineRule="exact"/>
        <w:ind w:firstLine="0"/>
        <w:rPr>
          <w:rFonts w:hint="eastAsia" w:ascii="新宋体" w:hAnsi="新宋体" w:eastAsia="新宋体" w:cs="新宋体"/>
          <w:b/>
          <w:bCs/>
          <w:sz w:val="22"/>
          <w:szCs w:val="22"/>
        </w:rPr>
      </w:pPr>
      <w:r>
        <w:rPr>
          <w:rFonts w:hint="eastAsia" w:ascii="新宋体" w:hAnsi="新宋体" w:eastAsia="新宋体"/>
          <w:b/>
          <w:sz w:val="22"/>
          <w:szCs w:val="22"/>
        </w:rPr>
        <w:t>投标报价评分</w:t>
      </w:r>
      <w:r>
        <w:rPr>
          <w:rFonts w:hint="eastAsia" w:ascii="新宋体" w:hAnsi="新宋体" w:eastAsia="新宋体" w:cs="新宋体"/>
          <w:b/>
          <w:bCs/>
          <w:sz w:val="22"/>
          <w:szCs w:val="22"/>
        </w:rPr>
        <w:t>（10分）：</w:t>
      </w:r>
    </w:p>
    <w:p>
      <w:pPr>
        <w:spacing w:line="44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2.1满足采购文件要求且投标价格最低的投标报价为评标基准价；</w:t>
      </w:r>
    </w:p>
    <w:p>
      <w:pPr>
        <w:spacing w:line="440" w:lineRule="exact"/>
        <w:ind w:left="330"/>
        <w:rPr>
          <w:rFonts w:hint="eastAsia" w:ascii="新宋体" w:hAnsi="新宋体" w:eastAsia="新宋体" w:cs="新宋体"/>
          <w:kern w:val="0"/>
          <w:sz w:val="22"/>
          <w:szCs w:val="22"/>
        </w:rPr>
      </w:pPr>
      <w:r>
        <w:rPr>
          <w:rFonts w:hint="eastAsia" w:ascii="新宋体" w:hAnsi="新宋体" w:eastAsia="新宋体" w:cs="新宋体"/>
          <w:kern w:val="0"/>
          <w:sz w:val="22"/>
          <w:szCs w:val="22"/>
        </w:rPr>
        <w:t>1）有效投标人的投标价等于评标基准价时，其投标报价评分值为满分；</w:t>
      </w:r>
    </w:p>
    <w:p>
      <w:pPr>
        <w:spacing w:line="440" w:lineRule="exact"/>
        <w:ind w:left="330"/>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r>
        <w:rPr>
          <w:rFonts w:hint="eastAsia" w:ascii="宋体" w:hAnsi="宋体" w:cs="宋体"/>
          <w:sz w:val="22"/>
        </w:rPr>
        <w:t>未满足折扣条件的报价得分</w:t>
      </w:r>
      <w:r>
        <w:rPr>
          <w:rFonts w:hint="eastAsia" w:ascii="新宋体" w:hAnsi="新宋体" w:eastAsia="新宋体" w:cs="新宋体"/>
          <w:kern w:val="0"/>
          <w:sz w:val="22"/>
          <w:szCs w:val="22"/>
        </w:rPr>
        <w:t>=（评标基准价/投标人投标报价）×10</w:t>
      </w:r>
      <w:r>
        <w:rPr>
          <w:rFonts w:hint="eastAsia" w:ascii="新宋体" w:hAnsi="新宋体" w:eastAsia="新宋体"/>
          <w:sz w:val="22"/>
          <w:szCs w:val="22"/>
        </w:rPr>
        <w:t>（四舍五入，保留小数点后2位）</w:t>
      </w:r>
    </w:p>
    <w:p>
      <w:pPr>
        <w:spacing w:line="440" w:lineRule="exact"/>
        <w:ind w:left="330"/>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r>
        <w:rPr>
          <w:rFonts w:hint="eastAsia" w:ascii="宋体" w:hAnsi="宋体" w:cs="宋体"/>
          <w:sz w:val="22"/>
        </w:rPr>
        <w:t>满足折扣条件的报价得分</w:t>
      </w:r>
      <w:r>
        <w:rPr>
          <w:rFonts w:hint="eastAsia" w:ascii="新宋体" w:hAnsi="新宋体" w:eastAsia="新宋体" w:cs="新宋体"/>
          <w:kern w:val="0"/>
          <w:sz w:val="22"/>
          <w:szCs w:val="22"/>
        </w:rPr>
        <w:t>=（评标基准价/投标人投标报价</w:t>
      </w:r>
      <w:r>
        <w:rPr>
          <w:rFonts w:hint="eastAsia" w:ascii="新宋体" w:hAnsi="新宋体" w:eastAsia="新宋体"/>
          <w:sz w:val="22"/>
          <w:szCs w:val="22"/>
        </w:rPr>
        <w:t>×94%</w:t>
      </w:r>
      <w:r>
        <w:rPr>
          <w:rFonts w:hint="eastAsia" w:ascii="新宋体" w:hAnsi="新宋体" w:eastAsia="新宋体" w:cs="新宋体"/>
          <w:kern w:val="0"/>
          <w:sz w:val="22"/>
          <w:szCs w:val="22"/>
        </w:rPr>
        <w:t>）×10</w:t>
      </w:r>
      <w:r>
        <w:rPr>
          <w:rFonts w:hint="eastAsia" w:ascii="新宋体" w:hAnsi="新宋体" w:eastAsia="新宋体"/>
          <w:sz w:val="22"/>
          <w:szCs w:val="22"/>
        </w:rPr>
        <w:t>（四舍五入，保留小数点后2位）</w:t>
      </w:r>
    </w:p>
    <w:p>
      <w:pPr>
        <w:spacing w:line="440" w:lineRule="exact"/>
        <w:ind w:left="330"/>
        <w:rPr>
          <w:rFonts w:hint="eastAsia" w:ascii="新宋体" w:hAnsi="新宋体" w:eastAsia="新宋体" w:cs="新宋体"/>
          <w:kern w:val="0"/>
          <w:sz w:val="22"/>
          <w:szCs w:val="22"/>
        </w:rPr>
      </w:pPr>
      <w:r>
        <w:rPr>
          <w:rFonts w:hint="eastAsia" w:ascii="新宋体" w:hAnsi="新宋体" w:eastAsia="新宋体" w:cs="新宋体"/>
          <w:kern w:val="0"/>
          <w:sz w:val="22"/>
          <w:szCs w:val="22"/>
        </w:rPr>
        <w:t>4）本项目采购预算为人民币</w:t>
      </w:r>
      <w:r>
        <w:rPr>
          <w:rFonts w:hint="eastAsia" w:ascii="新宋体" w:hAnsi="新宋体" w:eastAsia="新宋体" w:cs="新宋体"/>
          <w:b/>
          <w:kern w:val="0"/>
          <w:sz w:val="22"/>
          <w:szCs w:val="22"/>
          <w:u w:val="single"/>
        </w:rPr>
        <w:t>520万元整</w:t>
      </w:r>
      <w:r>
        <w:rPr>
          <w:rFonts w:hint="eastAsia" w:ascii="新宋体" w:hAnsi="新宋体" w:eastAsia="新宋体" w:cs="新宋体"/>
          <w:kern w:val="0"/>
          <w:sz w:val="22"/>
          <w:szCs w:val="22"/>
        </w:rPr>
        <w:t>，如投标人报价超过采购预算，其投标文件作无效标处理。</w:t>
      </w:r>
    </w:p>
    <w:p>
      <w:pPr>
        <w:spacing w:line="440" w:lineRule="exact"/>
        <w:ind w:left="330"/>
        <w:rPr>
          <w:rFonts w:hint="eastAsia" w:ascii="新宋体" w:hAnsi="新宋体" w:eastAsia="新宋体" w:cs="新宋体"/>
          <w:kern w:val="0"/>
          <w:sz w:val="22"/>
          <w:szCs w:val="22"/>
        </w:rPr>
      </w:pPr>
      <w:r>
        <w:rPr>
          <w:rFonts w:hint="eastAsia" w:ascii="新宋体" w:hAnsi="新宋体" w:eastAsia="新宋体" w:cs="新宋体"/>
          <w:kern w:val="0"/>
          <w:sz w:val="22"/>
          <w:szCs w:val="22"/>
        </w:rPr>
        <w:t>5）所有投标人商务报价均超采购预算，重新组织招标。</w:t>
      </w:r>
    </w:p>
    <w:p>
      <w:pPr>
        <w:spacing w:line="440" w:lineRule="exact"/>
        <w:rPr>
          <w:rFonts w:hint="eastAsia" w:ascii="新宋体" w:hAnsi="新宋体" w:eastAsia="新宋体"/>
          <w:sz w:val="22"/>
          <w:szCs w:val="22"/>
        </w:rPr>
      </w:pPr>
      <w:r>
        <w:rPr>
          <w:rFonts w:hint="eastAsia" w:ascii="新宋体" w:hAnsi="新宋体" w:eastAsia="新宋体"/>
          <w:sz w:val="22"/>
          <w:szCs w:val="22"/>
        </w:rPr>
        <w:t>2.2政府采购政策说明</w:t>
      </w:r>
    </w:p>
    <w:p>
      <w:pPr>
        <w:spacing w:line="440" w:lineRule="exact"/>
        <w:ind w:firstLine="440" w:firstLineChars="200"/>
        <w:rPr>
          <w:rFonts w:ascii="宋体" w:hAnsi="宋体" w:cs="宋体"/>
          <w:bCs/>
          <w:sz w:val="22"/>
        </w:rPr>
      </w:pPr>
      <w:r>
        <w:rPr>
          <w:rFonts w:hint="eastAsia" w:ascii="宋体" w:hAnsi="宋体" w:cs="宋体"/>
          <w:bCs/>
          <w:sz w:val="22"/>
        </w:rPr>
        <w:t>①根据《政府采购促进中小企业发展暂行办法》（财库[2011]181号）的规定，投标人为小型或微型企业且投标产品为小型或微型企业生产的并提交相关证明材料，其小型或微型企业部分投标报价扣除6%后参与评审。</w:t>
      </w:r>
    </w:p>
    <w:p>
      <w:pPr>
        <w:spacing w:line="440" w:lineRule="exact"/>
        <w:ind w:firstLine="440" w:firstLineChars="200"/>
        <w:rPr>
          <w:rFonts w:ascii="宋体" w:hAnsi="宋体" w:cs="宋体"/>
          <w:bCs/>
          <w:sz w:val="22"/>
        </w:rPr>
      </w:pPr>
      <w:r>
        <w:rPr>
          <w:rFonts w:hint="eastAsia" w:ascii="宋体" w:hAnsi="宋体" w:cs="宋体"/>
          <w:bCs/>
          <w:sz w:val="22"/>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6%后参与评审。</w:t>
      </w:r>
    </w:p>
    <w:p>
      <w:pPr>
        <w:spacing w:line="440" w:lineRule="exact"/>
        <w:ind w:firstLine="440" w:firstLineChars="200"/>
        <w:rPr>
          <w:rFonts w:ascii="宋体" w:hAnsi="宋体" w:cs="宋体"/>
          <w:bCs/>
          <w:sz w:val="22"/>
        </w:rPr>
      </w:pPr>
      <w:r>
        <w:rPr>
          <w:rFonts w:hint="eastAsia" w:ascii="宋体" w:hAnsi="宋体" w:cs="宋体"/>
          <w:bCs/>
          <w:sz w:val="22"/>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6%后参与评审。</w:t>
      </w:r>
    </w:p>
    <w:p>
      <w:pPr>
        <w:spacing w:line="440" w:lineRule="exact"/>
        <w:ind w:firstLine="440" w:firstLineChars="200"/>
        <w:rPr>
          <w:rFonts w:hint="eastAsia" w:ascii="宋体" w:hAnsi="宋体" w:cs="宋体"/>
          <w:bCs/>
          <w:sz w:val="22"/>
        </w:rPr>
      </w:pPr>
      <w:r>
        <w:rPr>
          <w:rFonts w:hint="eastAsia" w:ascii="宋体" w:hAnsi="宋体" w:cs="宋体"/>
          <w:bCs/>
          <w:sz w:val="22"/>
        </w:rPr>
        <w:t>④以上小型、微型企业的，不重复享受政策。未提供完整证明材料的，投标报价不予扣减。证明材料详见第二部分。</w:t>
      </w:r>
    </w:p>
    <w:p>
      <w:pPr>
        <w:numPr>
          <w:ilvl w:val="0"/>
          <w:numId w:val="30"/>
        </w:numPr>
        <w:spacing w:line="440" w:lineRule="exact"/>
        <w:ind w:firstLine="0"/>
        <w:rPr>
          <w:rFonts w:ascii="新宋体" w:hAnsi="新宋体" w:eastAsia="新宋体"/>
          <w:b/>
          <w:sz w:val="22"/>
          <w:szCs w:val="22"/>
        </w:rPr>
      </w:pPr>
      <w:r>
        <w:rPr>
          <w:rFonts w:hint="eastAsia" w:ascii="新宋体" w:hAnsi="新宋体" w:eastAsia="新宋体"/>
          <w:b/>
          <w:sz w:val="22"/>
          <w:szCs w:val="22"/>
        </w:rPr>
        <w:t>有效投标人的综合得分为商务技术文件得分和投标报价得分的总和。</w:t>
      </w:r>
    </w:p>
    <w:sectPr>
      <w:footerReference r:id="rId10" w:type="first"/>
      <w:headerReference r:id="rId8" w:type="default"/>
      <w:footerReference r:id="rId9" w:type="default"/>
      <w:type w:val="nextColumn"/>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Neue">
    <w:altName w:val="Corbel"/>
    <w:panose1 w:val="02000503000000020004"/>
    <w:charset w:val="00"/>
    <w:family w:val="auto"/>
    <w:pitch w:val="default"/>
    <w:sig w:usb0="E50002FF" w:usb1="500079DB" w:usb2="00000010" w:usb3="00000000" w:csb0="00000000" w:csb1="00000000"/>
  </w:font>
  <w:font w:name="Microsoft YaHei UI">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A00002FF" w:usb1="28CFFCFA" w:usb2="00000016" w:usb3="00000000" w:csb0="00100001" w:csb1="00000000"/>
  </w:font>
  <w:font w:name="宋体,Verdana,Arial">
    <w:altName w:val="宋体"/>
    <w:panose1 w:val="00000000000000000000"/>
    <w:charset w:val="86"/>
    <w:family w:val="roman"/>
    <w:pitch w:val="default"/>
    <w:sig w:usb0="00000001" w:usb1="080E0000" w:usb2="00000010" w:usb3="00000000" w:csb0="00040000" w:csb1="00000000"/>
  </w:font>
  <w:font w:name="ZapfDingbatsNr2EFOP-Regular">
    <w:altName w:val="宋体"/>
    <w:panose1 w:val="00000000000000000000"/>
    <w:charset w:val="00"/>
    <w:family w:val="auto"/>
    <w:pitch w:val="default"/>
    <w:sig w:usb0="00000003" w:usb1="080E0000" w:usb2="0000001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Heiti SC Light">
    <w:altName w:val="Malgun Gothic Semilight"/>
    <w:panose1 w:val="02000000000000000000"/>
    <w:charset w:val="00"/>
    <w:family w:val="auto"/>
    <w:pitch w:val="default"/>
    <w:sig w:usb0="8000002F" w:usb1="0800004A" w:usb2="00000000" w:usb3="00000000" w:csb0="203E0000" w:csb1="00000000"/>
  </w:font>
  <w:font w:name="新宋体">
    <w:panose1 w:val="02010609030101010101"/>
    <w:charset w:val="86"/>
    <w:family w:val="modern"/>
    <w:pitch w:val="default"/>
    <w:sig w:usb0="00000203" w:usb1="288F0000" w:usb2="00000006" w:usb3="00000000" w:csb0="00040001" w:csb1="00000000"/>
  </w:font>
  <w:font w:name="Univers LT Std 47 Cn Lt">
    <w:altName w:val="宋体"/>
    <w:panose1 w:val="00000000000000000000"/>
    <w:charset w:val="86"/>
    <w:family w:val="swiss"/>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Linotype Univers 330 Light">
    <w:altName w:val="宋体"/>
    <w:panose1 w:val="00000000000000000000"/>
    <w:charset w:val="86"/>
    <w:family w:val="swiss"/>
    <w:pitch w:val="default"/>
    <w:sig w:usb0="00000001" w:usb1="080E0000" w:usb2="00000010" w:usb3="00000000" w:csb0="00040000" w:csb1="00000000"/>
  </w:font>
  <w:font w:name="Univers LT Std 57 Cn">
    <w:altName w:val="Courier New"/>
    <w:panose1 w:val="00000000000000000000"/>
    <w:charset w:val="00"/>
    <w:family w:val="swiss"/>
    <w:pitch w:val="default"/>
    <w:sig w:usb0="00000003" w:usb1="00000000" w:usb2="00000000" w:usb3="00000000" w:csb0="00000001" w:csb1="00000000"/>
  </w:font>
  <w:font w:name="Arial (W1)">
    <w:altName w:val="Arial"/>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hakuyoxingshu7000">
    <w:altName w:val="黑体"/>
    <w:panose1 w:val="02000600000000000000"/>
    <w:charset w:val="00"/>
    <w:family w:val="auto"/>
    <w:pitch w:val="default"/>
    <w:sig w:usb0="FFFFFFFF" w:usb1="E9FFFFFF" w:usb2="0000003F" w:usb3="00000000" w:csb0="603F00FF" w:csb1="FFFF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Align="top"/>
      <w:rPr>
        <w:rStyle w:val="60"/>
      </w:rPr>
    </w:pPr>
    <w:r>
      <w:fldChar w:fldCharType="begin"/>
    </w:r>
    <w:r>
      <w:rPr>
        <w:rStyle w:val="60"/>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7"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pPr>
                            <w:pStyle w:val="36"/>
                            <w:rPr>
                              <w:rStyle w:val="60"/>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lang/>
                            </w:rPr>
                            <w:t>34</w:t>
                          </w:r>
                          <w:r>
                            <w:rPr>
                              <w:rFonts w:hint="eastAsia" w:ascii="新宋体" w:hAnsi="新宋体" w:eastAsia="新宋体" w:cs="新宋体"/>
                              <w:b/>
                              <w:sz w:val="16"/>
                              <w:szCs w:val="16"/>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IGrxpXvAQAAtAMAAA4AAABkcnMvZTJvRG9jLnhtbK1TS27bMBDdF+gd CO5rWbETNILlIE3gokD6AdIegKIoiajEIYa0JfcA7Q26yqb7nsvnyJCy3LTdFd0QI3LmzZs3T6ur oWvZTqHTYHKezuacKSOh1KbO+aePmxcvOXNemFK0YFTO98rxq/XzZ6veZuoMGmhLhYxAjMt6m/PG e5sliZON6oSbgVWGHivATnj6xDopUfSE3rXJ2Xx+kfSApUWQyjm6vR0f+TriV5WS/n1VOeVZm3Pi 5uOJ8SzCmaxXIqtR2EbLIw3xDyw6oQ01PUHdCi/YFvVfUJ2WCA4qP5PQJVBVWqo4A02Tzv+Y5r4R VsVZSBxnTzK5/wcr3+0+INNlzhecGdHRig7fvx0efh5+fGUXQZ7euoyy7i3l+eEVDLTmOKqzdyA/ O2bgphGmVteI0DdKlEQvDZXJk9IRxwWQon8LJfURWw8RaKiwC9qRGozQaU3702rU4JkMLdPl5eKc M0lP6SJdLs9jB5FNxRadf62gYyHIOdLmI7jY3TkfyIhsSgm9DGx028btt+a3C0oMN5F84Dsy90Mx HMUooNzTGAijmcj8FDSAXzjryUg5N+R0zto3hoQInpsCnIJiCoSRVJhzz9kY3vjRm1uLum4Id5L6 msTa6DhIUHXkcGRJ1ojzHW0cvPf0O2b9+tnWj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EPlfknQ AAAAAwEAAA8AAAAAAAAAAQAgAAAAIgAAAGRycy9kb3ducmV2LnhtbFBLAQIUABQAAAAIAIdO4kCB q8aV7wEAALQDAAAOAAAAAAAAAAEAIAAAAB8BAABkcnMvZTJvRG9jLnhtbFBLBQYAAAAABgAGAFkB AACABQAAAAA= ">
              <v:fill on="f" focussize="0,0"/>
              <v:stroke on="f"/>
              <v:imagedata o:title=""/>
              <o:lock v:ext="edit" aspectratio="f"/>
              <v:textbox inset="0mm,0mm,0mm,0mm">
                <w:txbxContent>
                  <w:p>
                    <w:pPr>
                      <w:pStyle w:val="36"/>
                      <w:rPr>
                        <w:rStyle w:val="60"/>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lang/>
                      </w:rPr>
                      <w:t>34</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宁波国咨工程造价咨询有限公司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KxNaO4PAgAADwQAAA4AAABkcnMvZTJvRG9jLnhtbK1TzY7TMBC+I/EO lu807bJll6jpatmqCGn5kRYewHWcxiL2WGO3SXkAeANOXLjzXH0Oxk5SluWyBy7RxJ75Zr5vPi+u OtOwvUKvwRZ8NplypqyEUtttwT99XD+75MwHYUvRgFUFPyjPr5ZPnyxal6szqKEpFTICsT5vXcHr EFyeZV7Wygg/AacsXVaARgT6xW1WomgJ3TTZ2XT6ImsBS4cglfd0uuov+YCIjwGEqtJSrUDujLKh R0XViECUfK2d58s0bVUpGd5XlVeBNQUnpiF9qQnFm/jNlguRb1G4WsthBPGYER5wMkJbanqCWokg 2A71P1BGSwQPVZhIMFlPJClCLGbTB9rc1cKpxIWk9u4kuv9/sPLd/gMyXRac1m6FoYUfv387/vh1 /PmVvYzytM7nlHXnKC90r6Aj0ySq3t2C/OyZhZta2K26RoS2VqKk8WaxMrtX2uP4CLJp30JJfcQu QALqKjRRO1KDETqt5nBajeoCk3Q4v7i4nHMm6Wb2fHZ+Pk8NRD7WOvThtQLDYlBwpMUnbLG/9SHO IvIxJbaysNZNk5bf2L8OKLE/Uck9Q3VkEofvaYRu0w3KbKA8ECeE3ln0riioAb9w1pKrCm7pEXHW vLGkSjTgGOAYbMZAWEmFBQ+c9eFN6I26c6i3NeGOul+TcmudaMXB+hkGvcknie3g6WjE+/8p6887 Xv4G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z4vdRNAAAAACAQAADwAAAAAAAAABACAAAAAiAAAA ZHJzL2Rvd25yZXYueG1sUEsBAhQAFAAAAAgAh07iQKxNaO4PAgAADwQAAA4AAAAAAAAAAQAgAAAA HwEAAGRycy9lMm9Eb2MueG1sUEsFBgAAAAAGAAYAWQEAAKAFA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pPr>
    <w:r>
      <w:rPr>
        <w:rFonts w:hint="eastAsia"/>
      </w:rPr>
      <w:t xml:space="preserve">温州市政府采购招标文件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eastAsia="新宋体"/>
      </w:rPr>
    </w:pPr>
    <w:r>
      <w:rPr>
        <w:rFonts w:hint="eastAsia" w:eastAsia="新宋体"/>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656E"/>
    <w:multiLevelType w:val="singleLevel"/>
    <w:tmpl w:val="8310656E"/>
    <w:lvl w:ilvl="0" w:tentative="0">
      <w:start w:val="1"/>
      <w:numFmt w:val="decimal"/>
      <w:suff w:val="nothing"/>
      <w:lvlText w:val="%1．"/>
      <w:lvlJc w:val="left"/>
      <w:pPr>
        <w:ind w:left="0" w:firstLine="400"/>
      </w:pPr>
      <w:rPr>
        <w:rFonts w:hint="default"/>
      </w:rPr>
    </w:lvl>
  </w:abstractNum>
  <w:abstractNum w:abstractNumId="1">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DA53540F"/>
    <w:multiLevelType w:val="singleLevel"/>
    <w:tmpl w:val="DA53540F"/>
    <w:lvl w:ilvl="0" w:tentative="0">
      <w:start w:val="1"/>
      <w:numFmt w:val="chineseCounting"/>
      <w:suff w:val="nothing"/>
      <w:lvlText w:val="%1、"/>
      <w:lvlJc w:val="left"/>
      <w:rPr>
        <w:rFonts w:hint="eastAsia"/>
      </w:rPr>
    </w:lvl>
  </w:abstractNum>
  <w:abstractNum w:abstractNumId="4">
    <w:nsid w:val="EC9820B3"/>
    <w:multiLevelType w:val="singleLevel"/>
    <w:tmpl w:val="EC9820B3"/>
    <w:lvl w:ilvl="0" w:tentative="0">
      <w:start w:val="2"/>
      <w:numFmt w:val="chineseCounting"/>
      <w:suff w:val="nothing"/>
      <w:lvlText w:val="%1、"/>
      <w:lvlJc w:val="left"/>
      <w:rPr>
        <w:rFonts w:hint="eastAsia"/>
      </w:rPr>
    </w:lvl>
  </w:abstractNum>
  <w:abstractNum w:abstractNumId="5">
    <w:nsid w:val="00000005"/>
    <w:multiLevelType w:val="multilevel"/>
    <w:tmpl w:val="00000005"/>
    <w:lvl w:ilvl="0" w:tentative="0">
      <w:start w:val="1"/>
      <w:numFmt w:val="bullet"/>
      <w:pStyle w:val="8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6">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5"/>
      <w:numFmt w:val="decimal"/>
      <w:pStyle w:val="653"/>
      <w:lvlText w:val="%1."/>
      <w:lvlJc w:val="left"/>
      <w:pPr>
        <w:tabs>
          <w:tab w:val="left" w:pos="360"/>
        </w:tabs>
        <w:ind w:left="360" w:hanging="360"/>
      </w:pPr>
      <w:rPr>
        <w:rFonts w:hint="default"/>
      </w:rPr>
    </w:lvl>
    <w:lvl w:ilvl="1" w:tentative="0">
      <w:start w:val="0"/>
      <w:numFmt w:val="none"/>
      <w:pStyle w:val="643"/>
      <w:lvlText w:val=""/>
      <w:lvlJc w:val="left"/>
      <w:pPr>
        <w:tabs>
          <w:tab w:val="left" w:pos="360"/>
        </w:tabs>
      </w:pPr>
    </w:lvl>
    <w:lvl w:ilvl="2" w:tentative="0">
      <w:start w:val="0"/>
      <w:numFmt w:val="none"/>
      <w:pStyle w:val="573"/>
      <w:lvlText w:val=""/>
      <w:lvlJc w:val="left"/>
      <w:pPr>
        <w:tabs>
          <w:tab w:val="left" w:pos="360"/>
        </w:tabs>
      </w:pPr>
    </w:lvl>
    <w:lvl w:ilvl="3" w:tentative="0">
      <w:start w:val="0"/>
      <w:numFmt w:val="none"/>
      <w:pStyle w:val="572"/>
      <w:lvlText w:val=""/>
      <w:lvlJc w:val="left"/>
      <w:pPr>
        <w:tabs>
          <w:tab w:val="left" w:pos="360"/>
        </w:tabs>
      </w:pPr>
    </w:lvl>
    <w:lvl w:ilvl="4" w:tentative="0">
      <w:start w:val="0"/>
      <w:numFmt w:val="none"/>
      <w:pStyle w:val="571"/>
      <w:lvlText w:val=""/>
      <w:lvlJc w:val="left"/>
      <w:pPr>
        <w:tabs>
          <w:tab w:val="left" w:pos="360"/>
        </w:tabs>
      </w:pPr>
    </w:lvl>
    <w:lvl w:ilvl="5" w:tentative="0">
      <w:start w:val="0"/>
      <w:numFmt w:val="none"/>
      <w:pStyle w:val="591"/>
      <w:lvlText w:val=""/>
      <w:lvlJc w:val="left"/>
      <w:pPr>
        <w:tabs>
          <w:tab w:val="left" w:pos="360"/>
        </w:tabs>
      </w:pPr>
    </w:lvl>
    <w:lvl w:ilvl="6" w:tentative="0">
      <w:start w:val="0"/>
      <w:numFmt w:val="none"/>
      <w:pStyle w:val="590"/>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552"/>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0">
    <w:nsid w:val="1E195BE8"/>
    <w:multiLevelType w:val="singleLevel"/>
    <w:tmpl w:val="1E195BE8"/>
    <w:lvl w:ilvl="0" w:tentative="0">
      <w:start w:val="6"/>
      <w:numFmt w:val="chineseCounting"/>
      <w:suff w:val="nothing"/>
      <w:lvlText w:val="%1、"/>
      <w:lvlJc w:val="left"/>
      <w:pPr>
        <w:ind w:left="0" w:firstLine="0"/>
      </w:pPr>
    </w:lvl>
  </w:abstractNum>
  <w:abstractNum w:abstractNumId="11">
    <w:nsid w:val="2465646F"/>
    <w:multiLevelType w:val="multilevel"/>
    <w:tmpl w:val="2465646F"/>
    <w:lvl w:ilvl="0" w:tentative="0">
      <w:start w:val="1"/>
      <w:numFmt w:val="none"/>
      <w:lvlText w:val="一、"/>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920DF3F"/>
    <w:multiLevelType w:val="singleLevel"/>
    <w:tmpl w:val="2920DF3F"/>
    <w:lvl w:ilvl="0" w:tentative="0">
      <w:start w:val="1"/>
      <w:numFmt w:val="decimal"/>
      <w:suff w:val="nothing"/>
      <w:lvlText w:val="%1．"/>
      <w:lvlJc w:val="left"/>
      <w:pPr>
        <w:ind w:left="0" w:firstLine="400"/>
      </w:pPr>
      <w:rPr>
        <w:rFonts w:hint="default"/>
      </w:rPr>
    </w:lvl>
  </w:abstractNum>
  <w:abstractNum w:abstractNumId="13">
    <w:nsid w:val="2D723055"/>
    <w:multiLevelType w:val="multilevel"/>
    <w:tmpl w:val="2D723055"/>
    <w:lvl w:ilvl="0" w:tentative="0">
      <w:start w:val="1"/>
      <w:numFmt w:val="bullet"/>
      <w:pStyle w:val="66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2DD62459"/>
    <w:multiLevelType w:val="singleLevel"/>
    <w:tmpl w:val="2DD62459"/>
    <w:lvl w:ilvl="0" w:tentative="0">
      <w:start w:val="1"/>
      <w:numFmt w:val="bullet"/>
      <w:pStyle w:val="466"/>
      <w:lvlText w:val=""/>
      <w:lvlJc w:val="left"/>
      <w:pPr>
        <w:tabs>
          <w:tab w:val="left" w:pos="425"/>
        </w:tabs>
        <w:ind w:left="425" w:hanging="425"/>
      </w:pPr>
      <w:rPr>
        <w:rFonts w:hint="default" w:ascii="Wingdings" w:hAnsi="Wingdings"/>
      </w:rPr>
    </w:lvl>
  </w:abstractNum>
  <w:abstractNum w:abstractNumId="15">
    <w:nsid w:val="335030C5"/>
    <w:multiLevelType w:val="multilevel"/>
    <w:tmpl w:val="335030C5"/>
    <w:lvl w:ilvl="0" w:tentative="0">
      <w:start w:val="1"/>
      <w:numFmt w:val="decimal"/>
      <w:pStyle w:val="58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35B05358"/>
    <w:multiLevelType w:val="multilevel"/>
    <w:tmpl w:val="35B05358"/>
    <w:lvl w:ilvl="0" w:tentative="0">
      <w:start w:val="1"/>
      <w:numFmt w:val="bullet"/>
      <w:pStyle w:val="68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9622E4B"/>
    <w:multiLevelType w:val="multilevel"/>
    <w:tmpl w:val="39622E4B"/>
    <w:lvl w:ilvl="0" w:tentative="0">
      <w:start w:val="1"/>
      <w:numFmt w:val="decimal"/>
      <w:pStyle w:val="366"/>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8">
    <w:nsid w:val="496D15BE"/>
    <w:multiLevelType w:val="multilevel"/>
    <w:tmpl w:val="496D15BE"/>
    <w:lvl w:ilvl="0" w:tentative="0">
      <w:start w:val="1"/>
      <w:numFmt w:val="decimal"/>
      <w:pStyle w:val="358"/>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4CA75A52"/>
    <w:multiLevelType w:val="multilevel"/>
    <w:tmpl w:val="4CA75A52"/>
    <w:lvl w:ilvl="0" w:tentative="0">
      <w:start w:val="1"/>
      <w:numFmt w:val="decimal"/>
      <w:pStyle w:val="708"/>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0">
    <w:nsid w:val="550F68AE"/>
    <w:multiLevelType w:val="multilevel"/>
    <w:tmpl w:val="550F68AE"/>
    <w:lvl w:ilvl="0" w:tentative="0">
      <w:start w:val="1"/>
      <w:numFmt w:val="decimal"/>
      <w:pStyle w:val="545"/>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E87392"/>
    <w:multiLevelType w:val="singleLevel"/>
    <w:tmpl w:val="59E87392"/>
    <w:lvl w:ilvl="0" w:tentative="0">
      <w:start w:val="1"/>
      <w:numFmt w:val="decimal"/>
      <w:lvlText w:val="%1."/>
      <w:lvlJc w:val="left"/>
      <w:pPr>
        <w:tabs>
          <w:tab w:val="left" w:pos="312"/>
        </w:tabs>
      </w:pPr>
    </w:lvl>
  </w:abstractNum>
  <w:abstractNum w:abstractNumId="23">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24">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25">
    <w:nsid w:val="5F847F3F"/>
    <w:multiLevelType w:val="singleLevel"/>
    <w:tmpl w:val="5F847F3F"/>
    <w:lvl w:ilvl="0" w:tentative="0">
      <w:start w:val="1"/>
      <w:numFmt w:val="decimal"/>
      <w:suff w:val="nothing"/>
      <w:lvlText w:val="%1、"/>
      <w:lvlJc w:val="left"/>
    </w:lvl>
  </w:abstractNum>
  <w:abstractNum w:abstractNumId="26">
    <w:nsid w:val="5F848167"/>
    <w:multiLevelType w:val="singleLevel"/>
    <w:tmpl w:val="5F848167"/>
    <w:lvl w:ilvl="0" w:tentative="0">
      <w:start w:val="1"/>
      <w:numFmt w:val="decimal"/>
      <w:suff w:val="nothing"/>
      <w:lvlText w:val="%1、"/>
      <w:lvlJc w:val="left"/>
    </w:lvl>
  </w:abstractNum>
  <w:abstractNum w:abstractNumId="27">
    <w:nsid w:val="6B864C8B"/>
    <w:multiLevelType w:val="multilevel"/>
    <w:tmpl w:val="6B864C8B"/>
    <w:lvl w:ilvl="0" w:tentative="0">
      <w:start w:val="1"/>
      <w:numFmt w:val="decimal"/>
      <w:pStyle w:val="647"/>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271"/>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8">
    <w:nsid w:val="70391D9F"/>
    <w:multiLevelType w:val="multilevel"/>
    <w:tmpl w:val="70391D9F"/>
    <w:lvl w:ilvl="0" w:tentative="0">
      <w:start w:val="1"/>
      <w:numFmt w:val="bullet"/>
      <w:pStyle w:val="181"/>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9">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30">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57"/>
      <w:lvlText w:val=""/>
      <w:lvlJc w:val="left"/>
      <w:pPr>
        <w:ind w:left="840" w:hanging="420"/>
      </w:pPr>
      <w:rPr>
        <w:rFonts w:hint="default" w:ascii="Wingdings" w:hAnsi="Wingdings"/>
      </w:rPr>
    </w:lvl>
    <w:lvl w:ilvl="2" w:tentative="0">
      <w:start w:val="1"/>
      <w:numFmt w:val="bullet"/>
      <w:pStyle w:val="65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9213472"/>
    <w:multiLevelType w:val="multilevel"/>
    <w:tmpl w:val="79213472"/>
    <w:lvl w:ilvl="0" w:tentative="0">
      <w:start w:val="1"/>
      <w:numFmt w:val="decimal"/>
      <w:pStyle w:val="103"/>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num w:numId="1">
    <w:abstractNumId w:val="6"/>
  </w:num>
  <w:num w:numId="2">
    <w:abstractNumId w:val="5"/>
  </w:num>
  <w:num w:numId="3">
    <w:abstractNumId w:val="31"/>
  </w:num>
  <w:num w:numId="4">
    <w:abstractNumId w:val="28"/>
  </w:num>
  <w:num w:numId="5">
    <w:abstractNumId w:val="27"/>
  </w:num>
  <w:num w:numId="6">
    <w:abstractNumId w:val="18"/>
  </w:num>
  <w:num w:numId="7">
    <w:abstractNumId w:val="17"/>
  </w:num>
  <w:num w:numId="8">
    <w:abstractNumId w:val="30"/>
  </w:num>
  <w:num w:numId="9">
    <w:abstractNumId w:val="14"/>
  </w:num>
  <w:num w:numId="10">
    <w:abstractNumId w:val="20"/>
    <w:lvlOverride w:ilvl="0">
      <w:startOverride w:val="1"/>
    </w:lvlOverride>
  </w:num>
  <w:num w:numId="11">
    <w:abstractNumId w:val="8"/>
  </w:num>
  <w:num w:numId="12">
    <w:abstractNumId w:val="7"/>
  </w:num>
  <w:num w:numId="13">
    <w:abstractNumId w:val="15"/>
  </w:num>
  <w:num w:numId="14">
    <w:abstractNumId w:val="13"/>
  </w:num>
  <w:num w:numId="15">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lvlOverride w:ilvl="0">
      <w:startOverride w:val="6"/>
    </w:lvlOverride>
  </w:num>
  <w:num w:numId="18">
    <w:abstractNumId w:val="22"/>
  </w:num>
  <w:num w:numId="19">
    <w:abstractNumId w:val="21"/>
  </w:num>
  <w:num w:numId="20">
    <w:abstractNumId w:val="24"/>
  </w:num>
  <w:num w:numId="21">
    <w:abstractNumId w:val="23"/>
  </w:num>
  <w:num w:numId="22">
    <w:abstractNumId w:val="0"/>
  </w:num>
  <w:num w:numId="23">
    <w:abstractNumId w:val="2"/>
  </w:num>
  <w:num w:numId="24">
    <w:abstractNumId w:val="1"/>
  </w:num>
  <w:num w:numId="25">
    <w:abstractNumId w:val="12"/>
  </w:num>
  <w:num w:numId="26">
    <w:abstractNumId w:val="3"/>
  </w:num>
  <w:num w:numId="27">
    <w:abstractNumId w:val="11"/>
  </w:num>
  <w:num w:numId="28">
    <w:abstractNumId w:val="4"/>
  </w:num>
  <w:num w:numId="29">
    <w:abstractNumId w:val="29"/>
  </w:num>
  <w:num w:numId="30">
    <w:abstractNumId w:val="9"/>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53A2"/>
    <w:rsid w:val="000D29B8"/>
    <w:rsid w:val="00101F86"/>
    <w:rsid w:val="002C5A7B"/>
    <w:rsid w:val="002F2D9F"/>
    <w:rsid w:val="00321FA9"/>
    <w:rsid w:val="00473493"/>
    <w:rsid w:val="004E1664"/>
    <w:rsid w:val="00533CDE"/>
    <w:rsid w:val="00631E3D"/>
    <w:rsid w:val="006814C3"/>
    <w:rsid w:val="00771B47"/>
    <w:rsid w:val="00816B80"/>
    <w:rsid w:val="0083095E"/>
    <w:rsid w:val="00853A3F"/>
    <w:rsid w:val="008819F6"/>
    <w:rsid w:val="008E7C9B"/>
    <w:rsid w:val="00946806"/>
    <w:rsid w:val="00952067"/>
    <w:rsid w:val="00A20D22"/>
    <w:rsid w:val="00AE138E"/>
    <w:rsid w:val="00B50459"/>
    <w:rsid w:val="00B76E77"/>
    <w:rsid w:val="00C53AF9"/>
    <w:rsid w:val="00DE50E4"/>
    <w:rsid w:val="00E114E7"/>
    <w:rsid w:val="00E25194"/>
    <w:rsid w:val="00F17624"/>
    <w:rsid w:val="00F3736B"/>
    <w:rsid w:val="0D3E10E5"/>
    <w:rsid w:val="1D0A39A3"/>
    <w:rsid w:val="28B2197A"/>
    <w:rsid w:val="37A17B61"/>
    <w:rsid w:val="39537A40"/>
    <w:rsid w:val="3DC62218"/>
    <w:rsid w:val="4A666779"/>
    <w:rsid w:val="63807066"/>
    <w:rsid w:val="69041D29"/>
    <w:rsid w:val="6E1A0FA1"/>
    <w:rsid w:val="7249104D"/>
    <w:rsid w:val="79526342"/>
    <w:rsid w:val="7EE75F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1" w:name="endnote reference"/>
    <w:lsdException w:uiPriority="1" w:name="endnote text"/>
    <w:lsdException w:uiPriority="1" w:name="table of authorities"/>
    <w:lsdException w:qFormat="1" w:unhideWhenUsed="0" w:uiPriority="0" w:semiHidden="0" w:name="macro"/>
    <w:lsdException w:uiPriority="1"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1" w:name="List 2"/>
    <w:lsdException w:uiPriority="1" w:name="List 3"/>
    <w:lsdException w:uiPriority="1" w:name="List 4"/>
    <w:lsdException w:uiPriority="1" w:name="List 5"/>
    <w:lsdException w:qFormat="1" w:unhideWhenUsed="0" w:uiPriority="0" w:semiHidden="0" w:name="List Bullet 2"/>
    <w:lsdException w:uiPriority="1" w:name="List Bullet 3"/>
    <w:lsdException w:uiPriority="1" w:name="List Bullet 4"/>
    <w:lsdException w:uiPriority="1" w:name="List Bullet 5"/>
    <w:lsdException w:uiPriority="1"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1"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99" w:semiHidden="0" w:name="Normal (Web)"/>
    <w:lsdException w:qFormat="1" w:uiPriority="99" w:semiHidden="0" w:name="HTML Acronym"/>
    <w:lsdException w:uiPriority="1"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qFormat="1" w:unhideWhenUsed="0" w:uiPriority="9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318"/>
    <w:qFormat/>
    <w:uiPriority w:val="0"/>
    <w:pPr>
      <w:keepNext/>
      <w:jc w:val="center"/>
      <w:outlineLvl w:val="0"/>
    </w:pPr>
    <w:rPr>
      <w:rFonts w:ascii="楷体_GB2312" w:hAnsi="Tahoma" w:eastAsia="楷体_GB2312"/>
      <w:b/>
      <w:bCs/>
    </w:rPr>
  </w:style>
  <w:style w:type="paragraph" w:styleId="6">
    <w:name w:val="heading 2"/>
    <w:basedOn w:val="1"/>
    <w:next w:val="1"/>
    <w:link w:val="155"/>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210"/>
    <w:qFormat/>
    <w:uiPriority w:val="0"/>
    <w:pPr>
      <w:keepNext/>
      <w:keepLines/>
      <w:spacing w:before="260" w:after="260" w:line="415" w:lineRule="auto"/>
      <w:outlineLvl w:val="2"/>
    </w:pPr>
    <w:rPr>
      <w:b/>
      <w:bCs/>
      <w:sz w:val="32"/>
      <w:szCs w:val="32"/>
    </w:rPr>
  </w:style>
  <w:style w:type="paragraph" w:styleId="8">
    <w:name w:val="heading 4"/>
    <w:basedOn w:val="1"/>
    <w:next w:val="1"/>
    <w:link w:val="408"/>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196"/>
    <w:qFormat/>
    <w:uiPriority w:val="0"/>
    <w:pPr>
      <w:keepNext/>
      <w:keepLines/>
      <w:spacing w:before="280" w:after="290" w:line="372" w:lineRule="auto"/>
      <w:outlineLvl w:val="4"/>
    </w:pPr>
    <w:rPr>
      <w:rFonts w:ascii="仿宋_GB2312" w:hAnsi="Tahoma"/>
      <w:b/>
      <w:bCs/>
      <w:sz w:val="28"/>
      <w:szCs w:val="28"/>
    </w:rPr>
  </w:style>
  <w:style w:type="paragraph" w:styleId="10">
    <w:name w:val="heading 6"/>
    <w:basedOn w:val="1"/>
    <w:next w:val="1"/>
    <w:link w:val="221"/>
    <w:qFormat/>
    <w:uiPriority w:val="0"/>
    <w:pPr>
      <w:keepNext/>
      <w:keepLines/>
      <w:spacing w:before="240" w:after="64" w:line="319" w:lineRule="auto"/>
      <w:outlineLvl w:val="5"/>
    </w:pPr>
    <w:rPr>
      <w:rFonts w:ascii="Arial" w:hAnsi="Arial" w:eastAsia="黑体"/>
      <w:b/>
      <w:bCs/>
      <w:sz w:val="24"/>
    </w:rPr>
  </w:style>
  <w:style w:type="paragraph" w:styleId="11">
    <w:name w:val="heading 7"/>
    <w:basedOn w:val="1"/>
    <w:next w:val="1"/>
    <w:link w:val="9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2">
    <w:name w:val="heading 8"/>
    <w:basedOn w:val="1"/>
    <w:next w:val="1"/>
    <w:link w:val="437"/>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3">
    <w:name w:val="heading 9"/>
    <w:basedOn w:val="1"/>
    <w:next w:val="1"/>
    <w:link w:val="333"/>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unhideWhenUsed/>
    <w:qFormat/>
    <w:uiPriority w:val="1"/>
  </w:style>
  <w:style w:type="table" w:default="1" w:styleId="56">
    <w:name w:val="Normal Table"/>
    <w:unhideWhenUsed/>
    <w:qFormat/>
    <w:uiPriority w:val="99"/>
    <w:tblPr>
      <w:tblStyle w:val="56"/>
      <w:tblCellMar>
        <w:top w:w="0" w:type="dxa"/>
        <w:left w:w="108" w:type="dxa"/>
        <w:bottom w:w="0" w:type="dxa"/>
        <w:right w:w="108" w:type="dxa"/>
      </w:tblCellMar>
    </w:tblPr>
  </w:style>
  <w:style w:type="paragraph" w:styleId="2">
    <w:name w:val="Body Text First Indent"/>
    <w:basedOn w:val="3"/>
    <w:link w:val="244"/>
    <w:qFormat/>
    <w:uiPriority w:val="0"/>
    <w:pPr>
      <w:autoSpaceDE w:val="0"/>
      <w:autoSpaceDN w:val="0"/>
      <w:adjustRightInd w:val="0"/>
      <w:ind w:firstLine="420" w:firstLineChars="100"/>
      <w:jc w:val="left"/>
    </w:pPr>
    <w:rPr>
      <w:rFonts w:ascii="仿宋_GB2312" w:hAnsi="Calibri"/>
      <w:b/>
      <w:kern w:val="0"/>
      <w:sz w:val="32"/>
      <w:szCs w:val="32"/>
    </w:rPr>
  </w:style>
  <w:style w:type="paragraph" w:styleId="3">
    <w:name w:val="Body Text"/>
    <w:basedOn w:val="1"/>
    <w:next w:val="2"/>
    <w:link w:val="287"/>
    <w:qFormat/>
    <w:uiPriority w:val="0"/>
    <w:pPr>
      <w:spacing w:after="120"/>
    </w:pPr>
    <w:rPr>
      <w:rFonts w:ascii="Tahoma" w:hAnsi="Tahoma"/>
    </w:rPr>
  </w:style>
  <w:style w:type="paragraph" w:styleId="4">
    <w:name w:val="macro"/>
    <w:link w:val="2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lang w:val="en-US" w:eastAsia="zh-CN" w:bidi="ar-SA"/>
    </w:rPr>
  </w:style>
  <w:style w:type="paragraph" w:styleId="14">
    <w:name w:val="toc 7"/>
    <w:basedOn w:val="1"/>
    <w:next w:val="1"/>
    <w:qFormat/>
    <w:uiPriority w:val="39"/>
    <w:pPr>
      <w:autoSpaceDE w:val="0"/>
      <w:autoSpaceDN w:val="0"/>
      <w:adjustRightInd w:val="0"/>
      <w:ind w:left="2520" w:leftChars="1200"/>
      <w:jc w:val="left"/>
    </w:pPr>
    <w:rPr>
      <w:kern w:val="0"/>
      <w:sz w:val="20"/>
      <w:szCs w:val="20"/>
    </w:rPr>
  </w:style>
  <w:style w:type="paragraph" w:styleId="15">
    <w:name w:val="Note Heading"/>
    <w:basedOn w:val="1"/>
    <w:next w:val="1"/>
    <w:link w:val="172"/>
    <w:qFormat/>
    <w:uiPriority w:val="0"/>
    <w:pPr>
      <w:jc w:val="left"/>
    </w:pPr>
    <w:rPr>
      <w:rFonts w:eastAsia="黑体"/>
      <w:sz w:val="28"/>
      <w:szCs w:val="20"/>
    </w:rPr>
  </w:style>
  <w:style w:type="paragraph" w:styleId="16">
    <w:name w:val="List Number"/>
    <w:basedOn w:val="1"/>
    <w:qFormat/>
    <w:uiPriority w:val="0"/>
    <w:pPr>
      <w:tabs>
        <w:tab w:val="left" w:pos="360"/>
      </w:tabs>
      <w:ind w:left="360" w:hanging="360" w:hangingChars="200"/>
    </w:pPr>
  </w:style>
  <w:style w:type="paragraph" w:styleId="17">
    <w:name w:val="Normal Indent"/>
    <w:basedOn w:val="1"/>
    <w:link w:val="393"/>
    <w:qFormat/>
    <w:uiPriority w:val="0"/>
    <w:pPr>
      <w:adjustRightInd w:val="0"/>
      <w:spacing w:line="312" w:lineRule="atLeast"/>
      <w:ind w:firstLine="420"/>
      <w:textAlignment w:val="baseline"/>
    </w:pPr>
    <w:rPr>
      <w:kern w:val="0"/>
      <w:szCs w:val="20"/>
    </w:rPr>
  </w:style>
  <w:style w:type="paragraph" w:styleId="18">
    <w:name w:val="caption"/>
    <w:basedOn w:val="1"/>
    <w:next w:val="1"/>
    <w:link w:val="379"/>
    <w:qFormat/>
    <w:uiPriority w:val="0"/>
    <w:pPr>
      <w:autoSpaceDE w:val="0"/>
      <w:autoSpaceDN w:val="0"/>
      <w:adjustRightInd w:val="0"/>
      <w:jc w:val="left"/>
    </w:pPr>
    <w:rPr>
      <w:rFonts w:ascii="Arial" w:hAnsi="Arial" w:eastAsia="黑体"/>
      <w:kern w:val="0"/>
      <w:sz w:val="20"/>
      <w:szCs w:val="20"/>
    </w:rPr>
  </w:style>
  <w:style w:type="paragraph" w:styleId="19">
    <w:name w:val="List Bullet"/>
    <w:basedOn w:val="1"/>
    <w:qFormat/>
    <w:uiPriority w:val="0"/>
    <w:pPr>
      <w:numPr>
        <w:ilvl w:val="0"/>
        <w:numId w:val="1"/>
      </w:numPr>
      <w:tabs>
        <w:tab w:val="left" w:pos="360"/>
        <w:tab w:val="clear" w:pos="1080"/>
      </w:tabs>
    </w:pPr>
    <w:rPr>
      <w:rFonts w:ascii="Calibri" w:hAnsi="Calibri"/>
      <w:szCs w:val="22"/>
    </w:rPr>
  </w:style>
  <w:style w:type="paragraph" w:styleId="20">
    <w:name w:val="Document Map"/>
    <w:basedOn w:val="1"/>
    <w:link w:val="118"/>
    <w:qFormat/>
    <w:uiPriority w:val="0"/>
    <w:pPr>
      <w:shd w:val="clear" w:color="auto" w:fill="000080"/>
    </w:pPr>
  </w:style>
  <w:style w:type="paragraph" w:styleId="21">
    <w:name w:val="annotation text"/>
    <w:basedOn w:val="1"/>
    <w:link w:val="133"/>
    <w:qFormat/>
    <w:uiPriority w:val="0"/>
    <w:pPr>
      <w:jc w:val="left"/>
    </w:pPr>
  </w:style>
  <w:style w:type="paragraph" w:styleId="22">
    <w:name w:val="Salutation"/>
    <w:basedOn w:val="1"/>
    <w:next w:val="1"/>
    <w:link w:val="177"/>
    <w:qFormat/>
    <w:uiPriority w:val="0"/>
    <w:pPr>
      <w:tabs>
        <w:tab w:val="left" w:pos="840"/>
      </w:tabs>
      <w:autoSpaceDE w:val="0"/>
      <w:autoSpaceDN w:val="0"/>
      <w:adjustRightInd w:val="0"/>
      <w:jc w:val="left"/>
    </w:pPr>
    <w:rPr>
      <w:kern w:val="0"/>
      <w:sz w:val="20"/>
      <w:szCs w:val="20"/>
    </w:rPr>
  </w:style>
  <w:style w:type="paragraph" w:styleId="23">
    <w:name w:val="Body Text 3"/>
    <w:basedOn w:val="1"/>
    <w:link w:val="178"/>
    <w:qFormat/>
    <w:uiPriority w:val="0"/>
    <w:pPr>
      <w:autoSpaceDE w:val="0"/>
      <w:autoSpaceDN w:val="0"/>
      <w:adjustRightInd w:val="0"/>
      <w:jc w:val="center"/>
    </w:pPr>
    <w:rPr>
      <w:kern w:val="0"/>
      <w:sz w:val="20"/>
      <w:szCs w:val="20"/>
    </w:rPr>
  </w:style>
  <w:style w:type="paragraph" w:styleId="24">
    <w:name w:val="Body Text Indent"/>
    <w:basedOn w:val="1"/>
    <w:link w:val="355"/>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link w:val="320"/>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24"/>
    <w:qFormat/>
    <w:uiPriority w:val="99"/>
    <w:pPr>
      <w:spacing w:line="440" w:lineRule="exact"/>
    </w:pPr>
    <w:rPr>
      <w:spacing w:val="12"/>
      <w:sz w:val="24"/>
      <w:szCs w:val="20"/>
    </w:rPr>
  </w:style>
  <w:style w:type="paragraph" w:styleId="34">
    <w:name w:val="Body Text Indent 2"/>
    <w:basedOn w:val="1"/>
    <w:link w:val="145"/>
    <w:qFormat/>
    <w:uiPriority w:val="0"/>
    <w:pPr>
      <w:spacing w:after="120" w:line="480" w:lineRule="auto"/>
      <w:ind w:left="420" w:leftChars="200"/>
    </w:pPr>
  </w:style>
  <w:style w:type="paragraph" w:styleId="35">
    <w:name w:val="Balloon Text"/>
    <w:basedOn w:val="1"/>
    <w:link w:val="345"/>
    <w:qFormat/>
    <w:uiPriority w:val="99"/>
    <w:rPr>
      <w:sz w:val="18"/>
      <w:szCs w:val="18"/>
    </w:rPr>
  </w:style>
  <w:style w:type="paragraph" w:styleId="36">
    <w:name w:val="footer"/>
    <w:basedOn w:val="1"/>
    <w:link w:val="213"/>
    <w:qFormat/>
    <w:uiPriority w:val="0"/>
    <w:pPr>
      <w:tabs>
        <w:tab w:val="center" w:pos="4153"/>
        <w:tab w:val="right" w:pos="8306"/>
      </w:tabs>
      <w:snapToGrid w:val="0"/>
      <w:jc w:val="left"/>
    </w:pPr>
    <w:rPr>
      <w:sz w:val="18"/>
      <w:szCs w:val="18"/>
    </w:rPr>
  </w:style>
  <w:style w:type="paragraph" w:styleId="37">
    <w:name w:val="header"/>
    <w:basedOn w:val="1"/>
    <w:link w:val="189"/>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85"/>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footnote text"/>
    <w:basedOn w:val="1"/>
    <w:link w:val="81"/>
    <w:unhideWhenUsed/>
    <w:qFormat/>
    <w:uiPriority w:val="99"/>
    <w:pPr>
      <w:snapToGrid w:val="0"/>
      <w:spacing w:line="360" w:lineRule="auto"/>
      <w:jc w:val="left"/>
    </w:pPr>
    <w:rPr>
      <w:sz w:val="18"/>
      <w:szCs w:val="18"/>
    </w:rPr>
  </w:style>
  <w:style w:type="paragraph" w:styleId="45">
    <w:name w:val="toc 6"/>
    <w:basedOn w:val="1"/>
    <w:next w:val="1"/>
    <w:qFormat/>
    <w:uiPriority w:val="39"/>
    <w:pPr>
      <w:autoSpaceDE w:val="0"/>
      <w:autoSpaceDN w:val="0"/>
      <w:adjustRightInd w:val="0"/>
      <w:ind w:left="2100" w:leftChars="1000"/>
      <w:jc w:val="left"/>
    </w:pPr>
    <w:rPr>
      <w:kern w:val="0"/>
      <w:sz w:val="20"/>
      <w:szCs w:val="20"/>
    </w:rPr>
  </w:style>
  <w:style w:type="paragraph" w:styleId="46">
    <w:name w:val="Body Text Indent 3"/>
    <w:basedOn w:val="1"/>
    <w:link w:val="387"/>
    <w:qFormat/>
    <w:uiPriority w:val="99"/>
    <w:pPr>
      <w:spacing w:after="120"/>
      <w:ind w:left="420" w:leftChars="200"/>
    </w:pPr>
    <w:rPr>
      <w:sz w:val="16"/>
      <w:szCs w:val="16"/>
    </w:rPr>
  </w:style>
  <w:style w:type="paragraph" w:styleId="47">
    <w:name w:val="toc 2"/>
    <w:basedOn w:val="1"/>
    <w:next w:val="1"/>
    <w:qFormat/>
    <w:uiPriority w:val="39"/>
    <w:pPr>
      <w:ind w:left="420" w:leftChars="200"/>
    </w:pPr>
  </w:style>
  <w:style w:type="paragraph" w:styleId="48">
    <w:name w:val="toc 9"/>
    <w:basedOn w:val="1"/>
    <w:next w:val="1"/>
    <w:qFormat/>
    <w:uiPriority w:val="39"/>
    <w:pPr>
      <w:autoSpaceDE w:val="0"/>
      <w:autoSpaceDN w:val="0"/>
      <w:adjustRightInd w:val="0"/>
      <w:ind w:left="3360" w:leftChars="1600"/>
      <w:jc w:val="left"/>
    </w:pPr>
    <w:rPr>
      <w:kern w:val="0"/>
      <w:sz w:val="20"/>
      <w:szCs w:val="20"/>
    </w:rPr>
  </w:style>
  <w:style w:type="paragraph" w:styleId="49">
    <w:name w:val="Body Text 2"/>
    <w:basedOn w:val="1"/>
    <w:link w:val="171"/>
    <w:qFormat/>
    <w:uiPriority w:val="0"/>
    <w:pPr>
      <w:autoSpaceDE w:val="0"/>
      <w:autoSpaceDN w:val="0"/>
      <w:adjustRightInd w:val="0"/>
      <w:spacing w:after="120" w:line="480" w:lineRule="auto"/>
      <w:jc w:val="left"/>
    </w:pPr>
    <w:rPr>
      <w:kern w:val="0"/>
      <w:sz w:val="20"/>
      <w:szCs w:val="20"/>
    </w:rPr>
  </w:style>
  <w:style w:type="paragraph" w:styleId="50">
    <w:name w:val="HTML Preformatted"/>
    <w:basedOn w:val="1"/>
    <w:link w:val="30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1">
    <w:name w:val="Normal (Web)"/>
    <w:basedOn w:val="1"/>
    <w:link w:val="338"/>
    <w:qFormat/>
    <w:uiPriority w:val="99"/>
    <w:pPr>
      <w:widowControl/>
      <w:spacing w:before="100" w:beforeAutospacing="1" w:after="100" w:afterAutospacing="1"/>
      <w:jc w:val="left"/>
    </w:pPr>
    <w:rPr>
      <w:rFonts w:ascii="宋体" w:hAnsi="宋体"/>
      <w:color w:val="000000"/>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363"/>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4">
    <w:name w:val="annotation subject"/>
    <w:basedOn w:val="21"/>
    <w:next w:val="21"/>
    <w:link w:val="367"/>
    <w:qFormat/>
    <w:uiPriority w:val="0"/>
    <w:rPr>
      <w:b/>
      <w:bCs/>
    </w:rPr>
  </w:style>
  <w:style w:type="paragraph" w:styleId="55">
    <w:name w:val="Body Text First Indent 2"/>
    <w:basedOn w:val="24"/>
    <w:link w:val="384"/>
    <w:unhideWhenUsed/>
    <w:qFormat/>
    <w:uiPriority w:val="0"/>
    <w:pPr>
      <w:adjustRightInd/>
      <w:spacing w:after="120"/>
      <w:ind w:left="420" w:leftChars="200" w:firstLine="420" w:firstLineChars="200"/>
      <w:jc w:val="both"/>
    </w:pPr>
    <w:rPr>
      <w:szCs w:val="24"/>
    </w:rPr>
  </w:style>
  <w:style w:type="table" w:styleId="57">
    <w:name w:val="Table Grid"/>
    <w:basedOn w:val="56"/>
    <w:qFormat/>
    <w:uiPriority w:val="99"/>
    <w:tblPr>
      <w:tblStyle w:val="5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22"/>
    <w:rPr>
      <w:rFonts w:ascii="仿宋_GB2312" w:eastAsia="仿宋_GB2312"/>
      <w:bCs/>
      <w:sz w:val="32"/>
      <w:szCs w:val="32"/>
    </w:rPr>
  </w:style>
  <w:style w:type="character" w:styleId="60">
    <w:name w:val="page number"/>
    <w:qFormat/>
    <w:uiPriority w:val="0"/>
    <w:rPr>
      <w:szCs w:val="20"/>
    </w:rPr>
  </w:style>
  <w:style w:type="character" w:styleId="61">
    <w:name w:val="FollowedHyperlink"/>
    <w:qFormat/>
    <w:uiPriority w:val="99"/>
    <w:rPr>
      <w:rFonts w:ascii="仿宋_GB2312" w:eastAsia="仿宋_GB2312"/>
      <w:b/>
      <w:color w:val="800080"/>
      <w:sz w:val="32"/>
      <w:szCs w:val="32"/>
      <w:u w:val="single"/>
    </w:rPr>
  </w:style>
  <w:style w:type="character" w:styleId="62">
    <w:name w:val="Emphasis"/>
    <w:qFormat/>
    <w:uiPriority w:val="20"/>
    <w:rPr>
      <w:i/>
      <w:iCs/>
    </w:rPr>
  </w:style>
  <w:style w:type="character" w:styleId="63">
    <w:name w:val="line number"/>
    <w:qFormat/>
    <w:uiPriority w:val="0"/>
    <w:rPr>
      <w:rFonts w:ascii="仿宋_GB2312" w:hAnsi="Tahoma" w:eastAsia="仿宋_GB2312"/>
      <w:b/>
      <w:sz w:val="32"/>
      <w:szCs w:val="32"/>
    </w:rPr>
  </w:style>
  <w:style w:type="character" w:styleId="64">
    <w:name w:val="HTML Definition"/>
    <w:unhideWhenUsed/>
    <w:qFormat/>
    <w:uiPriority w:val="99"/>
    <w:rPr>
      <w:szCs w:val="20"/>
    </w:rPr>
  </w:style>
  <w:style w:type="character" w:styleId="65">
    <w:name w:val="HTML Typewriter"/>
    <w:qFormat/>
    <w:uiPriority w:val="0"/>
    <w:rPr>
      <w:rFonts w:ascii="宋体" w:hAnsi="宋体" w:eastAsia="宋体" w:cs="宋体"/>
      <w:sz w:val="24"/>
      <w:szCs w:val="24"/>
    </w:rPr>
  </w:style>
  <w:style w:type="character" w:styleId="66">
    <w:name w:val="HTML Acronym"/>
    <w:unhideWhenUsed/>
    <w:qFormat/>
    <w:uiPriority w:val="99"/>
    <w:rPr>
      <w:szCs w:val="20"/>
    </w:rPr>
  </w:style>
  <w:style w:type="character" w:styleId="67">
    <w:name w:val="HTML Variable"/>
    <w:unhideWhenUsed/>
    <w:qFormat/>
    <w:uiPriority w:val="99"/>
    <w:rPr>
      <w:szCs w:val="20"/>
    </w:rPr>
  </w:style>
  <w:style w:type="character" w:styleId="68">
    <w:name w:val="Hyperlink"/>
    <w:qFormat/>
    <w:uiPriority w:val="99"/>
    <w:rPr>
      <w:rFonts w:ascii="仿宋_GB2312" w:eastAsia="仿宋_GB2312"/>
      <w:color w:val="000000"/>
      <w:sz w:val="20"/>
      <w:szCs w:val="20"/>
      <w:u w:val="none"/>
    </w:rPr>
  </w:style>
  <w:style w:type="character" w:styleId="69">
    <w:name w:val="HTML Code"/>
    <w:unhideWhenUsed/>
    <w:qFormat/>
    <w:uiPriority w:val="99"/>
    <w:rPr>
      <w:rFonts w:hint="eastAsia" w:ascii="微软雅黑" w:hAnsi="微软雅黑" w:eastAsia="微软雅黑" w:cs="微软雅黑"/>
      <w:sz w:val="20"/>
      <w:szCs w:val="20"/>
    </w:rPr>
  </w:style>
  <w:style w:type="character" w:styleId="70">
    <w:name w:val="annotation reference"/>
    <w:qFormat/>
    <w:uiPriority w:val="0"/>
    <w:rPr>
      <w:sz w:val="21"/>
      <w:szCs w:val="21"/>
    </w:rPr>
  </w:style>
  <w:style w:type="character" w:styleId="71">
    <w:name w:val="HTML Cite"/>
    <w:qFormat/>
    <w:uiPriority w:val="0"/>
    <w:rPr>
      <w:color w:val="008000"/>
    </w:rPr>
  </w:style>
  <w:style w:type="character" w:styleId="72">
    <w:name w:val="footnote reference"/>
    <w:qFormat/>
    <w:uiPriority w:val="99"/>
    <w:rPr>
      <w:vertAlign w:val="superscript"/>
    </w:rPr>
  </w:style>
  <w:style w:type="character" w:styleId="73">
    <w:name w:val="HTML Keyboard"/>
    <w:unhideWhenUsed/>
    <w:qFormat/>
    <w:uiPriority w:val="99"/>
    <w:rPr>
      <w:rFonts w:hint="eastAsia" w:ascii="微软雅黑" w:hAnsi="微软雅黑" w:eastAsia="微软雅黑" w:cs="微软雅黑"/>
      <w:sz w:val="20"/>
      <w:szCs w:val="20"/>
    </w:rPr>
  </w:style>
  <w:style w:type="character" w:styleId="74">
    <w:name w:val="HTML Sample"/>
    <w:unhideWhenUsed/>
    <w:qFormat/>
    <w:uiPriority w:val="0"/>
    <w:rPr>
      <w:rFonts w:hint="eastAsia" w:ascii="微软雅黑" w:hAnsi="微软雅黑" w:eastAsia="微软雅黑" w:cs="微软雅黑"/>
      <w:szCs w:val="20"/>
    </w:rPr>
  </w:style>
  <w:style w:type="character" w:customStyle="1" w:styleId="75">
    <w:name w:val=" Char Char15"/>
    <w:link w:val="41"/>
    <w:qFormat/>
    <w:uiPriority w:val="0"/>
    <w:rPr>
      <w:rFonts w:ascii="Cambria" w:hAnsi="Cambria"/>
      <w:b/>
      <w:bCs/>
      <w:kern w:val="28"/>
      <w:sz w:val="32"/>
      <w:szCs w:val="32"/>
    </w:rPr>
  </w:style>
  <w:style w:type="character" w:customStyle="1" w:styleId="76">
    <w:name w:val="正文文本缩进 Char"/>
    <w:qFormat/>
    <w:uiPriority w:val="0"/>
    <w:rPr>
      <w:rFonts w:ascii="宋体" w:hAnsi="宋体"/>
      <w:kern w:val="2"/>
      <w:sz w:val="24"/>
    </w:rPr>
  </w:style>
  <w:style w:type="character" w:customStyle="1" w:styleId="77">
    <w:name w:val="强调划线"/>
    <w:qFormat/>
    <w:uiPriority w:val="0"/>
    <w:rPr>
      <w:u w:val="single"/>
    </w:rPr>
  </w:style>
  <w:style w:type="character" w:customStyle="1" w:styleId="78">
    <w:name w:val="heading 9 Char1"/>
    <w:qFormat/>
    <w:uiPriority w:val="0"/>
    <w:rPr>
      <w:rFonts w:ascii="Arial" w:hAnsi="Arial" w:eastAsia="黑体"/>
      <w:b/>
      <w:sz w:val="21"/>
      <w:szCs w:val="32"/>
      <w:lang w:val="en-US" w:eastAsia="zh-CN" w:bidi="ar-SA"/>
    </w:rPr>
  </w:style>
  <w:style w:type="character" w:customStyle="1" w:styleId="79">
    <w:name w:val="heading 3 Char"/>
    <w:qFormat/>
    <w:uiPriority w:val="0"/>
    <w:rPr>
      <w:rFonts w:ascii="Arial" w:hAnsi="Arial" w:eastAsia="黑体"/>
      <w:b/>
      <w:sz w:val="28"/>
      <w:szCs w:val="24"/>
    </w:rPr>
  </w:style>
  <w:style w:type="character" w:customStyle="1" w:styleId="80">
    <w:name w:val="表格标题 Char Char"/>
    <w:qFormat/>
    <w:uiPriority w:val="0"/>
    <w:rPr>
      <w:rFonts w:ascii="黑体" w:hAnsi="黑体" w:eastAsia="黑体"/>
      <w:b/>
      <w:color w:val="FFFFFF"/>
      <w:kern w:val="2"/>
      <w:sz w:val="21"/>
      <w:szCs w:val="24"/>
    </w:rPr>
  </w:style>
  <w:style w:type="character" w:customStyle="1" w:styleId="81">
    <w:name w:val=" Char Char6"/>
    <w:link w:val="44"/>
    <w:qFormat/>
    <w:uiPriority w:val="99"/>
    <w:rPr>
      <w:kern w:val="2"/>
      <w:sz w:val="18"/>
      <w:szCs w:val="18"/>
    </w:rPr>
  </w:style>
  <w:style w:type="character" w:customStyle="1" w:styleId="82">
    <w:name w:val="p91"/>
    <w:qFormat/>
    <w:uiPriority w:val="0"/>
    <w:rPr>
      <w:rFonts w:hint="eastAsia" w:ascii="宋体" w:hAnsi="宋体" w:eastAsia="宋体"/>
      <w:spacing w:val="360"/>
      <w:sz w:val="18"/>
      <w:szCs w:val="18"/>
    </w:rPr>
  </w:style>
  <w:style w:type="character" w:customStyle="1" w:styleId="83">
    <w:name w:val="Style2"/>
    <w:qFormat/>
    <w:uiPriority w:val="0"/>
    <w:rPr>
      <w:rFonts w:ascii="Calibri" w:hAnsi="宋体" w:eastAsia="宋体" w:cs="Times New Roman"/>
      <w:sz w:val="22"/>
      <w:szCs w:val="22"/>
      <w:lang w:eastAsia="zh-CN"/>
    </w:rPr>
  </w:style>
  <w:style w:type="character" w:customStyle="1" w:styleId="84">
    <w:name w:val="正文4 Char Char"/>
    <w:link w:val="85"/>
    <w:qFormat/>
    <w:uiPriority w:val="0"/>
    <w:rPr>
      <w:kern w:val="2"/>
    </w:rPr>
  </w:style>
  <w:style w:type="paragraph" w:customStyle="1" w:styleId="85">
    <w:name w:val="正文4"/>
    <w:basedOn w:val="1"/>
    <w:link w:val="84"/>
    <w:qFormat/>
    <w:uiPriority w:val="0"/>
    <w:pPr>
      <w:numPr>
        <w:ilvl w:val="0"/>
        <w:numId w:val="2"/>
      </w:numPr>
      <w:spacing w:before="60" w:after="60" w:line="360" w:lineRule="auto"/>
      <w:ind w:firstLine="0"/>
    </w:pPr>
    <w:rPr>
      <w:sz w:val="20"/>
      <w:szCs w:val="20"/>
    </w:rPr>
  </w:style>
  <w:style w:type="character" w:customStyle="1" w:styleId="86">
    <w:name w:val="页眉 Char"/>
    <w:qFormat/>
    <w:uiPriority w:val="99"/>
    <w:rPr>
      <w:rFonts w:eastAsia="仿宋_GB2312"/>
      <w:kern w:val="2"/>
      <w:sz w:val="18"/>
      <w:szCs w:val="18"/>
      <w:lang w:val="en-US" w:eastAsia="zh-CN" w:bidi="ar-SA"/>
    </w:rPr>
  </w:style>
  <w:style w:type="character" w:customStyle="1" w:styleId="87">
    <w:name w:val="表格 Char"/>
    <w:qFormat/>
    <w:uiPriority w:val="0"/>
    <w:rPr>
      <w:rFonts w:ascii="Calibri" w:hAnsi="Calibri" w:cs="黑体"/>
      <w:kern w:val="2"/>
      <w:sz w:val="21"/>
      <w:szCs w:val="21"/>
    </w:rPr>
  </w:style>
  <w:style w:type="character" w:customStyle="1" w:styleId="88">
    <w:name w:val="authcode"/>
    <w:qFormat/>
    <w:uiPriority w:val="0"/>
    <w:rPr>
      <w:szCs w:val="20"/>
    </w:rPr>
  </w:style>
  <w:style w:type="character" w:customStyle="1" w:styleId="89">
    <w:name w:val="heading 8 Char1"/>
    <w:qFormat/>
    <w:uiPriority w:val="0"/>
    <w:rPr>
      <w:rFonts w:ascii="Arial" w:hAnsi="Arial" w:eastAsia="黑体"/>
      <w:b/>
      <w:sz w:val="24"/>
      <w:szCs w:val="32"/>
      <w:lang w:val="en-US" w:eastAsia="zh-CN" w:bidi="ar-SA"/>
    </w:rPr>
  </w:style>
  <w:style w:type="character" w:customStyle="1" w:styleId="90">
    <w:name w:val="正文文本 2 Char1"/>
    <w:qFormat/>
    <w:uiPriority w:val="0"/>
    <w:rPr>
      <w:rFonts w:ascii="Calibri" w:hAnsi="Calibri" w:cs="黑体"/>
      <w:kern w:val="2"/>
      <w:sz w:val="24"/>
      <w:szCs w:val="22"/>
    </w:rPr>
  </w:style>
  <w:style w:type="character" w:customStyle="1" w:styleId="91">
    <w:name w:val="正文居中 Char"/>
    <w:link w:val="92"/>
    <w:qFormat/>
    <w:uiPriority w:val="0"/>
    <w:rPr>
      <w:kern w:val="2"/>
      <w:sz w:val="21"/>
      <w:szCs w:val="24"/>
    </w:rPr>
  </w:style>
  <w:style w:type="paragraph" w:customStyle="1" w:styleId="92">
    <w:name w:val="正文居中"/>
    <w:basedOn w:val="1"/>
    <w:link w:val="91"/>
    <w:qFormat/>
    <w:uiPriority w:val="0"/>
    <w:pPr>
      <w:jc w:val="center"/>
    </w:pPr>
  </w:style>
  <w:style w:type="character" w:customStyle="1" w:styleId="93">
    <w:name w:val="称呼 Char"/>
    <w:qFormat/>
    <w:uiPriority w:val="0"/>
  </w:style>
  <w:style w:type="character" w:customStyle="1" w:styleId="94">
    <w:name w:val="内容文本 Char"/>
    <w:link w:val="95"/>
    <w:qFormat/>
    <w:uiPriority w:val="0"/>
    <w:rPr>
      <w:rFonts w:ascii="宋体" w:hAnsi="宋体"/>
      <w:sz w:val="24"/>
      <w:szCs w:val="24"/>
      <w:lang w:eastAsia="en-US" w:bidi="en-US"/>
    </w:rPr>
  </w:style>
  <w:style w:type="paragraph" w:customStyle="1" w:styleId="95">
    <w:name w:val="内容文本"/>
    <w:basedOn w:val="96"/>
    <w:link w:val="94"/>
    <w:qFormat/>
    <w:uiPriority w:val="0"/>
    <w:pPr>
      <w:spacing w:line="360" w:lineRule="auto"/>
      <w:ind w:firstLine="200"/>
      <w:contextualSpacing/>
      <w:jc w:val="left"/>
    </w:pPr>
    <w:rPr>
      <w:rFonts w:ascii="宋体" w:hAnsi="宋体"/>
      <w:kern w:val="0"/>
      <w:sz w:val="24"/>
      <w:lang w:eastAsia="en-US" w:bidi="en-US"/>
    </w:rPr>
  </w:style>
  <w:style w:type="paragraph" w:customStyle="1" w:styleId="96">
    <w:name w:val="List Paragraph"/>
    <w:basedOn w:val="1"/>
    <w:link w:val="380"/>
    <w:qFormat/>
    <w:uiPriority w:val="99"/>
    <w:pPr>
      <w:ind w:firstLine="420" w:firstLineChars="200"/>
    </w:pPr>
  </w:style>
  <w:style w:type="character" w:customStyle="1" w:styleId="97">
    <w:name w:val=" Char Char29"/>
    <w:link w:val="11"/>
    <w:qFormat/>
    <w:uiPriority w:val="0"/>
    <w:rPr>
      <w:rFonts w:ascii="Arial" w:hAnsi="Arial" w:eastAsia="黑体"/>
      <w:b/>
      <w:sz w:val="21"/>
      <w:szCs w:val="21"/>
    </w:rPr>
  </w:style>
  <w:style w:type="character" w:customStyle="1" w:styleId="98">
    <w:name w:val="Style3"/>
    <w:qFormat/>
    <w:uiPriority w:val="0"/>
    <w:rPr>
      <w:rFonts w:ascii="Calibri" w:hAnsi="宋体" w:eastAsia="宋体" w:cs="Times New Roman"/>
      <w:szCs w:val="22"/>
      <w:lang w:eastAsia="zh-CN"/>
    </w:rPr>
  </w:style>
  <w:style w:type="character" w:customStyle="1" w:styleId="99">
    <w:name w:val="med1"/>
    <w:qFormat/>
    <w:uiPriority w:val="0"/>
  </w:style>
  <w:style w:type="character" w:customStyle="1" w:styleId="100">
    <w:name w:val="正文（首行缩进2字符） Char"/>
    <w:link w:val="101"/>
    <w:qFormat/>
    <w:uiPriority w:val="0"/>
    <w:rPr>
      <w:kern w:val="2"/>
      <w:sz w:val="22"/>
      <w:szCs w:val="24"/>
    </w:rPr>
  </w:style>
  <w:style w:type="paragraph" w:customStyle="1" w:styleId="101">
    <w:name w:val="正文（首行缩进2字符）"/>
    <w:basedOn w:val="1"/>
    <w:link w:val="100"/>
    <w:qFormat/>
    <w:uiPriority w:val="0"/>
    <w:pPr>
      <w:jc w:val="center"/>
    </w:pPr>
    <w:rPr>
      <w:sz w:val="22"/>
    </w:rPr>
  </w:style>
  <w:style w:type="character" w:customStyle="1" w:styleId="102">
    <w:name w:val="1.1.1.1.1 Char"/>
    <w:link w:val="103"/>
    <w:qFormat/>
    <w:uiPriority w:val="0"/>
    <w:rPr>
      <w:rFonts w:ascii="Arial" w:hAnsi="Arial" w:eastAsia="黑体"/>
      <w:b/>
      <w:bCs/>
      <w:kern w:val="2"/>
      <w:sz w:val="24"/>
      <w:szCs w:val="28"/>
    </w:rPr>
  </w:style>
  <w:style w:type="paragraph" w:customStyle="1" w:styleId="103">
    <w:name w:val="1.1.1.1.1"/>
    <w:basedOn w:val="104"/>
    <w:next w:val="17"/>
    <w:link w:val="102"/>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104">
    <w:name w:val="样式5"/>
    <w:basedOn w:val="17"/>
    <w:link w:val="225"/>
    <w:qFormat/>
    <w:uiPriority w:val="0"/>
    <w:pPr>
      <w:adjustRightInd/>
      <w:spacing w:line="360" w:lineRule="auto"/>
      <w:ind w:firstLine="200" w:firstLineChars="200"/>
      <w:textAlignment w:val="auto"/>
    </w:pPr>
    <w:rPr>
      <w:rFonts w:ascii="仿宋_GB2312"/>
      <w:b/>
      <w:kern w:val="2"/>
      <w:sz w:val="28"/>
      <w:szCs w:val="21"/>
    </w:rPr>
  </w:style>
  <w:style w:type="character" w:customStyle="1" w:styleId="105">
    <w:name w:val="页眉注释 Char Char"/>
    <w:qFormat/>
    <w:uiPriority w:val="0"/>
    <w:rPr>
      <w:rFonts w:ascii="华文细黑" w:hAnsi="华文细黑" w:eastAsia="华文细黑"/>
      <w:b/>
      <w:color w:val="FFFFFF"/>
      <w:kern w:val="2"/>
      <w:sz w:val="18"/>
      <w:szCs w:val="18"/>
    </w:rPr>
  </w:style>
  <w:style w:type="character" w:customStyle="1" w:styleId="106">
    <w:name w:val="哈哈正文 Char"/>
    <w:link w:val="107"/>
    <w:qFormat/>
    <w:uiPriority w:val="0"/>
    <w:rPr>
      <w:rFonts w:ascii="宋体" w:hAnsi="宋体" w:cs="宋体"/>
      <w:kern w:val="2"/>
      <w:sz w:val="24"/>
    </w:rPr>
  </w:style>
  <w:style w:type="paragraph" w:customStyle="1" w:styleId="107">
    <w:name w:val="哈哈正文"/>
    <w:basedOn w:val="1"/>
    <w:link w:val="106"/>
    <w:qFormat/>
    <w:uiPriority w:val="0"/>
    <w:pPr>
      <w:spacing w:line="360" w:lineRule="auto"/>
      <w:ind w:firstLine="200" w:firstLineChars="200"/>
    </w:pPr>
    <w:rPr>
      <w:rFonts w:ascii="宋体" w:hAnsi="宋体"/>
      <w:sz w:val="24"/>
      <w:szCs w:val="20"/>
    </w:rPr>
  </w:style>
  <w:style w:type="character" w:customStyle="1" w:styleId="108">
    <w:name w:val="正文文本缩进 2 Char2"/>
    <w:basedOn w:val="58"/>
    <w:semiHidden/>
    <w:uiPriority w:val="99"/>
    <w:rPr>
      <w:kern w:val="2"/>
      <w:sz w:val="21"/>
      <w:szCs w:val="24"/>
    </w:rPr>
  </w:style>
  <w:style w:type="character" w:customStyle="1" w:styleId="109">
    <w:name w:val="正文靠右 Char"/>
    <w:link w:val="110"/>
    <w:qFormat/>
    <w:uiPriority w:val="0"/>
    <w:rPr>
      <w:kern w:val="2"/>
      <w:sz w:val="21"/>
      <w:szCs w:val="24"/>
    </w:rPr>
  </w:style>
  <w:style w:type="paragraph" w:customStyle="1" w:styleId="110">
    <w:name w:val="正文靠右"/>
    <w:basedOn w:val="1"/>
    <w:link w:val="109"/>
    <w:qFormat/>
    <w:uiPriority w:val="0"/>
    <w:pPr>
      <w:jc w:val="right"/>
    </w:pPr>
  </w:style>
  <w:style w:type="character" w:customStyle="1" w:styleId="111">
    <w:name w:val="宏文本 Char1"/>
    <w:semiHidden/>
    <w:qFormat/>
    <w:uiPriority w:val="99"/>
    <w:rPr>
      <w:rFonts w:ascii="Courier New" w:hAnsi="Courier New" w:cs="Courier New"/>
      <w:kern w:val="2"/>
      <w:sz w:val="24"/>
      <w:szCs w:val="24"/>
    </w:rPr>
  </w:style>
  <w:style w:type="character" w:customStyle="1" w:styleId="112">
    <w:name w:val="注释标题 Char2"/>
    <w:basedOn w:val="58"/>
    <w:semiHidden/>
    <w:uiPriority w:val="99"/>
    <w:rPr>
      <w:kern w:val="2"/>
      <w:sz w:val="21"/>
      <w:szCs w:val="24"/>
    </w:rPr>
  </w:style>
  <w:style w:type="character" w:customStyle="1" w:styleId="113">
    <w:name w:val="标题 3 Char1"/>
    <w:qFormat/>
    <w:uiPriority w:val="0"/>
    <w:rPr>
      <w:b/>
      <w:bCs/>
      <w:kern w:val="2"/>
      <w:sz w:val="32"/>
      <w:szCs w:val="32"/>
    </w:rPr>
  </w:style>
  <w:style w:type="character" w:customStyle="1" w:styleId="114">
    <w:name w:val="Plain Text Char"/>
    <w:qFormat/>
    <w:uiPriority w:val="0"/>
    <w:rPr>
      <w:rFonts w:ascii="宋体" w:hAnsi="Courier New" w:eastAsia="宋体" w:cs="Times New Roman"/>
      <w:sz w:val="21"/>
      <w:szCs w:val="21"/>
    </w:rPr>
  </w:style>
  <w:style w:type="character" w:customStyle="1" w:styleId="115">
    <w:name w:val="HTML 预设格式 Char2"/>
    <w:basedOn w:val="58"/>
    <w:semiHidden/>
    <w:uiPriority w:val="99"/>
    <w:rPr>
      <w:rFonts w:ascii="Courier New" w:hAnsi="Courier New" w:cs="Courier New"/>
      <w:kern w:val="2"/>
    </w:rPr>
  </w:style>
  <w:style w:type="character" w:customStyle="1" w:styleId="116">
    <w:name w:val="Char Char Char"/>
    <w:qFormat/>
    <w:uiPriority w:val="0"/>
    <w:rPr>
      <w:rFonts w:ascii="宋体" w:hAnsi="宋体" w:eastAsia="宋体"/>
      <w:kern w:val="2"/>
      <w:sz w:val="18"/>
      <w:szCs w:val="18"/>
      <w:lang w:val="en-US" w:eastAsia="zh-CN" w:bidi="ar-SA"/>
    </w:rPr>
  </w:style>
  <w:style w:type="character" w:customStyle="1" w:styleId="117">
    <w:name w:val="font161"/>
    <w:qFormat/>
    <w:uiPriority w:val="0"/>
    <w:rPr>
      <w:b/>
      <w:bCs/>
      <w:sz w:val="32"/>
      <w:szCs w:val="32"/>
    </w:rPr>
  </w:style>
  <w:style w:type="character" w:customStyle="1" w:styleId="118">
    <w:name w:val=" Char Char14"/>
    <w:link w:val="20"/>
    <w:qFormat/>
    <w:uiPriority w:val="0"/>
    <w:rPr>
      <w:kern w:val="2"/>
      <w:sz w:val="21"/>
      <w:szCs w:val="24"/>
      <w:shd w:val="clear" w:color="auto" w:fill="000080"/>
    </w:rPr>
  </w:style>
  <w:style w:type="character" w:customStyle="1" w:styleId="119">
    <w:name w:val="heading 2 Char2"/>
    <w:qFormat/>
    <w:uiPriority w:val="0"/>
    <w:rPr>
      <w:rFonts w:ascii="Cambria" w:hAnsi="Cambria" w:eastAsia="仿宋_GB2312"/>
      <w:b/>
      <w:bCs/>
      <w:kern w:val="2"/>
      <w:sz w:val="32"/>
      <w:szCs w:val="32"/>
    </w:rPr>
  </w:style>
  <w:style w:type="character" w:customStyle="1" w:styleId="120">
    <w:name w:val="ändrad Char"/>
    <w:qFormat/>
    <w:uiPriority w:val="0"/>
    <w:rPr>
      <w:rFonts w:ascii="仿宋_GB2312" w:eastAsia="宋体"/>
      <w:b/>
      <w:kern w:val="2"/>
      <w:sz w:val="21"/>
      <w:szCs w:val="24"/>
      <w:lang w:val="en-US" w:eastAsia="zh-CN" w:bidi="ar-SA"/>
    </w:rPr>
  </w:style>
  <w:style w:type="character" w:customStyle="1" w:styleId="121">
    <w:name w:val="param_td1"/>
    <w:qFormat/>
    <w:uiPriority w:val="0"/>
    <w:rPr>
      <w:rFonts w:ascii="仿宋_GB2312" w:hAnsi="Tahoma" w:eastAsia="仿宋_GB2312"/>
      <w:b/>
      <w:sz w:val="32"/>
      <w:szCs w:val="32"/>
    </w:rPr>
  </w:style>
  <w:style w:type="character" w:customStyle="1" w:styleId="122">
    <w:name w:val="heading 7 Char1"/>
    <w:qFormat/>
    <w:uiPriority w:val="0"/>
    <w:rPr>
      <w:rFonts w:ascii="Arial" w:hAnsi="Arial" w:eastAsia="黑体"/>
      <w:b/>
      <w:sz w:val="21"/>
      <w:szCs w:val="21"/>
      <w:lang w:val="en-US" w:eastAsia="zh-CN" w:bidi="ar-SA"/>
    </w:rPr>
  </w:style>
  <w:style w:type="character" w:customStyle="1" w:styleId="123">
    <w:name w:val="纯文本 Char1"/>
    <w:qFormat/>
    <w:uiPriority w:val="0"/>
    <w:rPr>
      <w:rFonts w:ascii="宋体" w:hAnsi="Courier New"/>
      <w:kern w:val="2"/>
      <w:sz w:val="21"/>
    </w:rPr>
  </w:style>
  <w:style w:type="character" w:customStyle="1" w:styleId="124">
    <w:name w:val=" Char Char7"/>
    <w:link w:val="33"/>
    <w:qFormat/>
    <w:uiPriority w:val="99"/>
    <w:rPr>
      <w:spacing w:val="12"/>
      <w:kern w:val="2"/>
      <w:sz w:val="24"/>
    </w:rPr>
  </w:style>
  <w:style w:type="character" w:customStyle="1" w:styleId="125">
    <w:name w:val="副标题 Char2"/>
    <w:basedOn w:val="58"/>
    <w:uiPriority w:val="11"/>
    <w:rPr>
      <w:rFonts w:ascii="Cambria" w:hAnsi="Cambria" w:cs="Times New Roman"/>
      <w:b/>
      <w:bCs/>
      <w:kern w:val="28"/>
      <w:sz w:val="32"/>
      <w:szCs w:val="32"/>
    </w:rPr>
  </w:style>
  <w:style w:type="character" w:customStyle="1" w:styleId="126">
    <w:name w:val="Footer-Even Char"/>
    <w:qFormat/>
    <w:uiPriority w:val="0"/>
    <w:rPr>
      <w:rFonts w:ascii="仿宋_GB2312" w:eastAsia="仿宋_GB2312"/>
      <w:b/>
      <w:sz w:val="18"/>
      <w:szCs w:val="18"/>
    </w:rPr>
  </w:style>
  <w:style w:type="character" w:customStyle="1" w:styleId="127">
    <w:name w:val="称呼 Char1"/>
    <w:basedOn w:val="58"/>
    <w:semiHidden/>
    <w:uiPriority w:val="99"/>
    <w:rPr>
      <w:kern w:val="2"/>
      <w:sz w:val="21"/>
      <w:szCs w:val="24"/>
    </w:rPr>
  </w:style>
  <w:style w:type="character" w:customStyle="1" w:styleId="128">
    <w:name w:val="纯文本 Char"/>
    <w:aliases w:val="普通文字 Char Char1,普通文字 Char Char Char,普通文字 Char1,0921 Char,普通文字 Char Char Char Char Char"/>
    <w:qFormat/>
    <w:uiPriority w:val="0"/>
    <w:rPr>
      <w:rFonts w:ascii="仿宋_GB2312" w:hAnsi="Wingdings" w:eastAsia="仿宋_GB2312"/>
      <w:sz w:val="21"/>
      <w:szCs w:val="21"/>
      <w:lang w:val="en-US" w:eastAsia="zh-CN" w:bidi="ar-SA"/>
    </w:rPr>
  </w:style>
  <w:style w:type="character" w:customStyle="1" w:styleId="129">
    <w:name w:val="Char Char21"/>
    <w:qFormat/>
    <w:uiPriority w:val="0"/>
    <w:rPr>
      <w:rFonts w:ascii="Times New Roman" w:hAnsi="Times New Roman" w:eastAsia="宋体" w:cs="Times New Roman"/>
      <w:b/>
      <w:bCs/>
      <w:kern w:val="44"/>
      <w:sz w:val="44"/>
      <w:szCs w:val="44"/>
    </w:rPr>
  </w:style>
  <w:style w:type="character" w:customStyle="1" w:styleId="130">
    <w:name w:val="heading 1 Char2"/>
    <w:qFormat/>
    <w:uiPriority w:val="0"/>
    <w:rPr>
      <w:rFonts w:ascii="仿宋_GB2312" w:eastAsia="仿宋_GB2312"/>
      <w:b/>
      <w:bCs/>
      <w:kern w:val="44"/>
      <w:sz w:val="44"/>
      <w:szCs w:val="44"/>
    </w:rPr>
  </w:style>
  <w:style w:type="character" w:customStyle="1" w:styleId="131">
    <w:name w:val="heading 3 Char1"/>
    <w:qFormat/>
    <w:uiPriority w:val="0"/>
    <w:rPr>
      <w:rFonts w:ascii="仿宋_GB2312" w:eastAsia="宋体"/>
      <w:b/>
      <w:bCs/>
      <w:kern w:val="2"/>
      <w:sz w:val="32"/>
      <w:szCs w:val="32"/>
      <w:lang w:val="en-US" w:eastAsia="zh-CN" w:bidi="ar-SA"/>
    </w:rPr>
  </w:style>
  <w:style w:type="character" w:customStyle="1" w:styleId="132">
    <w:name w:val="标题1"/>
    <w:qFormat/>
    <w:uiPriority w:val="0"/>
  </w:style>
  <w:style w:type="character" w:customStyle="1" w:styleId="133">
    <w:name w:val=" Char Char23"/>
    <w:link w:val="21"/>
    <w:qFormat/>
    <w:uiPriority w:val="0"/>
    <w:rPr>
      <w:kern w:val="2"/>
      <w:sz w:val="21"/>
      <w:szCs w:val="24"/>
    </w:rPr>
  </w:style>
  <w:style w:type="character" w:customStyle="1" w:styleId="134">
    <w:name w:val="pt141"/>
    <w:qFormat/>
    <w:uiPriority w:val="0"/>
    <w:rPr>
      <w:rFonts w:ascii="仿宋_GB2312" w:eastAsia="仿宋_GB2312"/>
      <w:b/>
      <w:color w:val="330066"/>
      <w:spacing w:val="450"/>
      <w:sz w:val="22"/>
      <w:szCs w:val="22"/>
    </w:rPr>
  </w:style>
  <w:style w:type="character" w:customStyle="1" w:styleId="135">
    <w:name w:val="heading 4 Char2"/>
    <w:qFormat/>
    <w:uiPriority w:val="0"/>
    <w:rPr>
      <w:rFonts w:ascii="Cambria" w:hAnsi="Cambria" w:eastAsia="仿宋_GB2312"/>
      <w:b/>
      <w:bCs/>
      <w:kern w:val="2"/>
      <w:sz w:val="28"/>
      <w:szCs w:val="28"/>
    </w:rPr>
  </w:style>
  <w:style w:type="character" w:customStyle="1" w:styleId="136">
    <w:name w:val="注释标题 Char"/>
    <w:qFormat/>
    <w:uiPriority w:val="0"/>
    <w:rPr>
      <w:rFonts w:eastAsia="黑体"/>
      <w:kern w:val="2"/>
      <w:sz w:val="28"/>
    </w:rPr>
  </w:style>
  <w:style w:type="character" w:customStyle="1" w:styleId="137">
    <w:name w:val="heading 1 Char"/>
    <w:qFormat/>
    <w:uiPriority w:val="0"/>
    <w:rPr>
      <w:rFonts w:ascii="Arial" w:hAnsi="Arial" w:eastAsia="黑体"/>
      <w:b/>
      <w:sz w:val="36"/>
      <w:szCs w:val="36"/>
    </w:rPr>
  </w:style>
  <w:style w:type="character" w:customStyle="1" w:styleId="138">
    <w:name w:val="Style5"/>
    <w:qFormat/>
    <w:uiPriority w:val="0"/>
    <w:rPr>
      <w:rFonts w:ascii="Calibri" w:hAnsi="宋体" w:eastAsia="宋体" w:cs="Times New Roman"/>
      <w:sz w:val="22"/>
      <w:szCs w:val="22"/>
      <w:lang w:eastAsia="zh-CN"/>
    </w:rPr>
  </w:style>
  <w:style w:type="character" w:customStyle="1" w:styleId="139">
    <w:name w:val="size31"/>
    <w:qFormat/>
    <w:uiPriority w:val="0"/>
    <w:rPr>
      <w:rFonts w:hint="default" w:ascii="Arial" w:hAnsi="Arial" w:cs="Arial"/>
      <w:color w:val="2D2D2D"/>
      <w:spacing w:val="285"/>
      <w:sz w:val="18"/>
      <w:szCs w:val="18"/>
    </w:rPr>
  </w:style>
  <w:style w:type="character" w:customStyle="1" w:styleId="140">
    <w:name w:val="普通(网站) Char"/>
    <w:qFormat/>
    <w:uiPriority w:val="99"/>
    <w:rPr>
      <w:rFonts w:ascii="宋体" w:hAnsi="宋体"/>
      <w:color w:val="000000"/>
      <w:sz w:val="24"/>
      <w:szCs w:val="24"/>
    </w:rPr>
  </w:style>
  <w:style w:type="character" w:customStyle="1" w:styleId="141">
    <w:name w:val="批注主题 Char"/>
    <w:qFormat/>
    <w:uiPriority w:val="99"/>
    <w:rPr>
      <w:rFonts w:eastAsia="宋体"/>
      <w:b/>
      <w:bCs/>
      <w:kern w:val="2"/>
      <w:sz w:val="21"/>
      <w:szCs w:val="24"/>
      <w:lang w:val="en-US" w:eastAsia="zh-CN" w:bidi="ar-SA"/>
    </w:rPr>
  </w:style>
  <w:style w:type="character" w:customStyle="1" w:styleId="142">
    <w:name w:val="Char Char20"/>
    <w:qFormat/>
    <w:uiPriority w:val="0"/>
    <w:rPr>
      <w:rFonts w:ascii="仿宋_GB2312" w:eastAsia="仿宋_GB2312"/>
      <w:b/>
      <w:bCs/>
      <w:kern w:val="44"/>
      <w:sz w:val="44"/>
      <w:szCs w:val="44"/>
    </w:rPr>
  </w:style>
  <w:style w:type="character" w:customStyle="1" w:styleId="143">
    <w:name w:val="符号正文缩进 Char Char"/>
    <w:qFormat/>
    <w:uiPriority w:val="0"/>
    <w:rPr>
      <w:sz w:val="24"/>
    </w:rPr>
  </w:style>
  <w:style w:type="character" w:customStyle="1" w:styleId="144">
    <w:name w:val="正文缩进 Char1"/>
    <w:qFormat/>
    <w:uiPriority w:val="0"/>
    <w:rPr>
      <w:sz w:val="21"/>
    </w:rPr>
  </w:style>
  <w:style w:type="character" w:customStyle="1" w:styleId="145">
    <w:name w:val=" Char Char10"/>
    <w:link w:val="34"/>
    <w:qFormat/>
    <w:uiPriority w:val="0"/>
    <w:rPr>
      <w:kern w:val="2"/>
      <w:sz w:val="21"/>
      <w:szCs w:val="24"/>
    </w:rPr>
  </w:style>
  <w:style w:type="character" w:customStyle="1" w:styleId="146">
    <w:name w:val="页脚 Char"/>
    <w:qFormat/>
    <w:uiPriority w:val="99"/>
    <w:rPr>
      <w:rFonts w:eastAsia="仿宋_GB2312"/>
      <w:kern w:val="2"/>
      <w:sz w:val="18"/>
      <w:szCs w:val="18"/>
      <w:lang w:val="en-US" w:eastAsia="zh-CN" w:bidi="ar-SA"/>
    </w:rPr>
  </w:style>
  <w:style w:type="character" w:customStyle="1" w:styleId="147">
    <w:name w:val="Ò³Ã¼ Char Char1"/>
    <w:qFormat/>
    <w:uiPriority w:val="0"/>
    <w:rPr>
      <w:rFonts w:ascii="仿宋_GB2312" w:eastAsia="宋体"/>
      <w:b/>
      <w:kern w:val="2"/>
      <w:sz w:val="18"/>
      <w:szCs w:val="18"/>
      <w:lang w:val="en-US" w:eastAsia="zh-CN" w:bidi="ar-SA"/>
    </w:rPr>
  </w:style>
  <w:style w:type="character" w:customStyle="1" w:styleId="148">
    <w:name w:val="宏文本 Char"/>
    <w:qFormat/>
    <w:uiPriority w:val="0"/>
    <w:rPr>
      <w:rFonts w:ascii="Courier New" w:hAnsi="Courier New"/>
      <w:kern w:val="2"/>
      <w:sz w:val="24"/>
      <w:szCs w:val="24"/>
    </w:rPr>
  </w:style>
  <w:style w:type="character" w:customStyle="1" w:styleId="149">
    <w:name w:val="正文文本 2 Char2"/>
    <w:basedOn w:val="58"/>
    <w:semiHidden/>
    <w:uiPriority w:val="99"/>
    <w:rPr>
      <w:kern w:val="2"/>
      <w:sz w:val="21"/>
      <w:szCs w:val="24"/>
    </w:rPr>
  </w:style>
  <w:style w:type="character" w:customStyle="1" w:styleId="150">
    <w:name w:val="password"/>
    <w:qFormat/>
    <w:uiPriority w:val="0"/>
    <w:rPr>
      <w:szCs w:val="20"/>
    </w:rPr>
  </w:style>
  <w:style w:type="character" w:customStyle="1" w:styleId="151">
    <w:name w:val="题注(图注) Char"/>
    <w:qFormat/>
    <w:uiPriority w:val="0"/>
    <w:rPr>
      <w:rFonts w:ascii="Arial Unicode MS" w:hAnsi="Arial Unicode MS" w:eastAsia="宋体" w:cs="宋体"/>
      <w:szCs w:val="20"/>
      <w:lang w:val="en-US" w:eastAsia="zh-CN"/>
    </w:rPr>
  </w:style>
  <w:style w:type="character" w:customStyle="1" w:styleId="152">
    <w:name w:val="副标题 Char"/>
    <w:qFormat/>
    <w:uiPriority w:val="0"/>
    <w:rPr>
      <w:rFonts w:ascii="Cambria" w:hAnsi="Cambria"/>
      <w:b/>
      <w:bCs/>
      <w:kern w:val="28"/>
      <w:sz w:val="32"/>
      <w:szCs w:val="32"/>
    </w:rPr>
  </w:style>
  <w:style w:type="character" w:customStyle="1" w:styleId="153">
    <w:name w:val="大标题 Char Char"/>
    <w:qFormat/>
    <w:uiPriority w:val="0"/>
    <w:rPr>
      <w:rFonts w:ascii="黑体" w:hAnsi="黑体" w:eastAsia="黑体"/>
      <w:b/>
      <w:bCs/>
      <w:kern w:val="2"/>
      <w:sz w:val="72"/>
      <w:szCs w:val="72"/>
    </w:rPr>
  </w:style>
  <w:style w:type="character" w:customStyle="1" w:styleId="154">
    <w:name w:val="正文缩进 Char"/>
    <w:qFormat/>
    <w:uiPriority w:val="99"/>
    <w:rPr>
      <w:rFonts w:eastAsia="仿宋_GB2312"/>
      <w:sz w:val="21"/>
      <w:lang w:val="en-US" w:eastAsia="zh-CN" w:bidi="ar-SA"/>
    </w:rPr>
  </w:style>
  <w:style w:type="character" w:customStyle="1" w:styleId="155">
    <w:name w:val=" Char Char34"/>
    <w:link w:val="6"/>
    <w:qFormat/>
    <w:uiPriority w:val="0"/>
    <w:rPr>
      <w:rFonts w:ascii="Arial" w:hAnsi="Arial" w:eastAsia="黑体"/>
      <w:b/>
      <w:bCs/>
      <w:kern w:val="2"/>
      <w:sz w:val="32"/>
      <w:szCs w:val="32"/>
    </w:rPr>
  </w:style>
  <w:style w:type="character" w:customStyle="1" w:styleId="156">
    <w:name w:val="正文首行缩进 2 Char3"/>
    <w:basedOn w:val="157"/>
    <w:semiHidden/>
    <w:uiPriority w:val="99"/>
  </w:style>
  <w:style w:type="character" w:customStyle="1" w:styleId="157">
    <w:name w:val="正文文本缩进 Char1"/>
    <w:basedOn w:val="58"/>
    <w:semiHidden/>
    <w:uiPriority w:val="99"/>
    <w:rPr>
      <w:kern w:val="2"/>
      <w:sz w:val="21"/>
      <w:szCs w:val="24"/>
    </w:rPr>
  </w:style>
  <w:style w:type="character" w:customStyle="1" w:styleId="158">
    <w:name w:val="脚注文本 Char1"/>
    <w:basedOn w:val="58"/>
    <w:semiHidden/>
    <w:uiPriority w:val="99"/>
    <w:rPr>
      <w:kern w:val="2"/>
      <w:sz w:val="18"/>
      <w:szCs w:val="18"/>
    </w:rPr>
  </w:style>
  <w:style w:type="character" w:customStyle="1" w:styleId="159">
    <w:name w:val="正文缩进 字符"/>
    <w:qFormat/>
    <w:uiPriority w:val="0"/>
    <w:rPr>
      <w:rFonts w:eastAsia="宋体"/>
      <w:sz w:val="21"/>
      <w:lang w:val="en-US" w:eastAsia="zh-CN" w:bidi="ar-SA"/>
    </w:rPr>
  </w:style>
  <w:style w:type="character" w:customStyle="1" w:styleId="160">
    <w:name w:val="heading 2 Char"/>
    <w:qFormat/>
    <w:uiPriority w:val="0"/>
    <w:rPr>
      <w:rFonts w:ascii="Arial" w:hAnsi="Arial" w:eastAsia="黑体" w:cs="Times New Roman"/>
      <w:b/>
      <w:sz w:val="30"/>
      <w:szCs w:val="24"/>
    </w:rPr>
  </w:style>
  <w:style w:type="character" w:customStyle="1" w:styleId="161">
    <w:name w:val="注释正文＋下划线 Char Char"/>
    <w:qFormat/>
    <w:uiPriority w:val="0"/>
    <w:rPr>
      <w:rFonts w:ascii="宋体" w:hAnsi="宋体"/>
      <w:kern w:val="2"/>
      <w:sz w:val="28"/>
      <w:szCs w:val="28"/>
      <w:u w:val="single"/>
    </w:rPr>
  </w:style>
  <w:style w:type="character" w:customStyle="1" w:styleId="162">
    <w:name w:val="HTML 预设格式 Char1"/>
    <w:qFormat/>
    <w:uiPriority w:val="99"/>
    <w:rPr>
      <w:rFonts w:ascii="Courier New" w:hAnsi="Courier New" w:cs="Courier New"/>
      <w:kern w:val="2"/>
    </w:rPr>
  </w:style>
  <w:style w:type="character" w:customStyle="1" w:styleId="163">
    <w:name w:val="批注文字 Char1"/>
    <w:qFormat/>
    <w:uiPriority w:val="0"/>
    <w:rPr>
      <w:kern w:val="2"/>
      <w:sz w:val="21"/>
      <w:szCs w:val="24"/>
    </w:rPr>
  </w:style>
  <w:style w:type="character" w:customStyle="1" w:styleId="164">
    <w:name w:val="表格题注 Char"/>
    <w:link w:val="165"/>
    <w:qFormat/>
    <w:uiPriority w:val="0"/>
    <w:rPr>
      <w:rFonts w:ascii="Calibri Light" w:hAnsi="Calibri Light" w:eastAsia="黑体" w:cs="黑体"/>
      <w:bCs/>
      <w:kern w:val="2"/>
      <w:sz w:val="21"/>
      <w:szCs w:val="21"/>
    </w:rPr>
  </w:style>
  <w:style w:type="paragraph" w:customStyle="1" w:styleId="165">
    <w:name w:val="表格题注"/>
    <w:basedOn w:val="18"/>
    <w:link w:val="164"/>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166">
    <w:name w:val="font31"/>
    <w:qFormat/>
    <w:uiPriority w:val="0"/>
    <w:rPr>
      <w:rFonts w:hint="eastAsia" w:ascii="宋体" w:hAnsi="宋体" w:eastAsia="宋体" w:cs="宋体"/>
      <w:color w:val="000000"/>
      <w:sz w:val="20"/>
      <w:szCs w:val="20"/>
      <w:u w:val="none"/>
    </w:rPr>
  </w:style>
  <w:style w:type="character" w:customStyle="1" w:styleId="167">
    <w:name w:val="正文文本 3 Char1"/>
    <w:basedOn w:val="58"/>
    <w:semiHidden/>
    <w:uiPriority w:val="99"/>
    <w:rPr>
      <w:kern w:val="2"/>
      <w:sz w:val="16"/>
      <w:szCs w:val="16"/>
    </w:rPr>
  </w:style>
  <w:style w:type="character" w:customStyle="1" w:styleId="168">
    <w:name w:val="编号正文缩进 Char Char"/>
    <w:qFormat/>
    <w:uiPriority w:val="0"/>
    <w:rPr>
      <w:sz w:val="24"/>
    </w:rPr>
  </w:style>
  <w:style w:type="character" w:customStyle="1" w:styleId="169">
    <w:name w:val="heading 6 Char1"/>
    <w:qFormat/>
    <w:uiPriority w:val="0"/>
    <w:rPr>
      <w:rFonts w:ascii="Arial" w:hAnsi="Arial" w:eastAsia="黑体"/>
      <w:b/>
      <w:kern w:val="2"/>
      <w:sz w:val="24"/>
      <w:szCs w:val="24"/>
      <w:lang w:val="en-US" w:eastAsia="zh-CN" w:bidi="ar-SA"/>
    </w:rPr>
  </w:style>
  <w:style w:type="character" w:customStyle="1" w:styleId="170">
    <w:name w:val="标题 4 Char1"/>
    <w:qFormat/>
    <w:uiPriority w:val="0"/>
    <w:rPr>
      <w:rFonts w:ascii="Cambria" w:hAnsi="Cambria"/>
      <w:b/>
      <w:bCs/>
      <w:kern w:val="2"/>
      <w:sz w:val="28"/>
      <w:szCs w:val="28"/>
    </w:rPr>
  </w:style>
  <w:style w:type="character" w:customStyle="1" w:styleId="171">
    <w:name w:val=" Char Char4"/>
    <w:link w:val="49"/>
    <w:qFormat/>
    <w:uiPriority w:val="0"/>
    <w:rPr>
      <w:szCs w:val="20"/>
    </w:rPr>
  </w:style>
  <w:style w:type="character" w:customStyle="1" w:styleId="172">
    <w:name w:val=" Char Char19"/>
    <w:link w:val="15"/>
    <w:qFormat/>
    <w:uiPriority w:val="0"/>
    <w:rPr>
      <w:rFonts w:eastAsia="黑体"/>
      <w:kern w:val="2"/>
      <w:sz w:val="28"/>
    </w:rPr>
  </w:style>
  <w:style w:type="character" w:customStyle="1" w:styleId="173">
    <w:name w:val="Char Char111"/>
    <w:qFormat/>
    <w:uiPriority w:val="0"/>
    <w:rPr>
      <w:rFonts w:ascii="Times New Roman" w:hAnsi="Times New Roman" w:eastAsia="宋体" w:cs="Times New Roman"/>
      <w:sz w:val="18"/>
      <w:szCs w:val="18"/>
    </w:rPr>
  </w:style>
  <w:style w:type="character" w:customStyle="1" w:styleId="174">
    <w:name w:val="正文首行缩进 Char"/>
    <w:qFormat/>
    <w:uiPriority w:val="0"/>
    <w:rPr>
      <w:rFonts w:ascii="仿宋_GB2312" w:eastAsia="宋体"/>
      <w:b/>
      <w:kern w:val="2"/>
      <w:sz w:val="21"/>
      <w:szCs w:val="24"/>
      <w:lang w:val="en-US" w:eastAsia="zh-CN" w:bidi="ar-SA"/>
    </w:rPr>
  </w:style>
  <w:style w:type="character" w:customStyle="1" w:styleId="175">
    <w:name w:val="栏目标题 Char"/>
    <w:link w:val="176"/>
    <w:qFormat/>
    <w:uiPriority w:val="0"/>
    <w:rPr>
      <w:rFonts w:ascii="黑体" w:hAnsi="黑体" w:eastAsia="黑体"/>
      <w:b/>
      <w:kern w:val="2"/>
      <w:sz w:val="21"/>
      <w:szCs w:val="24"/>
    </w:rPr>
  </w:style>
  <w:style w:type="paragraph" w:customStyle="1" w:styleId="176">
    <w:name w:val="栏目标题"/>
    <w:basedOn w:val="1"/>
    <w:link w:val="175"/>
    <w:qFormat/>
    <w:uiPriority w:val="0"/>
    <w:pPr>
      <w:jc w:val="center"/>
    </w:pPr>
    <w:rPr>
      <w:rFonts w:ascii="黑体" w:hAnsi="黑体" w:eastAsia="黑体"/>
      <w:b/>
    </w:rPr>
  </w:style>
  <w:style w:type="character" w:customStyle="1" w:styleId="177">
    <w:name w:val=" Char Char13"/>
    <w:link w:val="22"/>
    <w:qFormat/>
    <w:uiPriority w:val="0"/>
    <w:rPr>
      <w:szCs w:val="20"/>
    </w:rPr>
  </w:style>
  <w:style w:type="character" w:customStyle="1" w:styleId="178">
    <w:name w:val=" Char Char24"/>
    <w:link w:val="23"/>
    <w:qFormat/>
    <w:uiPriority w:val="0"/>
    <w:rPr>
      <w:szCs w:val="20"/>
    </w:rPr>
  </w:style>
  <w:style w:type="character" w:customStyle="1" w:styleId="179">
    <w:name w:val="注释标题 Char1"/>
    <w:qFormat/>
    <w:uiPriority w:val="0"/>
    <w:rPr>
      <w:kern w:val="2"/>
      <w:sz w:val="21"/>
      <w:szCs w:val="24"/>
    </w:rPr>
  </w:style>
  <w:style w:type="character" w:customStyle="1" w:styleId="180">
    <w:name w:val="符号正文缩进 Char"/>
    <w:link w:val="181"/>
    <w:qFormat/>
    <w:uiPriority w:val="0"/>
    <w:rPr>
      <w:sz w:val="24"/>
    </w:rPr>
  </w:style>
  <w:style w:type="paragraph" w:customStyle="1" w:styleId="181">
    <w:name w:val="符号正文缩进"/>
    <w:basedOn w:val="17"/>
    <w:link w:val="180"/>
    <w:qFormat/>
    <w:uiPriority w:val="0"/>
    <w:pPr>
      <w:numPr>
        <w:ilvl w:val="0"/>
        <w:numId w:val="4"/>
      </w:numPr>
      <w:spacing w:line="400" w:lineRule="atLeast"/>
    </w:pPr>
    <w:rPr>
      <w:sz w:val="24"/>
    </w:rPr>
  </w:style>
  <w:style w:type="character" w:customStyle="1" w:styleId="182">
    <w:name w:val="标题 9 Char"/>
    <w:basedOn w:val="58"/>
    <w:qFormat/>
    <w:uiPriority w:val="0"/>
    <w:rPr>
      <w:rFonts w:ascii="Arial" w:hAnsi="Arial" w:eastAsia="黑体"/>
      <w:b/>
      <w:sz w:val="21"/>
      <w:szCs w:val="32"/>
    </w:rPr>
  </w:style>
  <w:style w:type="character" w:customStyle="1" w:styleId="183">
    <w:name w:val="目录标题 Char"/>
    <w:link w:val="184"/>
    <w:qFormat/>
    <w:uiPriority w:val="0"/>
    <w:rPr>
      <w:rFonts w:eastAsia="黑体"/>
      <w:b/>
      <w:bCs/>
      <w:kern w:val="2"/>
      <w:sz w:val="44"/>
      <w:szCs w:val="44"/>
    </w:rPr>
  </w:style>
  <w:style w:type="paragraph" w:customStyle="1" w:styleId="184">
    <w:name w:val="目录标题1"/>
    <w:basedOn w:val="1"/>
    <w:link w:val="183"/>
    <w:qFormat/>
    <w:uiPriority w:val="0"/>
    <w:pPr>
      <w:jc w:val="center"/>
    </w:pPr>
    <w:rPr>
      <w:rFonts w:eastAsia="黑体"/>
      <w:b/>
      <w:bCs/>
      <w:sz w:val="44"/>
      <w:szCs w:val="44"/>
    </w:rPr>
  </w:style>
  <w:style w:type="character" w:customStyle="1" w:styleId="185">
    <w:name w:val="正文1 Char Char"/>
    <w:link w:val="186"/>
    <w:qFormat/>
    <w:uiPriority w:val="0"/>
    <w:rPr>
      <w:rFonts w:ascii="宋体" w:hAnsi="宋体" w:cs="宋体"/>
      <w:b/>
      <w:sz w:val="21"/>
      <w:szCs w:val="32"/>
    </w:rPr>
  </w:style>
  <w:style w:type="paragraph" w:customStyle="1" w:styleId="186">
    <w:name w:val="正文1"/>
    <w:basedOn w:val="1"/>
    <w:link w:val="185"/>
    <w:qFormat/>
    <w:uiPriority w:val="0"/>
    <w:pPr>
      <w:widowControl/>
      <w:spacing w:line="360" w:lineRule="auto"/>
      <w:ind w:left="360" w:firstLine="420"/>
      <w:jc w:val="left"/>
    </w:pPr>
    <w:rPr>
      <w:rFonts w:ascii="宋体" w:hAnsi="宋体"/>
      <w:b/>
      <w:kern w:val="0"/>
      <w:szCs w:val="32"/>
    </w:rPr>
  </w:style>
  <w:style w:type="character" w:customStyle="1" w:styleId="187">
    <w:name w:val="小标题 Char Char"/>
    <w:qFormat/>
    <w:uiPriority w:val="0"/>
    <w:rPr>
      <w:rFonts w:ascii="黑体" w:hAnsi="黑体" w:eastAsia="黑体"/>
      <w:b/>
      <w:bCs/>
      <w:kern w:val="2"/>
      <w:sz w:val="48"/>
      <w:szCs w:val="48"/>
    </w:rPr>
  </w:style>
  <w:style w:type="character" w:customStyle="1" w:styleId="188">
    <w:name w:val="font01"/>
    <w:qFormat/>
    <w:uiPriority w:val="0"/>
    <w:rPr>
      <w:rFonts w:hint="eastAsia" w:ascii="宋体" w:hAnsi="宋体" w:eastAsia="宋体" w:cs="宋体"/>
      <w:color w:val="000000"/>
      <w:sz w:val="22"/>
      <w:szCs w:val="22"/>
      <w:u w:val="none"/>
    </w:rPr>
  </w:style>
  <w:style w:type="character" w:customStyle="1" w:styleId="189">
    <w:name w:val=" Char Char12"/>
    <w:link w:val="37"/>
    <w:qFormat/>
    <w:uiPriority w:val="0"/>
    <w:rPr>
      <w:kern w:val="2"/>
      <w:sz w:val="18"/>
      <w:szCs w:val="18"/>
    </w:rPr>
  </w:style>
  <w:style w:type="character" w:customStyle="1" w:styleId="190">
    <w:name w:val="标题 2 Char1"/>
    <w:qFormat/>
    <w:uiPriority w:val="0"/>
    <w:rPr>
      <w:rFonts w:ascii="Arial" w:hAnsi="Arial" w:eastAsia="黑体"/>
      <w:b/>
      <w:bCs/>
      <w:kern w:val="2"/>
      <w:sz w:val="32"/>
      <w:szCs w:val="32"/>
    </w:rPr>
  </w:style>
  <w:style w:type="character" w:customStyle="1" w:styleId="191">
    <w:name w:val="正文文本 Char"/>
    <w:qFormat/>
    <w:uiPriority w:val="99"/>
    <w:rPr>
      <w:rFonts w:ascii="仿宋_GB2312" w:eastAsia="宋体"/>
      <w:b/>
      <w:kern w:val="2"/>
      <w:sz w:val="21"/>
      <w:szCs w:val="24"/>
      <w:lang w:val="en-US" w:eastAsia="zh-CN" w:bidi="ar-SA"/>
    </w:rPr>
  </w:style>
  <w:style w:type="character" w:customStyle="1" w:styleId="192">
    <w:name w:val="A6"/>
    <w:qFormat/>
    <w:uiPriority w:val="0"/>
    <w:rPr>
      <w:rFonts w:cs="Helvetica Neue"/>
      <w:color w:val="3E667A"/>
      <w:sz w:val="14"/>
      <w:szCs w:val="14"/>
    </w:rPr>
  </w:style>
  <w:style w:type="character" w:customStyle="1" w:styleId="193">
    <w:name w:val="hover30"/>
    <w:qFormat/>
    <w:uiPriority w:val="0"/>
    <w:rPr>
      <w:szCs w:val="20"/>
    </w:rPr>
  </w:style>
  <w:style w:type="character" w:customStyle="1" w:styleId="194">
    <w:name w:val="box-header-con"/>
    <w:qFormat/>
    <w:uiPriority w:val="0"/>
  </w:style>
  <w:style w:type="character" w:customStyle="1" w:styleId="195">
    <w:name w:val="正文缩进 Char2"/>
    <w:qFormat/>
    <w:uiPriority w:val="0"/>
    <w:rPr>
      <w:rFonts w:ascii="Tahoma" w:hAnsi="Tahoma" w:eastAsia="宋体"/>
      <w:b/>
      <w:bCs/>
      <w:kern w:val="2"/>
      <w:sz w:val="24"/>
      <w:szCs w:val="24"/>
      <w:lang w:val="en-US" w:eastAsia="zh-CN" w:bidi="ar-SA"/>
    </w:rPr>
  </w:style>
  <w:style w:type="character" w:customStyle="1" w:styleId="196">
    <w:name w:val=" Char Char31"/>
    <w:link w:val="9"/>
    <w:qFormat/>
    <w:uiPriority w:val="0"/>
    <w:rPr>
      <w:rFonts w:ascii="仿宋_GB2312" w:hAnsi="Tahoma"/>
      <w:b/>
      <w:bCs/>
      <w:kern w:val="2"/>
      <w:sz w:val="28"/>
      <w:szCs w:val="28"/>
    </w:rPr>
  </w:style>
  <w:style w:type="character" w:customStyle="1" w:styleId="197">
    <w:name w:val="apple-style-span"/>
    <w:qFormat/>
    <w:uiPriority w:val="0"/>
  </w:style>
  <w:style w:type="character" w:customStyle="1" w:styleId="198">
    <w:name w:val="普通文字1 Char"/>
    <w:qFormat/>
    <w:uiPriority w:val="0"/>
    <w:rPr>
      <w:rFonts w:ascii="宋体" w:hAnsi="Courier New" w:eastAsia="宋体" w:cs="Courier New"/>
      <w:kern w:val="2"/>
      <w:sz w:val="21"/>
      <w:szCs w:val="21"/>
      <w:lang w:val="en-US" w:eastAsia="zh-CN" w:bidi="ar-SA"/>
    </w:rPr>
  </w:style>
  <w:style w:type="character" w:customStyle="1" w:styleId="199">
    <w:name w:val="apple-converted-space"/>
    <w:qFormat/>
    <w:uiPriority w:val="0"/>
  </w:style>
  <w:style w:type="character" w:customStyle="1" w:styleId="200">
    <w:name w:val="标题 4 Char"/>
    <w:qFormat/>
    <w:uiPriority w:val="9"/>
    <w:rPr>
      <w:rFonts w:ascii="Arial" w:hAnsi="Arial" w:eastAsia="黑体"/>
      <w:b/>
      <w:bCs/>
      <w:kern w:val="2"/>
      <w:sz w:val="28"/>
      <w:szCs w:val="28"/>
      <w:lang w:val="en-US" w:eastAsia="zh-CN" w:bidi="ar-SA"/>
    </w:rPr>
  </w:style>
  <w:style w:type="character" w:customStyle="1" w:styleId="201">
    <w:name w:val="正文首行缩进 Char3"/>
    <w:basedOn w:val="191"/>
    <w:semiHidden/>
    <w:uiPriority w:val="99"/>
  </w:style>
  <w:style w:type="character" w:customStyle="1" w:styleId="202">
    <w:name w:val="样式 标题 3 + 黑体 小四 Char Char"/>
    <w:link w:val="203"/>
    <w:qFormat/>
    <w:uiPriority w:val="0"/>
    <w:rPr>
      <w:rFonts w:ascii="黑体" w:hAnsi="Arial" w:eastAsia="黑体"/>
      <w:bCs/>
      <w:sz w:val="24"/>
      <w:szCs w:val="24"/>
    </w:rPr>
  </w:style>
  <w:style w:type="paragraph" w:customStyle="1" w:styleId="203">
    <w:name w:val="样式 标题 3 + 黑体 小四"/>
    <w:basedOn w:val="7"/>
    <w:link w:val="202"/>
    <w:qFormat/>
    <w:uiPriority w:val="0"/>
    <w:pPr>
      <w:spacing w:line="413" w:lineRule="auto"/>
    </w:pPr>
    <w:rPr>
      <w:rFonts w:ascii="黑体" w:hAnsi="Arial" w:eastAsia="黑体"/>
      <w:b w:val="0"/>
      <w:kern w:val="0"/>
      <w:sz w:val="24"/>
      <w:szCs w:val="24"/>
    </w:rPr>
  </w:style>
  <w:style w:type="character" w:customStyle="1" w:styleId="204">
    <w:name w:val="Char1"/>
    <w:qFormat/>
    <w:uiPriority w:val="0"/>
    <w:rPr>
      <w:rFonts w:ascii="宋体" w:hAnsi="宋体" w:eastAsia="宋体"/>
      <w:b/>
      <w:kern w:val="2"/>
      <w:sz w:val="24"/>
      <w:szCs w:val="24"/>
      <w:lang w:val="en-US" w:eastAsia="zh-CN" w:bidi="ar-SA"/>
    </w:rPr>
  </w:style>
  <w:style w:type="character" w:customStyle="1" w:styleId="205">
    <w:name w:val="正文首行缩进 2 Char1"/>
    <w:qFormat/>
    <w:uiPriority w:val="0"/>
  </w:style>
  <w:style w:type="character" w:customStyle="1" w:styleId="206">
    <w:name w:val="hover15"/>
    <w:qFormat/>
    <w:uiPriority w:val="0"/>
    <w:rPr>
      <w:szCs w:val="20"/>
      <w:u w:val="single"/>
    </w:rPr>
  </w:style>
  <w:style w:type="character" w:customStyle="1" w:styleId="207">
    <w:name w:val="HTML 预设格式 Char"/>
    <w:qFormat/>
    <w:uiPriority w:val="0"/>
    <w:rPr>
      <w:rFonts w:ascii="微软雅黑" w:hAnsi="微软雅黑" w:eastAsia="微软雅黑"/>
      <w:sz w:val="24"/>
      <w:szCs w:val="24"/>
    </w:rPr>
  </w:style>
  <w:style w:type="character" w:customStyle="1" w:styleId="208">
    <w:name w:val="PI Char2"/>
    <w:qFormat/>
    <w:uiPriority w:val="0"/>
    <w:rPr>
      <w:rFonts w:ascii="仿宋_GB2312" w:eastAsia="仿宋_GB2312"/>
      <w:b/>
      <w:kern w:val="2"/>
      <w:sz w:val="24"/>
      <w:szCs w:val="24"/>
    </w:rPr>
  </w:style>
  <w:style w:type="character" w:customStyle="1" w:styleId="209">
    <w:name w:val="legend"/>
    <w:qFormat/>
    <w:uiPriority w:val="0"/>
    <w:rPr>
      <w:rFonts w:ascii="Arial" w:hAnsi="Arial" w:cs="Arial"/>
      <w:b/>
      <w:color w:val="73B304"/>
      <w:sz w:val="16"/>
      <w:szCs w:val="16"/>
      <w:shd w:val="clear" w:color="auto" w:fill="FFFFFF"/>
    </w:rPr>
  </w:style>
  <w:style w:type="character" w:customStyle="1" w:styleId="210">
    <w:name w:val=" Char Char33"/>
    <w:link w:val="7"/>
    <w:qFormat/>
    <w:uiPriority w:val="0"/>
    <w:rPr>
      <w:b/>
      <w:bCs/>
      <w:kern w:val="2"/>
      <w:sz w:val="32"/>
      <w:szCs w:val="32"/>
    </w:rPr>
  </w:style>
  <w:style w:type="character" w:customStyle="1" w:styleId="211">
    <w:name w:val="Char Char Char1"/>
    <w:qFormat/>
    <w:uiPriority w:val="0"/>
    <w:rPr>
      <w:rFonts w:ascii="宋体" w:hAnsi="Courier New" w:eastAsia="仿宋_GB2312"/>
      <w:b/>
      <w:sz w:val="21"/>
      <w:szCs w:val="21"/>
    </w:rPr>
  </w:style>
  <w:style w:type="character" w:customStyle="1" w:styleId="212">
    <w:name w:val="正文文本缩进 3 Char1"/>
    <w:qFormat/>
    <w:uiPriority w:val="0"/>
    <w:rPr>
      <w:rFonts w:ascii="Calibri" w:hAnsi="Calibri" w:cs="黑体"/>
      <w:kern w:val="2"/>
      <w:sz w:val="16"/>
      <w:szCs w:val="16"/>
    </w:rPr>
  </w:style>
  <w:style w:type="character" w:customStyle="1" w:styleId="213">
    <w:name w:val=" Char Char11"/>
    <w:link w:val="36"/>
    <w:qFormat/>
    <w:uiPriority w:val="0"/>
    <w:rPr>
      <w:kern w:val="2"/>
      <w:sz w:val="18"/>
      <w:szCs w:val="18"/>
    </w:rPr>
  </w:style>
  <w:style w:type="character" w:customStyle="1" w:styleId="214">
    <w:name w:val=" Char Char25"/>
    <w:link w:val="4"/>
    <w:qFormat/>
    <w:uiPriority w:val="0"/>
    <w:rPr>
      <w:rFonts w:ascii="Courier New" w:hAnsi="Courier New"/>
      <w:kern w:val="2"/>
      <w:sz w:val="24"/>
      <w:szCs w:val="24"/>
      <w:lang w:val="en-US" w:eastAsia="zh-CN" w:bidi="ar-SA"/>
    </w:rPr>
  </w:style>
  <w:style w:type="character" w:customStyle="1" w:styleId="215">
    <w:name w:val="表格标题 Char"/>
    <w:link w:val="216"/>
    <w:qFormat/>
    <w:uiPriority w:val="0"/>
    <w:rPr>
      <w:rFonts w:ascii="黑体" w:hAnsi="黑体" w:eastAsia="黑体"/>
      <w:b/>
      <w:color w:val="FFFFFF"/>
      <w:kern w:val="2"/>
      <w:sz w:val="21"/>
      <w:szCs w:val="24"/>
    </w:rPr>
  </w:style>
  <w:style w:type="paragraph" w:customStyle="1" w:styleId="216">
    <w:name w:val="表格标题"/>
    <w:basedOn w:val="1"/>
    <w:link w:val="215"/>
    <w:qFormat/>
    <w:uiPriority w:val="0"/>
    <w:rPr>
      <w:rFonts w:ascii="黑体" w:hAnsi="黑体" w:eastAsia="黑体"/>
      <w:b/>
      <w:color w:val="FFFFFF"/>
    </w:rPr>
  </w:style>
  <w:style w:type="character" w:customStyle="1" w:styleId="217">
    <w:name w:val="Char Char211"/>
    <w:qFormat/>
    <w:uiPriority w:val="0"/>
    <w:rPr>
      <w:rFonts w:ascii="Times New Roman" w:hAnsi="Times New Roman" w:eastAsia="宋体" w:cs="Times New Roman"/>
      <w:b/>
      <w:bCs/>
      <w:kern w:val="44"/>
      <w:sz w:val="44"/>
      <w:szCs w:val="44"/>
    </w:rPr>
  </w:style>
  <w:style w:type="character" w:customStyle="1" w:styleId="218">
    <w:name w:val="headline-content"/>
    <w:qFormat/>
    <w:uiPriority w:val="0"/>
  </w:style>
  <w:style w:type="character" w:customStyle="1" w:styleId="219">
    <w:name w:val="zbggmain style9"/>
    <w:qFormat/>
    <w:uiPriority w:val="0"/>
    <w:rPr>
      <w:szCs w:val="20"/>
    </w:rPr>
  </w:style>
  <w:style w:type="character" w:customStyle="1" w:styleId="220">
    <w:name w:val="纯文本 Char3"/>
    <w:qFormat/>
    <w:uiPriority w:val="0"/>
    <w:rPr>
      <w:rFonts w:ascii="宋体" w:hAnsi="Courier New" w:eastAsia="宋体"/>
      <w:kern w:val="2"/>
      <w:sz w:val="21"/>
      <w:lang w:val="en-US" w:eastAsia="zh-CN" w:bidi="ar-SA"/>
    </w:rPr>
  </w:style>
  <w:style w:type="character" w:customStyle="1" w:styleId="221">
    <w:name w:val=" Char Char30"/>
    <w:link w:val="10"/>
    <w:qFormat/>
    <w:uiPriority w:val="0"/>
    <w:rPr>
      <w:rFonts w:ascii="Arial" w:hAnsi="Arial" w:eastAsia="黑体"/>
      <w:b/>
      <w:bCs/>
      <w:kern w:val="2"/>
      <w:sz w:val="24"/>
      <w:szCs w:val="24"/>
    </w:rPr>
  </w:style>
  <w:style w:type="character" w:customStyle="1" w:styleId="222">
    <w:name w:val="style21"/>
    <w:qFormat/>
    <w:uiPriority w:val="0"/>
    <w:rPr>
      <w:rFonts w:ascii="仿宋_GB2312" w:eastAsia="仿宋_GB2312"/>
      <w:b/>
      <w:sz w:val="15"/>
      <w:szCs w:val="15"/>
    </w:rPr>
  </w:style>
  <w:style w:type="character" w:customStyle="1" w:styleId="223">
    <w:name w:val="引用 Char"/>
    <w:link w:val="224"/>
    <w:qFormat/>
    <w:uiPriority w:val="29"/>
    <w:rPr>
      <w:rFonts w:ascii="Calibri" w:hAnsi="Calibri"/>
      <w:b/>
      <w:i/>
      <w:iCs/>
      <w:color w:val="000000"/>
      <w:sz w:val="32"/>
      <w:szCs w:val="32"/>
    </w:rPr>
  </w:style>
  <w:style w:type="paragraph" w:customStyle="1" w:styleId="224">
    <w:name w:val="Quote"/>
    <w:basedOn w:val="1"/>
    <w:next w:val="1"/>
    <w:link w:val="223"/>
    <w:qFormat/>
    <w:uiPriority w:val="29"/>
    <w:rPr>
      <w:b/>
      <w:i/>
      <w:iCs/>
      <w:color w:val="000000"/>
      <w:kern w:val="0"/>
      <w:sz w:val="32"/>
      <w:szCs w:val="32"/>
    </w:rPr>
  </w:style>
  <w:style w:type="character" w:customStyle="1" w:styleId="225">
    <w:name w:val="样式5 Char"/>
    <w:link w:val="104"/>
    <w:qFormat/>
    <w:uiPriority w:val="0"/>
    <w:rPr>
      <w:rFonts w:ascii="仿宋_GB2312"/>
      <w:b/>
      <w:kern w:val="2"/>
      <w:sz w:val="28"/>
      <w:szCs w:val="21"/>
    </w:rPr>
  </w:style>
  <w:style w:type="character" w:customStyle="1" w:styleId="226">
    <w:name w:val="font12"/>
    <w:uiPriority w:val="0"/>
    <w:rPr>
      <w:rFonts w:hint="eastAsia" w:ascii="宋体" w:hAnsi="宋体" w:eastAsia="宋体" w:cs="宋体"/>
      <w:color w:val="000000"/>
      <w:sz w:val="20"/>
      <w:szCs w:val="20"/>
      <w:u w:val="none"/>
    </w:rPr>
  </w:style>
  <w:style w:type="character" w:customStyle="1" w:styleId="227">
    <w:name w:val="占位符文本"/>
    <w:semiHidden/>
    <w:qFormat/>
    <w:uiPriority w:val="99"/>
    <w:rPr>
      <w:color w:val="808080"/>
    </w:rPr>
  </w:style>
  <w:style w:type="character" w:customStyle="1" w:styleId="228">
    <w:name w:val="签名 Char"/>
    <w:qFormat/>
    <w:uiPriority w:val="0"/>
    <w:rPr>
      <w:rFonts w:ascii="Tahoma" w:hAnsi="Tahoma" w:eastAsia="仿宋_GB2312"/>
      <w:sz w:val="24"/>
    </w:rPr>
  </w:style>
  <w:style w:type="character" w:customStyle="1" w:styleId="229">
    <w:name w:val="样式 宋体1"/>
    <w:qFormat/>
    <w:uiPriority w:val="0"/>
    <w:rPr>
      <w:rFonts w:ascii="宋体" w:hAnsi="宋体" w:eastAsia="宋体"/>
      <w:sz w:val="24"/>
    </w:rPr>
  </w:style>
  <w:style w:type="character" w:customStyle="1" w:styleId="230">
    <w:name w:val="red1"/>
    <w:qFormat/>
    <w:uiPriority w:val="0"/>
    <w:rPr>
      <w:color w:val="FF0000"/>
      <w:szCs w:val="20"/>
    </w:rPr>
  </w:style>
  <w:style w:type="character" w:customStyle="1" w:styleId="231">
    <w:name w:val="标书标题 3 Char Char Char"/>
    <w:link w:val="232"/>
    <w:qFormat/>
    <w:uiPriority w:val="0"/>
    <w:rPr>
      <w:rFonts w:ascii="Arial" w:hAnsi="Arial" w:eastAsia="仿宋_GB2312" w:cs="Times New Roman"/>
      <w:b/>
      <w:kern w:val="2"/>
      <w:sz w:val="24"/>
      <w:szCs w:val="32"/>
    </w:rPr>
  </w:style>
  <w:style w:type="paragraph" w:customStyle="1" w:styleId="232">
    <w:name w:val="标书标题 3 Char"/>
    <w:basedOn w:val="1"/>
    <w:link w:val="231"/>
    <w:qFormat/>
    <w:uiPriority w:val="0"/>
    <w:pPr>
      <w:tabs>
        <w:tab w:val="left" w:pos="720"/>
      </w:tabs>
      <w:spacing w:line="360" w:lineRule="auto"/>
      <w:outlineLvl w:val="2"/>
    </w:pPr>
    <w:rPr>
      <w:rFonts w:ascii="Arial" w:hAnsi="Arial" w:eastAsia="仿宋_GB2312"/>
      <w:b/>
      <w:sz w:val="24"/>
      <w:szCs w:val="32"/>
    </w:rPr>
  </w:style>
  <w:style w:type="character" w:customStyle="1" w:styleId="233">
    <w:name w:val="2级 Char"/>
    <w:link w:val="234"/>
    <w:qFormat/>
    <w:uiPriority w:val="0"/>
    <w:rPr>
      <w:rFonts w:ascii="Cambria" w:hAnsi="Cambria"/>
      <w:b/>
      <w:bCs/>
      <w:sz w:val="28"/>
      <w:szCs w:val="32"/>
    </w:rPr>
  </w:style>
  <w:style w:type="paragraph" w:customStyle="1" w:styleId="234">
    <w:name w:val="2级"/>
    <w:basedOn w:val="6"/>
    <w:next w:val="55"/>
    <w:link w:val="233"/>
    <w:qFormat/>
    <w:uiPriority w:val="0"/>
    <w:pPr>
      <w:spacing w:line="416" w:lineRule="auto"/>
    </w:pPr>
    <w:rPr>
      <w:rFonts w:ascii="Cambria" w:hAnsi="Cambria" w:eastAsia="宋体"/>
      <w:kern w:val="0"/>
      <w:sz w:val="28"/>
    </w:rPr>
  </w:style>
  <w:style w:type="character" w:customStyle="1" w:styleId="235">
    <w:name w:val="标题 7 Char"/>
    <w:basedOn w:val="58"/>
    <w:qFormat/>
    <w:uiPriority w:val="0"/>
    <w:rPr>
      <w:rFonts w:ascii="Arial" w:hAnsi="Arial" w:eastAsia="黑体"/>
      <w:b/>
      <w:sz w:val="21"/>
      <w:szCs w:val="21"/>
    </w:rPr>
  </w:style>
  <w:style w:type="character" w:customStyle="1" w:styleId="236">
    <w:name w:val="标题 6 Char"/>
    <w:basedOn w:val="58"/>
    <w:qFormat/>
    <w:uiPriority w:val="0"/>
    <w:rPr>
      <w:rFonts w:ascii="Arial" w:hAnsi="Arial" w:eastAsia="黑体"/>
      <w:b/>
      <w:bCs/>
      <w:kern w:val="2"/>
      <w:sz w:val="24"/>
      <w:szCs w:val="24"/>
    </w:rPr>
  </w:style>
  <w:style w:type="character" w:customStyle="1" w:styleId="237">
    <w:name w:val="样式 样式 正文首行缩进 + 首行缩进:  2 字符 + 首行缩进:  2 字符 Char"/>
    <w:link w:val="238"/>
    <w:qFormat/>
    <w:uiPriority w:val="0"/>
    <w:rPr>
      <w:rFonts w:cs="宋体"/>
      <w:kern w:val="2"/>
      <w:sz w:val="24"/>
    </w:rPr>
  </w:style>
  <w:style w:type="paragraph" w:customStyle="1" w:styleId="238">
    <w:name w:val="样式 样式 正文首行缩进 + 首行缩进:  2 字符 + 首行缩进:  2 字符"/>
    <w:basedOn w:val="1"/>
    <w:link w:val="237"/>
    <w:qFormat/>
    <w:uiPriority w:val="0"/>
    <w:pPr>
      <w:spacing w:line="440" w:lineRule="exact"/>
      <w:ind w:firstLine="200" w:firstLineChars="200"/>
    </w:pPr>
    <w:rPr>
      <w:sz w:val="24"/>
      <w:szCs w:val="20"/>
    </w:rPr>
  </w:style>
  <w:style w:type="character" w:customStyle="1" w:styleId="239">
    <w:name w:val="题注 Char"/>
    <w:qFormat/>
    <w:uiPriority w:val="0"/>
    <w:rPr>
      <w:rFonts w:ascii="Arial" w:hAnsi="Arial" w:eastAsia="黑体" w:cs="Arial"/>
    </w:rPr>
  </w:style>
  <w:style w:type="character" w:customStyle="1" w:styleId="240">
    <w:name w:val="op-map-singlepoint-info-right1"/>
    <w:qFormat/>
    <w:uiPriority w:val="0"/>
    <w:rPr>
      <w:szCs w:val="20"/>
    </w:rPr>
  </w:style>
  <w:style w:type="character" w:customStyle="1" w:styleId="241">
    <w:name w:val="red"/>
    <w:qFormat/>
    <w:uiPriority w:val="0"/>
    <w:rPr>
      <w:color w:val="FF0000"/>
      <w:szCs w:val="20"/>
    </w:rPr>
  </w:style>
  <w:style w:type="character" w:customStyle="1" w:styleId="242">
    <w:name w:val="不明显参考1"/>
    <w:qFormat/>
    <w:uiPriority w:val="0"/>
    <w:rPr>
      <w:smallCaps/>
      <w:color w:val="C0504D"/>
      <w:u w:val="single"/>
    </w:rPr>
  </w:style>
  <w:style w:type="character" w:customStyle="1" w:styleId="243">
    <w:name w:val="Heading 2 Hidden Char1 Char"/>
    <w:qFormat/>
    <w:uiPriority w:val="0"/>
    <w:rPr>
      <w:rFonts w:ascii="宋体" w:hAnsi="Times New Roman" w:eastAsia="宋体" w:cs="Times New Roman"/>
      <w:kern w:val="0"/>
      <w:sz w:val="24"/>
      <w:szCs w:val="24"/>
    </w:rPr>
  </w:style>
  <w:style w:type="character" w:customStyle="1" w:styleId="244">
    <w:name w:val=" Char Char26"/>
    <w:link w:val="2"/>
    <w:qFormat/>
    <w:uiPriority w:val="0"/>
    <w:rPr>
      <w:rFonts w:ascii="仿宋_GB2312"/>
      <w:b/>
      <w:sz w:val="32"/>
      <w:szCs w:val="32"/>
    </w:rPr>
  </w:style>
  <w:style w:type="character" w:customStyle="1" w:styleId="245">
    <w:name w:val="批注文字 Char"/>
    <w:qFormat/>
    <w:uiPriority w:val="0"/>
    <w:rPr>
      <w:rFonts w:eastAsia="宋体"/>
      <w:kern w:val="2"/>
      <w:sz w:val="21"/>
      <w:szCs w:val="24"/>
      <w:lang w:val="en-US" w:eastAsia="zh-CN" w:bidi="ar-SA"/>
    </w:rPr>
  </w:style>
  <w:style w:type="character" w:customStyle="1" w:styleId="246">
    <w:name w:val="明显参考1"/>
    <w:qFormat/>
    <w:uiPriority w:val="0"/>
    <w:rPr>
      <w:b/>
      <w:bCs/>
      <w:smallCaps/>
      <w:color w:val="C0504D"/>
      <w:spacing w:val="5"/>
      <w:u w:val="single"/>
    </w:rPr>
  </w:style>
  <w:style w:type="character" w:customStyle="1" w:styleId="247">
    <w:name w:val="题注 Char1"/>
    <w:qFormat/>
    <w:uiPriority w:val="0"/>
    <w:rPr>
      <w:rFonts w:ascii="Arial" w:hAnsi="Arial" w:eastAsia="黑体" w:cs="Arial"/>
      <w:kern w:val="2"/>
    </w:rPr>
  </w:style>
  <w:style w:type="character" w:customStyle="1" w:styleId="248">
    <w:name w:val="heading 4 Char"/>
    <w:qFormat/>
    <w:uiPriority w:val="0"/>
    <w:rPr>
      <w:rFonts w:ascii="Arial" w:hAnsi="Arial" w:eastAsia="黑体" w:cs="Times New Roman"/>
      <w:b/>
      <w:sz w:val="21"/>
      <w:szCs w:val="21"/>
    </w:rPr>
  </w:style>
  <w:style w:type="character" w:customStyle="1" w:styleId="249">
    <w:name w:val="文档结构图 Char2"/>
    <w:semiHidden/>
    <w:qFormat/>
    <w:uiPriority w:val="0"/>
    <w:rPr>
      <w:rFonts w:ascii="Microsoft YaHei UI" w:eastAsia="Microsoft YaHei UI"/>
      <w:sz w:val="18"/>
      <w:szCs w:val="18"/>
    </w:rPr>
  </w:style>
  <w:style w:type="character" w:customStyle="1" w:styleId="250">
    <w:name w:val="heading 4 Char1"/>
    <w:qFormat/>
    <w:uiPriority w:val="0"/>
    <w:rPr>
      <w:rFonts w:ascii="Cambria" w:hAnsi="Cambria" w:eastAsia="宋体"/>
      <w:b/>
      <w:bCs/>
      <w:kern w:val="2"/>
      <w:sz w:val="28"/>
      <w:szCs w:val="28"/>
      <w:lang w:val="en-US" w:eastAsia="zh-CN" w:bidi="ar-SA"/>
    </w:rPr>
  </w:style>
  <w:style w:type="character" w:customStyle="1" w:styleId="251">
    <w:name w:val="签名 Char1"/>
    <w:basedOn w:val="58"/>
    <w:semiHidden/>
    <w:uiPriority w:val="99"/>
    <w:rPr>
      <w:kern w:val="2"/>
      <w:sz w:val="21"/>
      <w:szCs w:val="24"/>
    </w:rPr>
  </w:style>
  <w:style w:type="character" w:customStyle="1" w:styleId="252">
    <w:name w:val="不明显强调1"/>
    <w:qFormat/>
    <w:uiPriority w:val="0"/>
    <w:rPr>
      <w:i/>
      <w:iCs/>
      <w:color w:val="808080"/>
    </w:rPr>
  </w:style>
  <w:style w:type="character" w:customStyle="1" w:styleId="253">
    <w:name w:val="页脚 Char1"/>
    <w:qFormat/>
    <w:uiPriority w:val="0"/>
    <w:rPr>
      <w:kern w:val="2"/>
      <w:sz w:val="18"/>
      <w:szCs w:val="18"/>
    </w:rPr>
  </w:style>
  <w:style w:type="character" w:customStyle="1" w:styleId="254">
    <w:name w:val="正文缩进 Char1 Char"/>
    <w:qFormat/>
    <w:uiPriority w:val="0"/>
    <w:rPr>
      <w:rFonts w:ascii="仿宋_GB2312" w:eastAsia="宋体"/>
      <w:b/>
      <w:sz w:val="21"/>
      <w:szCs w:val="32"/>
      <w:lang w:val="en-US" w:eastAsia="zh-CN" w:bidi="ar-SA"/>
    </w:rPr>
  </w:style>
  <w:style w:type="character" w:customStyle="1" w:styleId="255">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56">
    <w:name w:val="Style4"/>
    <w:qFormat/>
    <w:uiPriority w:val="0"/>
    <w:rPr>
      <w:rFonts w:ascii="Calibri" w:hAnsi="宋体" w:eastAsia="宋体" w:cs="Times New Roman"/>
      <w:szCs w:val="22"/>
      <w:lang w:eastAsia="zh-CN"/>
    </w:rPr>
  </w:style>
  <w:style w:type="character" w:customStyle="1" w:styleId="257">
    <w:name w:val="引用 Char1"/>
    <w:qFormat/>
    <w:uiPriority w:val="99"/>
    <w:rPr>
      <w:rFonts w:ascii="Tahoma" w:hAnsi="Tahoma"/>
      <w:i/>
      <w:iCs/>
      <w:color w:val="000000"/>
      <w:kern w:val="2"/>
      <w:sz w:val="21"/>
      <w:szCs w:val="24"/>
    </w:rPr>
  </w:style>
  <w:style w:type="character" w:customStyle="1" w:styleId="258">
    <w:name w:val="dandyren_title1"/>
    <w:qFormat/>
    <w:uiPriority w:val="0"/>
    <w:rPr>
      <w:rFonts w:ascii="仿宋_GB2312" w:eastAsia="仿宋_GB2312"/>
      <w:b/>
      <w:bCs/>
      <w:color w:val="FF6633"/>
      <w:sz w:val="18"/>
      <w:szCs w:val="18"/>
    </w:rPr>
  </w:style>
  <w:style w:type="character" w:customStyle="1" w:styleId="259">
    <w:name w:val="正文首行缩进 Char1"/>
    <w:qFormat/>
    <w:uiPriority w:val="0"/>
    <w:rPr>
      <w:rFonts w:ascii="Tahoma" w:hAnsi="Tahoma"/>
      <w:kern w:val="2"/>
      <w:sz w:val="21"/>
      <w:szCs w:val="24"/>
    </w:rPr>
  </w:style>
  <w:style w:type="character" w:customStyle="1" w:styleId="260">
    <w:name w:val="Char Char22"/>
    <w:qFormat/>
    <w:uiPriority w:val="0"/>
    <w:rPr>
      <w:rFonts w:ascii="Arial" w:hAnsi="Arial" w:eastAsia="黑体"/>
      <w:b/>
      <w:bCs/>
      <w:kern w:val="44"/>
      <w:sz w:val="30"/>
      <w:szCs w:val="44"/>
      <w:lang w:val="en-US" w:eastAsia="zh-CN" w:bidi="ar-SA"/>
    </w:rPr>
  </w:style>
  <w:style w:type="character" w:customStyle="1" w:styleId="261">
    <w:name w:val="脚注文本 Char"/>
    <w:qFormat/>
    <w:uiPriority w:val="99"/>
    <w:rPr>
      <w:kern w:val="2"/>
      <w:sz w:val="18"/>
      <w:szCs w:val="18"/>
    </w:rPr>
  </w:style>
  <w:style w:type="character" w:customStyle="1" w:styleId="262">
    <w:name w:val="正文靠右 Char Char"/>
    <w:qFormat/>
    <w:uiPriority w:val="0"/>
    <w:rPr>
      <w:kern w:val="2"/>
      <w:sz w:val="21"/>
      <w:szCs w:val="24"/>
    </w:rPr>
  </w:style>
  <w:style w:type="character" w:customStyle="1" w:styleId="263">
    <w:name w:val="标题 3 Char"/>
    <w:qFormat/>
    <w:uiPriority w:val="0"/>
    <w:rPr>
      <w:rFonts w:ascii="黑体" w:hAnsi="宋体" w:eastAsia="黑体"/>
      <w:bCs/>
      <w:kern w:val="2"/>
      <w:sz w:val="28"/>
      <w:szCs w:val="28"/>
      <w:lang w:val="en-US" w:eastAsia="zh-CN" w:bidi="ar-SA"/>
    </w:rPr>
  </w:style>
  <w:style w:type="character" w:customStyle="1" w:styleId="264">
    <w:name w:val="样式1 Char"/>
    <w:link w:val="265"/>
    <w:qFormat/>
    <w:uiPriority w:val="0"/>
    <w:rPr>
      <w:rFonts w:ascii="宋体" w:hAnsi="宋体"/>
      <w:kern w:val="2"/>
      <w:sz w:val="21"/>
      <w:szCs w:val="21"/>
    </w:rPr>
  </w:style>
  <w:style w:type="paragraph" w:customStyle="1" w:styleId="265">
    <w:name w:val="样式1"/>
    <w:basedOn w:val="1"/>
    <w:next w:val="8"/>
    <w:link w:val="264"/>
    <w:qFormat/>
    <w:uiPriority w:val="0"/>
    <w:pPr>
      <w:spacing w:line="360" w:lineRule="auto"/>
      <w:ind w:firstLine="420" w:firstLineChars="200"/>
    </w:pPr>
    <w:rPr>
      <w:rFonts w:ascii="宋体" w:hAnsi="宋体"/>
      <w:szCs w:val="21"/>
    </w:rPr>
  </w:style>
  <w:style w:type="character" w:customStyle="1" w:styleId="266">
    <w:name w:val="标题 2 Char"/>
    <w:qFormat/>
    <w:uiPriority w:val="0"/>
    <w:rPr>
      <w:rFonts w:ascii="Arial" w:hAnsi="Arial" w:eastAsia="黑体"/>
      <w:b/>
      <w:bCs/>
      <w:kern w:val="2"/>
      <w:sz w:val="32"/>
      <w:szCs w:val="32"/>
      <w:lang w:val="en-US" w:eastAsia="zh-CN" w:bidi="ar-SA"/>
    </w:rPr>
  </w:style>
  <w:style w:type="character" w:customStyle="1" w:styleId="267">
    <w:name w:val="批注文字 字符"/>
    <w:qFormat/>
    <w:uiPriority w:val="0"/>
    <w:rPr>
      <w:rFonts w:eastAsia="宋体"/>
      <w:kern w:val="2"/>
      <w:sz w:val="36"/>
      <w:szCs w:val="24"/>
      <w:lang w:val="en-US" w:eastAsia="zh-CN" w:bidi="ar-SA"/>
    </w:rPr>
  </w:style>
  <w:style w:type="character" w:customStyle="1" w:styleId="268">
    <w:name w:val="页脚 Char2"/>
    <w:basedOn w:val="58"/>
    <w:semiHidden/>
    <w:uiPriority w:val="99"/>
    <w:rPr>
      <w:kern w:val="2"/>
      <w:sz w:val="18"/>
      <w:szCs w:val="18"/>
    </w:rPr>
  </w:style>
  <w:style w:type="character" w:customStyle="1" w:styleId="269">
    <w:name w:val="样式4 Char"/>
    <w:link w:val="270"/>
    <w:qFormat/>
    <w:uiPriority w:val="0"/>
    <w:rPr>
      <w:rFonts w:ascii="Arial" w:hAnsi="Arial" w:eastAsia="黑体"/>
      <w:b/>
      <w:bCs/>
      <w:kern w:val="2"/>
      <w:sz w:val="24"/>
      <w:szCs w:val="28"/>
    </w:rPr>
  </w:style>
  <w:style w:type="paragraph" w:customStyle="1" w:styleId="270">
    <w:name w:val="样式4"/>
    <w:basedOn w:val="271"/>
    <w:next w:val="1"/>
    <w:link w:val="269"/>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271">
    <w:name w:val="4级"/>
    <w:basedOn w:val="8"/>
    <w:next w:val="55"/>
    <w:qFormat/>
    <w:uiPriority w:val="0"/>
    <w:pPr>
      <w:keepNext w:val="0"/>
      <w:numPr>
        <w:ilvl w:val="3"/>
        <w:numId w:val="5"/>
      </w:numPr>
      <w:adjustRightInd w:val="0"/>
      <w:spacing w:beforeLines="50" w:afterLines="50" w:line="376" w:lineRule="auto"/>
      <w:ind w:right="210" w:rightChars="100"/>
      <w:jc w:val="left"/>
      <w:textAlignment w:val="baseline"/>
    </w:pPr>
    <w:rPr>
      <w:kern w:val="0"/>
      <w:sz w:val="24"/>
    </w:rPr>
  </w:style>
  <w:style w:type="character" w:customStyle="1" w:styleId="272">
    <w:name w:val="Char Char6"/>
    <w:qFormat/>
    <w:uiPriority w:val="0"/>
    <w:rPr>
      <w:rFonts w:ascii="Times New Roman" w:hAnsi="Times New Roman" w:eastAsia="宋体" w:cs="Times New Roman"/>
      <w:szCs w:val="24"/>
    </w:rPr>
  </w:style>
  <w:style w:type="character" w:customStyle="1" w:styleId="273">
    <w:name w:val="Char Char2"/>
    <w:qFormat/>
    <w:uiPriority w:val="0"/>
    <w:rPr>
      <w:rFonts w:ascii="Arial" w:hAnsi="Arial" w:eastAsia="黑体"/>
      <w:b/>
      <w:bCs/>
      <w:kern w:val="44"/>
      <w:sz w:val="30"/>
      <w:szCs w:val="44"/>
      <w:lang w:val="en-US" w:eastAsia="zh-CN" w:bidi="ar-SA"/>
    </w:rPr>
  </w:style>
  <w:style w:type="character" w:customStyle="1" w:styleId="274">
    <w:name w:val="heading 1 Char1"/>
    <w:qFormat/>
    <w:uiPriority w:val="0"/>
    <w:rPr>
      <w:rFonts w:ascii="仿宋_GB2312" w:eastAsia="宋体"/>
      <w:b/>
      <w:bCs/>
      <w:kern w:val="44"/>
      <w:sz w:val="44"/>
      <w:szCs w:val="44"/>
      <w:lang w:val="en-US" w:eastAsia="zh-CN" w:bidi="ar-SA"/>
    </w:rPr>
  </w:style>
  <w:style w:type="character" w:customStyle="1" w:styleId="275">
    <w:name w:val="批注框文本 Char"/>
    <w:qFormat/>
    <w:uiPriority w:val="99"/>
    <w:rPr>
      <w:kern w:val="2"/>
      <w:sz w:val="18"/>
      <w:szCs w:val="18"/>
    </w:rPr>
  </w:style>
  <w:style w:type="character" w:customStyle="1" w:styleId="276">
    <w:name w:val="Title1"/>
    <w:qFormat/>
    <w:uiPriority w:val="0"/>
  </w:style>
  <w:style w:type="character" w:customStyle="1" w:styleId="277">
    <w:name w:val="正文00 Char"/>
    <w:link w:val="278"/>
    <w:qFormat/>
    <w:uiPriority w:val="0"/>
    <w:rPr>
      <w:rFonts w:ascii="宋体" w:hAnsi="宋体"/>
      <w:kern w:val="2"/>
      <w:sz w:val="24"/>
      <w:szCs w:val="24"/>
    </w:rPr>
  </w:style>
  <w:style w:type="paragraph" w:customStyle="1" w:styleId="278">
    <w:name w:val="正文00"/>
    <w:basedOn w:val="1"/>
    <w:link w:val="277"/>
    <w:qFormat/>
    <w:uiPriority w:val="0"/>
    <w:pPr>
      <w:spacing w:line="360" w:lineRule="auto"/>
      <w:ind w:firstLine="480" w:firstLineChars="200"/>
    </w:pPr>
    <w:rPr>
      <w:rFonts w:ascii="宋体" w:hAnsi="宋体"/>
      <w:sz w:val="24"/>
    </w:rPr>
  </w:style>
  <w:style w:type="character" w:customStyle="1" w:styleId="279">
    <w:name w:val="style111"/>
    <w:qFormat/>
    <w:uiPriority w:val="0"/>
    <w:rPr>
      <w:sz w:val="27"/>
      <w:szCs w:val="27"/>
    </w:rPr>
  </w:style>
  <w:style w:type="character" w:customStyle="1" w:styleId="280">
    <w:name w:val="文档结构图 Char1"/>
    <w:qFormat/>
    <w:uiPriority w:val="0"/>
    <w:rPr>
      <w:kern w:val="2"/>
      <w:sz w:val="21"/>
      <w:szCs w:val="24"/>
      <w:shd w:val="clear" w:color="auto" w:fill="000080"/>
    </w:rPr>
  </w:style>
  <w:style w:type="character" w:customStyle="1" w:styleId="281">
    <w:name w:val="投标正文 Char"/>
    <w:link w:val="282"/>
    <w:qFormat/>
    <w:uiPriority w:val="0"/>
    <w:rPr>
      <w:rFonts w:ascii="Calibri" w:hAnsi="Calibri"/>
      <w:sz w:val="24"/>
      <w:szCs w:val="24"/>
    </w:rPr>
  </w:style>
  <w:style w:type="paragraph" w:customStyle="1" w:styleId="282">
    <w:name w:val="投标正文"/>
    <w:basedOn w:val="1"/>
    <w:link w:val="281"/>
    <w:qFormat/>
    <w:uiPriority w:val="0"/>
    <w:pPr>
      <w:spacing w:line="360" w:lineRule="auto"/>
      <w:ind w:left="100" w:firstLine="480" w:firstLineChars="200"/>
    </w:pPr>
    <w:rPr>
      <w:kern w:val="0"/>
      <w:sz w:val="24"/>
    </w:rPr>
  </w:style>
  <w:style w:type="character" w:customStyle="1" w:styleId="283">
    <w:name w:val="doc"/>
    <w:qFormat/>
    <w:uiPriority w:val="0"/>
    <w:rPr>
      <w:szCs w:val="20"/>
    </w:rPr>
  </w:style>
  <w:style w:type="character" w:customStyle="1" w:styleId="284">
    <w:name w:val="正文文本 2 Char"/>
    <w:qFormat/>
    <w:uiPriority w:val="0"/>
  </w:style>
  <w:style w:type="character" w:customStyle="1" w:styleId="285">
    <w:name w:val=" Char Char21"/>
    <w:link w:val="38"/>
    <w:qFormat/>
    <w:uiPriority w:val="0"/>
    <w:rPr>
      <w:rFonts w:ascii="Tahoma" w:hAnsi="Tahoma" w:eastAsia="仿宋_GB2312"/>
      <w:sz w:val="24"/>
      <w:szCs w:val="20"/>
    </w:rPr>
  </w:style>
  <w:style w:type="character" w:customStyle="1" w:styleId="286">
    <w:name w:val="纯文本 字符"/>
    <w:uiPriority w:val="0"/>
    <w:rPr>
      <w:rFonts w:ascii="宋体" w:hAnsi="Courier New" w:eastAsia="仿宋_GB2312"/>
      <w:b/>
      <w:color w:val="000000"/>
      <w:sz w:val="21"/>
      <w:lang w:val="en-US" w:eastAsia="zh-CN" w:bidi="ar-SA"/>
    </w:rPr>
  </w:style>
  <w:style w:type="character" w:customStyle="1" w:styleId="287">
    <w:name w:val=" Char Char22"/>
    <w:link w:val="3"/>
    <w:qFormat/>
    <w:uiPriority w:val="0"/>
    <w:rPr>
      <w:rFonts w:ascii="Tahoma" w:hAnsi="Tahoma"/>
      <w:kern w:val="2"/>
      <w:sz w:val="21"/>
      <w:szCs w:val="24"/>
    </w:rPr>
  </w:style>
  <w:style w:type="character" w:customStyle="1" w:styleId="288">
    <w:name w:val="标题 Char2"/>
    <w:basedOn w:val="58"/>
    <w:uiPriority w:val="10"/>
    <w:rPr>
      <w:rFonts w:ascii="Cambria" w:hAnsi="Cambria" w:cs="Times New Roman"/>
      <w:b/>
      <w:bCs/>
      <w:kern w:val="2"/>
      <w:sz w:val="32"/>
      <w:szCs w:val="32"/>
    </w:rPr>
  </w:style>
  <w:style w:type="character" w:customStyle="1" w:styleId="289">
    <w:name w:val="Char Char1"/>
    <w:qFormat/>
    <w:uiPriority w:val="0"/>
    <w:rPr>
      <w:rFonts w:ascii="宋体" w:hAnsi="Courier New" w:eastAsia="宋体"/>
      <w:kern w:val="2"/>
      <w:sz w:val="21"/>
      <w:lang w:val="en-US" w:eastAsia="zh-CN" w:bidi="ar-SA"/>
    </w:rPr>
  </w:style>
  <w:style w:type="character" w:customStyle="1" w:styleId="290">
    <w:name w:val="update"/>
    <w:qFormat/>
    <w:uiPriority w:val="0"/>
    <w:rPr>
      <w:szCs w:val="20"/>
    </w:rPr>
  </w:style>
  <w:style w:type="character" w:customStyle="1" w:styleId="291">
    <w:name w:val="标题 Char"/>
    <w:qFormat/>
    <w:uiPriority w:val="0"/>
    <w:rPr>
      <w:rFonts w:ascii="宋体,Verdana,Arial" w:hAnsi="宋体,Verdana,Arial" w:eastAsia="Cambria"/>
      <w:b/>
      <w:bCs/>
      <w:sz w:val="32"/>
      <w:szCs w:val="32"/>
    </w:rPr>
  </w:style>
  <w:style w:type="character" w:customStyle="1" w:styleId="292">
    <w:name w:val="Char Char17"/>
    <w:qFormat/>
    <w:uiPriority w:val="0"/>
    <w:rPr>
      <w:rFonts w:ascii="Cambria" w:hAnsi="Cambria" w:eastAsia="仿宋_GB2312"/>
      <w:b/>
      <w:bCs/>
      <w:kern w:val="2"/>
      <w:sz w:val="28"/>
      <w:szCs w:val="28"/>
    </w:rPr>
  </w:style>
  <w:style w:type="character" w:customStyle="1" w:styleId="293">
    <w:name w:val="样式2 Char Char"/>
    <w:link w:val="294"/>
    <w:qFormat/>
    <w:uiPriority w:val="0"/>
    <w:rPr>
      <w:rFonts w:ascii="宋体" w:hAnsi="宋体"/>
      <w:b/>
      <w:bCs/>
      <w:kern w:val="2"/>
      <w:sz w:val="28"/>
      <w:szCs w:val="28"/>
    </w:rPr>
  </w:style>
  <w:style w:type="paragraph" w:customStyle="1" w:styleId="294">
    <w:name w:val="样式2"/>
    <w:basedOn w:val="6"/>
    <w:link w:val="293"/>
    <w:qFormat/>
    <w:uiPriority w:val="0"/>
    <w:pPr>
      <w:snapToGrid w:val="0"/>
      <w:spacing w:afterLines="50" w:line="480" w:lineRule="exact"/>
      <w:ind w:firstLine="556"/>
    </w:pPr>
    <w:rPr>
      <w:rFonts w:ascii="宋体" w:hAnsi="宋体" w:eastAsia="宋体"/>
      <w:sz w:val="28"/>
      <w:szCs w:val="28"/>
    </w:rPr>
  </w:style>
  <w:style w:type="character" w:customStyle="1" w:styleId="295">
    <w:name w:val="页眉 Char1"/>
    <w:qFormat/>
    <w:uiPriority w:val="0"/>
    <w:rPr>
      <w:kern w:val="2"/>
      <w:sz w:val="18"/>
      <w:szCs w:val="18"/>
    </w:rPr>
  </w:style>
  <w:style w:type="character" w:customStyle="1" w:styleId="296">
    <w:name w:val="文档结构图 Char3"/>
    <w:basedOn w:val="58"/>
    <w:semiHidden/>
    <w:uiPriority w:val="99"/>
    <w:rPr>
      <w:rFonts w:ascii="宋体"/>
      <w:kern w:val="2"/>
      <w:sz w:val="18"/>
      <w:szCs w:val="18"/>
    </w:rPr>
  </w:style>
  <w:style w:type="character" w:customStyle="1" w:styleId="297">
    <w:name w:val="副标题 Char1"/>
    <w:qFormat/>
    <w:uiPriority w:val="11"/>
    <w:rPr>
      <w:rFonts w:ascii="Cambria" w:hAnsi="Cambria" w:cs="Times New Roman"/>
      <w:b/>
      <w:bCs/>
      <w:kern w:val="28"/>
      <w:sz w:val="32"/>
      <w:szCs w:val="32"/>
    </w:rPr>
  </w:style>
  <w:style w:type="character" w:customStyle="1" w:styleId="298">
    <w:name w:val="heading 5 Char1"/>
    <w:qFormat/>
    <w:uiPriority w:val="0"/>
    <w:rPr>
      <w:rFonts w:ascii="仿宋_GB2312" w:eastAsia="宋体"/>
      <w:b/>
      <w:bCs/>
      <w:kern w:val="2"/>
      <w:sz w:val="28"/>
      <w:szCs w:val="28"/>
      <w:lang w:val="en-US" w:eastAsia="zh-CN" w:bidi="ar-SA"/>
    </w:rPr>
  </w:style>
  <w:style w:type="character" w:customStyle="1" w:styleId="299">
    <w:name w:val="书籍标题1"/>
    <w:qFormat/>
    <w:uiPriority w:val="0"/>
    <w:rPr>
      <w:b/>
      <w:bCs/>
      <w:smallCaps/>
      <w:spacing w:val="5"/>
    </w:rPr>
  </w:style>
  <w:style w:type="character" w:customStyle="1" w:styleId="300">
    <w:name w:val=" Char Char5"/>
    <w:link w:val="50"/>
    <w:qFormat/>
    <w:uiPriority w:val="0"/>
    <w:rPr>
      <w:rFonts w:ascii="微软雅黑" w:hAnsi="微软雅黑" w:eastAsia="微软雅黑"/>
      <w:sz w:val="24"/>
      <w:szCs w:val="24"/>
    </w:rPr>
  </w:style>
  <w:style w:type="character" w:customStyle="1" w:styleId="301">
    <w:name w:val="num"/>
    <w:qFormat/>
    <w:uiPriority w:val="0"/>
    <w:rPr>
      <w:b/>
      <w:color w:val="FF7800"/>
      <w:szCs w:val="20"/>
    </w:rPr>
  </w:style>
  <w:style w:type="character" w:customStyle="1" w:styleId="302">
    <w:name w:val="正文文本缩进 2 Char"/>
    <w:qFormat/>
    <w:uiPriority w:val="0"/>
    <w:rPr>
      <w:kern w:val="2"/>
      <w:sz w:val="21"/>
      <w:szCs w:val="24"/>
    </w:rPr>
  </w:style>
  <w:style w:type="character" w:customStyle="1" w:styleId="303">
    <w:name w:val="PI Char"/>
    <w:qFormat/>
    <w:uiPriority w:val="0"/>
    <w:rPr>
      <w:rFonts w:ascii="宋体" w:hAnsi="宋体" w:eastAsia="仿宋_GB2312"/>
      <w:b/>
      <w:sz w:val="24"/>
      <w:szCs w:val="32"/>
    </w:rPr>
  </w:style>
  <w:style w:type="character" w:customStyle="1" w:styleId="304">
    <w:name w:val="3级 Char"/>
    <w:link w:val="305"/>
    <w:qFormat/>
    <w:uiPriority w:val="0"/>
    <w:rPr>
      <w:rFonts w:ascii="Calibri" w:hAnsi="Calibri"/>
      <w:b/>
      <w:bCs/>
      <w:sz w:val="28"/>
      <w:szCs w:val="32"/>
    </w:rPr>
  </w:style>
  <w:style w:type="paragraph" w:customStyle="1" w:styleId="305">
    <w:name w:val="3级"/>
    <w:basedOn w:val="7"/>
    <w:next w:val="2"/>
    <w:link w:val="304"/>
    <w:qFormat/>
    <w:uiPriority w:val="0"/>
    <w:pPr>
      <w:spacing w:line="416" w:lineRule="auto"/>
      <w:ind w:right="100" w:rightChars="100"/>
    </w:pPr>
    <w:rPr>
      <w:kern w:val="0"/>
      <w:sz w:val="28"/>
    </w:rPr>
  </w:style>
  <w:style w:type="character" w:customStyle="1" w:styleId="306">
    <w:name w:val="目录标题 Char Char"/>
    <w:qFormat/>
    <w:uiPriority w:val="0"/>
    <w:rPr>
      <w:rFonts w:eastAsia="黑体"/>
      <w:b/>
      <w:bCs/>
      <w:kern w:val="2"/>
      <w:sz w:val="44"/>
      <w:szCs w:val="44"/>
    </w:rPr>
  </w:style>
  <w:style w:type="character" w:customStyle="1" w:styleId="307">
    <w:name w:val="pages"/>
    <w:qFormat/>
    <w:uiPriority w:val="0"/>
    <w:rPr>
      <w:color w:val="999999"/>
      <w:szCs w:val="20"/>
    </w:rPr>
  </w:style>
  <w:style w:type="character" w:customStyle="1" w:styleId="308">
    <w:name w:val="明显引用 Char"/>
    <w:link w:val="309"/>
    <w:qFormat/>
    <w:uiPriority w:val="0"/>
    <w:rPr>
      <w:rFonts w:ascii="Calibri" w:hAnsi="Calibri"/>
      <w:b/>
      <w:bCs/>
      <w:i/>
      <w:iCs/>
      <w:color w:val="4F81BD"/>
      <w:sz w:val="32"/>
      <w:szCs w:val="32"/>
    </w:rPr>
  </w:style>
  <w:style w:type="paragraph" w:customStyle="1" w:styleId="309">
    <w:name w:val="Intense Quote"/>
    <w:basedOn w:val="1"/>
    <w:next w:val="1"/>
    <w:link w:val="308"/>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310">
    <w:name w:val="明显强调1"/>
    <w:qFormat/>
    <w:uiPriority w:val="0"/>
    <w:rPr>
      <w:b/>
      <w:bCs/>
      <w:i/>
      <w:iCs/>
      <w:color w:val="4F81BD"/>
    </w:rPr>
  </w:style>
  <w:style w:type="character" w:customStyle="1" w:styleId="311">
    <w:name w:val="aaaaaaaaaaaaaa Char Char"/>
    <w:link w:val="312"/>
    <w:qFormat/>
    <w:uiPriority w:val="0"/>
    <w:rPr>
      <w:kern w:val="2"/>
    </w:rPr>
  </w:style>
  <w:style w:type="paragraph" w:customStyle="1" w:styleId="312">
    <w:name w:val="aaaaaaaaaaaaaa"/>
    <w:basedOn w:val="1"/>
    <w:link w:val="311"/>
    <w:qFormat/>
    <w:uiPriority w:val="0"/>
    <w:pPr>
      <w:spacing w:line="360" w:lineRule="auto"/>
      <w:ind w:firstLine="485" w:firstLineChars="202"/>
    </w:pPr>
    <w:rPr>
      <w:sz w:val="20"/>
      <w:szCs w:val="20"/>
    </w:rPr>
  </w:style>
  <w:style w:type="character" w:customStyle="1" w:styleId="313">
    <w:name w:val="Char Char11"/>
    <w:qFormat/>
    <w:uiPriority w:val="0"/>
    <w:rPr>
      <w:rFonts w:ascii="Times New Roman" w:hAnsi="Times New Roman" w:eastAsia="宋体" w:cs="Times New Roman"/>
      <w:sz w:val="18"/>
      <w:szCs w:val="18"/>
    </w:rPr>
  </w:style>
  <w:style w:type="character" w:customStyle="1" w:styleId="314">
    <w:name w:val="gray6"/>
    <w:qFormat/>
    <w:uiPriority w:val="0"/>
    <w:rPr>
      <w:rFonts w:ascii="仿宋_GB2312" w:hAnsi="Tahoma" w:eastAsia="仿宋_GB2312"/>
      <w:b/>
      <w:sz w:val="32"/>
      <w:szCs w:val="32"/>
    </w:rPr>
  </w:style>
  <w:style w:type="character" w:customStyle="1" w:styleId="315">
    <w:name w:val="Char Char Char Char Char Char Char Char Char"/>
    <w:qFormat/>
    <w:uiPriority w:val="0"/>
    <w:rPr>
      <w:rFonts w:ascii="宋体" w:hAnsi="Courier New" w:eastAsia="宋体"/>
      <w:b/>
      <w:sz w:val="21"/>
      <w:szCs w:val="21"/>
      <w:lang w:val="en-US" w:eastAsia="zh-CN" w:bidi="ar-SA"/>
    </w:rPr>
  </w:style>
  <w:style w:type="character" w:customStyle="1" w:styleId="316">
    <w:name w:val="正文首行缩进 Char2"/>
    <w:qFormat/>
    <w:uiPriority w:val="0"/>
    <w:rPr>
      <w:rFonts w:ascii="仿宋_GB2312"/>
      <w:b/>
      <w:sz w:val="32"/>
      <w:szCs w:val="32"/>
    </w:rPr>
  </w:style>
  <w:style w:type="character" w:customStyle="1" w:styleId="317">
    <w:name w:val="正文文本缩进 3 Char"/>
    <w:qFormat/>
    <w:uiPriority w:val="99"/>
    <w:rPr>
      <w:kern w:val="2"/>
      <w:sz w:val="16"/>
      <w:szCs w:val="16"/>
    </w:rPr>
  </w:style>
  <w:style w:type="character" w:customStyle="1" w:styleId="318">
    <w:name w:val=" Char Char35"/>
    <w:link w:val="5"/>
    <w:qFormat/>
    <w:uiPriority w:val="0"/>
    <w:rPr>
      <w:rFonts w:ascii="楷体_GB2312" w:hAnsi="Tahoma" w:eastAsia="楷体_GB2312"/>
      <w:b/>
      <w:bCs/>
      <w:kern w:val="2"/>
      <w:sz w:val="21"/>
      <w:szCs w:val="24"/>
    </w:rPr>
  </w:style>
  <w:style w:type="character" w:customStyle="1" w:styleId="319">
    <w:name w:val="A3"/>
    <w:qFormat/>
    <w:uiPriority w:val="0"/>
    <w:rPr>
      <w:rFonts w:ascii="ZapfDingbatsNr2EFOP-Regular" w:eastAsia="ZapfDingbatsNr2EFOP-Regular" w:cs="ZapfDingbatsNr2EFOP-Regular"/>
      <w:color w:val="211D1E"/>
      <w:sz w:val="14"/>
      <w:szCs w:val="14"/>
    </w:rPr>
  </w:style>
  <w:style w:type="character" w:customStyle="1" w:styleId="320">
    <w:name w:val=" Char Char9"/>
    <w:link w:val="30"/>
    <w:qFormat/>
    <w:uiPriority w:val="0"/>
    <w:rPr>
      <w:rFonts w:ascii="宋体" w:hAnsi="Courier New" w:eastAsia="宋体"/>
      <w:kern w:val="2"/>
      <w:sz w:val="21"/>
      <w:lang w:val="en-US" w:eastAsia="zh-CN" w:bidi="ar-SA"/>
    </w:rPr>
  </w:style>
  <w:style w:type="character" w:customStyle="1" w:styleId="321">
    <w:name w:val="注释正文"/>
    <w:qFormat/>
    <w:uiPriority w:val="0"/>
    <w:rPr>
      <w:rFonts w:eastAsia="宋体"/>
      <w:sz w:val="28"/>
      <w:u w:val="single"/>
    </w:rPr>
  </w:style>
  <w:style w:type="character" w:customStyle="1" w:styleId="322">
    <w:name w:val="Char Char"/>
    <w:qFormat/>
    <w:uiPriority w:val="0"/>
    <w:rPr>
      <w:rFonts w:ascii="宋体" w:hAnsi="Courier New" w:eastAsia="宋体"/>
      <w:kern w:val="2"/>
      <w:sz w:val="21"/>
      <w:lang w:val="en-US" w:eastAsia="zh-CN" w:bidi="ar-SA"/>
    </w:rPr>
  </w:style>
  <w:style w:type="character" w:customStyle="1" w:styleId="323">
    <w:name w:val="正文文本 Char Char"/>
    <w:qFormat/>
    <w:uiPriority w:val="0"/>
    <w:rPr>
      <w:rFonts w:ascii="Times New Roman" w:hAnsi="Times New Roman"/>
      <w:kern w:val="2"/>
      <w:sz w:val="21"/>
      <w:szCs w:val="24"/>
    </w:rPr>
  </w:style>
  <w:style w:type="character" w:customStyle="1" w:styleId="324">
    <w:name w:val="heading 2 Char1"/>
    <w:qFormat/>
    <w:uiPriority w:val="0"/>
    <w:rPr>
      <w:rFonts w:ascii="Cambria" w:hAnsi="Cambria" w:eastAsia="宋体"/>
      <w:b/>
      <w:bCs/>
      <w:kern w:val="2"/>
      <w:sz w:val="32"/>
      <w:szCs w:val="32"/>
      <w:lang w:val="en-US" w:eastAsia="zh-CN" w:bidi="ar-SA"/>
    </w:rPr>
  </w:style>
  <w:style w:type="character" w:customStyle="1" w:styleId="325">
    <w:name w:val="正文文本缩进 3 Char2"/>
    <w:basedOn w:val="58"/>
    <w:semiHidden/>
    <w:uiPriority w:val="99"/>
    <w:rPr>
      <w:kern w:val="2"/>
      <w:sz w:val="16"/>
      <w:szCs w:val="16"/>
    </w:rPr>
  </w:style>
  <w:style w:type="character" w:customStyle="1" w:styleId="326">
    <w:name w:val="me04"/>
    <w:qFormat/>
    <w:uiPriority w:val="0"/>
    <w:rPr>
      <w:rFonts w:ascii="仿宋_GB2312" w:hAnsi="Tahoma" w:eastAsia="仿宋_GB2312"/>
      <w:b/>
      <w:sz w:val="32"/>
      <w:szCs w:val="32"/>
    </w:rPr>
  </w:style>
  <w:style w:type="character" w:customStyle="1" w:styleId="327">
    <w:name w:val="smalltxt1"/>
    <w:qFormat/>
    <w:uiPriority w:val="0"/>
    <w:rPr>
      <w:rFonts w:hint="default" w:ascii="ˎ̥" w:hAnsi="ˎ̥" w:eastAsia="仿宋_GB2312"/>
      <w:b/>
      <w:sz w:val="24"/>
      <w:szCs w:val="24"/>
    </w:rPr>
  </w:style>
  <w:style w:type="character" w:customStyle="1" w:styleId="328">
    <w:name w:val="正文文本 Char1"/>
    <w:qFormat/>
    <w:uiPriority w:val="0"/>
    <w:rPr>
      <w:rFonts w:ascii="Tahoma" w:hAnsi="Tahoma"/>
      <w:kern w:val="2"/>
      <w:sz w:val="21"/>
      <w:szCs w:val="24"/>
    </w:rPr>
  </w:style>
  <w:style w:type="character" w:customStyle="1" w:styleId="329">
    <w:name w:val="doc1"/>
    <w:qFormat/>
    <w:uiPriority w:val="0"/>
    <w:rPr>
      <w:szCs w:val="20"/>
    </w:rPr>
  </w:style>
  <w:style w:type="character" w:customStyle="1" w:styleId="330">
    <w:name w:val="Ò³Ã¼ Char Char"/>
    <w:qFormat/>
    <w:uiPriority w:val="0"/>
    <w:rPr>
      <w:rFonts w:ascii="仿宋_GB2312" w:eastAsia="仿宋_GB2312"/>
      <w:b/>
      <w:sz w:val="18"/>
      <w:szCs w:val="18"/>
    </w:rPr>
  </w:style>
  <w:style w:type="character" w:customStyle="1" w:styleId="331">
    <w:name w:val="批注主题 Char2"/>
    <w:basedOn w:val="332"/>
    <w:semiHidden/>
    <w:uiPriority w:val="99"/>
    <w:rPr>
      <w:b/>
      <w:bCs/>
    </w:rPr>
  </w:style>
  <w:style w:type="character" w:customStyle="1" w:styleId="332">
    <w:name w:val="批注文字 Char2"/>
    <w:basedOn w:val="58"/>
    <w:semiHidden/>
    <w:uiPriority w:val="99"/>
    <w:rPr>
      <w:kern w:val="2"/>
      <w:sz w:val="21"/>
      <w:szCs w:val="24"/>
    </w:rPr>
  </w:style>
  <w:style w:type="character" w:customStyle="1" w:styleId="333">
    <w:name w:val=" Char Char27"/>
    <w:link w:val="13"/>
    <w:qFormat/>
    <w:uiPriority w:val="0"/>
    <w:rPr>
      <w:rFonts w:ascii="Arial" w:hAnsi="Arial" w:eastAsia="黑体"/>
      <w:b/>
      <w:sz w:val="21"/>
      <w:szCs w:val="32"/>
    </w:rPr>
  </w:style>
  <w:style w:type="character" w:customStyle="1" w:styleId="334">
    <w:name w:val="样式 宋体"/>
    <w:qFormat/>
    <w:uiPriority w:val="0"/>
    <w:rPr>
      <w:rFonts w:ascii="宋体" w:hAnsi="宋体" w:eastAsia="宋体"/>
      <w:b/>
      <w:sz w:val="24"/>
      <w:szCs w:val="24"/>
    </w:rPr>
  </w:style>
  <w:style w:type="character" w:customStyle="1" w:styleId="335">
    <w:name w:val="样式 正文文本 Char Char"/>
    <w:link w:val="336"/>
    <w:qFormat/>
    <w:uiPriority w:val="0"/>
    <w:rPr>
      <w:rFonts w:ascii="Arial" w:hAnsi="Arial" w:cs="宋体"/>
      <w:color w:val="000000"/>
      <w:kern w:val="2"/>
      <w:sz w:val="21"/>
    </w:rPr>
  </w:style>
  <w:style w:type="paragraph" w:customStyle="1" w:styleId="336">
    <w:name w:val="样式 正文文本"/>
    <w:basedOn w:val="1"/>
    <w:link w:val="335"/>
    <w:qFormat/>
    <w:uiPriority w:val="0"/>
    <w:pPr>
      <w:adjustRightInd w:val="0"/>
      <w:snapToGrid w:val="0"/>
      <w:spacing w:line="400" w:lineRule="exact"/>
      <w:ind w:firstLine="200" w:firstLineChars="200"/>
    </w:pPr>
    <w:rPr>
      <w:rFonts w:ascii="Arial" w:hAnsi="Arial"/>
      <w:color w:val="000000"/>
      <w:szCs w:val="20"/>
    </w:rPr>
  </w:style>
  <w:style w:type="character" w:customStyle="1" w:styleId="337">
    <w:name w:val="批注框文本 Char1"/>
    <w:semiHidden/>
    <w:qFormat/>
    <w:locked/>
    <w:uiPriority w:val="99"/>
    <w:rPr>
      <w:rFonts w:hint="eastAsia" w:ascii="Heiti SC Light" w:hAnsi="宋体" w:eastAsia="Heiti SC Light" w:cs="Times New Roman"/>
      <w:sz w:val="18"/>
      <w:szCs w:val="18"/>
    </w:rPr>
  </w:style>
  <w:style w:type="character" w:customStyle="1" w:styleId="338">
    <w:name w:val=" Char Char3"/>
    <w:link w:val="51"/>
    <w:qFormat/>
    <w:uiPriority w:val="99"/>
    <w:rPr>
      <w:rFonts w:ascii="宋体" w:hAnsi="宋体"/>
      <w:color w:val="000000"/>
      <w:sz w:val="24"/>
      <w:szCs w:val="24"/>
    </w:rPr>
  </w:style>
  <w:style w:type="character" w:customStyle="1" w:styleId="339">
    <w:name w:val="Char Char201"/>
    <w:qFormat/>
    <w:uiPriority w:val="0"/>
    <w:rPr>
      <w:rFonts w:ascii="Cambria" w:hAnsi="Cambria" w:eastAsia="宋体" w:cs="Times New Roman"/>
      <w:b/>
      <w:bCs/>
      <w:sz w:val="32"/>
      <w:szCs w:val="32"/>
    </w:rPr>
  </w:style>
  <w:style w:type="character" w:customStyle="1" w:styleId="340">
    <w:name w:val="日期 Char"/>
    <w:qFormat/>
    <w:uiPriority w:val="99"/>
    <w:rPr>
      <w:spacing w:val="12"/>
      <w:kern w:val="2"/>
      <w:sz w:val="24"/>
    </w:rPr>
  </w:style>
  <w:style w:type="character" w:customStyle="1" w:styleId="341">
    <w:name w:val="批注主题 Char1"/>
    <w:qFormat/>
    <w:uiPriority w:val="0"/>
    <w:rPr>
      <w:b/>
      <w:bCs/>
      <w:kern w:val="2"/>
      <w:sz w:val="21"/>
      <w:szCs w:val="24"/>
    </w:rPr>
  </w:style>
  <w:style w:type="character" w:customStyle="1" w:styleId="342">
    <w:name w:val="font21"/>
    <w:qFormat/>
    <w:uiPriority w:val="0"/>
    <w:rPr>
      <w:rFonts w:hint="default" w:ascii="Times New Roman" w:hAnsi="Times New Roman" w:cs="Times New Roman"/>
      <w:color w:val="000000"/>
      <w:sz w:val="20"/>
      <w:szCs w:val="20"/>
      <w:u w:val="none"/>
    </w:rPr>
  </w:style>
  <w:style w:type="character" w:customStyle="1" w:styleId="343">
    <w:name w:val="heading 3 Char2"/>
    <w:qFormat/>
    <w:uiPriority w:val="0"/>
    <w:rPr>
      <w:rFonts w:ascii="仿宋_GB2312" w:eastAsia="仿宋_GB2312"/>
      <w:b/>
      <w:bCs/>
      <w:kern w:val="2"/>
      <w:sz w:val="32"/>
      <w:szCs w:val="32"/>
    </w:rPr>
  </w:style>
  <w:style w:type="character" w:customStyle="1" w:styleId="344">
    <w:name w:val="style41"/>
    <w:qFormat/>
    <w:uiPriority w:val="0"/>
    <w:rPr>
      <w:rFonts w:ascii="仿宋_GB2312" w:eastAsia="仿宋_GB2312"/>
      <w:b/>
      <w:color w:val="auto"/>
      <w:sz w:val="32"/>
      <w:szCs w:val="32"/>
    </w:rPr>
  </w:style>
  <w:style w:type="character" w:customStyle="1" w:styleId="345">
    <w:name w:val=" Char Char20"/>
    <w:link w:val="35"/>
    <w:qFormat/>
    <w:uiPriority w:val="99"/>
    <w:rPr>
      <w:kern w:val="2"/>
      <w:sz w:val="18"/>
      <w:szCs w:val="18"/>
    </w:rPr>
  </w:style>
  <w:style w:type="character" w:customStyle="1" w:styleId="346">
    <w:name w:val="heading 5 Char"/>
    <w:qFormat/>
    <w:uiPriority w:val="0"/>
    <w:rPr>
      <w:rFonts w:ascii="Arial" w:hAnsi="Arial" w:eastAsia="黑体"/>
      <w:b/>
      <w:sz w:val="21"/>
      <w:szCs w:val="21"/>
    </w:rPr>
  </w:style>
  <w:style w:type="character" w:customStyle="1" w:styleId="347">
    <w:name w:val="font11"/>
    <w:qFormat/>
    <w:uiPriority w:val="0"/>
    <w:rPr>
      <w:rFonts w:hint="eastAsia" w:ascii="宋体" w:hAnsi="宋体" w:eastAsia="宋体" w:cs="宋体"/>
      <w:color w:val="000000"/>
      <w:sz w:val="20"/>
      <w:szCs w:val="20"/>
      <w:u w:val="none"/>
      <w:vertAlign w:val="superscript"/>
    </w:rPr>
  </w:style>
  <w:style w:type="character" w:customStyle="1" w:styleId="348">
    <w:name w:val="标题 1 Char1"/>
    <w:qFormat/>
    <w:uiPriority w:val="0"/>
    <w:rPr>
      <w:rFonts w:ascii="楷体_GB2312" w:hAnsi="Tahoma" w:eastAsia="楷体_GB2312"/>
      <w:b/>
      <w:bCs/>
      <w:kern w:val="2"/>
      <w:sz w:val="21"/>
      <w:szCs w:val="24"/>
    </w:rPr>
  </w:style>
  <w:style w:type="character" w:customStyle="1" w:styleId="349">
    <w:name w:val="日期 Char2"/>
    <w:basedOn w:val="58"/>
    <w:semiHidden/>
    <w:uiPriority w:val="99"/>
    <w:rPr>
      <w:kern w:val="2"/>
      <w:sz w:val="21"/>
      <w:szCs w:val="24"/>
    </w:rPr>
  </w:style>
  <w:style w:type="character" w:customStyle="1" w:styleId="350">
    <w:name w:val="Char Char61"/>
    <w:qFormat/>
    <w:uiPriority w:val="0"/>
    <w:rPr>
      <w:rFonts w:ascii="Times New Roman" w:hAnsi="Times New Roman" w:eastAsia="宋体" w:cs="Times New Roman"/>
      <w:szCs w:val="24"/>
    </w:rPr>
  </w:style>
  <w:style w:type="character" w:customStyle="1" w:styleId="351">
    <w:name w:val="Char Char19"/>
    <w:qFormat/>
    <w:uiPriority w:val="0"/>
    <w:rPr>
      <w:rFonts w:ascii="Cambria" w:hAnsi="Cambria" w:eastAsia="仿宋_GB2312"/>
      <w:b/>
      <w:bCs/>
      <w:kern w:val="2"/>
      <w:sz w:val="32"/>
      <w:szCs w:val="32"/>
    </w:rPr>
  </w:style>
  <w:style w:type="character" w:customStyle="1" w:styleId="352">
    <w:name w:val="注释题目"/>
    <w:qFormat/>
    <w:uiPriority w:val="0"/>
    <w:rPr>
      <w:rFonts w:eastAsia="黑体"/>
      <w:sz w:val="28"/>
      <w:u w:val="none"/>
    </w:rPr>
  </w:style>
  <w:style w:type="character" w:customStyle="1" w:styleId="353">
    <w:name w:val="小标题 Char"/>
    <w:link w:val="354"/>
    <w:qFormat/>
    <w:uiPriority w:val="0"/>
    <w:rPr>
      <w:rFonts w:eastAsia="黑体"/>
    </w:rPr>
  </w:style>
  <w:style w:type="paragraph" w:customStyle="1" w:styleId="354">
    <w:name w:val="小标题"/>
    <w:basedOn w:val="1"/>
    <w:link w:val="353"/>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55">
    <w:name w:val=" Char Char8"/>
    <w:link w:val="24"/>
    <w:qFormat/>
    <w:uiPriority w:val="0"/>
    <w:rPr>
      <w:rFonts w:ascii="宋体" w:hAnsi="宋体"/>
      <w:kern w:val="2"/>
      <w:sz w:val="24"/>
    </w:rPr>
  </w:style>
  <w:style w:type="character" w:customStyle="1" w:styleId="356">
    <w:name w:val="标题 6 字符"/>
    <w:qFormat/>
    <w:uiPriority w:val="0"/>
    <w:rPr>
      <w:rFonts w:ascii="黑体" w:hAnsi="黑体" w:eastAsia="黑体" w:cs="黑体"/>
      <w:b/>
      <w:bCs/>
      <w:kern w:val="2"/>
      <w:sz w:val="24"/>
      <w:szCs w:val="28"/>
    </w:rPr>
  </w:style>
  <w:style w:type="character" w:customStyle="1" w:styleId="357">
    <w:name w:val="111 Char"/>
    <w:link w:val="358"/>
    <w:qFormat/>
    <w:uiPriority w:val="0"/>
    <w:rPr>
      <w:kern w:val="2"/>
    </w:rPr>
  </w:style>
  <w:style w:type="paragraph" w:customStyle="1" w:styleId="358">
    <w:name w:val="111"/>
    <w:basedOn w:val="359"/>
    <w:link w:val="357"/>
    <w:qFormat/>
    <w:uiPriority w:val="0"/>
    <w:pPr>
      <w:numPr>
        <w:ilvl w:val="0"/>
        <w:numId w:val="6"/>
      </w:numPr>
      <w:ind w:firstLine="0" w:firstLineChars="0"/>
    </w:pPr>
  </w:style>
  <w:style w:type="paragraph" w:customStyle="1" w:styleId="359">
    <w:name w:val="段落"/>
    <w:basedOn w:val="1"/>
    <w:link w:val="381"/>
    <w:qFormat/>
    <w:uiPriority w:val="0"/>
    <w:pPr>
      <w:spacing w:line="360" w:lineRule="auto"/>
      <w:ind w:firstLine="200" w:firstLineChars="200"/>
    </w:pPr>
    <w:rPr>
      <w:sz w:val="20"/>
      <w:szCs w:val="20"/>
    </w:rPr>
  </w:style>
  <w:style w:type="character" w:customStyle="1" w:styleId="360">
    <w:name w:val="upload"/>
    <w:qFormat/>
    <w:uiPriority w:val="0"/>
    <w:rPr>
      <w:szCs w:val="20"/>
    </w:rPr>
  </w:style>
  <w:style w:type="character" w:customStyle="1" w:styleId="361">
    <w:name w:val="Char Char15"/>
    <w:qFormat/>
    <w:uiPriority w:val="0"/>
    <w:rPr>
      <w:rFonts w:ascii="Arial" w:hAnsi="Arial" w:eastAsia="黑体"/>
      <w:b/>
      <w:sz w:val="24"/>
      <w:szCs w:val="24"/>
    </w:rPr>
  </w:style>
  <w:style w:type="character" w:customStyle="1" w:styleId="362">
    <w:name w:val="正文居中 Char Char"/>
    <w:qFormat/>
    <w:uiPriority w:val="0"/>
    <w:rPr>
      <w:kern w:val="2"/>
      <w:sz w:val="21"/>
      <w:szCs w:val="24"/>
    </w:rPr>
  </w:style>
  <w:style w:type="character" w:customStyle="1" w:styleId="363">
    <w:name w:val=" Char Char2"/>
    <w:link w:val="53"/>
    <w:qFormat/>
    <w:uiPriority w:val="0"/>
    <w:rPr>
      <w:rFonts w:ascii="Cambria" w:hAnsi="Cambria"/>
      <w:b/>
      <w:bCs/>
      <w:sz w:val="32"/>
      <w:szCs w:val="32"/>
    </w:rPr>
  </w:style>
  <w:style w:type="character" w:customStyle="1" w:styleId="364">
    <w:name w:val="标题 5 Char"/>
    <w:basedOn w:val="58"/>
    <w:qFormat/>
    <w:uiPriority w:val="0"/>
    <w:rPr>
      <w:rFonts w:ascii="仿宋_GB2312" w:hAnsi="Tahoma"/>
      <w:b/>
      <w:bCs/>
      <w:kern w:val="2"/>
      <w:sz w:val="28"/>
      <w:szCs w:val="28"/>
    </w:rPr>
  </w:style>
  <w:style w:type="character" w:customStyle="1" w:styleId="365">
    <w:name w:val="编号正文缩进 Char"/>
    <w:link w:val="366"/>
    <w:qFormat/>
    <w:uiPriority w:val="0"/>
    <w:rPr>
      <w:sz w:val="24"/>
    </w:rPr>
  </w:style>
  <w:style w:type="paragraph" w:customStyle="1" w:styleId="366">
    <w:name w:val="编号正文缩进"/>
    <w:basedOn w:val="17"/>
    <w:link w:val="365"/>
    <w:qFormat/>
    <w:uiPriority w:val="0"/>
    <w:pPr>
      <w:numPr>
        <w:ilvl w:val="0"/>
        <w:numId w:val="7"/>
      </w:numPr>
      <w:spacing w:line="400" w:lineRule="atLeast"/>
    </w:pPr>
    <w:rPr>
      <w:sz w:val="24"/>
    </w:rPr>
  </w:style>
  <w:style w:type="character" w:customStyle="1" w:styleId="367">
    <w:name w:val=" Char Char1"/>
    <w:link w:val="54"/>
    <w:qFormat/>
    <w:uiPriority w:val="0"/>
    <w:rPr>
      <w:b/>
      <w:bCs/>
      <w:kern w:val="2"/>
      <w:sz w:val="21"/>
      <w:szCs w:val="24"/>
    </w:rPr>
  </w:style>
  <w:style w:type="character" w:customStyle="1" w:styleId="368">
    <w:name w:val="标题 Char1"/>
    <w:qFormat/>
    <w:uiPriority w:val="0"/>
    <w:rPr>
      <w:rFonts w:ascii="Cambria" w:hAnsi="Cambria" w:cs="Times New Roman"/>
      <w:b/>
      <w:bCs/>
      <w:kern w:val="2"/>
      <w:sz w:val="32"/>
      <w:szCs w:val="32"/>
    </w:rPr>
  </w:style>
  <w:style w:type="character" w:customStyle="1" w:styleId="369">
    <w:name w:val="PI Char1"/>
    <w:qFormat/>
    <w:uiPriority w:val="0"/>
    <w:rPr>
      <w:rFonts w:ascii="仿宋_GB2312" w:eastAsia="宋体"/>
      <w:b/>
      <w:kern w:val="2"/>
      <w:sz w:val="24"/>
      <w:szCs w:val="24"/>
      <w:lang w:val="en-US" w:eastAsia="zh-CN" w:bidi="ar-SA"/>
    </w:rPr>
  </w:style>
  <w:style w:type="character" w:customStyle="1" w:styleId="370">
    <w:name w:val="正文文本缩进 2 Char1"/>
    <w:qFormat/>
    <w:uiPriority w:val="0"/>
    <w:rPr>
      <w:kern w:val="2"/>
      <w:sz w:val="21"/>
      <w:szCs w:val="24"/>
    </w:rPr>
  </w:style>
  <w:style w:type="character" w:customStyle="1" w:styleId="371">
    <w:name w:val="Char Char16"/>
    <w:qFormat/>
    <w:uiPriority w:val="0"/>
    <w:rPr>
      <w:rFonts w:ascii="仿宋_GB2312" w:eastAsia="仿宋_GB2312"/>
      <w:b/>
      <w:bCs/>
      <w:kern w:val="2"/>
      <w:sz w:val="28"/>
      <w:szCs w:val="28"/>
    </w:rPr>
  </w:style>
  <w:style w:type="character" w:customStyle="1" w:styleId="372">
    <w:name w:val="样式 样式 四号 首行缩进:  0.74 厘米 行距: 1.5 倍行距 + 宋体 四号 行距: 1.5 倍行距 Char"/>
    <w:link w:val="373"/>
    <w:qFormat/>
    <w:uiPriority w:val="0"/>
    <w:rPr>
      <w:rFonts w:ascii="宋体" w:hAnsi="宋体" w:cs="宋体"/>
      <w:kern w:val="2"/>
      <w:sz w:val="28"/>
    </w:rPr>
  </w:style>
  <w:style w:type="paragraph" w:customStyle="1" w:styleId="373">
    <w:name w:val="样式 样式 四号 首行缩进:  0.74 厘米 行距: 1.5 倍行距 + 宋体 四号 行距: 1.5 倍行距"/>
    <w:basedOn w:val="1"/>
    <w:link w:val="372"/>
    <w:qFormat/>
    <w:uiPriority w:val="0"/>
    <w:pPr>
      <w:spacing w:line="360" w:lineRule="auto"/>
      <w:ind w:firstLine="560" w:firstLineChars="200"/>
    </w:pPr>
    <w:rPr>
      <w:rFonts w:ascii="宋体" w:hAnsi="宋体"/>
      <w:sz w:val="28"/>
      <w:szCs w:val="20"/>
    </w:rPr>
  </w:style>
  <w:style w:type="character" w:customStyle="1" w:styleId="374">
    <w:name w:val="blue1"/>
    <w:qFormat/>
    <w:uiPriority w:val="0"/>
    <w:rPr>
      <w:rFonts w:ascii="仿宋_GB2312" w:hAnsi="Tahoma" w:eastAsia="仿宋_GB2312"/>
      <w:b/>
      <w:sz w:val="32"/>
      <w:szCs w:val="32"/>
    </w:rPr>
  </w:style>
  <w:style w:type="character" w:customStyle="1" w:styleId="375">
    <w:name w:val="宏文本 Char2"/>
    <w:basedOn w:val="58"/>
    <w:semiHidden/>
    <w:uiPriority w:val="99"/>
    <w:rPr>
      <w:rFonts w:ascii="Courier New" w:hAnsi="Courier New" w:cs="Courier New"/>
      <w:kern w:val="2"/>
      <w:sz w:val="24"/>
      <w:szCs w:val="24"/>
    </w:rPr>
  </w:style>
  <w:style w:type="character" w:customStyle="1" w:styleId="376">
    <w:name w:val="样式2 Char"/>
    <w:qFormat/>
    <w:uiPriority w:val="0"/>
    <w:rPr>
      <w:rFonts w:ascii="Arial" w:hAnsi="Arial" w:eastAsia="黑体"/>
      <w:b/>
      <w:bCs/>
      <w:sz w:val="36"/>
      <w:szCs w:val="32"/>
    </w:rPr>
  </w:style>
  <w:style w:type="character" w:customStyle="1" w:styleId="377">
    <w:name w:val="hui"/>
    <w:qFormat/>
    <w:uiPriority w:val="0"/>
    <w:rPr>
      <w:rFonts w:ascii="仿宋_GB2312" w:hAnsi="Tahoma" w:eastAsia="仿宋_GB2312"/>
      <w:b/>
      <w:sz w:val="32"/>
      <w:szCs w:val="32"/>
    </w:rPr>
  </w:style>
  <w:style w:type="character" w:customStyle="1" w:styleId="378">
    <w:name w:val="heading 5 Char2"/>
    <w:qFormat/>
    <w:uiPriority w:val="0"/>
    <w:rPr>
      <w:rFonts w:ascii="仿宋_GB2312" w:eastAsia="仿宋_GB2312"/>
      <w:b/>
      <w:bCs/>
      <w:kern w:val="2"/>
      <w:sz w:val="28"/>
      <w:szCs w:val="28"/>
    </w:rPr>
  </w:style>
  <w:style w:type="character" w:customStyle="1" w:styleId="379">
    <w:name w:val=" Char Char16"/>
    <w:link w:val="18"/>
    <w:qFormat/>
    <w:uiPriority w:val="0"/>
    <w:rPr>
      <w:rFonts w:ascii="Arial" w:hAnsi="Arial" w:eastAsia="黑体" w:cs="Arial"/>
    </w:rPr>
  </w:style>
  <w:style w:type="character" w:customStyle="1" w:styleId="380">
    <w:name w:val="列出段落 Char"/>
    <w:link w:val="96"/>
    <w:qFormat/>
    <w:uiPriority w:val="99"/>
    <w:rPr>
      <w:kern w:val="2"/>
      <w:sz w:val="21"/>
      <w:szCs w:val="24"/>
    </w:rPr>
  </w:style>
  <w:style w:type="character" w:customStyle="1" w:styleId="381">
    <w:name w:val="段落 Char"/>
    <w:link w:val="359"/>
    <w:qFormat/>
    <w:uiPriority w:val="0"/>
    <w:rPr>
      <w:kern w:val="2"/>
    </w:rPr>
  </w:style>
  <w:style w:type="character" w:customStyle="1" w:styleId="382">
    <w:name w:val="Footer-Even Char1"/>
    <w:qFormat/>
    <w:uiPriority w:val="0"/>
    <w:rPr>
      <w:rFonts w:ascii="仿宋_GB2312" w:eastAsia="宋体"/>
      <w:b/>
      <w:kern w:val="2"/>
      <w:sz w:val="18"/>
      <w:szCs w:val="18"/>
      <w:lang w:val="en-US" w:eastAsia="zh-CN" w:bidi="ar-SA"/>
    </w:rPr>
  </w:style>
  <w:style w:type="character" w:customStyle="1" w:styleId="383">
    <w:name w:val="Char Char18"/>
    <w:qFormat/>
    <w:uiPriority w:val="0"/>
    <w:rPr>
      <w:rFonts w:ascii="仿宋_GB2312" w:eastAsia="仿宋_GB2312"/>
      <w:b/>
      <w:bCs/>
      <w:kern w:val="2"/>
      <w:sz w:val="32"/>
      <w:szCs w:val="32"/>
    </w:rPr>
  </w:style>
  <w:style w:type="character" w:customStyle="1" w:styleId="384">
    <w:name w:val=" Char Char"/>
    <w:link w:val="55"/>
    <w:qFormat/>
    <w:uiPriority w:val="0"/>
    <w:rPr>
      <w:rFonts w:ascii="宋体" w:hAnsi="宋体"/>
      <w:kern w:val="2"/>
      <w:sz w:val="24"/>
      <w:szCs w:val="24"/>
    </w:rPr>
  </w:style>
  <w:style w:type="character" w:customStyle="1" w:styleId="385">
    <w:name w:val="_正文段落 Char"/>
    <w:link w:val="386"/>
    <w:qFormat/>
    <w:uiPriority w:val="0"/>
    <w:rPr>
      <w:kern w:val="2"/>
      <w:sz w:val="21"/>
      <w:szCs w:val="24"/>
    </w:rPr>
  </w:style>
  <w:style w:type="paragraph" w:customStyle="1" w:styleId="386">
    <w:name w:val="_正文段落"/>
    <w:basedOn w:val="1"/>
    <w:link w:val="385"/>
    <w:qFormat/>
    <w:uiPriority w:val="0"/>
    <w:pPr>
      <w:spacing w:beforeLines="15" w:afterLines="15" w:line="360" w:lineRule="auto"/>
      <w:ind w:firstLine="200" w:firstLineChars="200"/>
    </w:pPr>
  </w:style>
  <w:style w:type="character" w:customStyle="1" w:styleId="387">
    <w:name w:val=" Char Char17"/>
    <w:link w:val="46"/>
    <w:qFormat/>
    <w:uiPriority w:val="99"/>
    <w:rPr>
      <w:kern w:val="2"/>
      <w:sz w:val="16"/>
      <w:szCs w:val="16"/>
    </w:rPr>
  </w:style>
  <w:style w:type="character" w:customStyle="1" w:styleId="388">
    <w:name w:val="表正文 Char2"/>
    <w:qFormat/>
    <w:uiPriority w:val="0"/>
    <w:rPr>
      <w:rFonts w:ascii="Times New Roman" w:hAnsi="Times New Roman" w:eastAsia="宋体" w:cs="Times New Roman"/>
      <w:szCs w:val="24"/>
    </w:rPr>
  </w:style>
  <w:style w:type="character" w:customStyle="1" w:styleId="389">
    <w:name w:val="Style1"/>
    <w:qFormat/>
    <w:uiPriority w:val="0"/>
    <w:rPr>
      <w:rFonts w:ascii="Calibri" w:hAnsi="宋体" w:eastAsia="宋体" w:cs="Times New Roman"/>
      <w:sz w:val="22"/>
      <w:szCs w:val="22"/>
      <w:lang w:eastAsia="zh-CN"/>
    </w:rPr>
  </w:style>
  <w:style w:type="character" w:customStyle="1" w:styleId="390">
    <w:name w:val="release-day"/>
    <w:qFormat/>
    <w:uiPriority w:val="0"/>
    <w:rPr>
      <w:szCs w:val="20"/>
      <w:bdr w:val="single" w:color="BDEBB0" w:sz="4" w:space="0"/>
      <w:shd w:val="clear" w:color="auto" w:fill="F5FFF1"/>
    </w:rPr>
  </w:style>
  <w:style w:type="character" w:customStyle="1" w:styleId="391">
    <w:name w:val="正文首行缩进 2 Char2"/>
    <w:qFormat/>
    <w:uiPriority w:val="0"/>
    <w:rPr>
      <w:rFonts w:ascii="Calibri" w:hAnsi="Calibri" w:cs="黑体"/>
      <w:kern w:val="2"/>
      <w:sz w:val="21"/>
      <w:szCs w:val="24"/>
    </w:rPr>
  </w:style>
  <w:style w:type="character" w:customStyle="1" w:styleId="392">
    <w:name w:val="标题 1 Char"/>
    <w:qFormat/>
    <w:uiPriority w:val="0"/>
    <w:rPr>
      <w:rFonts w:eastAsia="宋体"/>
      <w:b/>
      <w:bCs/>
      <w:kern w:val="44"/>
      <w:sz w:val="44"/>
      <w:szCs w:val="44"/>
      <w:lang w:val="en-US" w:eastAsia="zh-CN" w:bidi="ar-SA"/>
    </w:rPr>
  </w:style>
  <w:style w:type="character" w:customStyle="1" w:styleId="393">
    <w:name w:val=" Char Char18"/>
    <w:link w:val="17"/>
    <w:qFormat/>
    <w:uiPriority w:val="0"/>
    <w:rPr>
      <w:rFonts w:eastAsia="宋体"/>
      <w:sz w:val="21"/>
      <w:lang w:val="en-US" w:eastAsia="zh-CN" w:bidi="ar-SA"/>
    </w:rPr>
  </w:style>
  <w:style w:type="character" w:customStyle="1" w:styleId="394">
    <w:name w:val="大标题 Char"/>
    <w:link w:val="395"/>
    <w:qFormat/>
    <w:uiPriority w:val="0"/>
    <w:rPr>
      <w:rFonts w:ascii="黑体" w:hAnsi="黑体" w:eastAsia="黑体"/>
      <w:b/>
      <w:bCs/>
      <w:kern w:val="2"/>
      <w:sz w:val="72"/>
      <w:szCs w:val="72"/>
    </w:rPr>
  </w:style>
  <w:style w:type="paragraph" w:customStyle="1" w:styleId="395">
    <w:name w:val="大标题"/>
    <w:basedOn w:val="1"/>
    <w:link w:val="394"/>
    <w:qFormat/>
    <w:uiPriority w:val="0"/>
    <w:pPr>
      <w:spacing w:line="40" w:lineRule="atLeast"/>
    </w:pPr>
    <w:rPr>
      <w:rFonts w:ascii="黑体" w:hAnsi="黑体" w:eastAsia="黑体"/>
      <w:b/>
      <w:bCs/>
      <w:sz w:val="72"/>
      <w:szCs w:val="72"/>
    </w:rPr>
  </w:style>
  <w:style w:type="character" w:customStyle="1" w:styleId="396">
    <w:name w:val="标题样式 Char"/>
    <w:link w:val="397"/>
    <w:qFormat/>
    <w:uiPriority w:val="0"/>
    <w:rPr>
      <w:b/>
    </w:rPr>
  </w:style>
  <w:style w:type="paragraph" w:customStyle="1" w:styleId="397">
    <w:name w:val="标题样式"/>
    <w:basedOn w:val="1"/>
    <w:link w:val="396"/>
    <w:qFormat/>
    <w:uiPriority w:val="0"/>
    <w:pPr>
      <w:spacing w:beforeLines="50" w:afterLines="50"/>
    </w:pPr>
    <w:rPr>
      <w:b/>
      <w:kern w:val="0"/>
      <w:sz w:val="20"/>
      <w:szCs w:val="20"/>
    </w:rPr>
  </w:style>
  <w:style w:type="character" w:customStyle="1" w:styleId="398">
    <w:name w:val="明显引用 Char1"/>
    <w:qFormat/>
    <w:uiPriority w:val="99"/>
    <w:rPr>
      <w:rFonts w:ascii="Tahoma" w:hAnsi="Tahoma"/>
      <w:b/>
      <w:bCs/>
      <w:i/>
      <w:iCs/>
      <w:color w:val="4F81BD"/>
      <w:kern w:val="2"/>
      <w:sz w:val="21"/>
      <w:szCs w:val="24"/>
    </w:rPr>
  </w:style>
  <w:style w:type="character" w:customStyle="1" w:styleId="399">
    <w:name w:val="栏目标题 Char Char"/>
    <w:qFormat/>
    <w:uiPriority w:val="0"/>
    <w:rPr>
      <w:rFonts w:ascii="黑体" w:hAnsi="黑体" w:eastAsia="黑体"/>
      <w:b/>
      <w:kern w:val="2"/>
      <w:sz w:val="21"/>
      <w:szCs w:val="24"/>
    </w:rPr>
  </w:style>
  <w:style w:type="character" w:customStyle="1" w:styleId="400">
    <w:name w:val="标题 8 Char"/>
    <w:basedOn w:val="58"/>
    <w:qFormat/>
    <w:uiPriority w:val="0"/>
    <w:rPr>
      <w:rFonts w:ascii="Arial" w:hAnsi="Arial" w:eastAsia="黑体"/>
      <w:b/>
      <w:sz w:val="24"/>
      <w:szCs w:val="32"/>
    </w:rPr>
  </w:style>
  <w:style w:type="character" w:customStyle="1" w:styleId="401">
    <w:name w:val="日期 Char1"/>
    <w:qFormat/>
    <w:uiPriority w:val="0"/>
    <w:rPr>
      <w:rFonts w:ascii="Calibri" w:hAnsi="Calibri" w:cs="黑体"/>
      <w:kern w:val="2"/>
      <w:sz w:val="24"/>
      <w:szCs w:val="22"/>
    </w:rPr>
  </w:style>
  <w:style w:type="character" w:customStyle="1" w:styleId="402">
    <w:name w:val="纯文本 Char2"/>
    <w:basedOn w:val="58"/>
    <w:semiHidden/>
    <w:uiPriority w:val="99"/>
    <w:rPr>
      <w:rFonts w:ascii="宋体" w:hAnsi="Courier New" w:cs="Courier New"/>
      <w:kern w:val="2"/>
      <w:sz w:val="21"/>
      <w:szCs w:val="21"/>
    </w:rPr>
  </w:style>
  <w:style w:type="character" w:customStyle="1" w:styleId="403">
    <w:name w:val="Footer-Even Char2"/>
    <w:qFormat/>
    <w:uiPriority w:val="0"/>
    <w:rPr>
      <w:rFonts w:ascii="仿宋_GB2312" w:eastAsia="仿宋_GB2312"/>
      <w:b/>
      <w:kern w:val="2"/>
      <w:sz w:val="18"/>
      <w:szCs w:val="18"/>
    </w:rPr>
  </w:style>
  <w:style w:type="character" w:customStyle="1" w:styleId="404">
    <w:name w:val="表格 Char Char"/>
    <w:link w:val="405"/>
    <w:qFormat/>
    <w:uiPriority w:val="0"/>
    <w:rPr>
      <w:rFonts w:ascii="宋体" w:hAnsi="宋体"/>
      <w:b/>
      <w:sz w:val="32"/>
      <w:szCs w:val="32"/>
    </w:rPr>
  </w:style>
  <w:style w:type="paragraph" w:customStyle="1" w:styleId="405">
    <w:name w:val="表格"/>
    <w:basedOn w:val="1"/>
    <w:link w:val="404"/>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06">
    <w:name w:val="文档正文 Char"/>
    <w:link w:val="407"/>
    <w:qFormat/>
    <w:locked/>
    <w:uiPriority w:val="0"/>
    <w:rPr>
      <w:sz w:val="24"/>
    </w:rPr>
  </w:style>
  <w:style w:type="paragraph" w:customStyle="1" w:styleId="407">
    <w:name w:val="文档正文"/>
    <w:basedOn w:val="1"/>
    <w:link w:val="406"/>
    <w:qFormat/>
    <w:uiPriority w:val="0"/>
    <w:pPr>
      <w:adjustRightInd w:val="0"/>
      <w:spacing w:line="300" w:lineRule="auto"/>
      <w:ind w:firstLine="567"/>
      <w:textAlignment w:val="baseline"/>
    </w:pPr>
    <w:rPr>
      <w:kern w:val="0"/>
      <w:sz w:val="24"/>
      <w:szCs w:val="20"/>
    </w:rPr>
  </w:style>
  <w:style w:type="character" w:customStyle="1" w:styleId="408">
    <w:name w:val=" Char Char32"/>
    <w:link w:val="8"/>
    <w:qFormat/>
    <w:uiPriority w:val="0"/>
    <w:rPr>
      <w:rFonts w:ascii="Cambria" w:hAnsi="Cambria"/>
      <w:b/>
      <w:bCs/>
      <w:kern w:val="2"/>
      <w:sz w:val="28"/>
      <w:szCs w:val="28"/>
    </w:rPr>
  </w:style>
  <w:style w:type="character" w:customStyle="1" w:styleId="409">
    <w:name w:val="Table Text Char Char"/>
    <w:link w:val="410"/>
    <w:qFormat/>
    <w:uiPriority w:val="0"/>
    <w:rPr>
      <w:sz w:val="24"/>
    </w:rPr>
  </w:style>
  <w:style w:type="paragraph" w:customStyle="1" w:styleId="410">
    <w:name w:val="Table Text"/>
    <w:basedOn w:val="1"/>
    <w:link w:val="409"/>
    <w:qFormat/>
    <w:uiPriority w:val="0"/>
    <w:pPr>
      <w:widowControl/>
      <w:autoSpaceDE w:val="0"/>
      <w:autoSpaceDN w:val="0"/>
      <w:adjustRightInd w:val="0"/>
      <w:spacing w:before="60" w:after="60"/>
      <w:jc w:val="left"/>
    </w:pPr>
    <w:rPr>
      <w:kern w:val="0"/>
      <w:sz w:val="24"/>
      <w:szCs w:val="20"/>
    </w:rPr>
  </w:style>
  <w:style w:type="character" w:customStyle="1" w:styleId="411">
    <w:name w:val="count"/>
    <w:qFormat/>
    <w:uiPriority w:val="0"/>
  </w:style>
  <w:style w:type="character" w:customStyle="1" w:styleId="412">
    <w:name w:val="表格用 Char Char"/>
    <w:link w:val="413"/>
    <w:qFormat/>
    <w:locked/>
    <w:uiPriority w:val="0"/>
    <w:rPr>
      <w:sz w:val="21"/>
      <w:szCs w:val="24"/>
    </w:rPr>
  </w:style>
  <w:style w:type="paragraph" w:customStyle="1" w:styleId="413">
    <w:name w:val="表格用"/>
    <w:basedOn w:val="1"/>
    <w:link w:val="412"/>
    <w:qFormat/>
    <w:uiPriority w:val="0"/>
    <w:pPr>
      <w:ind w:firstLine="0" w:firstLineChars="0"/>
    </w:pPr>
    <w:rPr>
      <w:kern w:val="0"/>
    </w:rPr>
  </w:style>
  <w:style w:type="character" w:customStyle="1" w:styleId="414">
    <w:name w:val="正文首行缩进 2 Char"/>
    <w:qFormat/>
    <w:uiPriority w:val="0"/>
    <w:rPr>
      <w:rFonts w:ascii="宋体" w:hAnsi="宋体"/>
      <w:kern w:val="2"/>
      <w:sz w:val="24"/>
      <w:szCs w:val="24"/>
    </w:rPr>
  </w:style>
  <w:style w:type="character" w:customStyle="1" w:styleId="415">
    <w:name w:val="文档结构图 Char"/>
    <w:qFormat/>
    <w:uiPriority w:val="99"/>
    <w:rPr>
      <w:rFonts w:eastAsia="宋体"/>
      <w:kern w:val="2"/>
      <w:sz w:val="21"/>
      <w:szCs w:val="24"/>
      <w:lang w:val="en-US" w:eastAsia="zh-CN" w:bidi="ar-SA"/>
    </w:rPr>
  </w:style>
  <w:style w:type="character" w:customStyle="1" w:styleId="416">
    <w:name w:val="无间隔 Char"/>
    <w:link w:val="417"/>
    <w:qFormat/>
    <w:uiPriority w:val="0"/>
    <w:rPr>
      <w:sz w:val="22"/>
      <w:szCs w:val="22"/>
      <w:lang w:val="en-US" w:eastAsia="zh-CN" w:bidi="ar-SA"/>
    </w:rPr>
  </w:style>
  <w:style w:type="paragraph" w:customStyle="1" w:styleId="417">
    <w:name w:val="No Spacing"/>
    <w:link w:val="416"/>
    <w:qFormat/>
    <w:uiPriority w:val="0"/>
    <w:rPr>
      <w:sz w:val="22"/>
      <w:szCs w:val="22"/>
      <w:lang w:val="en-US" w:eastAsia="zh-CN" w:bidi="ar-SA"/>
    </w:rPr>
  </w:style>
  <w:style w:type="character" w:customStyle="1" w:styleId="418">
    <w:name w:val="input"/>
    <w:qFormat/>
    <w:uiPriority w:val="0"/>
    <w:rPr>
      <w:szCs w:val="20"/>
    </w:rPr>
  </w:style>
  <w:style w:type="character" w:customStyle="1" w:styleId="419">
    <w:name w:val="注释正文＋下划线 Char"/>
    <w:link w:val="420"/>
    <w:qFormat/>
    <w:uiPriority w:val="0"/>
    <w:rPr>
      <w:rFonts w:ascii="宋体" w:hAnsi="宋体"/>
      <w:kern w:val="2"/>
      <w:sz w:val="28"/>
      <w:szCs w:val="28"/>
      <w:u w:val="single"/>
    </w:rPr>
  </w:style>
  <w:style w:type="paragraph" w:customStyle="1" w:styleId="420">
    <w:name w:val="注释正文＋下划线"/>
    <w:basedOn w:val="1"/>
    <w:link w:val="419"/>
    <w:qFormat/>
    <w:uiPriority w:val="0"/>
    <w:rPr>
      <w:rFonts w:ascii="宋体" w:hAnsi="宋体"/>
      <w:sz w:val="28"/>
      <w:szCs w:val="28"/>
      <w:u w:val="single"/>
    </w:rPr>
  </w:style>
  <w:style w:type="character" w:customStyle="1" w:styleId="421">
    <w:name w:val="页眉 Char2"/>
    <w:basedOn w:val="58"/>
    <w:semiHidden/>
    <w:uiPriority w:val="99"/>
    <w:rPr>
      <w:kern w:val="2"/>
      <w:sz w:val="18"/>
      <w:szCs w:val="18"/>
    </w:rPr>
  </w:style>
  <w:style w:type="character" w:customStyle="1" w:styleId="422">
    <w:name w:val="fr"/>
    <w:qFormat/>
    <w:uiPriority w:val="0"/>
    <w:rPr>
      <w:szCs w:val="20"/>
    </w:rPr>
  </w:style>
  <w:style w:type="character" w:customStyle="1" w:styleId="423">
    <w:name w:val="正文文本 3 Char"/>
    <w:qFormat/>
    <w:uiPriority w:val="0"/>
  </w:style>
  <w:style w:type="character" w:customStyle="1" w:styleId="424">
    <w:name w:val="*正文 Char"/>
    <w:link w:val="425"/>
    <w:qFormat/>
    <w:uiPriority w:val="0"/>
    <w:rPr>
      <w:rFonts w:ascii="仿宋_GB2312" w:eastAsia="仿宋_GB2312"/>
      <w:kern w:val="2"/>
      <w:sz w:val="24"/>
      <w:szCs w:val="28"/>
      <w:lang w:val="zh-CN"/>
    </w:rPr>
  </w:style>
  <w:style w:type="paragraph" w:customStyle="1" w:styleId="425">
    <w:name w:val="*正文"/>
    <w:basedOn w:val="1"/>
    <w:link w:val="424"/>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426">
    <w:name w:val="正文2 Char"/>
    <w:link w:val="427"/>
    <w:qFormat/>
    <w:uiPriority w:val="0"/>
    <w:rPr>
      <w:sz w:val="24"/>
    </w:rPr>
  </w:style>
  <w:style w:type="paragraph" w:customStyle="1" w:styleId="427">
    <w:name w:val="正文2"/>
    <w:basedOn w:val="1"/>
    <w:link w:val="426"/>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428">
    <w:name w:val="列出段落 Char1"/>
    <w:qFormat/>
    <w:uiPriority w:val="0"/>
    <w:rPr>
      <w:kern w:val="2"/>
      <w:sz w:val="21"/>
    </w:rPr>
  </w:style>
  <w:style w:type="character" w:customStyle="1" w:styleId="429">
    <w:name w:val="样式 正文文本 Char Char Char"/>
    <w:qFormat/>
    <w:uiPriority w:val="0"/>
    <w:rPr>
      <w:rFonts w:ascii="Arial" w:hAnsi="Arial" w:eastAsia="宋体"/>
      <w:color w:val="000000"/>
      <w:kern w:val="2"/>
      <w:sz w:val="21"/>
      <w:lang w:val="en-US" w:eastAsia="zh-CN" w:bidi="ar-SA"/>
    </w:rPr>
  </w:style>
  <w:style w:type="character" w:customStyle="1" w:styleId="430">
    <w:name w:val="页眉注释 Char"/>
    <w:link w:val="431"/>
    <w:qFormat/>
    <w:uiPriority w:val="0"/>
    <w:rPr>
      <w:rFonts w:ascii="华文细黑" w:hAnsi="华文细黑" w:eastAsia="华文细黑"/>
      <w:b/>
      <w:color w:val="FFFFFF"/>
      <w:kern w:val="2"/>
      <w:sz w:val="18"/>
      <w:szCs w:val="18"/>
    </w:rPr>
  </w:style>
  <w:style w:type="paragraph" w:customStyle="1" w:styleId="431">
    <w:name w:val="页眉注释"/>
    <w:basedOn w:val="1"/>
    <w:link w:val="430"/>
    <w:qFormat/>
    <w:uiPriority w:val="0"/>
    <w:pPr>
      <w:spacing w:line="0" w:lineRule="atLeast"/>
      <w:jc w:val="center"/>
    </w:pPr>
    <w:rPr>
      <w:rFonts w:ascii="华文细黑" w:hAnsi="华文细黑" w:eastAsia="华文细黑"/>
      <w:b/>
      <w:color w:val="FFFFFF"/>
      <w:sz w:val="18"/>
      <w:szCs w:val="18"/>
    </w:rPr>
  </w:style>
  <w:style w:type="character" w:customStyle="1" w:styleId="432">
    <w:name w:val="批注框文本 Char2"/>
    <w:basedOn w:val="58"/>
    <w:semiHidden/>
    <w:uiPriority w:val="99"/>
    <w:rPr>
      <w:kern w:val="2"/>
      <w:sz w:val="18"/>
      <w:szCs w:val="18"/>
    </w:rPr>
  </w:style>
  <w:style w:type="character" w:customStyle="1" w:styleId="433">
    <w:name w:val="图片题注 Char"/>
    <w:link w:val="434"/>
    <w:qFormat/>
    <w:uiPriority w:val="0"/>
    <w:rPr>
      <w:rFonts w:ascii="Calibri Light" w:hAnsi="Calibri Light" w:eastAsia="黑体" w:cs="黑体"/>
      <w:bCs/>
      <w:kern w:val="2"/>
    </w:rPr>
  </w:style>
  <w:style w:type="paragraph" w:customStyle="1" w:styleId="434">
    <w:name w:val="图片题注"/>
    <w:basedOn w:val="18"/>
    <w:link w:val="433"/>
    <w:qFormat/>
    <w:uiPriority w:val="0"/>
    <w:pPr>
      <w:autoSpaceDE/>
      <w:autoSpaceDN/>
      <w:adjustRightInd/>
      <w:spacing w:line="360" w:lineRule="auto"/>
      <w:jc w:val="center"/>
    </w:pPr>
    <w:rPr>
      <w:rFonts w:ascii="Calibri Light" w:hAnsi="Calibri Light"/>
      <w:bCs/>
      <w:kern w:val="2"/>
    </w:rPr>
  </w:style>
  <w:style w:type="character" w:customStyle="1" w:styleId="435">
    <w:name w:val="Texte Char Char"/>
    <w:qFormat/>
    <w:uiPriority w:val="0"/>
    <w:rPr>
      <w:rFonts w:ascii="宋体" w:hAnsi="Courier New" w:eastAsia="宋体"/>
      <w:b/>
      <w:sz w:val="21"/>
      <w:szCs w:val="21"/>
      <w:lang w:val="en-US" w:eastAsia="zh-CN" w:bidi="ar-SA"/>
    </w:rPr>
  </w:style>
  <w:style w:type="character" w:customStyle="1" w:styleId="436">
    <w:name w:val="Ò³Ã¼ Char Char2"/>
    <w:qFormat/>
    <w:uiPriority w:val="0"/>
    <w:rPr>
      <w:rFonts w:ascii="仿宋_GB2312" w:eastAsia="仿宋_GB2312"/>
      <w:b/>
      <w:kern w:val="2"/>
      <w:sz w:val="18"/>
      <w:szCs w:val="18"/>
    </w:rPr>
  </w:style>
  <w:style w:type="character" w:customStyle="1" w:styleId="437">
    <w:name w:val=" Char Char28"/>
    <w:link w:val="12"/>
    <w:qFormat/>
    <w:uiPriority w:val="0"/>
    <w:rPr>
      <w:rFonts w:ascii="Arial" w:hAnsi="Arial" w:eastAsia="黑体"/>
      <w:b/>
      <w:sz w:val="24"/>
      <w:szCs w:val="32"/>
    </w:rPr>
  </w:style>
  <w:style w:type="paragraph" w:customStyle="1" w:styleId="438">
    <w:name w:val="纯文本1"/>
    <w:basedOn w:val="1"/>
    <w:qFormat/>
    <w:uiPriority w:val="0"/>
    <w:pPr>
      <w:adjustRightInd w:val="0"/>
      <w:textAlignment w:val="baseline"/>
    </w:pPr>
    <w:rPr>
      <w:rFonts w:ascii="宋体" w:hAnsi="Courier New" w:eastAsia="楷体_GB2312"/>
      <w:sz w:val="26"/>
      <w:szCs w:val="20"/>
    </w:rPr>
  </w:style>
  <w:style w:type="paragraph" w:customStyle="1" w:styleId="439">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44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41">
    <w:name w:val="_Style 33"/>
    <w:basedOn w:val="1"/>
    <w:qFormat/>
    <w:uiPriority w:val="0"/>
  </w:style>
  <w:style w:type="paragraph" w:customStyle="1" w:styleId="442">
    <w:name w:val="纯文本11"/>
    <w:basedOn w:val="1"/>
    <w:qFormat/>
    <w:uiPriority w:val="0"/>
    <w:pPr>
      <w:adjustRightInd w:val="0"/>
      <w:textAlignment w:val="baseline"/>
    </w:pPr>
    <w:rPr>
      <w:rFonts w:ascii="宋体" w:hAnsi="Courier New" w:eastAsia="楷体_GB2312"/>
      <w:sz w:val="26"/>
      <w:szCs w:val="20"/>
    </w:rPr>
  </w:style>
  <w:style w:type="paragraph" w:customStyle="1" w:styleId="4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4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446">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44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8">
    <w:name w:val="1 Char"/>
    <w:basedOn w:val="17"/>
    <w:qFormat/>
    <w:uiPriority w:val="0"/>
    <w:pPr>
      <w:adjustRightInd/>
      <w:spacing w:line="360" w:lineRule="auto"/>
      <w:ind w:firstLine="200" w:firstLineChars="200"/>
      <w:textAlignment w:val="auto"/>
    </w:pPr>
    <w:rPr>
      <w:rFonts w:ascii="仿宋_GB2312"/>
      <w:b/>
      <w:kern w:val="2"/>
      <w:szCs w:val="32"/>
    </w:rPr>
  </w:style>
  <w:style w:type="paragraph" w:customStyle="1" w:styleId="4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450">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451">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52">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53">
    <w:name w:val="Char1 Char Char Char Char1"/>
    <w:basedOn w:val="20"/>
    <w:qFormat/>
    <w:uiPriority w:val="0"/>
    <w:rPr>
      <w:rFonts w:ascii="Tahoma" w:hAnsi="Tahoma" w:cs="Tahoma"/>
      <w:kern w:val="0"/>
      <w:sz w:val="18"/>
    </w:rPr>
  </w:style>
  <w:style w:type="paragraph" w:customStyle="1" w:styleId="454">
    <w:name w:val="文字"/>
    <w:basedOn w:val="1"/>
    <w:qFormat/>
    <w:uiPriority w:val="0"/>
    <w:pPr>
      <w:tabs>
        <w:tab w:val="left" w:pos="8520"/>
      </w:tabs>
      <w:spacing w:line="312" w:lineRule="auto"/>
      <w:ind w:right="-210" w:firstLine="556"/>
    </w:pPr>
    <w:rPr>
      <w:rFonts w:ascii="宋体"/>
      <w:sz w:val="28"/>
      <w:szCs w:val="20"/>
    </w:rPr>
  </w:style>
  <w:style w:type="paragraph" w:customStyle="1" w:styleId="455">
    <w:name w:val="正文 首行缩进:  2 字符 Char"/>
    <w:basedOn w:val="1"/>
    <w:qFormat/>
    <w:uiPriority w:val="0"/>
    <w:pPr>
      <w:spacing w:line="360" w:lineRule="auto"/>
      <w:ind w:firstLine="480"/>
    </w:pPr>
    <w:rPr>
      <w:rFonts w:cs="宋体"/>
      <w:sz w:val="24"/>
      <w:szCs w:val="20"/>
    </w:rPr>
  </w:style>
  <w:style w:type="paragraph" w:customStyle="1" w:styleId="456">
    <w:name w:val="方案正文"/>
    <w:basedOn w:val="1"/>
    <w:qFormat/>
    <w:uiPriority w:val="0"/>
    <w:pPr>
      <w:spacing w:before="156" w:line="360" w:lineRule="auto"/>
      <w:ind w:firstLine="359" w:firstLineChars="171"/>
    </w:pPr>
    <w:rPr>
      <w:rFonts w:ascii="Arial" w:hAnsi="Arial"/>
      <w:b/>
      <w:bCs/>
      <w:color w:val="000000"/>
      <w:kern w:val="0"/>
      <w:sz w:val="24"/>
      <w:szCs w:val="21"/>
    </w:rPr>
  </w:style>
  <w:style w:type="paragraph" w:customStyle="1" w:styleId="457">
    <w:name w:val="标题2"/>
    <w:basedOn w:val="6"/>
    <w:qFormat/>
    <w:uiPriority w:val="0"/>
    <w:pPr>
      <w:numPr>
        <w:ilvl w:val="1"/>
        <w:numId w:val="8"/>
      </w:numPr>
      <w:spacing w:before="240" w:after="240" w:line="360" w:lineRule="auto"/>
    </w:pPr>
    <w:rPr>
      <w:rFonts w:ascii="Times New Roman" w:hAnsi="Times New Roman"/>
      <w:sz w:val="36"/>
    </w:rPr>
  </w:style>
  <w:style w:type="paragraph" w:customStyle="1" w:styleId="458">
    <w:name w:val="正文字缩2字"/>
    <w:basedOn w:val="1"/>
    <w:qFormat/>
    <w:uiPriority w:val="0"/>
    <w:pPr>
      <w:spacing w:before="60" w:after="60" w:line="360" w:lineRule="auto"/>
      <w:ind w:left="200" w:leftChars="200" w:firstLine="200" w:firstLineChars="200"/>
    </w:pPr>
    <w:rPr>
      <w:sz w:val="24"/>
    </w:rPr>
  </w:style>
  <w:style w:type="paragraph" w:customStyle="1" w:styleId="459">
    <w:name w:val="xl10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460">
    <w:name w:val="标题 2P"/>
    <w:basedOn w:val="6"/>
    <w:next w:val="17"/>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61">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46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6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4">
    <w:name w:val="_Style 256"/>
    <w:next w:val="1"/>
    <w:qFormat/>
    <w:uiPriority w:val="99"/>
    <w:pPr>
      <w:widowControl w:val="0"/>
      <w:jc w:val="both"/>
    </w:pPr>
    <w:rPr>
      <w:kern w:val="2"/>
      <w:sz w:val="21"/>
      <w:szCs w:val="24"/>
      <w:lang w:val="en-US" w:eastAsia="zh-CN" w:bidi="ar-SA"/>
    </w:rPr>
  </w:style>
  <w:style w:type="paragraph" w:customStyle="1" w:styleId="46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6">
    <w:name w:val="项目符1"/>
    <w:basedOn w:val="1"/>
    <w:next w:val="1"/>
    <w:qFormat/>
    <w:uiPriority w:val="0"/>
    <w:pPr>
      <w:numPr>
        <w:ilvl w:val="0"/>
        <w:numId w:val="9"/>
      </w:numPr>
      <w:spacing w:before="60" w:line="360" w:lineRule="auto"/>
    </w:pPr>
    <w:rPr>
      <w:spacing w:val="6"/>
      <w:szCs w:val="20"/>
    </w:rPr>
  </w:style>
  <w:style w:type="paragraph" w:customStyle="1" w:styleId="467">
    <w:name w:val="样式 标题 2 +"/>
    <w:basedOn w:val="6"/>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468">
    <w:name w:val="修订1"/>
    <w:qFormat/>
    <w:uiPriority w:val="0"/>
    <w:rPr>
      <w:kern w:val="2"/>
      <w:sz w:val="21"/>
      <w:szCs w:val="24"/>
      <w:lang w:val="en-US" w:eastAsia="zh-CN" w:bidi="ar-SA"/>
    </w:rPr>
  </w:style>
  <w:style w:type="paragraph" w:customStyle="1" w:styleId="46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70">
    <w:name w:val="正文－恩普"/>
    <w:basedOn w:val="17"/>
    <w:qFormat/>
    <w:uiPriority w:val="0"/>
    <w:pPr>
      <w:adjustRightInd/>
      <w:spacing w:line="360" w:lineRule="auto"/>
      <w:ind w:firstLine="200" w:firstLineChars="200"/>
      <w:textAlignment w:val="auto"/>
    </w:pPr>
    <w:rPr>
      <w:rFonts w:ascii="仿宋_GB2312"/>
      <w:b/>
      <w:kern w:val="2"/>
      <w:sz w:val="24"/>
      <w:szCs w:val="24"/>
    </w:rPr>
  </w:style>
  <w:style w:type="paragraph" w:customStyle="1" w:styleId="471">
    <w:name w:val="表格文字"/>
    <w:basedOn w:val="1"/>
    <w:qFormat/>
    <w:uiPriority w:val="0"/>
    <w:pPr>
      <w:spacing w:line="420" w:lineRule="atLeast"/>
      <w:jc w:val="left"/>
    </w:pPr>
    <w:rPr>
      <w:szCs w:val="20"/>
    </w:rPr>
  </w:style>
  <w:style w:type="paragraph" w:customStyle="1" w:styleId="47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473">
    <w:name w:val="Revision1"/>
    <w:qFormat/>
    <w:uiPriority w:val="99"/>
    <w:rPr>
      <w:kern w:val="2"/>
      <w:sz w:val="21"/>
      <w:szCs w:val="24"/>
      <w:lang w:val="en-US" w:eastAsia="zh-CN" w:bidi="ar-SA"/>
    </w:rPr>
  </w:style>
  <w:style w:type="paragraph" w:customStyle="1" w:styleId="47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47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7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477">
    <w:name w:val="xl106"/>
    <w:basedOn w:val="1"/>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7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480">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4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82">
    <w:name w:val="H 4"/>
    <w:basedOn w:val="8"/>
    <w:next w:val="1"/>
    <w:qFormat/>
    <w:uiPriority w:val="0"/>
    <w:pPr>
      <w:spacing w:before="120" w:after="120" w:line="240" w:lineRule="auto"/>
      <w:jc w:val="both"/>
    </w:pPr>
    <w:rPr>
      <w:rFonts w:ascii="宋体" w:hAnsi="宋体" w:cs="Times New Roman"/>
      <w:szCs w:val="24"/>
      <w:lang w:val="zh-CN"/>
    </w:rPr>
  </w:style>
  <w:style w:type="paragraph" w:customStyle="1" w:styleId="483">
    <w:name w:val="样式_4"/>
    <w:basedOn w:val="8"/>
    <w:next w:val="8"/>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484">
    <w:name w:val="subtitle 2"/>
    <w:basedOn w:val="1"/>
    <w:uiPriority w:val="0"/>
    <w:pPr>
      <w:spacing w:before="240" w:after="240" w:line="312" w:lineRule="atLeast"/>
    </w:pPr>
    <w:rPr>
      <w:rFonts w:ascii="Times New Roman" w:hAnsi="Times New Roman" w:eastAsia="黑体"/>
      <w:snapToGrid w:val="0"/>
      <w:kern w:val="0"/>
      <w:sz w:val="24"/>
      <w:szCs w:val="20"/>
    </w:rPr>
  </w:style>
  <w:style w:type="paragraph" w:customStyle="1" w:styleId="485">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7">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8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9">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490">
    <w:name w:val="哈哈表格"/>
    <w:basedOn w:val="1"/>
    <w:qFormat/>
    <w:uiPriority w:val="0"/>
    <w:pPr>
      <w:spacing w:line="360" w:lineRule="auto"/>
    </w:pPr>
    <w:rPr>
      <w:rFonts w:ascii="宋体" w:hAnsi="宋体" w:cs="宋体"/>
      <w:sz w:val="24"/>
      <w:szCs w:val="20"/>
    </w:rPr>
  </w:style>
  <w:style w:type="paragraph" w:customStyle="1" w:styleId="4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94">
    <w:name w:val="普通 (Web)"/>
    <w:basedOn w:val="1"/>
    <w:qFormat/>
    <w:uiPriority w:val="0"/>
    <w:pPr>
      <w:widowControl/>
      <w:spacing w:before="100" w:after="100"/>
      <w:jc w:val="left"/>
    </w:pPr>
    <w:rPr>
      <w:rFonts w:ascii="宋体" w:hAnsi="宋体"/>
      <w:kern w:val="0"/>
      <w:sz w:val="24"/>
    </w:rPr>
  </w:style>
  <w:style w:type="paragraph" w:customStyle="1" w:styleId="495">
    <w:name w:val="T4"/>
    <w:basedOn w:val="1"/>
    <w:uiPriority w:val="0"/>
    <w:pPr>
      <w:adjustRightInd w:val="0"/>
      <w:spacing w:line="360" w:lineRule="atLeast"/>
    </w:pPr>
    <w:rPr>
      <w:rFonts w:ascii="宋体" w:hAnsi="Times New Roman"/>
      <w:kern w:val="0"/>
      <w:sz w:val="22"/>
      <w:szCs w:val="20"/>
    </w:rPr>
  </w:style>
  <w:style w:type="paragraph" w:customStyle="1" w:styleId="496">
    <w:name w:val="xl109"/>
    <w:basedOn w:val="1"/>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9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8">
    <w:name w:val="Char Char Char Char1"/>
    <w:basedOn w:val="1"/>
    <w:qFormat/>
    <w:uiPriority w:val="0"/>
    <w:rPr>
      <w:szCs w:val="20"/>
    </w:rPr>
  </w:style>
  <w:style w:type="paragraph" w:customStyle="1" w:styleId="499">
    <w:name w:val="Table Paragraph"/>
    <w:basedOn w:val="1"/>
    <w:qFormat/>
    <w:uiPriority w:val="1"/>
    <w:pPr>
      <w:autoSpaceDE w:val="0"/>
      <w:autoSpaceDN w:val="0"/>
      <w:adjustRightInd w:val="0"/>
      <w:jc w:val="left"/>
    </w:pPr>
    <w:rPr>
      <w:kern w:val="0"/>
      <w:sz w:val="24"/>
    </w:rPr>
  </w:style>
  <w:style w:type="paragraph" w:customStyle="1" w:styleId="500">
    <w:name w:val="1"/>
    <w:basedOn w:val="1"/>
    <w:qFormat/>
    <w:uiPriority w:val="0"/>
  </w:style>
  <w:style w:type="paragraph" w:customStyle="1" w:styleId="501">
    <w:name w:val="样式 标题 4正文四级标题 + 宋体 小五 行距: 固定值 12 磅1"/>
    <w:basedOn w:val="1"/>
    <w:qFormat/>
    <w:uiPriority w:val="0"/>
    <w:pPr>
      <w:tabs>
        <w:tab w:val="left" w:pos="2580"/>
      </w:tabs>
      <w:ind w:left="2580" w:hanging="420"/>
    </w:pPr>
    <w:rPr>
      <w:sz w:val="20"/>
    </w:rPr>
  </w:style>
  <w:style w:type="paragraph" w:customStyle="1" w:styleId="502">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03">
    <w:name w:val="xl9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04">
    <w:name w:val="Char Char3"/>
    <w:basedOn w:val="1"/>
    <w:qFormat/>
    <w:uiPriority w:val="0"/>
    <w:rPr>
      <w:rFonts w:ascii="仿宋_GB2312" w:eastAsia="仿宋_GB2312"/>
      <w:b/>
      <w:sz w:val="32"/>
      <w:szCs w:val="32"/>
    </w:rPr>
  </w:style>
  <w:style w:type="paragraph" w:customStyle="1" w:styleId="505">
    <w:name w:val="百姓X"/>
    <w:basedOn w:val="1"/>
    <w:uiPriority w:val="0"/>
    <w:pPr>
      <w:spacing w:before="120" w:after="120" w:line="360" w:lineRule="auto"/>
      <w:ind w:firstLine="540"/>
    </w:pPr>
    <w:rPr>
      <w:rFonts w:ascii="宋体" w:hAnsi="宋体"/>
      <w:sz w:val="24"/>
      <w:szCs w:val="28"/>
    </w:rPr>
  </w:style>
  <w:style w:type="paragraph" w:customStyle="1" w:styleId="50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507">
    <w:name w:val="Item List in Table"/>
    <w:qFormat/>
    <w:uiPriority w:val="0"/>
    <w:pPr>
      <w:tabs>
        <w:tab w:val="left" w:pos="284"/>
        <w:tab w:val="left" w:pos="720"/>
      </w:tabs>
      <w:spacing w:before="40" w:after="40"/>
      <w:ind w:left="720" w:hanging="720"/>
      <w:jc w:val="both"/>
    </w:pPr>
    <w:rPr>
      <w:rFonts w:cs="Arial"/>
      <w:kern w:val="2"/>
      <w:sz w:val="18"/>
      <w:szCs w:val="18"/>
      <w:lang w:val="en-US" w:eastAsia="zh-CN" w:bidi="ar-SA"/>
    </w:rPr>
  </w:style>
  <w:style w:type="paragraph" w:customStyle="1" w:styleId="508">
    <w:name w:val="Pa5"/>
    <w:basedOn w:val="509"/>
    <w:next w:val="509"/>
    <w:qFormat/>
    <w:uiPriority w:val="0"/>
    <w:pPr>
      <w:spacing w:after="60" w:line="161" w:lineRule="atLeast"/>
    </w:pPr>
    <w:rPr>
      <w:rFonts w:ascii="Univers LT Std 57 Cn" w:hAnsi="Univers LT Std 57 Cn" w:cs="Times New Roman"/>
      <w:color w:val="auto"/>
    </w:rPr>
  </w:style>
  <w:style w:type="paragraph" w:customStyle="1" w:styleId="509">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510">
    <w:name w:val="TOC 标题1"/>
    <w:basedOn w:val="5"/>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511">
    <w:name w:val="Char Char Char Char Char Char Char Char Char Char Char Char Char Char"/>
    <w:basedOn w:val="1"/>
    <w:qFormat/>
    <w:uiPriority w:val="0"/>
    <w:pPr>
      <w:widowControl/>
      <w:spacing w:after="160" w:line="240" w:lineRule="exact"/>
      <w:jc w:val="left"/>
    </w:pPr>
    <w:rPr>
      <w:bCs/>
    </w:rPr>
  </w:style>
  <w:style w:type="paragraph" w:customStyle="1" w:styleId="512">
    <w:name w:val="xl105"/>
    <w:basedOn w:val="1"/>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3">
    <w:name w:val="正文5"/>
    <w:qFormat/>
    <w:uiPriority w:val="0"/>
    <w:pPr>
      <w:widowControl w:val="0"/>
      <w:jc w:val="both"/>
    </w:pPr>
    <w:rPr>
      <w:rFonts w:ascii="Times New Roman" w:hAnsi="Times New Roman"/>
      <w:kern w:val="2"/>
      <w:sz w:val="21"/>
      <w:lang w:val="en-US" w:eastAsia="zh-CN" w:bidi="ar-SA"/>
    </w:rPr>
  </w:style>
  <w:style w:type="paragraph" w:customStyle="1" w:styleId="51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15">
    <w:name w:val="列出段落3"/>
    <w:basedOn w:val="1"/>
    <w:qFormat/>
    <w:uiPriority w:val="0"/>
    <w:pPr>
      <w:spacing w:line="360" w:lineRule="auto"/>
      <w:ind w:firstLine="420" w:firstLineChars="200"/>
    </w:pPr>
    <w:rPr>
      <w:rFonts w:ascii="Calibri" w:hAnsi="Calibri"/>
      <w:sz w:val="24"/>
      <w:szCs w:val="22"/>
    </w:rPr>
  </w:style>
  <w:style w:type="paragraph" w:customStyle="1" w:styleId="516">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17">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518">
    <w:name w:val="Table Heading"/>
    <w:qFormat/>
    <w:uiPriority w:val="0"/>
    <w:pPr>
      <w:keepNext/>
      <w:snapToGrid w:val="0"/>
      <w:spacing w:before="80" w:after="80"/>
      <w:jc w:val="center"/>
    </w:pPr>
    <w:rPr>
      <w:rFonts w:eastAsia="黑体" w:cs="Arial"/>
      <w:kern w:val="2"/>
      <w:sz w:val="18"/>
      <w:szCs w:val="18"/>
      <w:lang w:val="en-US" w:eastAsia="zh-CN" w:bidi="ar-SA"/>
    </w:rPr>
  </w:style>
  <w:style w:type="paragraph" w:customStyle="1" w:styleId="519">
    <w:name w:val="Char Char Char Char Char Char Char Char Char Char Char Char Char"/>
    <w:basedOn w:val="1"/>
    <w:qFormat/>
    <w:uiPriority w:val="0"/>
  </w:style>
  <w:style w:type="paragraph" w:customStyle="1" w:styleId="520">
    <w:name w:val="Char Char Char Char11"/>
    <w:basedOn w:val="20"/>
    <w:qFormat/>
    <w:uiPriority w:val="0"/>
    <w:rPr>
      <w:rFonts w:ascii="Tahoma" w:hAnsi="Tahoma"/>
      <w:sz w:val="24"/>
    </w:rPr>
  </w:style>
  <w:style w:type="paragraph" w:customStyle="1" w:styleId="521">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522">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523">
    <w:name w:val="[Normal]"/>
    <w:qFormat/>
    <w:uiPriority w:val="0"/>
    <w:rPr>
      <w:rFonts w:ascii="宋体" w:hAnsi="宋体"/>
      <w:sz w:val="24"/>
      <w:szCs w:val="22"/>
      <w:lang w:val="zh-CN" w:eastAsia="zh-CN" w:bidi="ar-SA"/>
    </w:rPr>
  </w:style>
  <w:style w:type="paragraph" w:customStyle="1" w:styleId="524">
    <w:name w:val="样式 标题 2 + 居中"/>
    <w:basedOn w:val="6"/>
    <w:qFormat/>
    <w:uiPriority w:val="0"/>
    <w:pPr>
      <w:spacing w:beforeLines="50" w:beforeAutospacing="1" w:afterLines="50" w:afterAutospacing="1" w:line="360" w:lineRule="auto"/>
      <w:jc w:val="center"/>
    </w:pPr>
    <w:rPr>
      <w:rFonts w:cs="宋体"/>
      <w:szCs w:val="20"/>
    </w:rPr>
  </w:style>
  <w:style w:type="paragraph" w:customStyle="1" w:styleId="525">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526">
    <w:name w:val="RFI Heading 3rd Level"/>
    <w:basedOn w:val="1"/>
    <w:uiPriority w:val="0"/>
    <w:pPr>
      <w:widowControl/>
      <w:spacing w:before="100" w:beforeAutospacing="1" w:after="100" w:afterAutospacing="1"/>
      <w:ind w:left="720" w:hanging="720"/>
      <w:jc w:val="left"/>
    </w:pPr>
    <w:rPr>
      <w:rFonts w:ascii="Arial (W1)" w:hAnsi="Arial (W1)"/>
      <w:color w:val="000000"/>
      <w:kern w:val="0"/>
      <w:sz w:val="24"/>
    </w:rPr>
  </w:style>
  <w:style w:type="paragraph" w:customStyle="1" w:styleId="52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528">
    <w:name w:val="Char"/>
    <w:basedOn w:val="1"/>
    <w:qFormat/>
    <w:uiPriority w:val="0"/>
    <w:pPr>
      <w:widowControl/>
      <w:spacing w:line="400" w:lineRule="exact"/>
      <w:jc w:val="center"/>
    </w:pPr>
    <w:rPr>
      <w:rFonts w:ascii="Verdana" w:hAnsi="Verdana"/>
      <w:kern w:val="0"/>
      <w:szCs w:val="20"/>
      <w:lang w:eastAsia="en-US"/>
    </w:rPr>
  </w:style>
  <w:style w:type="paragraph" w:customStyle="1" w:styleId="52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30">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31">
    <w:name w:val="样式 首行缩进:  2 字符1"/>
    <w:basedOn w:val="1"/>
    <w:qFormat/>
    <w:uiPriority w:val="0"/>
    <w:pPr>
      <w:spacing w:line="360" w:lineRule="auto"/>
      <w:ind w:firstLine="540" w:firstLineChars="225"/>
    </w:pPr>
    <w:rPr>
      <w:sz w:val="24"/>
      <w:szCs w:val="20"/>
    </w:rPr>
  </w:style>
  <w:style w:type="paragraph" w:customStyle="1" w:styleId="532">
    <w:name w:val="表格文字加粗"/>
    <w:basedOn w:val="471"/>
    <w:qFormat/>
    <w:uiPriority w:val="0"/>
    <w:pPr>
      <w:spacing w:line="240" w:lineRule="auto"/>
    </w:pPr>
    <w:rPr>
      <w:rFonts w:ascii="宋体" w:hAnsi="宋体" w:cs="宋体"/>
      <w:b/>
      <w:bCs/>
      <w:sz w:val="18"/>
      <w:szCs w:val="18"/>
    </w:rPr>
  </w:style>
  <w:style w:type="paragraph" w:customStyle="1" w:styleId="533">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34">
    <w:name w:val="Char Char Char Char3"/>
    <w:basedOn w:val="20"/>
    <w:qFormat/>
    <w:uiPriority w:val="0"/>
    <w:rPr>
      <w:rFonts w:ascii="Cambria" w:hAnsi="Cambria" w:eastAsia="仿宋_GB2312" w:cs="新宋体"/>
      <w:sz w:val="24"/>
    </w:rPr>
  </w:style>
  <w:style w:type="paragraph" w:customStyle="1" w:styleId="53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536">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537">
    <w:name w:val="xl93"/>
    <w:basedOn w:val="1"/>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38">
    <w:name w:val="无间隔1"/>
    <w:qFormat/>
    <w:uiPriority w:val="0"/>
    <w:pPr>
      <w:widowControl w:val="0"/>
      <w:jc w:val="both"/>
    </w:pPr>
    <w:rPr>
      <w:kern w:val="2"/>
      <w:sz w:val="21"/>
      <w:szCs w:val="22"/>
      <w:lang w:val="en-US" w:eastAsia="zh-CN" w:bidi="ar-SA"/>
    </w:rPr>
  </w:style>
  <w:style w:type="paragraph" w:customStyle="1" w:styleId="539">
    <w:name w:val="封面标准英文名称"/>
    <w:qFormat/>
    <w:uiPriority w:val="0"/>
    <w:pPr>
      <w:widowControl w:val="0"/>
      <w:spacing w:before="370" w:line="400" w:lineRule="exact"/>
      <w:jc w:val="center"/>
    </w:pPr>
    <w:rPr>
      <w:sz w:val="28"/>
      <w:lang w:val="en-US" w:eastAsia="zh-CN" w:bidi="ar-SA"/>
    </w:rPr>
  </w:style>
  <w:style w:type="paragraph" w:customStyle="1" w:styleId="540">
    <w:name w:val="Char Char Char Char2"/>
    <w:basedOn w:val="20"/>
    <w:qFormat/>
    <w:uiPriority w:val="0"/>
    <w:pPr>
      <w:spacing w:line="360" w:lineRule="auto"/>
    </w:pPr>
    <w:rPr>
      <w:rFonts w:ascii="Tahoma" w:hAnsi="Tahoma"/>
      <w:sz w:val="24"/>
    </w:rPr>
  </w:style>
  <w:style w:type="paragraph" w:customStyle="1" w:styleId="54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4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44">
    <w:name w:val="_Style 11"/>
    <w:basedOn w:val="1"/>
    <w:qFormat/>
    <w:uiPriority w:val="0"/>
    <w:pPr>
      <w:tabs>
        <w:tab w:val="left" w:pos="360"/>
      </w:tabs>
    </w:pPr>
    <w:rPr>
      <w:szCs w:val="22"/>
    </w:rPr>
  </w:style>
  <w:style w:type="paragraph" w:customStyle="1" w:styleId="545">
    <w:name w:val="编号正文"/>
    <w:basedOn w:val="3"/>
    <w:qFormat/>
    <w:uiPriority w:val="0"/>
    <w:pPr>
      <w:numPr>
        <w:ilvl w:val="0"/>
        <w:numId w:val="10"/>
      </w:numPr>
      <w:adjustRightInd w:val="0"/>
      <w:snapToGrid w:val="0"/>
      <w:spacing w:beforeLines="30" w:after="60" w:line="300" w:lineRule="auto"/>
      <w:jc w:val="left"/>
    </w:pPr>
    <w:rPr>
      <w:rFonts w:ascii="Times New Roman" w:hAnsi="Times New Roman"/>
      <w:kern w:val="0"/>
      <w:sz w:val="24"/>
      <w:szCs w:val="20"/>
    </w:rPr>
  </w:style>
  <w:style w:type="paragraph" w:customStyle="1" w:styleId="546">
    <w:name w:val="正文内容"/>
    <w:basedOn w:val="1"/>
    <w:qFormat/>
    <w:uiPriority w:val="0"/>
    <w:pPr>
      <w:spacing w:line="360" w:lineRule="auto"/>
      <w:ind w:firstLine="480"/>
    </w:pPr>
    <w:rPr>
      <w:rFonts w:ascii="宋体" w:hAnsi="宋体"/>
      <w:sz w:val="24"/>
      <w:szCs w:val="20"/>
    </w:rPr>
  </w:style>
  <w:style w:type="paragraph" w:customStyle="1" w:styleId="547">
    <w:name w:val="_Style 341"/>
    <w:next w:val="1"/>
    <w:unhideWhenUsed/>
    <w:uiPriority w:val="99"/>
    <w:pPr>
      <w:widowControl w:val="0"/>
      <w:jc w:val="both"/>
    </w:pPr>
    <w:rPr>
      <w:kern w:val="2"/>
      <w:sz w:val="21"/>
      <w:szCs w:val="24"/>
      <w:lang w:val="en-US" w:eastAsia="zh-CN" w:bidi="ar-SA"/>
    </w:rPr>
  </w:style>
  <w:style w:type="paragraph" w:customStyle="1" w:styleId="548">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549">
    <w:name w:val="xl94"/>
    <w:basedOn w:val="1"/>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50">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551">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552">
    <w:name w:val="Bulleted List"/>
    <w:basedOn w:val="1"/>
    <w:qFormat/>
    <w:uiPriority w:val="0"/>
    <w:pPr>
      <w:numPr>
        <w:ilvl w:val="1"/>
        <w:numId w:val="11"/>
      </w:numPr>
      <w:tabs>
        <w:tab w:val="left" w:pos="420"/>
      </w:tabs>
    </w:pPr>
  </w:style>
  <w:style w:type="paragraph" w:customStyle="1" w:styleId="553">
    <w:name w:val="Fließtext"/>
    <w:basedOn w:val="1"/>
    <w:qFormat/>
    <w:uiPriority w:val="0"/>
    <w:pPr>
      <w:overflowPunct w:val="0"/>
      <w:autoSpaceDE w:val="0"/>
      <w:autoSpaceDN w:val="0"/>
      <w:adjustRightInd w:val="0"/>
      <w:textAlignment w:val="baseline"/>
    </w:pPr>
    <w:rPr>
      <w:kern w:val="28"/>
      <w:szCs w:val="20"/>
    </w:rPr>
  </w:style>
  <w:style w:type="paragraph" w:customStyle="1" w:styleId="554">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5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56">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557">
    <w:name w:val="列出段落4"/>
    <w:basedOn w:val="1"/>
    <w:qFormat/>
    <w:uiPriority w:val="0"/>
    <w:pPr>
      <w:ind w:firstLine="420" w:firstLineChars="200"/>
    </w:pPr>
  </w:style>
  <w:style w:type="paragraph" w:customStyle="1" w:styleId="558">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5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60">
    <w:name w:val="列出段落2"/>
    <w:basedOn w:val="1"/>
    <w:qFormat/>
    <w:uiPriority w:val="0"/>
    <w:pPr>
      <w:spacing w:line="360" w:lineRule="auto"/>
      <w:ind w:firstLine="420" w:firstLineChars="200"/>
    </w:pPr>
    <w:rPr>
      <w:rFonts w:ascii="Calibri" w:hAnsi="Calibri"/>
      <w:sz w:val="24"/>
      <w:szCs w:val="22"/>
    </w:rPr>
  </w:style>
  <w:style w:type="paragraph" w:customStyle="1" w:styleId="561">
    <w:name w:val="Char Char Char Char Char Char"/>
    <w:basedOn w:val="1"/>
    <w:qFormat/>
    <w:uiPriority w:val="0"/>
    <w:rPr>
      <w:rFonts w:ascii="Tahoma" w:hAnsi="Tahoma"/>
      <w:sz w:val="24"/>
      <w:szCs w:val="20"/>
    </w:rPr>
  </w:style>
  <w:style w:type="paragraph" w:customStyle="1" w:styleId="5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63">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564">
    <w:name w:val="列出段落6"/>
    <w:basedOn w:val="1"/>
    <w:qFormat/>
    <w:uiPriority w:val="0"/>
    <w:pPr>
      <w:ind w:firstLine="420" w:firstLineChars="200"/>
    </w:pPr>
  </w:style>
  <w:style w:type="paragraph" w:customStyle="1" w:styleId="565">
    <w:name w:val="Char Char Char Char12"/>
    <w:basedOn w:val="1"/>
    <w:qFormat/>
    <w:uiPriority w:val="0"/>
    <w:rPr>
      <w:rFonts w:ascii="Tahoma" w:hAnsi="Tahoma"/>
      <w:sz w:val="24"/>
      <w:szCs w:val="20"/>
    </w:rPr>
  </w:style>
  <w:style w:type="paragraph" w:customStyle="1" w:styleId="566">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567">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6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6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70">
    <w:name w:val="默认段落字体 Para Char Char Char Char"/>
    <w:basedOn w:val="1"/>
    <w:qFormat/>
    <w:uiPriority w:val="0"/>
    <w:rPr>
      <w:sz w:val="20"/>
    </w:rPr>
  </w:style>
  <w:style w:type="paragraph" w:customStyle="1" w:styleId="571">
    <w:name w:val="三级条标题"/>
    <w:basedOn w:val="572"/>
    <w:next w:val="1"/>
    <w:qFormat/>
    <w:uiPriority w:val="0"/>
    <w:pPr>
      <w:numPr>
        <w:ilvl w:val="4"/>
        <w:numId w:val="12"/>
      </w:numPr>
      <w:outlineLvl w:val="4"/>
    </w:pPr>
  </w:style>
  <w:style w:type="paragraph" w:customStyle="1" w:styleId="572">
    <w:name w:val="二级条标题"/>
    <w:basedOn w:val="573"/>
    <w:next w:val="1"/>
    <w:qFormat/>
    <w:uiPriority w:val="0"/>
    <w:pPr>
      <w:numPr>
        <w:ilvl w:val="3"/>
        <w:numId w:val="12"/>
      </w:numPr>
      <w:outlineLvl w:val="3"/>
    </w:pPr>
  </w:style>
  <w:style w:type="paragraph" w:customStyle="1" w:styleId="573">
    <w:name w:val="一级条标题"/>
    <w:next w:val="1"/>
    <w:qFormat/>
    <w:uiPriority w:val="0"/>
    <w:pPr>
      <w:numPr>
        <w:ilvl w:val="2"/>
        <w:numId w:val="12"/>
      </w:numPr>
      <w:outlineLvl w:val="2"/>
    </w:pPr>
    <w:rPr>
      <w:rFonts w:eastAsia="黑体"/>
      <w:sz w:val="21"/>
      <w:lang w:val="en-US" w:eastAsia="zh-CN" w:bidi="ar-SA"/>
    </w:rPr>
  </w:style>
  <w:style w:type="paragraph" w:customStyle="1" w:styleId="574">
    <w:name w:val="保留正文"/>
    <w:basedOn w:val="3"/>
    <w:qFormat/>
    <w:uiPriority w:val="0"/>
    <w:pPr>
      <w:keepNext/>
      <w:spacing w:after="160"/>
    </w:pPr>
    <w:rPr>
      <w:rFonts w:ascii="仿宋_GB2312"/>
      <w:b/>
    </w:rPr>
  </w:style>
  <w:style w:type="paragraph" w:customStyle="1" w:styleId="575">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6">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579">
    <w:name w:val="List Paragraph2"/>
    <w:basedOn w:val="1"/>
    <w:qFormat/>
    <w:uiPriority w:val="0"/>
    <w:pPr>
      <w:ind w:firstLine="420" w:firstLineChars="200"/>
    </w:pPr>
  </w:style>
  <w:style w:type="paragraph" w:customStyle="1" w:styleId="580">
    <w:name w:val="样式 标题 3 + (中文) 黑体 小四 非加粗 段前: 7.8 磅 段后: 0 磅 行距: 固定值 20 磅"/>
    <w:basedOn w:val="7"/>
    <w:qFormat/>
    <w:uiPriority w:val="0"/>
    <w:pPr>
      <w:spacing w:before="0" w:after="0" w:line="400" w:lineRule="exact"/>
    </w:pPr>
    <w:rPr>
      <w:rFonts w:ascii="仿宋_GB2312" w:eastAsia="黑体" w:cs="宋体"/>
      <w:b w:val="0"/>
      <w:bCs w:val="0"/>
      <w:sz w:val="24"/>
      <w:szCs w:val="20"/>
    </w:rPr>
  </w:style>
  <w:style w:type="paragraph" w:customStyle="1" w:styleId="58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82">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583">
    <w:name w:val="样式_5"/>
    <w:basedOn w:val="9"/>
    <w:qFormat/>
    <w:uiPriority w:val="0"/>
    <w:pPr>
      <w:keepNext w:val="0"/>
      <w:adjustRightInd w:val="0"/>
      <w:spacing w:line="376" w:lineRule="auto"/>
      <w:textAlignment w:val="baseline"/>
    </w:pPr>
    <w:rPr>
      <w:rFonts w:ascii="宋体" w:hAnsi="宋体"/>
      <w:kern w:val="0"/>
      <w:sz w:val="18"/>
      <w:szCs w:val="18"/>
    </w:rPr>
  </w:style>
  <w:style w:type="paragraph" w:customStyle="1" w:styleId="584">
    <w:name w:val="样式 四号 行距: 1.5 倍行距"/>
    <w:basedOn w:val="1"/>
    <w:qFormat/>
    <w:uiPriority w:val="0"/>
    <w:pPr>
      <w:spacing w:line="312" w:lineRule="auto"/>
      <w:ind w:firstLine="202" w:firstLineChars="202"/>
    </w:pPr>
    <w:rPr>
      <w:rFonts w:cs="宋体"/>
      <w:sz w:val="24"/>
      <w:szCs w:val="20"/>
    </w:rPr>
  </w:style>
  <w:style w:type="paragraph" w:customStyle="1" w:styleId="585">
    <w:name w:val="xl103"/>
    <w:basedOn w:val="1"/>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86">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7">
    <w:name w:val="默认段落字体 Para Char Char Char Char Char Char Char Char Char1 Char Char Char Char"/>
    <w:basedOn w:val="1"/>
    <w:qFormat/>
    <w:uiPriority w:val="0"/>
    <w:rPr>
      <w:rFonts w:ascii="Tahoma" w:hAnsi="Tahoma"/>
      <w:sz w:val="24"/>
      <w:szCs w:val="20"/>
    </w:rPr>
  </w:style>
  <w:style w:type="paragraph" w:customStyle="1" w:styleId="588">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89">
    <w:name w:val="1级编号"/>
    <w:basedOn w:val="1"/>
    <w:qFormat/>
    <w:uiPriority w:val="0"/>
    <w:pPr>
      <w:numPr>
        <w:ilvl w:val="0"/>
        <w:numId w:val="13"/>
      </w:numPr>
      <w:spacing w:line="276" w:lineRule="auto"/>
      <w:ind w:left="993" w:hanging="573"/>
      <w:jc w:val="left"/>
    </w:pPr>
    <w:rPr>
      <w:rFonts w:ascii="Calibri" w:hAnsi="宋体"/>
      <w:szCs w:val="21"/>
    </w:rPr>
  </w:style>
  <w:style w:type="paragraph" w:customStyle="1" w:styleId="590">
    <w:name w:val="五级条标题"/>
    <w:basedOn w:val="591"/>
    <w:next w:val="1"/>
    <w:qFormat/>
    <w:uiPriority w:val="0"/>
    <w:pPr>
      <w:numPr>
        <w:ilvl w:val="6"/>
        <w:numId w:val="12"/>
      </w:numPr>
      <w:outlineLvl w:val="6"/>
    </w:pPr>
  </w:style>
  <w:style w:type="paragraph" w:customStyle="1" w:styleId="591">
    <w:name w:val="四级条标题"/>
    <w:basedOn w:val="571"/>
    <w:next w:val="1"/>
    <w:qFormat/>
    <w:uiPriority w:val="0"/>
    <w:pPr>
      <w:numPr>
        <w:ilvl w:val="5"/>
        <w:numId w:val="12"/>
      </w:numPr>
      <w:outlineLvl w:val="5"/>
    </w:pPr>
  </w:style>
  <w:style w:type="paragraph" w:customStyle="1" w:styleId="592">
    <w:name w:val="Char12"/>
    <w:basedOn w:val="1"/>
    <w:qFormat/>
    <w:uiPriority w:val="0"/>
    <w:rPr>
      <w:rFonts w:ascii="Tahoma" w:hAnsi="Tahoma"/>
      <w:sz w:val="24"/>
      <w:szCs w:val="20"/>
    </w:rPr>
  </w:style>
  <w:style w:type="paragraph" w:customStyle="1" w:styleId="593">
    <w:name w:val="样式 标题 3 + 黑体 小四 非加粗"/>
    <w:basedOn w:val="7"/>
    <w:qFormat/>
    <w:uiPriority w:val="0"/>
    <w:pPr>
      <w:spacing w:line="413" w:lineRule="auto"/>
    </w:pPr>
    <w:rPr>
      <w:rFonts w:ascii="黑体" w:hAnsi="黑体" w:eastAsia="黑体"/>
      <w:b w:val="0"/>
      <w:bCs w:val="0"/>
      <w:kern w:val="0"/>
      <w:sz w:val="24"/>
    </w:rPr>
  </w:style>
  <w:style w:type="paragraph" w:customStyle="1" w:styleId="594">
    <w:name w:val="xl110"/>
    <w:basedOn w:val="1"/>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9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596">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97">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598">
    <w:name w:val="Char3"/>
    <w:basedOn w:val="1"/>
    <w:qFormat/>
    <w:uiPriority w:val="0"/>
    <w:rPr>
      <w:rFonts w:ascii="Tahoma" w:hAnsi="Tahoma"/>
      <w:sz w:val="24"/>
      <w:szCs w:val="20"/>
    </w:rPr>
  </w:style>
  <w:style w:type="paragraph" w:customStyle="1" w:styleId="599">
    <w:name w:val="图表1"/>
    <w:basedOn w:val="1"/>
    <w:qFormat/>
    <w:uiPriority w:val="0"/>
    <w:pPr>
      <w:jc w:val="center"/>
    </w:pPr>
    <w:rPr>
      <w:sz w:val="20"/>
    </w:rPr>
  </w:style>
  <w:style w:type="paragraph" w:customStyle="1" w:styleId="600">
    <w:name w:val="List Paragraph1"/>
    <w:basedOn w:val="1"/>
    <w:qFormat/>
    <w:uiPriority w:val="0"/>
    <w:pPr>
      <w:spacing w:line="360" w:lineRule="auto"/>
      <w:ind w:firstLine="420" w:firstLineChars="200"/>
    </w:pPr>
    <w:rPr>
      <w:rFonts w:ascii="Calibri" w:hAnsi="Calibri"/>
      <w:sz w:val="24"/>
      <w:szCs w:val="22"/>
    </w:rPr>
  </w:style>
  <w:style w:type="paragraph" w:customStyle="1" w:styleId="601">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02">
    <w:name w:val="样式 正文缩进 + 首行缩进:  2 字符"/>
    <w:basedOn w:val="17"/>
    <w:qFormat/>
    <w:uiPriority w:val="0"/>
    <w:pPr>
      <w:adjustRightInd/>
      <w:spacing w:line="360" w:lineRule="auto"/>
      <w:ind w:firstLine="200" w:firstLineChars="200"/>
      <w:textAlignment w:val="auto"/>
    </w:pPr>
    <w:rPr>
      <w:rFonts w:cs="宋体"/>
      <w:kern w:val="2"/>
      <w:sz w:val="24"/>
    </w:rPr>
  </w:style>
  <w:style w:type="paragraph" w:customStyle="1" w:styleId="6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604">
    <w:name w:val="样式 标题 3正文三级标题 + 小五 左 行距: 固定值 12 磅"/>
    <w:basedOn w:val="7"/>
    <w:qFormat/>
    <w:uiPriority w:val="0"/>
    <w:pPr>
      <w:spacing w:line="240" w:lineRule="exact"/>
      <w:jc w:val="left"/>
    </w:pPr>
    <w:rPr>
      <w:rFonts w:cs="宋体"/>
      <w:sz w:val="18"/>
      <w:szCs w:val="20"/>
    </w:rPr>
  </w:style>
  <w:style w:type="paragraph" w:customStyle="1" w:styleId="60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6">
    <w:name w:val="图表脚注"/>
    <w:next w:val="607"/>
    <w:qFormat/>
    <w:uiPriority w:val="0"/>
    <w:pPr>
      <w:tabs>
        <w:tab w:val="left" w:pos="3080"/>
      </w:tabs>
      <w:ind w:left="300" w:leftChars="200" w:hanging="100" w:hangingChars="100"/>
      <w:jc w:val="both"/>
    </w:pPr>
    <w:rPr>
      <w:rFonts w:ascii="宋体"/>
      <w:sz w:val="18"/>
      <w:lang w:val="en-US" w:eastAsia="zh-CN" w:bidi="ar-SA"/>
    </w:rPr>
  </w:style>
  <w:style w:type="paragraph" w:customStyle="1" w:styleId="607">
    <w:name w:val="段"/>
    <w:qFormat/>
    <w:uiPriority w:val="0"/>
    <w:pPr>
      <w:autoSpaceDE w:val="0"/>
      <w:autoSpaceDN w:val="0"/>
      <w:ind w:firstLine="200" w:firstLineChars="200"/>
      <w:jc w:val="both"/>
    </w:pPr>
    <w:rPr>
      <w:rFonts w:ascii="宋体"/>
      <w:sz w:val="21"/>
      <w:lang w:val="en-US" w:eastAsia="zh-CN" w:bidi="ar-SA"/>
    </w:rPr>
  </w:style>
  <w:style w:type="paragraph" w:customStyle="1" w:styleId="60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0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610">
    <w:name w:val="正文常用"/>
    <w:basedOn w:val="1"/>
    <w:qFormat/>
    <w:uiPriority w:val="0"/>
    <w:pPr>
      <w:spacing w:line="360" w:lineRule="auto"/>
      <w:ind w:firstLine="420"/>
    </w:pPr>
    <w:rPr>
      <w:rFonts w:ascii="宋体" w:hAnsi="宋体"/>
      <w:color w:val="000000"/>
      <w:sz w:val="24"/>
      <w:szCs w:val="21"/>
    </w:rPr>
  </w:style>
  <w:style w:type="paragraph" w:customStyle="1" w:styleId="611">
    <w:name w:val="xl10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2">
    <w:name w:val="xl96"/>
    <w:basedOn w:val="1"/>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13">
    <w:name w:val="标题 3H"/>
    <w:basedOn w:val="7"/>
    <w:next w:val="17"/>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14">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1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616">
    <w:name w:val="缩正文"/>
    <w:basedOn w:val="55"/>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617">
    <w:name w:val="xl98"/>
    <w:basedOn w:val="1"/>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618">
    <w:name w:val="样式6"/>
    <w:basedOn w:val="18"/>
    <w:qFormat/>
    <w:uiPriority w:val="0"/>
    <w:pPr>
      <w:keepNext/>
      <w:autoSpaceDE/>
      <w:autoSpaceDN/>
      <w:adjustRightInd/>
      <w:jc w:val="center"/>
    </w:pPr>
    <w:rPr>
      <w:rFonts w:ascii="宋体" w:hAnsi="宋体" w:eastAsia="宋体"/>
      <w:kern w:val="2"/>
    </w:rPr>
  </w:style>
  <w:style w:type="paragraph" w:customStyle="1" w:styleId="619">
    <w:name w:val="示例"/>
    <w:next w:val="1"/>
    <w:qFormat/>
    <w:uiPriority w:val="0"/>
    <w:pPr>
      <w:tabs>
        <w:tab w:val="left" w:pos="425"/>
        <w:tab w:val="left" w:pos="816"/>
      </w:tabs>
      <w:ind w:left="425" w:firstLine="419" w:firstLineChars="233"/>
      <w:jc w:val="both"/>
    </w:pPr>
    <w:rPr>
      <w:rFonts w:ascii="宋体"/>
      <w:sz w:val="18"/>
      <w:lang w:val="en-US" w:eastAsia="zh-CN" w:bidi="ar-SA"/>
    </w:rPr>
  </w:style>
  <w:style w:type="paragraph" w:customStyle="1" w:styleId="620">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21">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62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623">
    <w:name w:val="列项——（一级）"/>
    <w:qFormat/>
    <w:uiPriority w:val="0"/>
    <w:pPr>
      <w:widowControl w:val="0"/>
      <w:tabs>
        <w:tab w:val="left" w:pos="854"/>
        <w:tab w:val="left" w:pos="1260"/>
      </w:tabs>
      <w:ind w:left="1260" w:hanging="420"/>
      <w:jc w:val="both"/>
    </w:pPr>
    <w:rPr>
      <w:rFonts w:ascii="宋体"/>
      <w:sz w:val="21"/>
      <w:lang w:val="en-US" w:eastAsia="zh-CN" w:bidi="ar-SA"/>
    </w:rPr>
  </w:style>
  <w:style w:type="paragraph" w:customStyle="1" w:styleId="624">
    <w:name w:val="正文 首行缩进:  2 字符 Char Char"/>
    <w:basedOn w:val="1"/>
    <w:uiPriority w:val="0"/>
    <w:pPr>
      <w:spacing w:line="360" w:lineRule="auto"/>
      <w:ind w:firstLine="480"/>
    </w:pPr>
    <w:rPr>
      <w:rFonts w:cs="宋体"/>
      <w:sz w:val="24"/>
    </w:rPr>
  </w:style>
  <w:style w:type="paragraph" w:customStyle="1" w:styleId="6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26">
    <w:name w:val="Char Char Char Char Char Char Char1"/>
    <w:basedOn w:val="1"/>
    <w:qFormat/>
    <w:uiPriority w:val="0"/>
    <w:pPr>
      <w:widowControl/>
      <w:spacing w:after="160" w:line="240" w:lineRule="exact"/>
      <w:jc w:val="left"/>
    </w:pPr>
    <w:rPr>
      <w:szCs w:val="20"/>
    </w:rPr>
  </w:style>
  <w:style w:type="paragraph" w:customStyle="1" w:styleId="627">
    <w:name w:val="样式 四号 首行缩进:  1 厘米"/>
    <w:basedOn w:val="1"/>
    <w:qFormat/>
    <w:uiPriority w:val="0"/>
    <w:pPr>
      <w:spacing w:line="440" w:lineRule="exact"/>
      <w:ind w:firstLine="567"/>
    </w:pPr>
    <w:rPr>
      <w:rFonts w:cs="宋体"/>
      <w:sz w:val="28"/>
      <w:szCs w:val="20"/>
    </w:rPr>
  </w:style>
  <w:style w:type="paragraph" w:customStyle="1" w:styleId="628">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29">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1">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32">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633">
    <w:name w:val="内文"/>
    <w:qFormat/>
    <w:uiPriority w:val="0"/>
    <w:pPr>
      <w:adjustRightInd w:val="0"/>
      <w:snapToGrid w:val="0"/>
      <w:spacing w:line="400" w:lineRule="exact"/>
      <w:ind w:firstLine="200" w:firstLineChars="200"/>
      <w:jc w:val="both"/>
    </w:pPr>
    <w:rPr>
      <w:rFonts w:ascii="Arial" w:hAnsi="Arial"/>
      <w:kern w:val="2"/>
      <w:sz w:val="21"/>
      <w:lang w:val="en-US" w:eastAsia="zh-CN" w:bidi="ar-SA"/>
    </w:rPr>
  </w:style>
  <w:style w:type="paragraph" w:customStyle="1" w:styleId="634">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635">
    <w:name w:val="Blockquote"/>
    <w:basedOn w:val="1"/>
    <w:qFormat/>
    <w:uiPriority w:val="0"/>
    <w:pPr>
      <w:autoSpaceDE w:val="0"/>
      <w:autoSpaceDN w:val="0"/>
      <w:spacing w:before="100" w:after="100"/>
      <w:ind w:left="360" w:right="360"/>
      <w:jc w:val="left"/>
    </w:pPr>
    <w:rPr>
      <w:szCs w:val="20"/>
    </w:rPr>
  </w:style>
  <w:style w:type="paragraph" w:customStyle="1" w:styleId="636">
    <w:name w:val="xl97"/>
    <w:basedOn w:val="1"/>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37">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38">
    <w:name w:val="xl113"/>
    <w:basedOn w:val="1"/>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39">
    <w:name w:val="blockquote"/>
    <w:basedOn w:val="1"/>
    <w:qFormat/>
    <w:uiPriority w:val="0"/>
    <w:pPr>
      <w:widowControl/>
      <w:spacing w:before="100" w:beforeAutospacing="1" w:after="100" w:afterAutospacing="1"/>
      <w:jc w:val="left"/>
    </w:pPr>
    <w:rPr>
      <w:rFonts w:ascii="宋体" w:hAnsi="宋体"/>
    </w:rPr>
  </w:style>
  <w:style w:type="paragraph" w:customStyle="1" w:styleId="640">
    <w:name w:val="方案文档"/>
    <w:basedOn w:val="1"/>
    <w:uiPriority w:val="0"/>
    <w:pPr>
      <w:spacing w:before="120" w:after="120" w:line="360" w:lineRule="auto"/>
      <w:ind w:left="210" w:leftChars="100" w:right="210" w:rightChars="100" w:firstLine="567"/>
    </w:pPr>
    <w:rPr>
      <w:rFonts w:ascii="Arial" w:hAnsi="Arial"/>
      <w:sz w:val="24"/>
    </w:rPr>
  </w:style>
  <w:style w:type="paragraph" w:customStyle="1" w:styleId="641">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42">
    <w:name w:val="默认段落字体 Para Char Char Char Char Char Char Char Char Char1 Char Char Char Char Char Char Char"/>
    <w:basedOn w:val="20"/>
    <w:qFormat/>
    <w:uiPriority w:val="0"/>
    <w:rPr>
      <w:rFonts w:ascii="Tahoma" w:hAnsi="Tahoma"/>
      <w:sz w:val="24"/>
    </w:rPr>
  </w:style>
  <w:style w:type="paragraph" w:customStyle="1" w:styleId="643">
    <w:name w:val="章标题"/>
    <w:next w:val="1"/>
    <w:qFormat/>
    <w:uiPriority w:val="0"/>
    <w:pPr>
      <w:numPr>
        <w:ilvl w:val="1"/>
        <w:numId w:val="12"/>
      </w:numPr>
      <w:spacing w:beforeLines="50" w:afterLines="50"/>
      <w:jc w:val="both"/>
      <w:outlineLvl w:val="1"/>
    </w:pPr>
    <w:rPr>
      <w:rFonts w:ascii="黑体" w:eastAsia="黑体"/>
      <w:sz w:val="21"/>
      <w:lang w:val="en-US" w:eastAsia="zh-CN" w:bidi="ar-SA"/>
    </w:rPr>
  </w:style>
  <w:style w:type="paragraph" w:customStyle="1" w:styleId="644">
    <w:name w:val="样式 标题 4 + 非加粗"/>
    <w:basedOn w:val="8"/>
    <w:qFormat/>
    <w:uiPriority w:val="0"/>
    <w:pPr>
      <w:keepNext w:val="0"/>
      <w:tabs>
        <w:tab w:val="left" w:pos="0"/>
      </w:tabs>
      <w:adjustRightInd w:val="0"/>
      <w:textAlignment w:val="baseline"/>
    </w:pPr>
    <w:rPr>
      <w:rFonts w:ascii="Arial" w:hAnsi="Arial" w:eastAsia="黑体"/>
      <w:sz w:val="24"/>
      <w:szCs w:val="20"/>
    </w:rPr>
  </w:style>
  <w:style w:type="paragraph" w:customStyle="1" w:styleId="645">
    <w:name w:val="Char1 Char Char Char"/>
    <w:basedOn w:val="1"/>
    <w:qFormat/>
    <w:uiPriority w:val="0"/>
    <w:rPr>
      <w:szCs w:val="20"/>
    </w:rPr>
  </w:style>
  <w:style w:type="paragraph" w:customStyle="1" w:styleId="646">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647">
    <w:name w:val="1级"/>
    <w:basedOn w:val="5"/>
    <w:next w:val="55"/>
    <w:qFormat/>
    <w:uiPriority w:val="0"/>
    <w:pPr>
      <w:keepLines/>
      <w:pageBreakBefore/>
      <w:numPr>
        <w:ilvl w:val="0"/>
        <w:numId w:val="5"/>
      </w:numPr>
      <w:spacing w:before="340" w:after="330" w:line="578" w:lineRule="auto"/>
      <w:jc w:val="left"/>
    </w:pPr>
    <w:rPr>
      <w:rFonts w:ascii="Calibri" w:hAnsi="Calibri" w:eastAsia="宋体"/>
      <w:kern w:val="44"/>
      <w:sz w:val="32"/>
      <w:szCs w:val="32"/>
    </w:rPr>
  </w:style>
  <w:style w:type="paragraph" w:customStyle="1" w:styleId="648">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649">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650">
    <w:name w:val="正文段"/>
    <w:basedOn w:val="1"/>
    <w:qFormat/>
    <w:uiPriority w:val="0"/>
    <w:pPr>
      <w:widowControl/>
      <w:snapToGrid w:val="0"/>
      <w:spacing w:afterLines="50"/>
      <w:ind w:firstLine="200" w:firstLineChars="200"/>
    </w:pPr>
    <w:rPr>
      <w:kern w:val="0"/>
      <w:sz w:val="24"/>
      <w:szCs w:val="20"/>
    </w:rPr>
  </w:style>
  <w:style w:type="paragraph" w:customStyle="1" w:styleId="651">
    <w:name w:val="样式3"/>
    <w:basedOn w:val="8"/>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652">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53">
    <w:name w:val="前言、引言标题"/>
    <w:next w:val="1"/>
    <w:qFormat/>
    <w:uiPriority w:val="0"/>
    <w:pPr>
      <w:numPr>
        <w:ilvl w:val="0"/>
        <w:numId w:val="12"/>
      </w:numPr>
      <w:shd w:val="clear" w:color="FFFFFF" w:fill="FFFFFF"/>
      <w:spacing w:before="640" w:after="560"/>
      <w:jc w:val="center"/>
      <w:outlineLvl w:val="0"/>
    </w:pPr>
    <w:rPr>
      <w:rFonts w:ascii="黑体" w:eastAsia="黑体"/>
      <w:sz w:val="32"/>
      <w:lang w:val="en-US" w:eastAsia="zh-CN" w:bidi="ar-SA"/>
    </w:rPr>
  </w:style>
  <w:style w:type="paragraph" w:customStyle="1" w:styleId="654">
    <w:name w:val="【注意】"/>
    <w:basedOn w:val="1"/>
    <w:next w:val="1"/>
    <w:qFormat/>
    <w:uiPriority w:val="0"/>
    <w:pPr>
      <w:spacing w:before="120" w:after="120"/>
      <w:jc w:val="left"/>
    </w:pPr>
    <w:rPr>
      <w:rFonts w:ascii="宋体" w:hAnsi="Arial"/>
      <w:szCs w:val="20"/>
    </w:rPr>
  </w:style>
  <w:style w:type="paragraph" w:customStyle="1" w:styleId="65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6">
    <w:name w:val="标题3"/>
    <w:basedOn w:val="7"/>
    <w:qFormat/>
    <w:uiPriority w:val="0"/>
    <w:pPr>
      <w:numPr>
        <w:ilvl w:val="2"/>
        <w:numId w:val="8"/>
      </w:numPr>
      <w:spacing w:line="416" w:lineRule="auto"/>
      <w:jc w:val="left"/>
    </w:pPr>
    <w:rPr>
      <w:rFonts w:eastAsia="黑体" w:cs="Arial"/>
    </w:rPr>
  </w:style>
  <w:style w:type="paragraph" w:customStyle="1" w:styleId="657">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658">
    <w:name w:val="xl107"/>
    <w:basedOn w:val="1"/>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59">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60">
    <w:name w:val="符号2"/>
    <w:basedOn w:val="1"/>
    <w:qFormat/>
    <w:uiPriority w:val="0"/>
    <w:pPr>
      <w:widowControl/>
      <w:numPr>
        <w:ilvl w:val="0"/>
        <w:numId w:val="14"/>
      </w:numPr>
      <w:spacing w:line="360" w:lineRule="auto"/>
      <w:jc w:val="left"/>
    </w:pPr>
    <w:rPr>
      <w:rFonts w:ascii="仿宋_GB2312" w:eastAsia="仿宋_GB2312"/>
      <w:sz w:val="28"/>
    </w:rPr>
  </w:style>
  <w:style w:type="paragraph" w:customStyle="1" w:styleId="661">
    <w:name w:val="样式 标题 3h33rd level3Heading 3 - old + 居中 左侧:  9.8 毫米 首行缩进: ...1"/>
    <w:basedOn w:val="7"/>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662">
    <w:name w:val="简单回函地址"/>
    <w:basedOn w:val="1"/>
    <w:qFormat/>
    <w:uiPriority w:val="0"/>
  </w:style>
  <w:style w:type="paragraph" w:customStyle="1" w:styleId="663">
    <w:name w:val="样式 标题 4正文四级标题 + 宋体 小五 行距: 固定值 12 磅"/>
    <w:basedOn w:val="8"/>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664">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列出段落1"/>
    <w:basedOn w:val="1"/>
    <w:qFormat/>
    <w:uiPriority w:val="0"/>
    <w:pPr>
      <w:ind w:firstLine="420" w:firstLineChars="200"/>
    </w:pPr>
    <w:rPr>
      <w:szCs w:val="20"/>
    </w:rPr>
  </w:style>
  <w:style w:type="paragraph" w:customStyle="1" w:styleId="666">
    <w:name w:val="CM106"/>
    <w:basedOn w:val="509"/>
    <w:next w:val="509"/>
    <w:qFormat/>
    <w:uiPriority w:val="0"/>
    <w:rPr>
      <w:rFonts w:cs="Times New Roman"/>
      <w:color w:val="auto"/>
    </w:rPr>
  </w:style>
  <w:style w:type="paragraph" w:customStyle="1" w:styleId="66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68">
    <w:name w:val="Char11"/>
    <w:basedOn w:val="1"/>
    <w:qFormat/>
    <w:uiPriority w:val="0"/>
    <w:rPr>
      <w:rFonts w:ascii="Tahoma" w:hAnsi="Tahoma"/>
      <w:sz w:val="24"/>
      <w:szCs w:val="20"/>
    </w:rPr>
  </w:style>
  <w:style w:type="paragraph" w:customStyle="1" w:styleId="669">
    <w:name w:val="Char1 Char Char Char Char"/>
    <w:basedOn w:val="20"/>
    <w:qFormat/>
    <w:uiPriority w:val="0"/>
    <w:rPr>
      <w:rFonts w:ascii="Tahoma" w:hAnsi="Tahoma" w:cs="Tahoma"/>
      <w:kern w:val="0"/>
      <w:sz w:val="18"/>
    </w:rPr>
  </w:style>
  <w:style w:type="paragraph" w:customStyle="1" w:styleId="67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1">
    <w:name w:val="Normal Indent1"/>
    <w:basedOn w:val="1"/>
    <w:qFormat/>
    <w:uiPriority w:val="0"/>
    <w:pPr>
      <w:ind w:firstLine="420" w:firstLineChars="200"/>
    </w:pPr>
  </w:style>
  <w:style w:type="paragraph" w:customStyle="1" w:styleId="672">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7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74">
    <w:name w:val="列出段落5"/>
    <w:basedOn w:val="1"/>
    <w:qFormat/>
    <w:uiPriority w:val="0"/>
    <w:pPr>
      <w:ind w:firstLine="420" w:firstLineChars="200"/>
    </w:pPr>
  </w:style>
  <w:style w:type="paragraph" w:customStyle="1" w:styleId="67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76">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77">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678">
    <w:name w:val="_Style 25"/>
    <w:basedOn w:val="1"/>
    <w:qFormat/>
    <w:uiPriority w:val="0"/>
  </w:style>
  <w:style w:type="paragraph" w:customStyle="1" w:styleId="679">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680">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681">
    <w:name w:val="标题 4P"/>
    <w:basedOn w:val="8"/>
    <w:next w:val="17"/>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682">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83">
    <w:name w:val="样式 首行缩进:  2 字符"/>
    <w:basedOn w:val="1"/>
    <w:qFormat/>
    <w:uiPriority w:val="0"/>
    <w:pPr>
      <w:widowControl/>
      <w:numPr>
        <w:ilvl w:val="0"/>
        <w:numId w:val="15"/>
      </w:numPr>
    </w:pPr>
    <w:rPr>
      <w:rFonts w:ascii="宋体" w:hAnsi="宋体" w:cs="宋体"/>
      <w:bCs/>
      <w:color w:val="000000"/>
      <w:kern w:val="0"/>
      <w:sz w:val="24"/>
    </w:rPr>
  </w:style>
  <w:style w:type="paragraph" w:customStyle="1" w:styleId="68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86">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687">
    <w:name w:val="表格正文"/>
    <w:basedOn w:val="17"/>
    <w:qFormat/>
    <w:uiPriority w:val="0"/>
    <w:pPr>
      <w:adjustRightInd/>
      <w:spacing w:beforeLines="30" w:afterLines="20" w:line="360" w:lineRule="auto"/>
      <w:ind w:firstLine="0"/>
      <w:textAlignment w:val="auto"/>
    </w:pPr>
    <w:rPr>
      <w:rFonts w:ascii="Arial" w:hAnsi="Arial"/>
      <w:kern w:val="2"/>
      <w:szCs w:val="21"/>
    </w:rPr>
  </w:style>
  <w:style w:type="paragraph" w:customStyle="1" w:styleId="688">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89">
    <w:name w:val="Char Char1 Char"/>
    <w:basedOn w:val="1"/>
    <w:qFormat/>
    <w:uiPriority w:val="0"/>
    <w:pPr>
      <w:spacing w:line="360" w:lineRule="auto"/>
    </w:pPr>
    <w:rPr>
      <w:sz w:val="24"/>
    </w:rPr>
  </w:style>
  <w:style w:type="paragraph" w:customStyle="1" w:styleId="69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691">
    <w:name w:val="编号1"/>
    <w:basedOn w:val="1"/>
    <w:qFormat/>
    <w:uiPriority w:val="0"/>
    <w:pPr>
      <w:spacing w:line="360" w:lineRule="auto"/>
      <w:jc w:val="left"/>
    </w:pPr>
    <w:rPr>
      <w:sz w:val="24"/>
    </w:rPr>
  </w:style>
  <w:style w:type="paragraph" w:customStyle="1" w:styleId="692">
    <w:name w:val="Char Char Char Char Char Char Char Char Char1 Char"/>
    <w:basedOn w:val="1"/>
    <w:qFormat/>
    <w:uiPriority w:val="0"/>
  </w:style>
  <w:style w:type="paragraph" w:customStyle="1" w:styleId="693">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9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95">
    <w:name w:val="默认段落字体 Para Char"/>
    <w:basedOn w:val="1"/>
    <w:qFormat/>
    <w:uiPriority w:val="0"/>
    <w:pPr>
      <w:spacing w:beforeLines="50" w:afterLines="50"/>
    </w:pPr>
    <w:rPr>
      <w:rFonts w:ascii="Tahoma" w:hAnsi="Tahoma"/>
      <w:sz w:val="24"/>
      <w:szCs w:val="20"/>
    </w:rPr>
  </w:style>
  <w:style w:type="paragraph" w:customStyle="1" w:styleId="696">
    <w:name w:val="xl108"/>
    <w:basedOn w:val="1"/>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97">
    <w:name w:val="样式 标题 5正文四级标题 + 宋体 小五 行距: 固定值 12 磅1"/>
    <w:basedOn w:val="9"/>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698">
    <w:name w:val="样式 标题 3 + 黑色 段前: 5 磅 段后: 5 磅 行距: 1.5 倍行距"/>
    <w:basedOn w:val="1"/>
    <w:qFormat/>
    <w:uiPriority w:val="0"/>
    <w:pPr>
      <w:ind w:left="855" w:hanging="855"/>
    </w:pPr>
    <w:rPr>
      <w:sz w:val="24"/>
      <w:szCs w:val="20"/>
    </w:rPr>
  </w:style>
  <w:style w:type="paragraph" w:customStyle="1" w:styleId="699">
    <w:name w:val="正文缩进2"/>
    <w:basedOn w:val="1"/>
    <w:qFormat/>
    <w:uiPriority w:val="0"/>
    <w:pPr>
      <w:ind w:firstLine="420"/>
    </w:pPr>
    <w:rPr>
      <w:szCs w:val="20"/>
    </w:rPr>
  </w:style>
  <w:style w:type="paragraph" w:customStyle="1" w:styleId="70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01">
    <w:name w:val=" Char1 Char Char Char Char Char"/>
    <w:basedOn w:val="1"/>
    <w:uiPriority w:val="0"/>
    <w:pPr>
      <w:tabs>
        <w:tab w:val="left" w:pos="482"/>
        <w:tab w:val="left" w:pos="2183"/>
        <w:tab w:val="left" w:pos="3884"/>
        <w:tab w:val="left" w:pos="5585"/>
      </w:tabs>
      <w:adjustRightInd w:val="0"/>
      <w:textAlignment w:val="baseline"/>
    </w:pPr>
    <w:rPr>
      <w:rFonts w:ascii="Tahoma" w:hAnsi="Tahoma"/>
      <w:kern w:val="0"/>
      <w:sz w:val="24"/>
      <w:szCs w:val="20"/>
    </w:rPr>
  </w:style>
  <w:style w:type="paragraph" w:customStyle="1" w:styleId="702">
    <w:name w:val="方案"/>
    <w:basedOn w:val="1"/>
    <w:uiPriority w:val="0"/>
    <w:pPr>
      <w:jc w:val="right"/>
    </w:pPr>
    <w:rPr>
      <w:rFonts w:ascii="Times New Roman" w:hAnsi="Times New Roman" w:eastAsia="黑体"/>
      <w:b/>
      <w:sz w:val="52"/>
    </w:rPr>
  </w:style>
  <w:style w:type="paragraph" w:customStyle="1" w:styleId="703">
    <w:name w:val="招标文件－标准正文"/>
    <w:basedOn w:val="30"/>
    <w:qFormat/>
    <w:uiPriority w:val="0"/>
    <w:pPr>
      <w:spacing w:line="360" w:lineRule="auto"/>
    </w:pPr>
    <w:rPr>
      <w:rFonts w:ascii="Times New Roman" w:hAnsi="Times New Roman" w:cs="宋体"/>
      <w:color w:val="000000"/>
      <w:sz w:val="24"/>
    </w:rPr>
  </w:style>
  <w:style w:type="paragraph" w:customStyle="1" w:styleId="704">
    <w:name w:val="Char Char Char2"/>
    <w:basedOn w:val="1"/>
    <w:next w:val="1"/>
    <w:qFormat/>
    <w:uiPriority w:val="0"/>
    <w:pPr>
      <w:shd w:val="clear" w:color="auto" w:fill="000080"/>
    </w:pPr>
    <w:rPr>
      <w:rFonts w:ascii="Tahoma" w:hAnsi="Tahoma"/>
      <w:sz w:val="24"/>
    </w:rPr>
  </w:style>
  <w:style w:type="paragraph" w:customStyle="1" w:styleId="705">
    <w:name w:val="列表段落"/>
    <w:basedOn w:val="1"/>
    <w:qFormat/>
    <w:uiPriority w:val="99"/>
    <w:pPr>
      <w:ind w:firstLine="420" w:firstLineChars="200"/>
    </w:pPr>
    <w:rPr>
      <w:rFonts w:ascii="Calibri" w:hAnsi="Calibri" w:eastAsia="宋体" w:cs="Times New Roman"/>
      <w:szCs w:val="22"/>
    </w:rPr>
  </w:style>
  <w:style w:type="paragraph" w:customStyle="1" w:styleId="70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707">
    <w:name w:val="四级目录 Char Char Char Char Char"/>
    <w:next w:val="1"/>
    <w:qFormat/>
    <w:uiPriority w:val="0"/>
    <w:pPr>
      <w:spacing w:line="360" w:lineRule="auto"/>
      <w:ind w:left="200" w:leftChars="200"/>
    </w:pPr>
    <w:rPr>
      <w:lang w:val="en-US" w:eastAsia="zh-CN" w:bidi="ar-SA"/>
    </w:rPr>
  </w:style>
  <w:style w:type="paragraph" w:customStyle="1" w:styleId="708">
    <w:name w:val="编号，小四"/>
    <w:basedOn w:val="1"/>
    <w:qFormat/>
    <w:uiPriority w:val="0"/>
    <w:pPr>
      <w:numPr>
        <w:ilvl w:val="0"/>
        <w:numId w:val="16"/>
      </w:numPr>
      <w:spacing w:line="360" w:lineRule="auto"/>
    </w:pPr>
    <w:rPr>
      <w:rFonts w:ascii="Arial" w:hAnsi="Arial" w:cs="宋体"/>
      <w:sz w:val="24"/>
      <w:szCs w:val="20"/>
    </w:rPr>
  </w:style>
  <w:style w:type="paragraph" w:customStyle="1" w:styleId="709">
    <w:name w:val="Char Char Char Char Char Char Char Char Char Char Char Char Char1"/>
    <w:basedOn w:val="1"/>
    <w:qFormat/>
    <w:uiPriority w:val="0"/>
    <w:rPr>
      <w:rFonts w:ascii="Tahoma" w:hAnsi="Tahoma"/>
      <w:sz w:val="24"/>
      <w:szCs w:val="20"/>
    </w:rPr>
  </w:style>
  <w:style w:type="paragraph" w:customStyle="1" w:styleId="71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11">
    <w:name w:val="xl95"/>
    <w:basedOn w:val="1"/>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table" w:customStyle="1" w:styleId="712">
    <w:name w:val="网格表 4 - 着色 51"/>
    <w:basedOn w:val="56"/>
    <w:qFormat/>
    <w:uiPriority w:val="49"/>
    <w:rPr>
      <w:rFonts w:ascii="Calibri" w:hAnsi="Calibri"/>
      <w:kern w:val="2"/>
      <w:sz w:val="21"/>
      <w:szCs w:val="22"/>
    </w:rPr>
    <w:tblPr>
      <w:tblStyle w:val="56"/>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blPr>
        <w:tblStyle w:val="56"/>
      </w:tbl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blPr>
        <w:tblStyle w:val="56"/>
      </w:tblPr>
      <w:tcPr>
        <w:tcBorders>
          <w:top w:val="double" w:color="4BACC6"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DAEEF3"/>
      </w:tcPr>
    </w:tblStylePr>
    <w:tblStylePr w:type="band1Horz">
      <w:tblPr>
        <w:tblStyle w:val="56"/>
      </w:tblPr>
      <w:tcPr>
        <w:shd w:val="clear" w:color="auto" w:fill="DAEEF3"/>
      </w:tcPr>
    </w:tblStylePr>
  </w:style>
  <w:style w:type="table" w:customStyle="1" w:styleId="713">
    <w:name w:val="浅色底纹1"/>
    <w:basedOn w:val="56"/>
    <w:qFormat/>
    <w:uiPriority w:val="60"/>
    <w:rPr>
      <w:rFonts w:ascii="Calibri" w:hAnsi="Calibri"/>
      <w:color w:val="000000"/>
    </w:rPr>
    <w:tblPr>
      <w:tblStyle w:val="56"/>
      <w:tblBorders>
        <w:top w:val="single" w:color="000000" w:sz="8" w:space="0"/>
        <w:bottom w:val="single" w:color="000000" w:sz="8" w:space="0"/>
      </w:tblBorders>
    </w:tblPr>
    <w:tblStylePr w:type="firstRow">
      <w:pPr>
        <w:spacing w:before="0" w:after="0" w:line="240" w:lineRule="auto"/>
      </w:pPr>
      <w:rPr>
        <w:b/>
        <w:bCs/>
      </w:rPr>
      <w:tblPr>
        <w:tblStyle w:val="56"/>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blStyle w:val="56"/>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tcBorders>
          <w:top w:val="nil"/>
          <w:left w:val="nil"/>
          <w:bottom w:val="nil"/>
          <w:right w:val="nil"/>
          <w:insideH w:val="nil"/>
          <w:insideV w:val="nil"/>
          <w:tl2br w:val="nil"/>
          <w:tr2bl w:val="nil"/>
        </w:tcBorders>
        <w:shd w:val="clear" w:color="auto" w:fill="C0C0C0"/>
      </w:tcPr>
    </w:tblStylePr>
    <w:tblStylePr w:type="band1Horz">
      <w:tblPr>
        <w:tblStyle w:val="56"/>
      </w:tblPr>
      <w:tcPr>
        <w:tcBorders>
          <w:top w:val="nil"/>
          <w:left w:val="nil"/>
          <w:bottom w:val="nil"/>
          <w:right w:val="nil"/>
          <w:insideH w:val="nil"/>
          <w:insideV w:val="nil"/>
          <w:tl2br w:val="nil"/>
          <w:tr2bl w:val="nil"/>
        </w:tcBorders>
        <w:shd w:val="clear" w:color="auto" w:fill="C0C0C0"/>
      </w:tcPr>
    </w:tblStylePr>
  </w:style>
  <w:style w:type="table" w:customStyle="1" w:styleId="714">
    <w:name w:val="清单表 4 - 着色 11"/>
    <w:basedOn w:val="56"/>
    <w:qFormat/>
    <w:uiPriority w:val="49"/>
    <w:rPr>
      <w:rFonts w:ascii="Calibri" w:hAnsi="Calibri"/>
      <w:kern w:val="2"/>
      <w:sz w:val="21"/>
      <w:szCs w:val="22"/>
    </w:rPr>
    <w:tblPr>
      <w:tblStyle w:val="56"/>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blPr>
        <w:tblStyle w:val="56"/>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6"/>
      </w:tblPr>
      <w:tcPr>
        <w:tcBorders>
          <w:top w:val="double" w:color="9CC2E5"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DEEAF6"/>
      </w:tcPr>
    </w:tblStylePr>
    <w:tblStylePr w:type="band1Horz">
      <w:tblPr>
        <w:tblStyle w:val="56"/>
      </w:tblPr>
      <w:tcPr>
        <w:shd w:val="clear" w:color="auto" w:fill="DEEAF6"/>
      </w:tcPr>
    </w:tblStylePr>
  </w:style>
  <w:style w:type="table" w:customStyle="1" w:styleId="715">
    <w:name w:val="网格型浅色1"/>
    <w:basedOn w:val="56"/>
    <w:qFormat/>
    <w:uiPriority w:val="40"/>
    <w:rPr>
      <w:rFonts w:ascii="Calibri" w:hAnsi="Calibri"/>
    </w:rPr>
    <w:tblPr>
      <w:tblStyle w:val="56"/>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6">
    <w:name w:val="网格表 5 深色 - 着色 21"/>
    <w:basedOn w:val="56"/>
    <w:qFormat/>
    <w:uiPriority w:val="50"/>
    <w:tblPr>
      <w:tblStyle w:val="56"/>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blPr>
        <w:tblStyle w:val="56"/>
      </w:tbl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blPr>
        <w:tblStyle w:val="56"/>
      </w:tbl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blPr>
        <w:tblStyle w:val="56"/>
      </w:tbl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blPr>
        <w:tblStyle w:val="56"/>
      </w:tbl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blPr>
        <w:tblStyle w:val="56"/>
      </w:tblPr>
      <w:tcPr>
        <w:shd w:val="clear" w:color="auto" w:fill="F7CAAC"/>
      </w:tcPr>
    </w:tblStylePr>
    <w:tblStylePr w:type="band1Horz">
      <w:tblPr>
        <w:tblStyle w:val="56"/>
      </w:tblPr>
      <w:tcPr>
        <w:shd w:val="clear" w:color="auto" w:fill="F7CAAC"/>
      </w:tcPr>
    </w:tblStylePr>
  </w:style>
  <w:style w:type="table" w:customStyle="1" w:styleId="717">
    <w:name w:val="浅色网格 - 强调文字颜色 11"/>
    <w:basedOn w:val="56"/>
    <w:qFormat/>
    <w:uiPriority w:val="62"/>
    <w:rPr>
      <w:rFonts w:ascii="Calibri" w:hAnsi="Calibri"/>
      <w:kern w:val="2"/>
      <w:sz w:val="21"/>
      <w:szCs w:val="22"/>
    </w:rPr>
    <w:tblPr>
      <w:tblStyle w:val="5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Helvetica Neue" w:cs="Times New Roman"/>
        <w:b/>
        <w:bCs/>
      </w:rPr>
      <w:tblPr>
        <w:tblStyle w:val="56"/>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Helvetica Neue" w:cs="Times New Roman"/>
        <w:b/>
        <w:bCs/>
      </w:rPr>
      <w:tblPr>
        <w:tblStyle w:val="56"/>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Helvetica Neue" w:cs="Times New Roman"/>
        <w:b/>
        <w:bCs/>
      </w:rPr>
      <w:tblPr>
        <w:tblStyle w:val="56"/>
      </w:tblPr>
    </w:tblStylePr>
    <w:tblStylePr w:type="lastCol">
      <w:rPr>
        <w:rFonts w:eastAsia="Helvetica Neue" w:cs="Times New Roman"/>
        <w:b/>
        <w:bCs/>
      </w:rPr>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56"/>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56"/>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8">
    <w:name w:val="网格型浅色2"/>
    <w:basedOn w:val="56"/>
    <w:qFormat/>
    <w:uiPriority w:val="40"/>
    <w:rPr>
      <w:sz w:val="24"/>
      <w:szCs w:val="24"/>
    </w:rPr>
    <w:tblPr>
      <w:tblStyle w:val="56"/>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9">
    <w:name w:val="中等深浅底纹 2 - 强调文字颜色 11"/>
    <w:basedOn w:val="56"/>
    <w:qFormat/>
    <w:uiPriority w:val="64"/>
    <w:rPr>
      <w:rFonts w:ascii="Calibri" w:hAnsi="Calibri"/>
      <w:kern w:val="2"/>
      <w:sz w:val="21"/>
      <w:szCs w:val="22"/>
    </w:rPr>
    <w:tblPr>
      <w:tblStyle w:val="56"/>
      <w:tblBorders>
        <w:top w:val="single" w:color="auto" w:sz="18" w:space="0"/>
        <w:bottom w:val="single" w:color="auto" w:sz="18" w:space="0"/>
      </w:tblBorders>
    </w:tblPr>
    <w:tblStylePr w:type="firstRow">
      <w:pPr>
        <w:spacing w:before="0" w:after="0" w:line="240" w:lineRule="auto"/>
      </w:pPr>
      <w:rPr>
        <w:b/>
        <w:bCs/>
        <w:color w:val="FFFFFF"/>
      </w:rPr>
      <w:tblPr>
        <w:tblStyle w:val="56"/>
      </w:tbl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blPr>
        <w:tblStyle w:val="56"/>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blPr>
        <w:tblStyle w:val="56"/>
      </w:tbl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blPr>
        <w:tblStyle w:val="56"/>
      </w:tblPr>
      <w:tcPr>
        <w:tcBorders>
          <w:top w:val="nil"/>
          <w:left w:val="nil"/>
          <w:bottom w:val="nil"/>
          <w:right w:val="nil"/>
          <w:insideH w:val="nil"/>
          <w:insideV w:val="nil"/>
          <w:tl2br w:val="nil"/>
          <w:tr2bl w:val="nil"/>
        </w:tcBorders>
        <w:shd w:val="clear" w:color="auto" w:fill="4F81BD"/>
      </w:tcPr>
    </w:tblStylePr>
    <w:tblStylePr w:type="band1Vert">
      <w:tblPr>
        <w:tblStyle w:val="56"/>
      </w:tblPr>
      <w:tcPr>
        <w:tcBorders>
          <w:top w:val="nil"/>
          <w:left w:val="nil"/>
          <w:bottom w:val="nil"/>
          <w:right w:val="nil"/>
          <w:insideH w:val="nil"/>
          <w:insideV w:val="nil"/>
          <w:tl2br w:val="nil"/>
          <w:tr2bl w:val="nil"/>
        </w:tcBorders>
        <w:shd w:val="clear" w:color="auto" w:fill="D8D8D8"/>
      </w:tcPr>
    </w:tblStylePr>
    <w:tblStylePr w:type="band1Horz">
      <w:tblPr>
        <w:tblStyle w:val="56"/>
      </w:tblPr>
      <w:tcPr>
        <w:shd w:val="clear" w:color="auto" w:fill="D8D8D8"/>
      </w:tcPr>
    </w:tblStylePr>
    <w:tblStylePr w:type="neCell">
      <w:tblPr>
        <w:tblStyle w:val="56"/>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Style w:val="56"/>
      </w:tblPr>
      <w:tcPr>
        <w:tcBorders>
          <w:top w:val="single" w:color="auto" w:sz="18" w:space="0"/>
          <w:left w:val="nil"/>
          <w:bottom w:val="single" w:color="auto" w:sz="18" w:space="0"/>
          <w:right w:val="nil"/>
          <w:insideH w:val="nil"/>
          <w:insideV w:val="nil"/>
          <w:tl2br w:val="nil"/>
          <w:tr2bl w:val="nil"/>
        </w:tcBorders>
      </w:tcPr>
    </w:tblStylePr>
  </w:style>
  <w:style w:type="table" w:customStyle="1" w:styleId="720">
    <w:name w:val="网格表 4 - 着色 11"/>
    <w:basedOn w:val="56"/>
    <w:qFormat/>
    <w:uiPriority w:val="49"/>
    <w:rPr>
      <w:rFonts w:ascii="Calibri" w:hAnsi="Calibri"/>
      <w:kern w:val="2"/>
      <w:sz w:val="21"/>
      <w:szCs w:val="22"/>
    </w:rPr>
    <w:tblPr>
      <w:tblStyle w:val="56"/>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blStyle w:val="56"/>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blPr>
        <w:tblStyle w:val="56"/>
      </w:tblPr>
      <w:tcPr>
        <w:tcBorders>
          <w:top w:val="double" w:color="5B9BD5"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DEEAF6"/>
      </w:tcPr>
    </w:tblStylePr>
    <w:tblStylePr w:type="band1Horz">
      <w:tblPr>
        <w:tblStyle w:val="56"/>
      </w:tblPr>
      <w:tcPr>
        <w:shd w:val="clear" w:color="auto" w:fill="DEEAF6"/>
      </w:tcPr>
    </w:tblStylePr>
  </w:style>
  <w:style w:type="table" w:customStyle="1" w:styleId="721">
    <w:name w:val="网格表 4 - 着色 31"/>
    <w:basedOn w:val="56"/>
    <w:qFormat/>
    <w:uiPriority w:val="49"/>
    <w:tblPr>
      <w:tblStyle w:val="56"/>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blStyle w:val="56"/>
      </w:tbl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blPr>
        <w:tblStyle w:val="56"/>
      </w:tblPr>
      <w:tcPr>
        <w:tcBorders>
          <w:top w:val="double" w:color="A5A5A5" w:sz="4" w:space="0"/>
          <w:left w:val="nil"/>
          <w:bottom w:val="nil"/>
          <w:right w:val="nil"/>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shd w:val="clear" w:color="auto" w:fill="EDEDED"/>
      </w:tcPr>
    </w:tblStylePr>
    <w:tblStylePr w:type="band1Horz">
      <w:tblPr>
        <w:tblStyle w:val="56"/>
      </w:tblPr>
      <w:tcPr>
        <w:shd w:val="clear" w:color="auto" w:fill="EDEDED"/>
      </w:tcPr>
    </w:tblStylePr>
  </w:style>
  <w:style w:type="table" w:customStyle="1" w:styleId="722">
    <w:name w:val="清单表 3 - 着色 11"/>
    <w:basedOn w:val="56"/>
    <w:qFormat/>
    <w:uiPriority w:val="48"/>
    <w:rPr>
      <w:rFonts w:ascii="Calibri" w:hAnsi="Calibri"/>
      <w:kern w:val="2"/>
      <w:sz w:val="21"/>
      <w:szCs w:val="22"/>
    </w:rPr>
    <w:tblPr>
      <w:tblStyle w:val="56"/>
      <w:tblBorders>
        <w:top w:val="single" w:color="5B9BD5" w:sz="4" w:space="0"/>
        <w:left w:val="single" w:color="5B9BD5" w:sz="4" w:space="0"/>
        <w:bottom w:val="single" w:color="5B9BD5" w:sz="4" w:space="0"/>
        <w:right w:val="single" w:color="5B9BD5" w:sz="4" w:space="0"/>
      </w:tblBorders>
    </w:tblPr>
    <w:tblStylePr w:type="firstRow">
      <w:rPr>
        <w:b/>
        <w:bCs/>
        <w:color w:val="FFFFFF"/>
      </w:rPr>
      <w:tblPr>
        <w:tblStyle w:val="56"/>
      </w:tblPr>
      <w:tcPr>
        <w:shd w:val="clear" w:color="auto" w:fill="5B9BD5"/>
      </w:tcPr>
    </w:tblStylePr>
    <w:tblStylePr w:type="lastRow">
      <w:rPr>
        <w:b/>
        <w:bCs/>
      </w:rPr>
      <w:tblPr>
        <w:tblStyle w:val="56"/>
      </w:tbl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blPr>
        <w:tblStyle w:val="56"/>
      </w:tblPr>
      <w:tcPr>
        <w:tcBorders>
          <w:top w:val="nil"/>
          <w:left w:val="nil"/>
          <w:bottom w:val="nil"/>
          <w:right w:val="nil"/>
          <w:insideH w:val="nil"/>
          <w:insideV w:val="nil"/>
          <w:tl2br w:val="nil"/>
          <w:tr2bl w:val="nil"/>
        </w:tcBorders>
        <w:shd w:val="clear" w:color="auto" w:fill="FFFFFF"/>
      </w:tcPr>
    </w:tblStylePr>
    <w:tblStylePr w:type="lastCol">
      <w:rPr>
        <w:b/>
        <w:bCs/>
      </w:rPr>
      <w:tblPr>
        <w:tblStyle w:val="56"/>
      </w:tblPr>
      <w:tcPr>
        <w:tcBorders>
          <w:top w:val="nil"/>
          <w:left w:val="nil"/>
          <w:bottom w:val="nil"/>
          <w:right w:val="nil"/>
          <w:insideH w:val="nil"/>
          <w:insideV w:val="nil"/>
          <w:tl2br w:val="nil"/>
          <w:tr2bl w:val="nil"/>
        </w:tcBorders>
        <w:shd w:val="clear" w:color="auto" w:fill="FFFFFF"/>
      </w:tcPr>
    </w:tblStylePr>
    <w:tblStylePr w:type="band1Vert">
      <w:tblPr>
        <w:tblStyle w:val="56"/>
      </w:tblPr>
      <w:tcPr>
        <w:tcBorders>
          <w:top w:val="nil"/>
          <w:left w:val="single" w:color="5B9BD5" w:sz="4" w:space="0"/>
          <w:bottom w:val="nil"/>
          <w:right w:val="single" w:color="5B9BD5" w:sz="4" w:space="0"/>
          <w:insideH w:val="nil"/>
          <w:insideV w:val="nil"/>
          <w:tl2br w:val="nil"/>
          <w:tr2bl w:val="nil"/>
        </w:tcBorders>
      </w:tcPr>
    </w:tblStylePr>
    <w:tblStylePr w:type="band1Horz">
      <w:tblPr>
        <w:tblStyle w:val="56"/>
      </w:tblPr>
      <w:tcPr>
        <w:tcBorders>
          <w:top w:val="single" w:color="5B9BD5" w:sz="4" w:space="0"/>
          <w:left w:val="nil"/>
          <w:bottom w:val="single" w:color="5B9BD5" w:sz="4" w:space="0"/>
          <w:right w:val="nil"/>
          <w:insideH w:val="nil"/>
          <w:insideV w:val="nil"/>
          <w:tl2br w:val="nil"/>
          <w:tr2bl w:val="nil"/>
        </w:tcBorders>
      </w:tcPr>
    </w:tblStylePr>
    <w:tblStylePr w:type="neCell">
      <w:tblPr>
        <w:tblStyle w:val="56"/>
      </w:tblPr>
      <w:tcPr>
        <w:tcBorders>
          <w:top w:val="nil"/>
          <w:left w:val="nil"/>
          <w:bottom w:val="nil"/>
          <w:right w:val="nil"/>
          <w:insideH w:val="nil"/>
          <w:insideV w:val="nil"/>
          <w:tl2br w:val="nil"/>
          <w:tr2bl w:val="nil"/>
        </w:tcBorders>
      </w:tcPr>
    </w:tblStylePr>
    <w:tblStylePr w:type="nwCell">
      <w:tblPr>
        <w:tblStyle w:val="56"/>
      </w:tblPr>
      <w:tcPr>
        <w:tcBorders>
          <w:top w:val="nil"/>
          <w:left w:val="nil"/>
          <w:bottom w:val="nil"/>
          <w:right w:val="nil"/>
          <w:insideH w:val="nil"/>
          <w:insideV w:val="nil"/>
          <w:tl2br w:val="nil"/>
          <w:tr2bl w:val="nil"/>
        </w:tcBorders>
      </w:tcPr>
    </w:tblStylePr>
    <w:tblStylePr w:type="seCell">
      <w:tblPr>
        <w:tblStyle w:val="56"/>
      </w:tblPr>
      <w:tcPr>
        <w:tcBorders>
          <w:top w:val="double" w:color="5B9BD5" w:sz="4" w:space="0"/>
          <w:left w:val="nil"/>
          <w:bottom w:val="nil"/>
          <w:right w:val="nil"/>
          <w:insideH w:val="nil"/>
          <w:insideV w:val="nil"/>
          <w:tl2br w:val="nil"/>
          <w:tr2bl w:val="nil"/>
        </w:tcBorders>
      </w:tcPr>
    </w:tblStylePr>
    <w:tblStylePr w:type="swCell">
      <w:tblPr>
        <w:tblStyle w:val="56"/>
      </w:tblPr>
      <w:tcPr>
        <w:tcBorders>
          <w:top w:val="double" w:color="5B9BD5" w:sz="4" w:space="0"/>
          <w:left w:val="nil"/>
          <w:bottom w:val="nil"/>
          <w:right w:val="nil"/>
          <w:insideH w:val="nil"/>
          <w:insideV w:val="nil"/>
          <w:tl2br w:val="nil"/>
          <w:tr2bl w:val="nil"/>
        </w:tcBorders>
      </w:tcPr>
    </w:tblStylePr>
  </w:style>
  <w:style w:type="table" w:customStyle="1" w:styleId="723">
    <w:name w:val="清单表 3 - 着色 31"/>
    <w:basedOn w:val="56"/>
    <w:qFormat/>
    <w:uiPriority w:val="48"/>
    <w:rPr>
      <w:rFonts w:ascii="Calibri" w:hAnsi="Calibri"/>
      <w:kern w:val="2"/>
      <w:sz w:val="21"/>
      <w:szCs w:val="22"/>
    </w:rPr>
    <w:tblPr>
      <w:tblStyle w:val="56"/>
      <w:tblBorders>
        <w:top w:val="single" w:color="A5A5A5" w:sz="4" w:space="0"/>
        <w:left w:val="single" w:color="A5A5A5" w:sz="4" w:space="0"/>
        <w:bottom w:val="single" w:color="A5A5A5" w:sz="4" w:space="0"/>
        <w:right w:val="single" w:color="A5A5A5" w:sz="4" w:space="0"/>
      </w:tblBorders>
    </w:tblPr>
    <w:tblStylePr w:type="firstRow">
      <w:rPr>
        <w:b/>
        <w:bCs/>
        <w:color w:val="FFFFFF"/>
      </w:rPr>
      <w:tblPr>
        <w:tblStyle w:val="56"/>
      </w:tblPr>
      <w:tcPr>
        <w:shd w:val="clear" w:color="auto" w:fill="A5A5A5"/>
      </w:tcPr>
    </w:tblStylePr>
    <w:tblStylePr w:type="lastRow">
      <w:rPr>
        <w:b/>
        <w:bCs/>
      </w:rPr>
      <w:tblPr>
        <w:tblStyle w:val="56"/>
      </w:tbl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blPr>
        <w:tblStyle w:val="56"/>
      </w:tblPr>
      <w:tcPr>
        <w:tcBorders>
          <w:top w:val="nil"/>
          <w:left w:val="nil"/>
          <w:bottom w:val="nil"/>
          <w:right w:val="nil"/>
          <w:insideH w:val="nil"/>
          <w:insideV w:val="nil"/>
          <w:tl2br w:val="nil"/>
          <w:tr2bl w:val="nil"/>
        </w:tcBorders>
        <w:shd w:val="clear" w:color="auto" w:fill="FFFFFF"/>
      </w:tcPr>
    </w:tblStylePr>
    <w:tblStylePr w:type="lastCol">
      <w:rPr>
        <w:b/>
        <w:bCs/>
      </w:rPr>
      <w:tblPr>
        <w:tblStyle w:val="56"/>
      </w:tblPr>
      <w:tcPr>
        <w:tcBorders>
          <w:top w:val="nil"/>
          <w:left w:val="nil"/>
          <w:bottom w:val="nil"/>
          <w:right w:val="nil"/>
          <w:insideH w:val="nil"/>
          <w:insideV w:val="nil"/>
          <w:tl2br w:val="nil"/>
          <w:tr2bl w:val="nil"/>
        </w:tcBorders>
        <w:shd w:val="clear" w:color="auto" w:fill="FFFFFF"/>
      </w:tcPr>
    </w:tblStylePr>
    <w:tblStylePr w:type="band1Vert">
      <w:tblPr>
        <w:tblStyle w:val="56"/>
      </w:tblPr>
      <w:tcPr>
        <w:tcBorders>
          <w:top w:val="nil"/>
          <w:left w:val="single" w:color="A5A5A5" w:sz="4" w:space="0"/>
          <w:bottom w:val="nil"/>
          <w:right w:val="single" w:color="A5A5A5" w:sz="4" w:space="0"/>
          <w:insideH w:val="nil"/>
          <w:insideV w:val="nil"/>
          <w:tl2br w:val="nil"/>
          <w:tr2bl w:val="nil"/>
        </w:tcBorders>
      </w:tcPr>
    </w:tblStylePr>
    <w:tblStylePr w:type="band1Horz">
      <w:tblPr>
        <w:tblStyle w:val="56"/>
      </w:tblPr>
      <w:tcPr>
        <w:tcBorders>
          <w:top w:val="single" w:color="A5A5A5" w:sz="4" w:space="0"/>
          <w:left w:val="nil"/>
          <w:bottom w:val="single" w:color="A5A5A5" w:sz="4" w:space="0"/>
          <w:right w:val="nil"/>
          <w:insideH w:val="nil"/>
          <w:insideV w:val="nil"/>
          <w:tl2br w:val="nil"/>
          <w:tr2bl w:val="nil"/>
        </w:tcBorders>
      </w:tcPr>
    </w:tblStylePr>
    <w:tblStylePr w:type="neCell">
      <w:tblPr>
        <w:tblStyle w:val="56"/>
      </w:tblPr>
      <w:tcPr>
        <w:tcBorders>
          <w:top w:val="nil"/>
          <w:left w:val="nil"/>
          <w:bottom w:val="nil"/>
          <w:right w:val="nil"/>
          <w:insideH w:val="nil"/>
          <w:insideV w:val="nil"/>
          <w:tl2br w:val="nil"/>
          <w:tr2bl w:val="nil"/>
        </w:tcBorders>
      </w:tcPr>
    </w:tblStylePr>
    <w:tblStylePr w:type="nwCell">
      <w:tblPr>
        <w:tblStyle w:val="56"/>
      </w:tblPr>
      <w:tcPr>
        <w:tcBorders>
          <w:top w:val="nil"/>
          <w:left w:val="nil"/>
          <w:bottom w:val="nil"/>
          <w:right w:val="nil"/>
          <w:insideH w:val="nil"/>
          <w:insideV w:val="nil"/>
          <w:tl2br w:val="nil"/>
          <w:tr2bl w:val="nil"/>
        </w:tcBorders>
      </w:tcPr>
    </w:tblStylePr>
    <w:tblStylePr w:type="seCell">
      <w:tblPr>
        <w:tblStyle w:val="56"/>
      </w:tblPr>
      <w:tcPr>
        <w:tcBorders>
          <w:top w:val="double" w:color="A5A5A5" w:sz="4" w:space="0"/>
          <w:left w:val="nil"/>
          <w:bottom w:val="nil"/>
          <w:right w:val="nil"/>
          <w:insideH w:val="nil"/>
          <w:insideV w:val="nil"/>
          <w:tl2br w:val="nil"/>
          <w:tr2bl w:val="nil"/>
        </w:tcBorders>
      </w:tcPr>
    </w:tblStylePr>
    <w:tblStylePr w:type="swCell">
      <w:tblPr>
        <w:tblStyle w:val="56"/>
      </w:tblPr>
      <w:tcPr>
        <w:tcBorders>
          <w:top w:val="double" w:color="A5A5A5" w:sz="4" w:space="0"/>
          <w:left w:val="nil"/>
          <w:bottom w:val="nil"/>
          <w:right w:val="nil"/>
          <w:insideH w:val="nil"/>
          <w:insideV w:val="nil"/>
          <w:tl2br w:val="nil"/>
          <w:tr2bl w:val="nil"/>
        </w:tcBorders>
      </w:tcPr>
    </w:tblStylePr>
  </w:style>
  <w:style w:type="table" w:customStyle="1" w:styleId="724">
    <w:name w:val="浅色列表 - 强调文字颜色 11"/>
    <w:basedOn w:val="56"/>
    <w:qFormat/>
    <w:uiPriority w:val="61"/>
    <w:rPr>
      <w:rFonts w:ascii="Calibri" w:hAnsi="Calibri"/>
      <w:kern w:val="2"/>
      <w:sz w:val="21"/>
      <w:szCs w:val="22"/>
    </w:rPr>
    <w:tblPr>
      <w:tblStyle w:val="56"/>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blStyle w:val="56"/>
      </w:tblPr>
      <w:tcPr>
        <w:shd w:val="clear" w:color="auto" w:fill="4F81BD"/>
      </w:tcPr>
    </w:tblStylePr>
    <w:tblStylePr w:type="lastRow">
      <w:pPr>
        <w:spacing w:before="0" w:after="0" w:line="240" w:lineRule="auto"/>
      </w:pPr>
      <w:rPr>
        <w:b/>
        <w:bCs/>
      </w:rPr>
      <w:tblPr>
        <w:tblStyle w:val="56"/>
      </w:tbl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blPr>
        <w:tblStyle w:val="56"/>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5">
    <w:name w:val="浅色列表 - 强调文字颜色 51"/>
    <w:basedOn w:val="56"/>
    <w:qFormat/>
    <w:uiPriority w:val="61"/>
    <w:rPr>
      <w:rFonts w:ascii="Calibri" w:hAnsi="Calibri"/>
      <w:kern w:val="2"/>
      <w:sz w:val="21"/>
      <w:szCs w:val="22"/>
    </w:rPr>
    <w:tblPr>
      <w:tblStyle w:val="56"/>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blStyle w:val="56"/>
      </w:tblPr>
      <w:tcPr>
        <w:shd w:val="clear" w:color="auto" w:fill="4BACC6"/>
      </w:tcPr>
    </w:tblStylePr>
    <w:tblStylePr w:type="lastRow">
      <w:pPr>
        <w:spacing w:before="0" w:after="0" w:line="240" w:lineRule="auto"/>
      </w:pPr>
      <w:rPr>
        <w:b/>
        <w:bCs/>
      </w:rPr>
      <w:tblPr>
        <w:tblStyle w:val="56"/>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Pr>
        <w:tblStyle w:val="56"/>
      </w:tblPr>
    </w:tblStylePr>
    <w:tblStylePr w:type="lastCol">
      <w:rPr>
        <w:b/>
        <w:bCs/>
      </w:rPr>
      <w:tblPr>
        <w:tblStyle w:val="56"/>
      </w:tblPr>
    </w:tblStylePr>
    <w:tblStylePr w:type="band1Vert">
      <w:tblPr>
        <w:tblStyle w:val="56"/>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Style w:val="56"/>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media/image4.png" Type="http://schemas.openxmlformats.org/officeDocument/2006/relationships/image"/><Relationship Id="rId16" Target="media/image5.png" Type="http://schemas.openxmlformats.org/officeDocument/2006/relationships/image"/><Relationship Id="rId17" Target="media/image6.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宁波国咨工程造价咨询有限公司</Company>
  <Pages>1</Pages>
  <Words>8578</Words>
  <Characters>48900</Characters>
  <Lines>407</Lines>
  <Paragraphs>114</Paragraphs>
  <TotalTime>0</TotalTime>
  <ScaleCrop>false</ScaleCrop>
  <LinksUpToDate>false</LinksUpToDate>
  <CharactersWithSpaces>57364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2020-01-14T16:32:00Z</dcterms:created>
  <dc:creator>h</dc:creator>
  <cp:lastModifiedBy>WPS_1701756769</cp:lastModifiedBy>
  <cp:lastPrinted>2020-11-04T02:35:00Z</cp:lastPrinted>
  <dcterms:modified xsi:type="dcterms:W3CDTF">2024-02-23T06:29:44Z</dcterms:modified>
  <cp:revision>25</cp:revision>
  <dc:title>鹿城区政法智控一张网建设项目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AD47E00A36E04A3D906B923188FC7BBC_13</vt:lpwstr>
  </property>
</Properties>
</file>