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spacing w:after="120" w:line="360" w:lineRule="auto"/>
        <w:jc w:val="center"/>
        <w:rPr>
          <w:rFonts w:ascii="宋体" w:hAnsi="宋体" w:cs="宋体"/>
          <w:b/>
          <w:color w:val="auto"/>
          <w:sz w:val="52"/>
          <w:highlight w:val="none"/>
        </w:rPr>
      </w:pPr>
    </w:p>
    <w:p>
      <w:pPr>
        <w:pStyle w:val="48"/>
        <w:rPr>
          <w:color w:val="auto"/>
          <w:highlight w:val="none"/>
        </w:rPr>
      </w:pPr>
    </w:p>
    <w:p>
      <w:pPr>
        <w:pStyle w:val="48"/>
        <w:rPr>
          <w:color w:val="auto"/>
          <w:highlight w:val="none"/>
        </w:rPr>
      </w:pPr>
    </w:p>
    <w:p>
      <w:pPr>
        <w:spacing w:after="120" w:line="360" w:lineRule="auto"/>
        <w:jc w:val="center"/>
        <w:rPr>
          <w:rFonts w:ascii="宋体" w:hAnsi="宋体" w:cs="宋体"/>
          <w:b/>
          <w:color w:val="auto"/>
          <w:sz w:val="48"/>
          <w:highlight w:val="none"/>
        </w:rPr>
      </w:pPr>
      <w:r>
        <w:rPr>
          <w:rFonts w:hint="eastAsia" w:ascii="宋体" w:hAnsi="宋体" w:cs="宋体"/>
          <w:b/>
          <w:color w:val="auto"/>
          <w:sz w:val="48"/>
          <w:highlight w:val="none"/>
        </w:rPr>
        <w:t>政府采购项目</w:t>
      </w:r>
    </w:p>
    <w:p>
      <w:pPr>
        <w:spacing w:after="120" w:line="360" w:lineRule="auto"/>
        <w:jc w:val="center"/>
        <w:rPr>
          <w:rFonts w:ascii="宋体" w:hAnsi="宋体" w:cs="宋体"/>
          <w:b/>
          <w:color w:val="auto"/>
          <w:sz w:val="72"/>
          <w:highlight w:val="none"/>
        </w:rPr>
      </w:pPr>
      <w:r>
        <w:rPr>
          <w:rFonts w:hint="eastAsia" w:ascii="宋体" w:hAnsi="宋体" w:cs="宋体"/>
          <w:b/>
          <w:color w:val="auto"/>
          <w:sz w:val="72"/>
          <w:highlight w:val="none"/>
        </w:rPr>
        <w:t>公开招标采购文件</w:t>
      </w:r>
    </w:p>
    <w:p>
      <w:pPr>
        <w:spacing w:line="360" w:lineRule="auto"/>
        <w:jc w:val="center"/>
        <w:rPr>
          <w:rFonts w:ascii="宋体" w:hAnsi="宋体" w:cs="宋体"/>
          <w:b/>
          <w:color w:val="auto"/>
          <w:sz w:val="52"/>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pStyle w:val="48"/>
        <w:rPr>
          <w:color w:val="auto"/>
          <w:highlight w:val="none"/>
        </w:rPr>
      </w:pPr>
    </w:p>
    <w:p>
      <w:pPr>
        <w:spacing w:line="360" w:lineRule="auto"/>
        <w:ind w:firstLine="529" w:firstLineChars="147"/>
        <w:rPr>
          <w:rFonts w:ascii="宋体" w:hAnsi="宋体" w:cs="宋体"/>
          <w:b/>
          <w:color w:val="auto"/>
          <w:sz w:val="36"/>
          <w:szCs w:val="36"/>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招标编号：</w:t>
      </w:r>
      <w:r>
        <w:rPr>
          <w:rFonts w:hint="eastAsia" w:ascii="宋体" w:hAnsi="宋体" w:cs="宋体"/>
          <w:b/>
          <w:color w:val="auto"/>
          <w:sz w:val="32"/>
          <w:szCs w:val="32"/>
          <w:highlight w:val="none"/>
          <w:u w:val="single"/>
        </w:rPr>
        <w:t xml:space="preserve">   </w:t>
      </w:r>
      <w:r>
        <w:rPr>
          <w:rFonts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rPr>
        <w:t xml:space="preserve">NBGZZB324010      </w:t>
      </w:r>
      <w:r>
        <w:rPr>
          <w:rFonts w:hint="eastAsia" w:ascii="宋体" w:hAnsi="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rPr>
        <w:t xml:space="preserve">    </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eastAsia="zh-CN"/>
        </w:rPr>
        <w:t>余姚市中考听力广播系统项目</w:t>
      </w:r>
    </w:p>
    <w:p>
      <w:pPr>
        <w:spacing w:line="360" w:lineRule="auto"/>
        <w:ind w:left="361" w:leftChars="172" w:firstLine="160" w:firstLineChars="50"/>
        <w:rPr>
          <w:rFonts w:ascii="宋体" w:hAnsi="宋体" w:cs="宋体"/>
          <w:b/>
          <w:color w:val="auto"/>
          <w:sz w:val="32"/>
          <w:szCs w:val="32"/>
          <w:highlight w:val="none"/>
        </w:rPr>
      </w:pPr>
    </w:p>
    <w:p>
      <w:pPr>
        <w:spacing w:line="36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u w:val="single"/>
        </w:rPr>
        <w:t xml:space="preserve"> </w:t>
      </w:r>
      <w:r>
        <w:rPr>
          <w:rFonts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余姚市教育局</w:t>
      </w:r>
      <w:r>
        <w:rPr>
          <w:rFonts w:hint="eastAsia" w:ascii="宋体" w:hAnsi="宋体" w:cs="宋体"/>
          <w:b/>
          <w:color w:val="auto"/>
          <w:sz w:val="32"/>
          <w:szCs w:val="32"/>
          <w:highlight w:val="none"/>
          <w:u w:val="single"/>
        </w:rPr>
        <w:t xml:space="preserve">            </w:t>
      </w:r>
    </w:p>
    <w:p>
      <w:pPr>
        <w:spacing w:line="360" w:lineRule="auto"/>
        <w:ind w:left="361" w:leftChars="172" w:firstLine="160" w:firstLineChars="50"/>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u w:val="single"/>
          <w:lang w:eastAsia="zh-CN"/>
        </w:rPr>
        <w:t>宁波国咨工程造价咨询有限公司</w:t>
      </w:r>
      <w:r>
        <w:rPr>
          <w:rFonts w:hint="eastAsia" w:ascii="宋体" w:hAnsi="宋体" w:cs="宋体"/>
          <w:b/>
          <w:color w:val="auto"/>
          <w:sz w:val="32"/>
          <w:szCs w:val="32"/>
          <w:highlight w:val="none"/>
          <w:u w:val="single"/>
        </w:rPr>
        <w:t xml:space="preserve">  </w:t>
      </w:r>
    </w:p>
    <w:p>
      <w:pPr>
        <w:spacing w:line="360" w:lineRule="auto"/>
        <w:jc w:val="center"/>
        <w:rPr>
          <w:rFonts w:ascii="宋体" w:hAnsi="宋体" w:cs="宋体"/>
          <w:b/>
          <w:color w:val="auto"/>
          <w:sz w:val="36"/>
          <w:szCs w:val="36"/>
          <w:highlight w:val="none"/>
        </w:rPr>
      </w:pPr>
    </w:p>
    <w:p>
      <w:pPr>
        <w:pStyle w:val="48"/>
        <w:rPr>
          <w:color w:val="auto"/>
          <w:highlight w:val="none"/>
        </w:rPr>
      </w:pPr>
    </w:p>
    <w:p>
      <w:pPr>
        <w:pStyle w:val="48"/>
        <w:rPr>
          <w:color w:val="auto"/>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4</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3</w:t>
      </w:r>
      <w:r>
        <w:rPr>
          <w:rFonts w:hint="eastAsia" w:ascii="宋体" w:hAnsi="宋体" w:cs="宋体"/>
          <w:b/>
          <w:color w:val="auto"/>
          <w:sz w:val="36"/>
          <w:szCs w:val="36"/>
          <w:highlight w:val="none"/>
        </w:rPr>
        <w:t>月</w:t>
      </w: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目    录</w:t>
      </w:r>
    </w:p>
    <w:p>
      <w:pPr>
        <w:spacing w:line="360" w:lineRule="auto"/>
        <w:jc w:val="center"/>
        <w:rPr>
          <w:rFonts w:ascii="宋体" w:hAnsi="宋体" w:cs="宋体"/>
          <w:b/>
          <w:color w:val="auto"/>
          <w:sz w:val="36"/>
          <w:highlight w:val="none"/>
        </w:rPr>
      </w:pPr>
    </w:p>
    <w:p>
      <w:pPr>
        <w:pStyle w:val="27"/>
        <w:tabs>
          <w:tab w:val="right" w:leader="dot" w:pos="8495"/>
        </w:tabs>
        <w:rPr>
          <w:rFonts w:ascii="宋体" w:hAnsi="宋体" w:cs="宋体"/>
          <w:color w:val="auto"/>
          <w:sz w:val="21"/>
          <w:szCs w:val="22"/>
          <w:highlight w:val="none"/>
        </w:rPr>
      </w:pPr>
      <w:r>
        <w:rPr>
          <w:rFonts w:hint="eastAsia" w:ascii="宋体" w:hAnsi="宋体" w:cs="宋体"/>
          <w:b/>
          <w:color w:val="auto"/>
          <w:highlight w:val="none"/>
        </w:rPr>
        <w:fldChar w:fldCharType="begin"/>
      </w:r>
      <w:r>
        <w:rPr>
          <w:rFonts w:hint="eastAsia" w:ascii="宋体" w:hAnsi="宋体" w:cs="宋体"/>
          <w:b/>
          <w:color w:val="auto"/>
          <w:highlight w:val="none"/>
        </w:rPr>
        <w:instrText xml:space="preserve"> TOC \o "1-3" \h \z \u </w:instrText>
      </w:r>
      <w:r>
        <w:rPr>
          <w:rFonts w:hint="eastAsia" w:ascii="宋体" w:hAnsi="宋体" w:cs="宋体"/>
          <w:b/>
          <w:color w:val="auto"/>
          <w:highlight w:val="none"/>
        </w:rPr>
        <w:fldChar w:fldCharType="separate"/>
      </w:r>
      <w:r>
        <w:rPr>
          <w:color w:val="auto"/>
          <w:highlight w:val="none"/>
        </w:rPr>
        <w:fldChar w:fldCharType="begin"/>
      </w:r>
      <w:r>
        <w:rPr>
          <w:color w:val="auto"/>
          <w:highlight w:val="none"/>
        </w:rPr>
        <w:instrText xml:space="preserve"> HYPERLINK \l "_Toc520902391" </w:instrText>
      </w:r>
      <w:r>
        <w:rPr>
          <w:color w:val="auto"/>
          <w:highlight w:val="none"/>
        </w:rPr>
        <w:fldChar w:fldCharType="separate"/>
      </w:r>
      <w:r>
        <w:rPr>
          <w:rStyle w:val="44"/>
          <w:rFonts w:hint="eastAsia" w:ascii="宋体" w:hAnsi="宋体" w:cs="宋体"/>
          <w:color w:val="auto"/>
          <w:highlight w:val="none"/>
        </w:rPr>
        <w:t>第一部分 采购公告</w:t>
      </w:r>
      <w:r>
        <w:rPr>
          <w:rFonts w:hint="eastAsia" w:ascii="宋体" w:hAnsi="宋体" w:cs="宋体"/>
          <w:color w:val="auto"/>
          <w:highlight w:val="none"/>
        </w:rPr>
        <w:tab/>
      </w:r>
      <w:r>
        <w:rPr>
          <w:rFonts w:hint="eastAsia" w:ascii="宋体" w:hAnsi="宋体" w:cs="宋体"/>
          <w:color w:val="auto"/>
          <w:highlight w:val="none"/>
        </w:rPr>
        <w:t>3</w:t>
      </w:r>
      <w:r>
        <w:rPr>
          <w:rFonts w:hint="eastAsia" w:ascii="宋体" w:hAnsi="宋体" w:cs="宋体"/>
          <w:color w:val="auto"/>
          <w:highlight w:val="none"/>
        </w:rPr>
        <w:fldChar w:fldCharType="end"/>
      </w:r>
    </w:p>
    <w:p>
      <w:pPr>
        <w:pStyle w:val="27"/>
        <w:tabs>
          <w:tab w:val="right" w:leader="dot" w:pos="8495"/>
        </w:tabs>
        <w:rPr>
          <w:rFonts w:ascii="宋体" w:hAnsi="宋体" w:cs="宋体"/>
          <w:color w:val="auto"/>
          <w:highlight w:val="none"/>
        </w:rPr>
      </w:pPr>
      <w:r>
        <w:rPr>
          <w:color w:val="auto"/>
          <w:highlight w:val="none"/>
        </w:rPr>
        <w:fldChar w:fldCharType="begin"/>
      </w:r>
      <w:r>
        <w:rPr>
          <w:color w:val="auto"/>
          <w:highlight w:val="none"/>
        </w:rPr>
        <w:instrText xml:space="preserve"> HYPERLINK \l "_Toc520902406" </w:instrText>
      </w:r>
      <w:r>
        <w:rPr>
          <w:color w:val="auto"/>
          <w:highlight w:val="none"/>
        </w:rPr>
        <w:fldChar w:fldCharType="separate"/>
      </w:r>
      <w:r>
        <w:rPr>
          <w:rStyle w:val="44"/>
          <w:rFonts w:hint="eastAsia" w:ascii="宋体" w:hAnsi="宋体" w:cs="宋体"/>
          <w:color w:val="auto"/>
          <w:highlight w:val="none"/>
        </w:rPr>
        <w:t>第二部分 招标项目需求</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rPr>
        <w:t>9</w:t>
      </w:r>
    </w:p>
    <w:p>
      <w:pPr>
        <w:pStyle w:val="27"/>
        <w:tabs>
          <w:tab w:val="right" w:leader="dot" w:pos="8495"/>
        </w:tabs>
        <w:rPr>
          <w:rFonts w:ascii="宋体" w:hAnsi="宋体" w:cs="宋体"/>
          <w:color w:val="auto"/>
          <w:sz w:val="21"/>
          <w:szCs w:val="22"/>
          <w:highlight w:val="none"/>
        </w:rPr>
      </w:pPr>
      <w:r>
        <w:rPr>
          <w:color w:val="auto"/>
          <w:highlight w:val="none"/>
        </w:rPr>
        <w:fldChar w:fldCharType="begin"/>
      </w:r>
      <w:r>
        <w:rPr>
          <w:color w:val="auto"/>
          <w:highlight w:val="none"/>
        </w:rPr>
        <w:instrText xml:space="preserve"> HYPERLINK \l "_Toc520902392" </w:instrText>
      </w:r>
      <w:r>
        <w:rPr>
          <w:color w:val="auto"/>
          <w:highlight w:val="none"/>
        </w:rPr>
        <w:fldChar w:fldCharType="separate"/>
      </w:r>
      <w:r>
        <w:rPr>
          <w:rStyle w:val="44"/>
          <w:rFonts w:hint="eastAsia" w:ascii="宋体" w:hAnsi="宋体" w:cs="宋体"/>
          <w:color w:val="auto"/>
          <w:highlight w:val="none"/>
        </w:rPr>
        <w:t>第三部分 投标资料表</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rPr>
        <w:t>18</w:t>
      </w:r>
    </w:p>
    <w:p>
      <w:pPr>
        <w:pStyle w:val="27"/>
        <w:tabs>
          <w:tab w:val="right" w:leader="dot" w:pos="8495"/>
        </w:tabs>
        <w:rPr>
          <w:rFonts w:ascii="宋体" w:hAnsi="宋体" w:cs="宋体"/>
          <w:color w:val="auto"/>
          <w:sz w:val="21"/>
          <w:szCs w:val="22"/>
          <w:highlight w:val="none"/>
        </w:rPr>
      </w:pPr>
      <w:r>
        <w:rPr>
          <w:color w:val="auto"/>
          <w:highlight w:val="none"/>
        </w:rPr>
        <w:fldChar w:fldCharType="begin"/>
      </w:r>
      <w:r>
        <w:rPr>
          <w:color w:val="auto"/>
          <w:highlight w:val="none"/>
        </w:rPr>
        <w:instrText xml:space="preserve"> HYPERLINK \l "_Toc520902393" </w:instrText>
      </w:r>
      <w:r>
        <w:rPr>
          <w:color w:val="auto"/>
          <w:highlight w:val="none"/>
        </w:rPr>
        <w:fldChar w:fldCharType="separate"/>
      </w:r>
      <w:r>
        <w:rPr>
          <w:rStyle w:val="44"/>
          <w:rFonts w:hint="eastAsia" w:ascii="宋体" w:hAnsi="宋体" w:cs="宋体"/>
          <w:color w:val="auto"/>
          <w:highlight w:val="none"/>
        </w:rPr>
        <w:t>第四部分 投标人须知</w:t>
      </w:r>
      <w:r>
        <w:rPr>
          <w:rFonts w:hint="eastAsia" w:ascii="宋体" w:hAnsi="宋体" w:cs="宋体"/>
          <w:color w:val="auto"/>
          <w:highlight w:val="none"/>
        </w:rPr>
        <w:tab/>
      </w:r>
      <w:r>
        <w:rPr>
          <w:rFonts w:hint="eastAsia" w:ascii="宋体" w:hAnsi="宋体" w:cs="宋体"/>
          <w:color w:val="auto"/>
          <w:highlight w:val="none"/>
        </w:rPr>
        <w:fldChar w:fldCharType="end"/>
      </w:r>
      <w:r>
        <w:rPr>
          <w:rFonts w:ascii="宋体" w:hAnsi="宋体" w:cs="宋体"/>
          <w:color w:val="auto"/>
          <w:highlight w:val="none"/>
        </w:rPr>
        <w:t>2</w:t>
      </w:r>
      <w:r>
        <w:rPr>
          <w:rFonts w:hint="eastAsia" w:ascii="宋体" w:hAnsi="宋体" w:cs="宋体"/>
          <w:color w:val="auto"/>
          <w:highlight w:val="none"/>
        </w:rPr>
        <w:t>1</w:t>
      </w:r>
    </w:p>
    <w:p>
      <w:pPr>
        <w:pStyle w:val="27"/>
        <w:tabs>
          <w:tab w:val="right" w:leader="dot" w:pos="8495"/>
        </w:tabs>
        <w:rPr>
          <w:rFonts w:ascii="宋体" w:hAnsi="宋体" w:cs="宋体"/>
          <w:color w:val="auto"/>
          <w:highlight w:val="none"/>
        </w:rPr>
      </w:pPr>
      <w:r>
        <w:rPr>
          <w:color w:val="auto"/>
          <w:highlight w:val="none"/>
        </w:rPr>
        <w:fldChar w:fldCharType="begin"/>
      </w:r>
      <w:r>
        <w:rPr>
          <w:color w:val="auto"/>
          <w:highlight w:val="none"/>
        </w:rPr>
        <w:instrText xml:space="preserve"> HYPERLINK \l "_Toc520902405" </w:instrText>
      </w:r>
      <w:r>
        <w:rPr>
          <w:color w:val="auto"/>
          <w:highlight w:val="none"/>
        </w:rPr>
        <w:fldChar w:fldCharType="separate"/>
      </w:r>
      <w:r>
        <w:rPr>
          <w:rStyle w:val="44"/>
          <w:rFonts w:hint="eastAsia" w:ascii="宋体" w:hAnsi="宋体" w:cs="宋体"/>
          <w:color w:val="auto"/>
          <w:highlight w:val="none"/>
        </w:rPr>
        <w:t>第五部分 评标办法</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rPr>
        <w:t>37</w:t>
      </w:r>
    </w:p>
    <w:p>
      <w:pPr>
        <w:pStyle w:val="27"/>
        <w:tabs>
          <w:tab w:val="right" w:leader="dot" w:pos="8495"/>
        </w:tabs>
        <w:rPr>
          <w:rFonts w:ascii="宋体" w:hAnsi="宋体" w:cs="宋体"/>
          <w:color w:val="auto"/>
          <w:sz w:val="21"/>
          <w:szCs w:val="22"/>
          <w:highlight w:val="none"/>
        </w:rPr>
      </w:pPr>
      <w:r>
        <w:rPr>
          <w:color w:val="auto"/>
          <w:highlight w:val="none"/>
        </w:rPr>
        <w:fldChar w:fldCharType="begin"/>
      </w:r>
      <w:r>
        <w:rPr>
          <w:color w:val="auto"/>
          <w:highlight w:val="none"/>
        </w:rPr>
        <w:instrText xml:space="preserve"> HYPERLINK \l "_Toc520902404" </w:instrText>
      </w:r>
      <w:r>
        <w:rPr>
          <w:color w:val="auto"/>
          <w:highlight w:val="none"/>
        </w:rPr>
        <w:fldChar w:fldCharType="separate"/>
      </w:r>
      <w:r>
        <w:rPr>
          <w:rStyle w:val="44"/>
          <w:rFonts w:hint="eastAsia" w:ascii="宋体" w:hAnsi="宋体" w:cs="宋体"/>
          <w:color w:val="auto"/>
          <w:highlight w:val="none"/>
        </w:rPr>
        <w:t>第六部分 合同格式</w:t>
      </w:r>
      <w:r>
        <w:rPr>
          <w:rFonts w:hint="eastAsia" w:ascii="宋体" w:hAnsi="宋体" w:cs="宋体"/>
          <w:color w:val="auto"/>
          <w:highlight w:val="none"/>
        </w:rPr>
        <w:tab/>
      </w:r>
      <w:r>
        <w:rPr>
          <w:rFonts w:hint="eastAsia" w:ascii="宋体" w:hAnsi="宋体" w:cs="宋体"/>
          <w:color w:val="auto"/>
          <w:highlight w:val="none"/>
        </w:rPr>
        <w:fldChar w:fldCharType="end"/>
      </w:r>
      <w:r>
        <w:rPr>
          <w:rFonts w:ascii="宋体" w:hAnsi="宋体" w:cs="宋体"/>
          <w:color w:val="auto"/>
          <w:highlight w:val="none"/>
        </w:rPr>
        <w:t>4</w:t>
      </w:r>
      <w:r>
        <w:rPr>
          <w:rFonts w:hint="eastAsia" w:ascii="宋体" w:hAnsi="宋体" w:cs="宋体"/>
          <w:color w:val="auto"/>
          <w:highlight w:val="none"/>
        </w:rPr>
        <w:t>6</w:t>
      </w:r>
    </w:p>
    <w:p>
      <w:pPr>
        <w:pStyle w:val="27"/>
        <w:tabs>
          <w:tab w:val="right" w:leader="dot" w:pos="8495"/>
        </w:tabs>
        <w:rPr>
          <w:rFonts w:ascii="宋体" w:hAnsi="宋体" w:cs="宋体"/>
          <w:color w:val="auto"/>
          <w:sz w:val="21"/>
          <w:szCs w:val="22"/>
          <w:highlight w:val="none"/>
        </w:rPr>
      </w:pPr>
      <w:r>
        <w:rPr>
          <w:color w:val="auto"/>
          <w:highlight w:val="none"/>
        </w:rPr>
        <w:fldChar w:fldCharType="begin"/>
      </w:r>
      <w:r>
        <w:rPr>
          <w:color w:val="auto"/>
          <w:highlight w:val="none"/>
        </w:rPr>
        <w:instrText xml:space="preserve"> HYPERLINK \l "_Toc520902407" </w:instrText>
      </w:r>
      <w:r>
        <w:rPr>
          <w:color w:val="auto"/>
          <w:highlight w:val="none"/>
        </w:rPr>
        <w:fldChar w:fldCharType="separate"/>
      </w:r>
      <w:r>
        <w:rPr>
          <w:rStyle w:val="44"/>
          <w:rFonts w:hint="eastAsia" w:ascii="宋体" w:hAnsi="宋体" w:cs="宋体"/>
          <w:color w:val="auto"/>
          <w:highlight w:val="none"/>
        </w:rPr>
        <w:t>第七部分 附件（投标文件格式）</w:t>
      </w:r>
      <w:r>
        <w:rPr>
          <w:rFonts w:hint="eastAsia" w:ascii="宋体" w:hAnsi="宋体" w:cs="宋体"/>
          <w:color w:val="auto"/>
          <w:highlight w:val="none"/>
        </w:rPr>
        <w:tab/>
      </w:r>
      <w:r>
        <w:rPr>
          <w:rFonts w:hint="eastAsia" w:ascii="宋体" w:hAnsi="宋体" w:cs="宋体"/>
          <w:color w:val="auto"/>
          <w:highlight w:val="none"/>
        </w:rPr>
        <w:fldChar w:fldCharType="end"/>
      </w:r>
      <w:r>
        <w:rPr>
          <w:rFonts w:ascii="宋体" w:hAnsi="宋体" w:cs="宋体"/>
          <w:color w:val="auto"/>
          <w:highlight w:val="none"/>
        </w:rPr>
        <w:t>5</w:t>
      </w:r>
      <w:r>
        <w:rPr>
          <w:rFonts w:hint="eastAsia" w:ascii="宋体" w:hAnsi="宋体" w:cs="宋体"/>
          <w:color w:val="auto"/>
          <w:highlight w:val="none"/>
        </w:rPr>
        <w:t>5</w:t>
      </w:r>
    </w:p>
    <w:p>
      <w:pPr>
        <w:spacing w:line="360" w:lineRule="auto"/>
        <w:rPr>
          <w:rFonts w:ascii="宋体" w:hAnsi="宋体" w:cs="宋体"/>
          <w:b/>
          <w:color w:val="auto"/>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hint="eastAsia" w:ascii="宋体" w:hAnsi="宋体" w:cs="宋体"/>
          <w:b/>
          <w:color w:val="auto"/>
          <w:highlight w:val="none"/>
        </w:rPr>
        <w:fldChar w:fldCharType="end"/>
      </w:r>
    </w:p>
    <w:p>
      <w:pPr>
        <w:pStyle w:val="2"/>
        <w:spacing w:beforeLines="0" w:afterLines="0" w:line="360" w:lineRule="auto"/>
        <w:rPr>
          <w:rFonts w:ascii="宋体" w:hAnsi="宋体" w:cs="宋体"/>
          <w:color w:val="auto"/>
          <w:sz w:val="32"/>
          <w:szCs w:val="32"/>
          <w:highlight w:val="none"/>
        </w:rPr>
      </w:pPr>
      <w:bookmarkStart w:id="0" w:name="_Toc298230957"/>
      <w:bookmarkStart w:id="1" w:name="_Toc520902391"/>
      <w:r>
        <w:rPr>
          <w:rFonts w:hint="eastAsia" w:ascii="宋体" w:hAnsi="宋体" w:cs="宋体"/>
          <w:color w:val="auto"/>
          <w:sz w:val="32"/>
          <w:szCs w:val="32"/>
          <w:highlight w:val="none"/>
        </w:rPr>
        <w:t>第一部分</w:t>
      </w:r>
      <w:bookmarkEnd w:id="0"/>
      <w:r>
        <w:rPr>
          <w:rFonts w:hint="eastAsia" w:ascii="宋体" w:hAnsi="宋体" w:cs="宋体"/>
          <w:color w:val="auto"/>
          <w:sz w:val="32"/>
          <w:szCs w:val="32"/>
          <w:highlight w:val="none"/>
        </w:rPr>
        <w:t xml:space="preserve">  采购公告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highlight w:val="none"/>
        </w:rPr>
      </w:pPr>
      <w:r>
        <w:rPr>
          <w:rFonts w:hint="eastAsia" w:ascii="宋体" w:hAnsi="宋体" w:cs="宋体"/>
          <w:color w:val="auto"/>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lang w:eastAsia="zh-CN"/>
        </w:rPr>
        <w:t>余姚市中考听力广播系统项目</w:t>
      </w:r>
      <w:r>
        <w:rPr>
          <w:rFonts w:hint="eastAsia" w:ascii="宋体" w:hAnsi="宋体" w:cs="宋体"/>
          <w:color w:val="auto"/>
          <w:highlight w:val="none"/>
        </w:rPr>
        <w:t>招标项目的潜在投标人应在</w:t>
      </w:r>
      <w:r>
        <w:rPr>
          <w:rFonts w:hint="eastAsia" w:ascii="宋体" w:hAnsi="宋体" w:cs="宋体"/>
          <w:color w:val="auto"/>
          <w:highlight w:val="none"/>
          <w:u w:val="single"/>
        </w:rPr>
        <w:t>政府采购云平台（</w:t>
      </w:r>
      <w:r>
        <w:rPr>
          <w:color w:val="auto"/>
          <w:highlight w:val="none"/>
        </w:rPr>
        <w:fldChar w:fldCharType="begin"/>
      </w:r>
      <w:r>
        <w:rPr>
          <w:color w:val="auto"/>
          <w:highlight w:val="none"/>
        </w:rPr>
        <w:instrText xml:space="preserve"> HYPERLINK "http://www.zcygov.cn）获取（下载）招标文件，并于2022年" </w:instrText>
      </w:r>
      <w:r>
        <w:rPr>
          <w:color w:val="auto"/>
          <w:highlight w:val="none"/>
        </w:rPr>
        <w:fldChar w:fldCharType="separate"/>
      </w:r>
      <w:r>
        <w:rPr>
          <w:rStyle w:val="44"/>
          <w:rFonts w:hint="eastAsia" w:ascii="宋体" w:hAnsi="宋体" w:cs="宋体"/>
          <w:color w:val="auto"/>
          <w:highlight w:val="none"/>
        </w:rPr>
        <w:t>www.zcygov.cn）获取（下载）招标文件，并于202</w:t>
      </w:r>
      <w:r>
        <w:rPr>
          <w:rStyle w:val="44"/>
          <w:rFonts w:hint="eastAsia" w:ascii="宋体" w:hAnsi="宋体" w:cs="宋体"/>
          <w:color w:val="auto"/>
          <w:highlight w:val="none"/>
          <w:lang w:val="en-US" w:eastAsia="zh-CN"/>
        </w:rPr>
        <w:t>4</w:t>
      </w:r>
      <w:r>
        <w:rPr>
          <w:rStyle w:val="44"/>
          <w:rFonts w:hint="eastAsia" w:ascii="宋体" w:hAnsi="宋体" w:cs="宋体"/>
          <w:bCs/>
          <w:color w:val="auto"/>
          <w:highlight w:val="none"/>
        </w:rPr>
        <w:t>年</w:t>
      </w:r>
      <w:r>
        <w:rPr>
          <w:rStyle w:val="44"/>
          <w:rFonts w:hint="eastAsia" w:ascii="宋体" w:hAnsi="宋体" w:cs="宋体"/>
          <w:bCs/>
          <w:color w:val="auto"/>
          <w:highlight w:val="none"/>
        </w:rPr>
        <w:fldChar w:fldCharType="end"/>
      </w:r>
      <w:r>
        <w:rPr>
          <w:rFonts w:hint="eastAsia" w:ascii="宋体" w:hAnsi="宋体" w:cs="宋体"/>
          <w:bCs/>
          <w:color w:val="auto"/>
          <w:highlight w:val="none"/>
          <w:u w:val="single"/>
          <w:lang w:val="en-US" w:eastAsia="zh-CN"/>
        </w:rPr>
        <w:t>4</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11</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点00分（</w:t>
      </w:r>
      <w:r>
        <w:rPr>
          <w:rFonts w:hint="eastAsia" w:ascii="宋体" w:hAnsi="宋体" w:cs="宋体"/>
          <w:bCs/>
          <w:color w:val="auto"/>
          <w:highlight w:val="none"/>
        </w:rPr>
        <w:t>北京时间）前递交（上传）投标文件</w:t>
      </w:r>
      <w:r>
        <w:rPr>
          <w:rFonts w:hint="eastAsia" w:ascii="宋体" w:hAnsi="宋体" w:cs="宋体"/>
          <w:color w:val="auto"/>
          <w:highlight w:val="none"/>
        </w:rPr>
        <w:t>。</w:t>
      </w:r>
    </w:p>
    <w:p>
      <w:pPr>
        <w:ind w:firstLine="200"/>
        <w:rPr>
          <w:rFonts w:ascii="宋体" w:hAnsi="宋体" w:cs="宋体"/>
          <w:color w:val="auto"/>
          <w:highlight w:val="none"/>
        </w:rPr>
      </w:pPr>
    </w:p>
    <w:p>
      <w:pPr>
        <w:pStyle w:val="3"/>
        <w:spacing w:line="360" w:lineRule="auto"/>
        <w:jc w:val="both"/>
        <w:rPr>
          <w:rFonts w:ascii="宋体" w:hAnsi="宋体" w:cs="宋体"/>
          <w:color w:val="auto"/>
          <w:sz w:val="21"/>
          <w:szCs w:val="21"/>
          <w:highlight w:val="none"/>
        </w:rPr>
      </w:pPr>
      <w:bookmarkStart w:id="2" w:name="_Toc35393790"/>
      <w:bookmarkStart w:id="3" w:name="_Toc28359079"/>
      <w:bookmarkStart w:id="4" w:name="_Toc28359002"/>
      <w:bookmarkStart w:id="5" w:name="_Toc35393621"/>
      <w:bookmarkStart w:id="6" w:name="_Hlk24379207"/>
      <w:r>
        <w:rPr>
          <w:rFonts w:hint="eastAsia" w:ascii="宋体" w:hAnsi="宋体" w:cs="宋体"/>
          <w:color w:val="auto"/>
          <w:sz w:val="21"/>
          <w:szCs w:val="21"/>
          <w:highlight w:val="none"/>
        </w:rPr>
        <w:t>一、项目基本情况</w:t>
      </w:r>
      <w:bookmarkEnd w:id="2"/>
      <w:bookmarkEnd w:id="3"/>
      <w:bookmarkEnd w:id="4"/>
      <w:bookmarkEnd w:id="5"/>
    </w:p>
    <w:bookmarkEnd w:id="6"/>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项目编号：NBGZZB324010</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余姚市中考听力广播系统项目</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1480000</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1480000</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采购需求：</w:t>
      </w:r>
    </w:p>
    <w:p>
      <w:pPr>
        <w:spacing w:line="360" w:lineRule="auto"/>
        <w:ind w:firstLine="630" w:firstLineChars="300"/>
        <w:rPr>
          <w:rFonts w:hint="eastAsia" w:ascii="宋体" w:hAnsi="宋体" w:eastAsia="宋体" w:cs="宋体"/>
          <w:color w:val="auto"/>
          <w:highlight w:val="none"/>
          <w:lang w:eastAsia="zh-CN"/>
        </w:rPr>
      </w:pPr>
      <w:r>
        <w:rPr>
          <w:rFonts w:hint="eastAsia" w:ascii="宋体" w:hAnsi="宋体" w:cs="宋体"/>
          <w:color w:val="auto"/>
          <w:highlight w:val="none"/>
        </w:rPr>
        <w:t>标项名称：</w:t>
      </w:r>
      <w:r>
        <w:rPr>
          <w:rFonts w:hint="eastAsia" w:ascii="宋体" w:hAnsi="宋体" w:cs="宋体"/>
          <w:color w:val="auto"/>
          <w:highlight w:val="none"/>
          <w:lang w:eastAsia="zh-CN"/>
        </w:rPr>
        <w:t>余姚市中考听力广播系统项目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数量：1</w:t>
      </w:r>
    </w:p>
    <w:p>
      <w:pPr>
        <w:spacing w:line="400" w:lineRule="exact"/>
        <w:ind w:firstLine="630" w:firstLineChars="300"/>
        <w:rPr>
          <w:rFonts w:ascii="宋体" w:hAnsi="宋体" w:cs="宋体"/>
          <w:color w:val="auto"/>
          <w:highlight w:val="none"/>
        </w:rPr>
      </w:pPr>
      <w:r>
        <w:rPr>
          <w:rFonts w:hint="eastAsia" w:ascii="宋体" w:hAnsi="宋体" w:cs="宋体"/>
          <w:color w:val="auto"/>
          <w:highlight w:val="none"/>
        </w:rPr>
        <w:t>简要规格描述或项目基本概况介绍、用途：</w:t>
      </w:r>
      <w:r>
        <w:rPr>
          <w:rFonts w:hint="eastAsia" w:ascii="宋体" w:hAnsi="宋体" w:cs="宋体"/>
          <w:color w:val="auto"/>
          <w:highlight w:val="none"/>
          <w:lang w:eastAsia="zh-CN"/>
        </w:rPr>
        <w:t>余姚市中考听力广播系统项目</w:t>
      </w:r>
      <w:r>
        <w:rPr>
          <w:rFonts w:hint="eastAsia" w:ascii="宋体" w:hAnsi="宋体" w:cs="宋体"/>
          <w:color w:val="auto"/>
          <w:highlight w:val="none"/>
        </w:rPr>
        <w:t>，具体采购内容见第二部分招标项目需求。</w:t>
      </w:r>
    </w:p>
    <w:p>
      <w:pPr>
        <w:spacing w:line="400" w:lineRule="exact"/>
        <w:ind w:firstLine="630" w:firstLineChars="300"/>
        <w:rPr>
          <w:rFonts w:ascii="宋体" w:hAnsi="宋体" w:cs="宋体"/>
          <w:color w:val="auto"/>
          <w:highlight w:val="none"/>
        </w:rPr>
      </w:pPr>
      <w:r>
        <w:rPr>
          <w:rFonts w:hint="eastAsia" w:ascii="宋体" w:hAnsi="宋体" w:cs="宋体"/>
          <w:color w:val="auto"/>
          <w:szCs w:val="21"/>
          <w:highlight w:val="none"/>
        </w:rPr>
        <w:t>备注：/</w:t>
      </w:r>
    </w:p>
    <w:p>
      <w:pPr>
        <w:spacing w:line="400" w:lineRule="exact"/>
        <w:ind w:firstLine="630" w:firstLineChars="300"/>
        <w:rPr>
          <w:rFonts w:ascii="宋体" w:hAnsi="宋体" w:cs="宋体"/>
          <w:color w:val="auto"/>
          <w:szCs w:val="22"/>
          <w:highlight w:val="none"/>
        </w:rPr>
      </w:pPr>
      <w:r>
        <w:rPr>
          <w:rFonts w:hint="eastAsia" w:ascii="宋体" w:hAnsi="宋体" w:cs="宋体"/>
          <w:color w:val="auto"/>
          <w:szCs w:val="22"/>
          <w:highlight w:val="none"/>
        </w:rPr>
        <w:t>合同履约期限：</w:t>
      </w:r>
      <w:r>
        <w:rPr>
          <w:rFonts w:hint="eastAsia" w:ascii="宋体" w:hAnsi="宋体"/>
          <w:color w:val="auto"/>
          <w:szCs w:val="21"/>
          <w:highlight w:val="none"/>
          <w:lang w:eastAsia="zh-CN"/>
        </w:rPr>
        <w:t>合同签订后30日历天内完成设备安装，试运行并在2024年5月</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日前通过验收。</w:t>
      </w:r>
    </w:p>
    <w:p>
      <w:pPr>
        <w:spacing w:line="360" w:lineRule="auto"/>
        <w:ind w:firstLine="630" w:firstLineChars="300"/>
        <w:rPr>
          <w:rFonts w:ascii="宋体" w:hAnsi="宋体" w:cs="宋体"/>
          <w:color w:val="auto"/>
          <w:szCs w:val="22"/>
          <w:highlight w:val="none"/>
        </w:rPr>
      </w:pPr>
      <w:r>
        <w:rPr>
          <w:rFonts w:hint="eastAsia" w:ascii="宋体" w:hAnsi="宋体" w:cs="宋体"/>
          <w:color w:val="auto"/>
          <w:szCs w:val="22"/>
          <w:highlight w:val="none"/>
        </w:rPr>
        <w:t>本项目接受联合体投标。</w:t>
      </w:r>
    </w:p>
    <w:p>
      <w:pPr>
        <w:pStyle w:val="3"/>
        <w:spacing w:line="360" w:lineRule="auto"/>
        <w:jc w:val="both"/>
        <w:rPr>
          <w:rFonts w:ascii="宋体" w:hAnsi="宋体" w:cs="宋体"/>
          <w:color w:val="auto"/>
          <w:sz w:val="21"/>
          <w:szCs w:val="21"/>
          <w:highlight w:val="none"/>
        </w:rPr>
      </w:pPr>
      <w:bookmarkStart w:id="7" w:name="_Toc35393622"/>
      <w:bookmarkStart w:id="8" w:name="_Toc35393791"/>
      <w:bookmarkStart w:id="9" w:name="_Toc28359003"/>
      <w:bookmarkStart w:id="10" w:name="_Toc28359080"/>
      <w:r>
        <w:rPr>
          <w:rFonts w:hint="eastAsia" w:ascii="宋体" w:hAnsi="宋体" w:cs="宋体"/>
          <w:color w:val="auto"/>
          <w:sz w:val="21"/>
          <w:szCs w:val="21"/>
          <w:highlight w:val="none"/>
        </w:rPr>
        <w:t>二、申请人的资格要求：</w:t>
      </w:r>
      <w:bookmarkEnd w:id="7"/>
      <w:bookmarkEnd w:id="8"/>
      <w:bookmarkEnd w:id="9"/>
      <w:bookmarkEnd w:id="10"/>
    </w:p>
    <w:p>
      <w:pPr>
        <w:spacing w:line="360" w:lineRule="auto"/>
        <w:ind w:firstLine="420" w:firstLineChars="200"/>
        <w:rPr>
          <w:rFonts w:ascii="宋体" w:hAnsi="宋体" w:cs="宋体"/>
          <w:color w:val="auto"/>
          <w:szCs w:val="21"/>
          <w:highlight w:val="none"/>
        </w:rPr>
      </w:pPr>
      <w:bookmarkStart w:id="11" w:name="_Toc28359081"/>
      <w:bookmarkStart w:id="12" w:name="_Toc28359004"/>
      <w:r>
        <w:rPr>
          <w:rFonts w:hint="eastAsia" w:ascii="宋体" w:hAnsi="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2.落实政府采购政策需满足的资格要求：</w:t>
      </w:r>
      <w:r>
        <w:rPr>
          <w:rFonts w:hint="eastAsia" w:ascii="宋体" w:hAnsi="宋体" w:cs="宋体"/>
          <w:color w:val="auto"/>
          <w:highlight w:val="none"/>
          <w:lang w:val="en-US" w:eastAsia="zh-CN"/>
        </w:rPr>
        <w:t>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3.本项目的特定资格要求：无。</w:t>
      </w:r>
    </w:p>
    <w:p>
      <w:pPr>
        <w:pStyle w:val="3"/>
        <w:spacing w:line="360" w:lineRule="auto"/>
        <w:jc w:val="both"/>
        <w:rPr>
          <w:rFonts w:ascii="宋体" w:hAnsi="宋体" w:cs="宋体"/>
          <w:color w:val="auto"/>
          <w:sz w:val="21"/>
          <w:szCs w:val="21"/>
          <w:highlight w:val="none"/>
        </w:rPr>
      </w:pPr>
      <w:bookmarkStart w:id="13" w:name="_Toc35393623"/>
      <w:bookmarkStart w:id="14" w:name="_Toc35393792"/>
      <w:r>
        <w:rPr>
          <w:rFonts w:hint="eastAsia" w:ascii="宋体" w:hAnsi="宋体" w:cs="宋体"/>
          <w:color w:val="auto"/>
          <w:sz w:val="21"/>
          <w:szCs w:val="21"/>
          <w:highlight w:val="none"/>
        </w:rPr>
        <w:t>三、获取招标文件</w:t>
      </w:r>
      <w:bookmarkEnd w:id="11"/>
      <w:bookmarkEnd w:id="12"/>
      <w:bookmarkEnd w:id="13"/>
      <w:bookmarkEnd w:id="14"/>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3</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日</w:t>
      </w:r>
      <w:r>
        <w:rPr>
          <w:rFonts w:hint="eastAsia" w:ascii="宋体" w:hAnsi="宋体" w:cs="宋体"/>
          <w:color w:val="auto"/>
          <w:highlight w:val="none"/>
        </w:rPr>
        <w:t>至</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3</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28</w:t>
      </w:r>
      <w:r>
        <w:rPr>
          <w:rFonts w:hint="eastAsia" w:ascii="宋体" w:hAnsi="宋体" w:cs="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地点：政府采购云平台（http://www.zcygov.cn/）。</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方式：本项目实行“政府采购云平台”（http://www.zcygov.cn/）网上获取。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（1）根据《浙江省政府采购供应商注册及诚信管理暂行办法》规定，已在“政府采购云平台”（www.zcygov.cn）或“浙江政府采购网”（ zfcg.czt.zj.gov.cn）注册的投标人获取路径：【用户登录】—【项目采购】—【获取采购文件】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（2）未注册投标人获取路径：【商家入驻】—完成政府采购供应商入驻注册—【项目采购】—【获取采购文件】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请注意注册所需时间。</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注册入驻操作指南：https://service.zcygov.cn/#/knowledges/cm2eqWwBFdiHxlNd_otq/w3Cd3GwBFdiHxlNd-BRD</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注册咨询电话：</w:t>
      </w:r>
      <w:r>
        <w:rPr>
          <w:rFonts w:ascii="宋体" w:hAnsi="宋体" w:cs="宋体"/>
          <w:bCs/>
          <w:color w:val="auto"/>
          <w:szCs w:val="21"/>
          <w:highlight w:val="none"/>
        </w:rPr>
        <w:t>95763</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只有在“浙江政府采购网”完成获取采购文件申请并下载了采购文件后才视作依法获取采购文件（法律法规所指的供应商获取采购文件时间以供应商完成获取采购文件申请后下载采购文件的时间为准）。</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通过本公告下方“游客，浏览采购文件”下载的采购文件仅供浏览，不视作参与本项目。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售价：免费。</w:t>
      </w:r>
    </w:p>
    <w:p>
      <w:pPr>
        <w:spacing w:line="360" w:lineRule="auto"/>
        <w:ind w:firstLine="420" w:firstLineChars="200"/>
        <w:rPr>
          <w:rFonts w:ascii="宋体" w:hAnsi="宋体" w:cs="宋体"/>
          <w:color w:val="auto"/>
          <w:highlight w:val="none"/>
        </w:rPr>
      </w:pPr>
    </w:p>
    <w:p>
      <w:pPr>
        <w:pStyle w:val="3"/>
        <w:spacing w:line="360" w:lineRule="auto"/>
        <w:jc w:val="both"/>
        <w:rPr>
          <w:rFonts w:ascii="宋体" w:hAnsi="宋体" w:cs="宋体"/>
          <w:color w:val="auto"/>
          <w:sz w:val="21"/>
          <w:szCs w:val="21"/>
          <w:highlight w:val="none"/>
        </w:rPr>
      </w:pPr>
      <w:bookmarkStart w:id="15" w:name="_Toc28359005"/>
      <w:bookmarkStart w:id="16" w:name="_Toc28359082"/>
      <w:bookmarkStart w:id="17" w:name="_Toc35393624"/>
      <w:bookmarkStart w:id="18" w:name="_Toc35393793"/>
      <w:r>
        <w:rPr>
          <w:rFonts w:hint="eastAsia" w:ascii="宋体" w:hAnsi="宋体" w:cs="宋体"/>
          <w:color w:val="auto"/>
          <w:sz w:val="21"/>
          <w:szCs w:val="21"/>
          <w:highlight w:val="none"/>
        </w:rPr>
        <w:t>四、提交投标文件</w:t>
      </w:r>
      <w:bookmarkEnd w:id="15"/>
      <w:bookmarkEnd w:id="16"/>
      <w:r>
        <w:rPr>
          <w:rFonts w:hint="eastAsia" w:ascii="宋体" w:hAnsi="宋体" w:cs="宋体"/>
          <w:color w:val="auto"/>
          <w:sz w:val="21"/>
          <w:szCs w:val="21"/>
          <w:highlight w:val="none"/>
        </w:rPr>
        <w:t>截止时间、开标时间和地点</w:t>
      </w:r>
      <w:bookmarkEnd w:id="17"/>
      <w:bookmarkEnd w:id="18"/>
    </w:p>
    <w:p>
      <w:pPr>
        <w:spacing w:line="360" w:lineRule="auto"/>
        <w:ind w:firstLine="420" w:firstLineChars="200"/>
        <w:rPr>
          <w:rFonts w:ascii="宋体" w:hAnsi="宋体" w:cs="宋体"/>
          <w:bCs/>
          <w:color w:val="auto"/>
          <w:szCs w:val="21"/>
          <w:highlight w:val="none"/>
        </w:rPr>
      </w:pPr>
      <w:r>
        <w:rPr>
          <w:rFonts w:hint="eastAsia" w:ascii="宋体" w:hAnsi="宋体" w:cs="宋体"/>
          <w:color w:val="auto"/>
          <w:highlight w:val="none"/>
        </w:rPr>
        <w:t>提交投标文件截止时间：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4</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11</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点</w:t>
      </w:r>
      <w:r>
        <w:rPr>
          <w:rFonts w:hint="eastAsia" w:ascii="宋体" w:hAnsi="宋体" w:cs="宋体"/>
          <w:bCs/>
          <w:color w:val="auto"/>
          <w:highlight w:val="none"/>
          <w:u w:val="single"/>
          <w:lang w:val="en-US" w:eastAsia="zh-CN"/>
        </w:rPr>
        <w:t>00</w:t>
      </w:r>
      <w:r>
        <w:rPr>
          <w:rFonts w:hint="eastAsia" w:ascii="宋体" w:hAnsi="宋体" w:cs="宋体"/>
          <w:bCs/>
          <w:color w:val="auto"/>
          <w:highlight w:val="none"/>
          <w:u w:val="single"/>
        </w:rPr>
        <w:t>分</w:t>
      </w:r>
      <w:r>
        <w:rPr>
          <w:rFonts w:hint="eastAsia" w:ascii="宋体" w:hAnsi="宋体" w:cs="宋体"/>
          <w:bCs/>
          <w:color w:val="auto"/>
          <w:highlight w:val="none"/>
        </w:rPr>
        <w:t>（北京时间），</w:t>
      </w:r>
      <w:r>
        <w:rPr>
          <w:rFonts w:hint="eastAsia" w:ascii="宋体" w:hAnsi="宋体" w:cs="宋体"/>
          <w:color w:val="auto"/>
          <w:szCs w:val="21"/>
          <w:highlight w:val="none"/>
        </w:rPr>
        <w:t>投标人应在投标截止时间前将电子加密投标文件上传到“政采云”平台，逾期上传或上传不成功的，其投标无效。</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投标地点（网址）：政采云平台（https://www.zcygov.cn/）</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4</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11</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点</w:t>
      </w:r>
      <w:r>
        <w:rPr>
          <w:rFonts w:hint="eastAsia" w:ascii="宋体" w:hAnsi="宋体" w:cs="宋体"/>
          <w:bCs/>
          <w:color w:val="auto"/>
          <w:highlight w:val="none"/>
          <w:u w:val="single"/>
          <w:lang w:val="en-US" w:eastAsia="zh-CN"/>
        </w:rPr>
        <w:t>00</w:t>
      </w:r>
      <w:r>
        <w:rPr>
          <w:rFonts w:hint="eastAsia" w:ascii="宋体" w:hAnsi="宋体" w:cs="宋体"/>
          <w:bCs/>
          <w:color w:val="auto"/>
          <w:highlight w:val="none"/>
          <w:u w:val="single"/>
        </w:rPr>
        <w:t>分</w:t>
      </w:r>
      <w:r>
        <w:rPr>
          <w:rFonts w:hint="eastAsia" w:ascii="宋体" w:hAnsi="宋体" w:cs="宋体"/>
          <w:bCs/>
          <w:color w:val="auto"/>
          <w:highlight w:val="none"/>
        </w:rPr>
        <w:t>（北京时间）</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开标地点（网址）：政采云平台（https://www.zcygov.cn/）</w:t>
      </w:r>
    </w:p>
    <w:p>
      <w:pPr>
        <w:rPr>
          <w:color w:val="auto"/>
          <w:highlight w:val="none"/>
        </w:rPr>
      </w:pPr>
      <w:bookmarkStart w:id="19" w:name="_Toc35393625"/>
      <w:bookmarkStart w:id="20" w:name="_Toc28359084"/>
      <w:bookmarkStart w:id="21" w:name="_Toc35393794"/>
      <w:bookmarkStart w:id="22" w:name="_Toc28359007"/>
    </w:p>
    <w:p>
      <w:pPr>
        <w:pStyle w:val="3"/>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五、公告期限</w:t>
      </w:r>
      <w:bookmarkEnd w:id="19"/>
      <w:bookmarkEnd w:id="20"/>
      <w:bookmarkEnd w:id="21"/>
      <w:bookmarkEnd w:id="22"/>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rPr>
          <w:color w:val="auto"/>
          <w:highlight w:val="none"/>
        </w:rPr>
      </w:pPr>
      <w:bookmarkStart w:id="23" w:name="_Toc35393626"/>
      <w:bookmarkStart w:id="24" w:name="_Toc35393795"/>
      <w:bookmarkStart w:id="25" w:name="_Toc28359008"/>
      <w:bookmarkStart w:id="26" w:name="_Toc35393627"/>
      <w:bookmarkStart w:id="27" w:name="_Toc35393796"/>
      <w:bookmarkStart w:id="28" w:name="_Toc28359085"/>
    </w:p>
    <w:p>
      <w:pPr>
        <w:pStyle w:val="3"/>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六、其他补充事宜</w:t>
      </w:r>
      <w:bookmarkEnd w:id="23"/>
      <w:bookmarkEnd w:id="24"/>
    </w:p>
    <w:p>
      <w:pPr>
        <w:spacing w:line="400" w:lineRule="exact"/>
        <w:ind w:firstLine="476" w:firstLineChars="227"/>
        <w:rPr>
          <w:rFonts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76" w:firstLineChars="227"/>
        <w:rPr>
          <w:rFonts w:ascii="宋体" w:hAnsi="宋体" w:cs="宋体"/>
          <w:b/>
          <w:bCs/>
          <w:color w:val="auto"/>
          <w:szCs w:val="21"/>
          <w:highlight w:val="none"/>
        </w:rPr>
      </w:pPr>
      <w:r>
        <w:rPr>
          <w:rFonts w:hint="eastAsia" w:ascii="宋体" w:hAnsi="宋体" w:cs="宋体"/>
          <w:b/>
          <w:bCs/>
          <w:color w:val="auto"/>
          <w:szCs w:val="21"/>
          <w:highlight w:val="none"/>
        </w:rPr>
        <w:t>2．其他事项：</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2.1 在线询问及在线质疑操作方式</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2.1.1在线询问</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潜在供应商获取采购文件后，对政府采购活动事项有疑问的，可对该项目进行在线询问及查看询问答复，访问路径如下：应用中心（登录首页）—项目采购—询问质疑投诉—询问列表；</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2.1.2在线质疑</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供应商认为采购文件、采购过程、中标或者成交结果使自己的权益受到损害的，可以在知道或者应知其权益受到损害之日起7个工作日内，对采购文件、采购过程、采购结果进行在线质疑（需在线签章）并查看质疑答复，访问路径如下：</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应用中心（登录首页）—项目采购—询问质疑投诉—质疑列表。</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2.2 供应商应于提交投标文件截止时间前将电子加密投标文件上传到政府采购云平台www.zcygov.cn，未上传电子投标文件，视为供应商放弃投标。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2.3 供应商在“政府采购云平台”完成“电子加密投标文件”的上传递交之外，还可以（邮寄形式或派人现场提交，以招标代理机构联系人签收时间为准）在投标截止时间前提交以介质（U盘</w:t>
      </w:r>
      <w:r>
        <w:rPr>
          <w:rFonts w:hint="eastAsia" w:ascii="宋体" w:hAnsi="宋体" w:cs="宋体"/>
          <w:color w:val="auto"/>
          <w:kern w:val="0"/>
          <w:szCs w:val="21"/>
          <w:highlight w:val="none"/>
        </w:rPr>
        <w:t>或光盘</w:t>
      </w:r>
      <w:r>
        <w:rPr>
          <w:rFonts w:hint="eastAsia" w:ascii="宋体" w:hAnsi="宋体" w:cs="宋体"/>
          <w:bCs/>
          <w:color w:val="auto"/>
          <w:szCs w:val="21"/>
          <w:highlight w:val="none"/>
        </w:rPr>
        <w:t xml:space="preserve">）存储的数据电文形式的“备份投标文件”，备份电子投标文件递交可采用现场递交或邮寄的方式。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一）现场递交方式，请供应商安排在投标截止时间前将电子备份投标文件送至余姚市公共资源交易中心（余姚市谭家岭东路2号，南雷大厦附楼4楼，详见开评标场所安排），投标文件递交时须同时递交供应商的法定代表人（或其授权代表）联系方式，并保证开标期间联系方式畅通。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（二）邮寄送达。供应商可以通过邮寄送达电子备份投标文件，送达地址</w:t>
      </w:r>
      <w:r>
        <w:rPr>
          <w:rFonts w:hint="eastAsia" w:ascii="宋体" w:hAnsi="宋体" w:cs="宋体"/>
          <w:bCs/>
          <w:color w:val="auto"/>
          <w:szCs w:val="21"/>
          <w:highlight w:val="none"/>
          <w:lang w:eastAsia="zh-CN"/>
        </w:rPr>
        <w:t>宁波国咨工程造价咨询有限公司</w:t>
      </w:r>
      <w:r>
        <w:rPr>
          <w:rFonts w:hint="eastAsia" w:ascii="宋体" w:hAnsi="宋体" w:cs="宋体"/>
          <w:bCs/>
          <w:color w:val="auto"/>
          <w:szCs w:val="21"/>
          <w:highlight w:val="none"/>
        </w:rPr>
        <w:t>（宁波市鄞州区和源路510号宁兴国贸大厦</w:t>
      </w:r>
      <w:r>
        <w:rPr>
          <w:rFonts w:hint="eastAsia" w:ascii="宋体" w:hAnsi="宋体" w:cs="宋体"/>
          <w:bCs/>
          <w:color w:val="auto"/>
          <w:szCs w:val="21"/>
          <w:highlight w:val="none"/>
          <w:lang w:val="en-US" w:eastAsia="zh-CN"/>
        </w:rPr>
        <w:t>1203</w:t>
      </w:r>
      <w:r>
        <w:rPr>
          <w:rFonts w:hint="eastAsia" w:ascii="宋体" w:hAnsi="宋体" w:cs="宋体"/>
          <w:bCs/>
          <w:color w:val="auto"/>
          <w:szCs w:val="21"/>
          <w:highlight w:val="none"/>
        </w:rPr>
        <w:t>室），联系方式：</w:t>
      </w:r>
      <w:r>
        <w:rPr>
          <w:rFonts w:hint="eastAsia" w:ascii="宋体" w:hAnsi="宋体" w:cs="宋体"/>
          <w:bCs/>
          <w:color w:val="auto"/>
          <w:szCs w:val="21"/>
          <w:highlight w:val="none"/>
          <w:lang w:val="en-US" w:eastAsia="zh-CN"/>
        </w:rPr>
        <w:t>0574-88203787</w:t>
      </w:r>
      <w:r>
        <w:rPr>
          <w:rFonts w:hint="eastAsia" w:ascii="宋体" w:hAnsi="宋体" w:cs="宋体"/>
          <w:bCs/>
          <w:color w:val="auto"/>
          <w:szCs w:val="21"/>
          <w:highlight w:val="none"/>
        </w:rPr>
        <w:t>。供应商邮寄后须将邮件单号发送至代理机构电子邮箱（电子邮箱：</w:t>
      </w:r>
      <w:r>
        <w:rPr>
          <w:rFonts w:hint="eastAsia" w:ascii="宋体" w:hAnsi="宋体" w:cs="宋体"/>
          <w:bCs/>
          <w:color w:val="auto"/>
          <w:szCs w:val="21"/>
          <w:highlight w:val="none"/>
          <w:lang w:val="en-US" w:eastAsia="zh-CN"/>
        </w:rPr>
        <w:t>464492651</w:t>
      </w:r>
      <w:r>
        <w:rPr>
          <w:rFonts w:hint="eastAsia" w:ascii="宋体" w:hAnsi="宋体" w:cs="宋体"/>
          <w:bCs/>
          <w:color w:val="auto"/>
          <w:szCs w:val="21"/>
          <w:highlight w:val="none"/>
        </w:rPr>
        <w:t xml:space="preserve">@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为投标截止时间前一天17时00分。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2.4 开标时间后30分钟内供应商可以登录政采云平台，用“项目采购-开标评标”功能</w:t>
      </w:r>
      <w:r>
        <w:rPr>
          <w:rFonts w:hint="eastAsia" w:ascii="宋体" w:hAnsi="宋体" w:cs="宋体"/>
          <w:color w:val="auto"/>
          <w:szCs w:val="21"/>
          <w:highlight w:val="none"/>
        </w:rPr>
        <w:t>对电子投标文件进行在线解密</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3．采购项目需要落实的政府采购政策：《政府采购促进中小企业发展管理办法》（财库〔2020〕46号）、《关于政府采购支持监狱企业发展有关问题的通知》(财库〔2014〕68号)、《关于促进残疾人就业政府采购政策的通知》（财库〔2017〕141号）。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4．投标与开标注意事项： 投标形式：本项目实行网上投标，采用电子投标文件。若供应商参与投标，自行承担投标一切费用。 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供应商自行承担。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5．投标文件制作： 应按照本项目招标文件和政采云平台的要求编制、加密并递交投标文件。供应商在使用系统进行投标的过程中遇到涉及平台使用的任何问题，可致电政采云平台技术支持热线</w:t>
      </w:r>
      <w:r>
        <w:rPr>
          <w:rFonts w:ascii="宋体" w:hAnsi="宋体" w:cs="宋体"/>
          <w:bCs/>
          <w:color w:val="auto"/>
          <w:szCs w:val="21"/>
          <w:highlight w:val="none"/>
        </w:rPr>
        <w:t>95763</w:t>
      </w:r>
      <w:r>
        <w:rPr>
          <w:rFonts w:hint="eastAsia" w:ascii="宋体" w:hAnsi="宋体" w:cs="宋体"/>
          <w:bCs/>
          <w:color w:val="auto"/>
          <w:szCs w:val="21"/>
          <w:highlight w:val="none"/>
        </w:rPr>
        <w:t>或政采云服务专员电话0574-63917219。 投标人通过政采云平台电子投标工具制作投标文件，电子投标工具请供应商自行前往浙江省政府采购网下载并安装，下载网址：http://zfcg.czt.zj.gov.cn/bidClientTemplate/2019-05-27/12946.html， 供应商投标文件制作及电子交易操作指南：https://help.zcygov.cn/web/site_2/2018/12-28/2575.html （PDF操作指南）。制作电子投标文件的系统配置要求：请使用windows7及以上64位操作系统，不适用于mac或linux桌面系统。</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 6．根据财库〔2016〕125号文要求，采购人或采购代理机构对投标人的信用记录进行查询并甄别：</w:t>
      </w:r>
    </w:p>
    <w:p>
      <w:pPr>
        <w:spacing w:line="400" w:lineRule="exact"/>
        <w:ind w:firstLine="476" w:firstLineChars="227"/>
        <w:rPr>
          <w:rFonts w:ascii="宋体" w:hAnsi="宋体" w:cs="宋体"/>
          <w:bCs/>
          <w:color w:val="auto"/>
          <w:szCs w:val="21"/>
          <w:highlight w:val="none"/>
        </w:rPr>
      </w:pPr>
      <w:r>
        <w:rPr>
          <w:rFonts w:ascii="宋体" w:hAnsi="宋体" w:cs="宋体"/>
          <w:bCs/>
          <w:color w:val="auto"/>
          <w:szCs w:val="21"/>
          <w:highlight w:val="none"/>
        </w:rPr>
        <w:t>6.1</w:t>
      </w:r>
      <w:r>
        <w:rPr>
          <w:rFonts w:hint="eastAsia" w:ascii="宋体" w:hAnsi="宋体" w:cs="宋体"/>
          <w:bCs/>
          <w:color w:val="auto"/>
          <w:szCs w:val="21"/>
          <w:highlight w:val="none"/>
        </w:rPr>
        <w:t>信用信息查询的截止时点：投标截止时间；</w:t>
      </w:r>
    </w:p>
    <w:p>
      <w:pPr>
        <w:spacing w:line="400" w:lineRule="exact"/>
        <w:ind w:firstLine="476" w:firstLineChars="227"/>
        <w:rPr>
          <w:rFonts w:ascii="宋体" w:hAnsi="宋体" w:cs="宋体"/>
          <w:bCs/>
          <w:color w:val="auto"/>
          <w:szCs w:val="21"/>
          <w:highlight w:val="none"/>
        </w:rPr>
      </w:pPr>
      <w:r>
        <w:rPr>
          <w:rFonts w:ascii="宋体" w:hAnsi="宋体" w:cs="宋体"/>
          <w:bCs/>
          <w:color w:val="auto"/>
          <w:szCs w:val="21"/>
          <w:highlight w:val="none"/>
        </w:rPr>
        <w:t>6.2</w:t>
      </w:r>
      <w:r>
        <w:rPr>
          <w:rFonts w:hint="eastAsia" w:ascii="宋体" w:hAnsi="宋体" w:cs="宋体"/>
          <w:bCs/>
          <w:color w:val="auto"/>
          <w:szCs w:val="21"/>
          <w:highlight w:val="none"/>
        </w:rPr>
        <w:t>查询渠道：“信用中国”（www.creditchina.gov.cn)、中国政府采购网（www.ccgp.gov.cn）；</w:t>
      </w:r>
    </w:p>
    <w:p>
      <w:pPr>
        <w:spacing w:line="400" w:lineRule="exact"/>
        <w:ind w:firstLine="476" w:firstLineChars="227"/>
        <w:rPr>
          <w:rFonts w:ascii="宋体" w:hAnsi="宋体" w:cs="宋体"/>
          <w:bCs/>
          <w:color w:val="auto"/>
          <w:szCs w:val="21"/>
          <w:highlight w:val="none"/>
        </w:rPr>
      </w:pPr>
      <w:r>
        <w:rPr>
          <w:rFonts w:ascii="宋体" w:hAnsi="宋体" w:cs="宋体"/>
          <w:bCs/>
          <w:color w:val="auto"/>
          <w:szCs w:val="21"/>
          <w:highlight w:val="none"/>
        </w:rPr>
        <w:t>6.3</w:t>
      </w:r>
      <w:r>
        <w:rPr>
          <w:rFonts w:hint="eastAsia" w:ascii="宋体" w:hAnsi="宋体" w:cs="宋体"/>
          <w:bCs/>
          <w:color w:val="auto"/>
          <w:szCs w:val="21"/>
          <w:highlight w:val="none"/>
        </w:rPr>
        <w:t>信用信息查询记录和证据留存具体方式：打印查询网页并与其他采购文件一并保存；</w:t>
      </w:r>
    </w:p>
    <w:p>
      <w:pPr>
        <w:spacing w:line="400" w:lineRule="exact"/>
        <w:ind w:firstLine="476" w:firstLineChars="227"/>
        <w:rPr>
          <w:rFonts w:ascii="宋体" w:hAnsi="宋体" w:cs="宋体"/>
          <w:bCs/>
          <w:color w:val="auto"/>
          <w:szCs w:val="21"/>
          <w:highlight w:val="none"/>
        </w:rPr>
      </w:pPr>
      <w:r>
        <w:rPr>
          <w:rFonts w:ascii="宋体" w:hAnsi="宋体" w:cs="宋体"/>
          <w:bCs/>
          <w:color w:val="auto"/>
          <w:szCs w:val="21"/>
          <w:highlight w:val="none"/>
        </w:rPr>
        <w:t>6.4</w:t>
      </w:r>
      <w:r>
        <w:rPr>
          <w:rFonts w:hint="eastAsia" w:ascii="宋体" w:hAnsi="宋体" w:cs="宋体"/>
          <w:bCs/>
          <w:color w:val="auto"/>
          <w:szCs w:val="21"/>
          <w:highlight w:val="none"/>
        </w:rPr>
        <w:t>信用信息的使用规则：投标人存在不良信用记录的，其投标将被作为无效投标处理。不良信用记录指：被列入失信被执行人、重大税收违法案件当事人名单、政府采购严重违法失信行为记录名单。</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若在开标当天因不可抗力事件导致无法查询且一时无法恢复查询的，可在发布中标结果公告之前对中标候选人进行事后查询。中标候选人被列入失信被执行人、重大税收违法案件当事人名单、政府采购严重违法失信行为记录名单的，采购人将依法取消其中标资格</w:t>
      </w:r>
      <w:bookmarkEnd w:id="25"/>
      <w:bookmarkEnd w:id="26"/>
      <w:bookmarkEnd w:id="27"/>
      <w:bookmarkEnd w:id="28"/>
      <w:r>
        <w:rPr>
          <w:rFonts w:hint="eastAsia" w:ascii="宋体" w:hAnsi="宋体" w:cs="宋体"/>
          <w:bCs/>
          <w:color w:val="auto"/>
          <w:szCs w:val="21"/>
          <w:highlight w:val="none"/>
        </w:rPr>
        <w:t>。</w:t>
      </w:r>
    </w:p>
    <w:p>
      <w:pPr>
        <w:spacing w:line="400" w:lineRule="exact"/>
        <w:ind w:firstLine="420" w:firstLineChars="200"/>
        <w:rPr>
          <w:color w:val="auto"/>
          <w:highlight w:val="none"/>
        </w:rPr>
      </w:pPr>
      <w:r>
        <w:rPr>
          <w:rFonts w:hint="eastAsia"/>
          <w:color w:val="auto"/>
          <w:highlight w:val="none"/>
        </w:rPr>
        <w:t>7</w:t>
      </w:r>
      <w:r>
        <w:rPr>
          <w:color w:val="auto"/>
          <w:highlight w:val="none"/>
        </w:rPr>
        <w:t>、其他补充事宜</w:t>
      </w:r>
    </w:p>
    <w:p>
      <w:pPr>
        <w:spacing w:line="400" w:lineRule="exact"/>
        <w:ind w:firstLine="420" w:firstLineChars="200"/>
        <w:rPr>
          <w:color w:val="auto"/>
          <w:highlight w:val="none"/>
        </w:rPr>
      </w:pPr>
      <w:r>
        <w:rPr>
          <w:color w:val="auto"/>
          <w:highlight w:val="none"/>
        </w:rPr>
        <w:t xml:space="preserve">1） </w:t>
      </w:r>
      <w:r>
        <w:rPr>
          <w:rFonts w:hint="eastAsia"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spacing w:line="400" w:lineRule="exact"/>
        <w:ind w:firstLine="420" w:firstLineChars="200"/>
        <w:jc w:val="left"/>
        <w:rPr>
          <w:color w:val="auto"/>
          <w:highlight w:val="none"/>
        </w:rPr>
      </w:pPr>
      <w:r>
        <w:rPr>
          <w:color w:val="auto"/>
          <w:highlight w:val="none"/>
        </w:rPr>
        <w:t>2）</w:t>
      </w:r>
      <w:r>
        <w:rPr>
          <w:rFonts w:hint="eastAsia"/>
          <w:color w:val="auto"/>
          <w:highlight w:val="none"/>
        </w:rPr>
        <w:t xml:space="preserve"> </w:t>
      </w:r>
      <w:r>
        <w:rPr>
          <w:color w:val="auto"/>
          <w:highlight w:val="none"/>
        </w:rPr>
        <w:t>根据《浙江省财政厅关于进一步促进政府采购公平竞争打造最优营商环境的通知》（浙财采监</w:t>
      </w:r>
      <w:r>
        <w:rPr>
          <w:rFonts w:hint="eastAsia" w:ascii="宋体" w:hAnsi="宋体" w:cs="宋体"/>
          <w:bCs/>
          <w:color w:val="auto"/>
          <w:szCs w:val="21"/>
          <w:highlight w:val="none"/>
        </w:rPr>
        <w:t>〔</w:t>
      </w:r>
      <w:r>
        <w:rPr>
          <w:color w:val="auto"/>
          <w:highlight w:val="none"/>
        </w:rPr>
        <w:t>2021</w:t>
      </w:r>
      <w:r>
        <w:rPr>
          <w:rFonts w:hint="eastAsia" w:ascii="宋体" w:hAnsi="宋体" w:cs="宋体"/>
          <w:bCs/>
          <w:color w:val="auto"/>
          <w:szCs w:val="21"/>
          <w:highlight w:val="none"/>
        </w:rPr>
        <w:t>〕</w:t>
      </w:r>
      <w:r>
        <w:rPr>
          <w:color w:val="auto"/>
          <w:highlight w:val="none"/>
        </w:rPr>
        <w:t>22号）文件关于“健全行政裁决机制”要求，鼓励供应商提起询问</w:t>
      </w:r>
      <w:r>
        <w:rPr>
          <w:rFonts w:hint="eastAsia"/>
          <w:color w:val="auto"/>
          <w:highlight w:val="none"/>
        </w:rPr>
        <w:t>、</w:t>
      </w:r>
      <w:r>
        <w:rPr>
          <w:color w:val="auto"/>
          <w:highlight w:val="none"/>
        </w:rPr>
        <w:t>质疑，质疑供应商对质疑答复不满意的，可在线提起投诉。</w:t>
      </w:r>
    </w:p>
    <w:p>
      <w:pPr>
        <w:spacing w:line="400" w:lineRule="exact"/>
        <w:ind w:firstLine="420" w:firstLineChars="200"/>
        <w:rPr>
          <w:color w:val="auto"/>
          <w:highlight w:val="none"/>
        </w:rPr>
      </w:pPr>
      <w:r>
        <w:rPr>
          <w:rFonts w:hint="eastAsia"/>
          <w:color w:val="auto"/>
          <w:highlight w:val="none"/>
        </w:rPr>
        <w:t>3）</w:t>
      </w:r>
      <w:r>
        <w:rPr>
          <w:rFonts w:ascii="宋体" w:hAnsi="宋体"/>
          <w:color w:val="auto"/>
          <w:szCs w:val="21"/>
          <w:highlight w:val="none"/>
        </w:rPr>
        <w:t>中小企业信用融资的相关政策</w:t>
      </w:r>
      <w:r>
        <w:rPr>
          <w:rFonts w:hint="eastAsia" w:ascii="宋体" w:hAnsi="宋体"/>
          <w:color w:val="auto"/>
          <w:szCs w:val="21"/>
          <w:highlight w:val="none"/>
        </w:rPr>
        <w:t>:</w:t>
      </w:r>
      <w:r>
        <w:rPr>
          <w:rFonts w:ascii="宋体" w:hAnsi="宋体"/>
          <w:color w:val="auto"/>
          <w:szCs w:val="21"/>
          <w:highlight w:val="none"/>
        </w:rPr>
        <w:t>中小企业信用融资：供应商中标后也可在“政采云”平台申请政采贷：操作路径：登录政采云平台-金融服务中心-</w:t>
      </w:r>
      <w:r>
        <w:rPr>
          <w:rFonts w:hint="eastAsia" w:ascii="宋体" w:hAnsi="宋体"/>
          <w:color w:val="auto"/>
          <w:szCs w:val="21"/>
          <w:highlight w:val="none"/>
        </w:rPr>
        <w:t>[</w:t>
      </w:r>
      <w:r>
        <w:rPr>
          <w:rFonts w:ascii="宋体" w:hAnsi="宋体"/>
          <w:color w:val="auto"/>
          <w:szCs w:val="21"/>
          <w:highlight w:val="none"/>
        </w:rPr>
        <w:t>融资服务</w:t>
      </w:r>
      <w:r>
        <w:rPr>
          <w:rFonts w:hint="eastAsia" w:ascii="宋体" w:hAnsi="宋体"/>
          <w:color w:val="auto"/>
          <w:szCs w:val="21"/>
          <w:highlight w:val="none"/>
        </w:rPr>
        <w:t>]</w:t>
      </w:r>
      <w:r>
        <w:rPr>
          <w:rFonts w:ascii="宋体" w:hAnsi="宋体"/>
          <w:color w:val="auto"/>
          <w:szCs w:val="21"/>
          <w:highlight w:val="none"/>
        </w:rPr>
        <w:t>，可在热门申请中选择产品直接申请，也可点击云智贷匹配适合产品进行申请，或者在可申请项目中根据该项目进行申请。</w:t>
      </w:r>
    </w:p>
    <w:p>
      <w:pPr>
        <w:pStyle w:val="3"/>
        <w:keepLines/>
        <w:spacing w:before="260" w:after="260" w:line="360" w:lineRule="exact"/>
        <w:jc w:val="both"/>
        <w:rPr>
          <w:rFonts w:ascii="宋体" w:hAnsi="宋体" w:cs="宋体"/>
          <w:bCs w:val="0"/>
          <w:color w:val="auto"/>
          <w:sz w:val="21"/>
          <w:szCs w:val="21"/>
          <w:highlight w:val="none"/>
        </w:rPr>
      </w:pPr>
      <w:r>
        <w:rPr>
          <w:rFonts w:ascii="宋体" w:hAnsi="宋体" w:cs="宋体"/>
          <w:bCs w:val="0"/>
          <w:color w:val="auto"/>
          <w:sz w:val="21"/>
          <w:szCs w:val="21"/>
          <w:highlight w:val="none"/>
        </w:rPr>
        <w:t>七、</w:t>
      </w:r>
      <w:r>
        <w:rPr>
          <w:rFonts w:hint="eastAsia" w:ascii="宋体" w:hAnsi="宋体" w:cs="宋体"/>
          <w:bCs w:val="0"/>
          <w:color w:val="auto"/>
          <w:sz w:val="21"/>
          <w:szCs w:val="21"/>
          <w:highlight w:val="none"/>
        </w:rPr>
        <w:t>对本次采购提出询问、质疑、投诉，请按以下方式联系。</w:t>
      </w:r>
    </w:p>
    <w:p>
      <w:pPr>
        <w:widowControl/>
        <w:spacing w:line="400" w:lineRule="exact"/>
        <w:ind w:left="141" w:leftChars="67" w:hanging="1"/>
        <w:jc w:val="left"/>
        <w:rPr>
          <w:rFonts w:ascii="宋体" w:hAnsi="宋体" w:cs="宋体"/>
          <w:color w:val="auto"/>
          <w:szCs w:val="21"/>
          <w:highlight w:val="none"/>
        </w:rPr>
      </w:pPr>
      <w:r>
        <w:rPr>
          <w:rFonts w:hint="eastAsia" w:ascii="宋体" w:hAnsi="宋体" w:cs="宋体"/>
          <w:color w:val="auto"/>
          <w:szCs w:val="21"/>
          <w:highlight w:val="none"/>
        </w:rPr>
        <w:t>1.采购人信息</w:t>
      </w:r>
    </w:p>
    <w:p>
      <w:pPr>
        <w:widowControl/>
        <w:spacing w:line="360" w:lineRule="auto"/>
        <w:ind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名    称：</w:t>
      </w:r>
      <w:r>
        <w:rPr>
          <w:rFonts w:hint="eastAsia" w:ascii="宋体" w:hAnsi="宋体" w:cs="宋体"/>
          <w:color w:val="auto"/>
          <w:highlight w:val="none"/>
          <w:u w:val="single"/>
          <w:lang w:eastAsia="zh-CN"/>
        </w:rPr>
        <w:t>余姚市教育局</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u w:val="single"/>
          <w:lang w:eastAsia="zh-CN"/>
        </w:rPr>
        <w:t>余姚市兰江街道谭家岭西路142号</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项目联系人（询问）：</w:t>
      </w:r>
      <w:r>
        <w:rPr>
          <w:rFonts w:hint="eastAsia" w:ascii="宋体" w:hAnsi="宋体" w:cs="宋体"/>
          <w:color w:val="auto"/>
          <w:highlight w:val="none"/>
          <w:u w:val="single"/>
        </w:rPr>
        <w:t>俞</w:t>
      </w:r>
      <w:r>
        <w:rPr>
          <w:rFonts w:hint="eastAsia" w:ascii="宋体" w:hAnsi="宋体" w:cs="宋体"/>
          <w:color w:val="auto"/>
          <w:highlight w:val="none"/>
          <w:u w:val="single"/>
          <w:lang w:val="en-US" w:eastAsia="zh-CN"/>
        </w:rPr>
        <w:t>老师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项目联系方式（询问）：</w:t>
      </w:r>
      <w:r>
        <w:rPr>
          <w:rFonts w:hint="eastAsia" w:ascii="宋体" w:hAnsi="宋体" w:cs="宋体"/>
          <w:color w:val="auto"/>
          <w:highlight w:val="none"/>
          <w:u w:val="single"/>
          <w:lang w:val="en-US" w:eastAsia="zh-CN"/>
        </w:rPr>
        <w:t xml:space="preserve"> 0574-89553200</w:t>
      </w:r>
      <w:r>
        <w:rPr>
          <w:rFonts w:hint="eastAsia" w:ascii="宋体" w:hAnsi="宋体" w:cs="宋体"/>
          <w:color w:val="auto"/>
          <w:highlight w:val="none"/>
          <w:u w:val="single"/>
        </w:rPr>
        <w:t xml:space="preserve"> </w:t>
      </w:r>
    </w:p>
    <w:p>
      <w:pPr>
        <w:widowControl/>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rPr>
        <w:t>质疑联系人：</w:t>
      </w:r>
      <w:r>
        <w:rPr>
          <w:rFonts w:hint="eastAsia" w:ascii="宋体" w:hAnsi="宋体" w:cs="宋体"/>
          <w:color w:val="auto"/>
          <w:highlight w:val="none"/>
          <w:u w:val="single"/>
        </w:rPr>
        <w:t>章</w:t>
      </w:r>
      <w:r>
        <w:rPr>
          <w:rFonts w:hint="eastAsia" w:ascii="宋体" w:hAnsi="宋体" w:cs="宋体"/>
          <w:color w:val="auto"/>
          <w:highlight w:val="none"/>
          <w:u w:val="single"/>
          <w:lang w:val="en-US" w:eastAsia="zh-CN"/>
        </w:rPr>
        <w:t>老师</w:t>
      </w:r>
    </w:p>
    <w:p>
      <w:pPr>
        <w:widowControl/>
        <w:spacing w:line="360" w:lineRule="auto"/>
        <w:ind w:firstLine="420" w:firstLineChars="200"/>
        <w:jc w:val="left"/>
        <w:rPr>
          <w:rFonts w:hint="eastAsia" w:ascii="宋体" w:hAnsi="宋体" w:eastAsia="宋体" w:cs="宋体"/>
          <w:color w:val="auto"/>
          <w:highlight w:val="none"/>
          <w:u w:val="single"/>
          <w:lang w:val="en-US" w:eastAsia="zh-CN"/>
        </w:rPr>
      </w:pPr>
      <w:r>
        <w:rPr>
          <w:rFonts w:hint="eastAsia" w:ascii="宋体" w:hAnsi="宋体" w:cs="宋体"/>
          <w:color w:val="auto"/>
          <w:highlight w:val="none"/>
        </w:rPr>
        <w:t>质疑联系方式：</w:t>
      </w:r>
      <w:r>
        <w:rPr>
          <w:rFonts w:hint="eastAsia" w:ascii="宋体" w:hAnsi="宋体" w:cs="宋体"/>
          <w:color w:val="auto"/>
          <w:highlight w:val="none"/>
          <w:u w:val="single"/>
          <w:lang w:val="en-US" w:eastAsia="zh-CN"/>
        </w:rPr>
        <w:t xml:space="preserve"> 0574-</w:t>
      </w:r>
      <w:r>
        <w:rPr>
          <w:rFonts w:hint="eastAsia" w:ascii="宋体" w:hAnsi="宋体" w:cs="宋体"/>
          <w:color w:val="auto"/>
          <w:highlight w:val="none"/>
          <w:u w:val="single"/>
        </w:rPr>
        <w:t>89553173</w:t>
      </w:r>
      <w:r>
        <w:rPr>
          <w:rFonts w:hint="eastAsia" w:ascii="宋体" w:hAnsi="宋体" w:cs="宋体"/>
          <w:color w:val="auto"/>
          <w:highlight w:val="none"/>
          <w:u w:val="single"/>
          <w:lang w:val="en-US" w:eastAsia="zh-CN"/>
        </w:rPr>
        <w:t xml:space="preserve"> </w:t>
      </w:r>
    </w:p>
    <w:p>
      <w:pPr>
        <w:pStyle w:val="36"/>
        <w:ind w:firstLine="400"/>
        <w:rPr>
          <w:rFonts w:ascii="宋体" w:hAnsi="宋体" w:cs="宋体"/>
          <w:color w:val="auto"/>
          <w:highlight w:val="none"/>
        </w:rPr>
      </w:pPr>
    </w:p>
    <w:p>
      <w:pPr>
        <w:widowControl/>
        <w:spacing w:line="360" w:lineRule="auto"/>
        <w:ind w:firstLine="210" w:firstLineChars="100"/>
        <w:jc w:val="left"/>
        <w:rPr>
          <w:rFonts w:ascii="宋体" w:hAnsi="宋体" w:cs="宋体"/>
          <w:color w:val="auto"/>
          <w:highlight w:val="none"/>
        </w:rPr>
      </w:pPr>
      <w:r>
        <w:rPr>
          <w:rFonts w:hint="eastAsia" w:ascii="宋体" w:hAnsi="宋体" w:cs="宋体"/>
          <w:color w:val="auto"/>
          <w:highlight w:val="none"/>
        </w:rPr>
        <w:t>2.采购代理机构信息</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u w:val="single"/>
          <w:lang w:eastAsia="zh-CN"/>
        </w:rPr>
        <w:t>宁波国咨工程造价咨询有限公司</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宁波市鄞州区和源路510号宁兴国贸大厦</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楼</w:t>
      </w:r>
      <w:r>
        <w:rPr>
          <w:rFonts w:hint="eastAsia" w:ascii="宋体" w:hAnsi="宋体" w:cs="宋体"/>
          <w:color w:val="auto"/>
          <w:highlight w:val="none"/>
          <w:u w:val="single"/>
          <w:lang w:val="en-US" w:eastAsia="zh-CN"/>
        </w:rPr>
        <w:t>1203</w:t>
      </w:r>
      <w:r>
        <w:rPr>
          <w:rFonts w:hint="eastAsia" w:ascii="宋体" w:hAnsi="宋体" w:cs="宋体"/>
          <w:color w:val="auto"/>
          <w:highlight w:val="none"/>
          <w:u w:val="single"/>
        </w:rPr>
        <w:t>室</w:t>
      </w:r>
    </w:p>
    <w:p>
      <w:pPr>
        <w:widowControl/>
        <w:spacing w:line="360" w:lineRule="auto"/>
        <w:ind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项目联系人（询问）：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王浩宇</w:t>
      </w:r>
    </w:p>
    <w:p>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项目联系方式（询问）：</w:t>
      </w:r>
      <w:r>
        <w:rPr>
          <w:rFonts w:hint="eastAsia" w:ascii="宋体" w:hAnsi="宋体" w:eastAsia="宋体" w:cs="宋体"/>
          <w:color w:val="auto"/>
          <w:highlight w:val="none"/>
          <w:u w:val="single"/>
          <w:lang w:val="en-US" w:eastAsia="zh-CN"/>
        </w:rPr>
        <w:t>18857470943</w:t>
      </w:r>
    </w:p>
    <w:p>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质疑联系人：</w:t>
      </w:r>
      <w:r>
        <w:rPr>
          <w:rFonts w:hint="eastAsia" w:ascii="宋体" w:hAnsi="宋体" w:cs="宋体"/>
          <w:color w:val="auto"/>
          <w:highlight w:val="none"/>
          <w:u w:val="single"/>
          <w:lang w:val="en-US" w:eastAsia="zh-CN"/>
        </w:rPr>
        <w:t>陈钢峰</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w:t>
      </w:r>
      <w:r>
        <w:rPr>
          <w:rFonts w:hint="eastAsia" w:ascii="宋体" w:hAnsi="宋体" w:eastAsia="宋体" w:cs="宋体"/>
          <w:color w:val="auto"/>
          <w:highlight w:val="none"/>
          <w:u w:val="single"/>
          <w:lang w:val="en-US" w:eastAsia="zh-CN"/>
        </w:rPr>
        <w:t>0574-88203787</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电子邮箱：</w:t>
      </w:r>
      <w:r>
        <w:rPr>
          <w:rFonts w:hint="eastAsia" w:ascii="宋体" w:hAnsi="宋体" w:cs="宋体"/>
          <w:bCs/>
          <w:color w:val="auto"/>
          <w:szCs w:val="21"/>
          <w:highlight w:val="none"/>
          <w:u w:val="single"/>
          <w:lang w:val="en-US" w:eastAsia="zh-CN"/>
        </w:rPr>
        <w:t>464492651</w:t>
      </w:r>
      <w:r>
        <w:rPr>
          <w:rFonts w:hint="eastAsia" w:ascii="宋体" w:hAnsi="宋体" w:cs="宋体"/>
          <w:bCs/>
          <w:color w:val="auto"/>
          <w:szCs w:val="21"/>
          <w:highlight w:val="none"/>
          <w:u w:val="single"/>
        </w:rPr>
        <w:t>@qq.com</w:t>
      </w:r>
    </w:p>
    <w:p>
      <w:pPr>
        <w:widowControl/>
        <w:spacing w:line="360" w:lineRule="auto"/>
        <w:ind w:firstLine="210" w:firstLineChars="100"/>
        <w:jc w:val="left"/>
        <w:rPr>
          <w:rFonts w:ascii="宋体" w:hAnsi="宋体" w:cs="宋体"/>
          <w:color w:val="auto"/>
          <w:highlight w:val="none"/>
        </w:rPr>
      </w:pPr>
      <w:r>
        <w:rPr>
          <w:rFonts w:hint="eastAsia" w:ascii="宋体" w:hAnsi="宋体" w:cs="宋体"/>
          <w:color w:val="auto"/>
          <w:highlight w:val="none"/>
        </w:rPr>
        <w:t xml:space="preserve"> </w:t>
      </w:r>
    </w:p>
    <w:p>
      <w:pPr>
        <w:spacing w:line="360" w:lineRule="auto"/>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同级政府采购监督管理部门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名称：余姚市财政局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地址：余姚市南滨江路118号；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联系人 ：303办公室 </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监督投诉电话：0574-89553033；</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w:t>
      </w:r>
      <w:r>
        <w:rPr>
          <w:rFonts w:ascii="宋体" w:hAnsi="宋体" w:cs="宋体"/>
          <w:color w:val="auto"/>
          <w:szCs w:val="21"/>
          <w:highlight w:val="none"/>
        </w:rPr>
        <w:t>95763</w:t>
      </w:r>
      <w:r>
        <w:rPr>
          <w:rFonts w:hint="eastAsia" w:ascii="宋体" w:hAnsi="宋体" w:cs="宋体"/>
          <w:color w:val="auto"/>
          <w:szCs w:val="21"/>
          <w:highlight w:val="none"/>
        </w:rPr>
        <w:t>获取热线服务帮助。</w:t>
      </w:r>
    </w:p>
    <w:p>
      <w:pPr>
        <w:spacing w:line="360" w:lineRule="auto"/>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pPr>
        <w:pStyle w:val="48"/>
        <w:rPr>
          <w:color w:val="auto"/>
          <w:highlight w:val="none"/>
        </w:rPr>
      </w:pPr>
    </w:p>
    <w:p>
      <w:pPr>
        <w:pStyle w:val="48"/>
        <w:rPr>
          <w:color w:val="auto"/>
          <w:highlight w:val="none"/>
        </w:rPr>
      </w:pPr>
    </w:p>
    <w:p>
      <w:pPr>
        <w:rPr>
          <w:color w:val="auto"/>
          <w:highlight w:val="none"/>
        </w:rPr>
      </w:pPr>
      <w:r>
        <w:rPr>
          <w:color w:val="auto"/>
          <w:highlight w:val="none"/>
        </w:rPr>
        <w:br w:type="page"/>
      </w:r>
    </w:p>
    <w:p>
      <w:pPr>
        <w:pStyle w:val="2"/>
        <w:spacing w:beforeLines="0" w:afterLines="0" w:line="360" w:lineRule="auto"/>
        <w:rPr>
          <w:rFonts w:ascii="宋体" w:hAnsi="宋体" w:cs="宋体"/>
          <w:color w:val="auto"/>
          <w:sz w:val="32"/>
          <w:szCs w:val="32"/>
          <w:highlight w:val="none"/>
        </w:rPr>
      </w:pPr>
      <w:r>
        <w:rPr>
          <w:rFonts w:hint="eastAsia" w:ascii="宋体" w:hAnsi="宋体" w:cs="宋体"/>
          <w:color w:val="auto"/>
          <w:sz w:val="32"/>
          <w:szCs w:val="32"/>
          <w:highlight w:val="none"/>
        </w:rPr>
        <w:t>第二部分 招标项目需求</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项目需求前附表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82"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679"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679"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679"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82" w:type="dxa"/>
            <w:vAlign w:val="center"/>
          </w:tcPr>
          <w:p>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679"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82" w:type="dxa"/>
            <w:vAlign w:val="bottom"/>
          </w:tcPr>
          <w:p>
            <w:pPr>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679" w:type="dxa"/>
            <w:vAlign w:val="bottom"/>
          </w:tcPr>
          <w:p>
            <w:pPr>
              <w:spacing w:line="360" w:lineRule="exact"/>
              <w:rPr>
                <w:rFonts w:ascii="宋体" w:hAnsi="宋体" w:cs="宋体"/>
                <w:color w:val="auto"/>
                <w:szCs w:val="21"/>
                <w:highlight w:val="none"/>
              </w:rPr>
            </w:pPr>
            <w:r>
              <w:rPr>
                <w:rFonts w:hint="eastAsia" w:ascii="宋体" w:hAnsi="宋体" w:cs="宋体"/>
                <w:color w:val="auto"/>
                <w:szCs w:val="21"/>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82" w:type="dxa"/>
            <w:vAlign w:val="center"/>
          </w:tcPr>
          <w:p>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679"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82" w:type="dxa"/>
            <w:vAlign w:val="center"/>
          </w:tcPr>
          <w:p>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p>
        </w:tc>
        <w:tc>
          <w:tcPr>
            <w:tcW w:w="5679"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679"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679"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679"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679"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产品质量必须执行国家相关标准、行业标准、地方标准或者其它标准、规范，按照就高原则执行。</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1、本项目的材料、设备、安装必须达到现行中华人民共和国及省市行业的一切有关法规规范的要求。</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2、施工工艺及技术要求：按照相关图纸和相关的技术规范、验收规范。</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3、供应商应负责在建设工地现场进行施工直至该项目验收合格、交付使用，其费用应包括在项目总价中。</w:t>
            </w:r>
          </w:p>
          <w:p>
            <w:pPr>
              <w:spacing w:line="360" w:lineRule="exact"/>
              <w:rPr>
                <w:rFonts w:ascii="宋体" w:hAnsi="宋体" w:cs="宋体"/>
                <w:color w:val="auto"/>
                <w:highlight w:val="none"/>
              </w:rPr>
            </w:pPr>
            <w:r>
              <w:rPr>
                <w:rFonts w:hint="eastAsia" w:ascii="宋体" w:hAnsi="宋体" w:cs="宋体"/>
                <w:color w:val="auto"/>
                <w:szCs w:val="21"/>
                <w:highlight w:val="none"/>
              </w:rPr>
              <w:t>4、项目验收：由采购人验收，依据为国家有关规定、采购文件、成交供应商的投标文件以及其他相关文件和资料。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679" w:type="dxa"/>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1、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实质性技术要求。由用户组织验收。</w:t>
            </w: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2、用户对货物验收合格后，双方共同签署验收合格证书，验收中发现货物达不到验收标准或合同规定的性能指标，成交供应商必须免费更换，并且赔偿由此给用户造成的损失，直到验收合格为止。</w:t>
            </w: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项目验收合格后的验收报告(验收报告格式自拟)按规定备案存查。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售后服务要求</w:t>
            </w:r>
          </w:p>
        </w:tc>
        <w:tc>
          <w:tcPr>
            <w:tcW w:w="5679" w:type="dxa"/>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服务响应时间：</w:t>
            </w: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承诺实行24小时电话服务，技术人员实行无节假日的7*24小时上门响应服务（根据用户需求进行安排）。</w:t>
            </w: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对系统故障，用户可通过服务单位所提供热线电话取得技术支持服务。服务单位在接到用户故障申告电话后应于30分钟内响应，如故障未能在1小时内通过远程支持得到解决，服务单位应将根据用户要求派指定服务工程师以最快方式赶往用户现场，原则上应在2个小时内到达现场，提供不间断故障处理服务。</w:t>
            </w: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故障分析时间：</w:t>
            </w:r>
          </w:p>
          <w:p>
            <w:pPr>
              <w:bidi w:val="0"/>
              <w:rPr>
                <w:color w:val="auto"/>
                <w:highlight w:val="none"/>
              </w:rPr>
            </w:pPr>
            <w:r>
              <w:rPr>
                <w:rFonts w:hint="eastAsia"/>
                <w:color w:val="auto"/>
                <w:highlight w:val="none"/>
              </w:rPr>
              <w:t>服务单位在系统恢复正常运行后，应对系统运行情况进行跟踪，并结合故障现场信息对故障产生原因进行分析，3日内提交故障分析报告及解决方案。</w:t>
            </w:r>
          </w:p>
          <w:p>
            <w:pPr>
              <w:adjustRightInd w:val="0"/>
              <w:spacing w:line="360" w:lineRule="exact"/>
              <w:rPr>
                <w:rFonts w:hint="eastAsia" w:ascii="宋体" w:hAnsi="宋体" w:cs="宋体"/>
                <w:bCs/>
                <w:color w:val="auto"/>
                <w:szCs w:val="22"/>
                <w:highlight w:val="none"/>
              </w:rPr>
            </w:pPr>
            <w:r>
              <w:rPr>
                <w:rFonts w:hint="eastAsia" w:ascii="宋体" w:hAnsi="宋体" w:cs="宋体"/>
                <w:bCs/>
                <w:color w:val="auto"/>
                <w:szCs w:val="22"/>
                <w:highlight w:val="none"/>
              </w:rPr>
              <w:t>质量保证期内出现质量问题,中标单位负责包修、包退、包换。</w:t>
            </w:r>
          </w:p>
          <w:p>
            <w:pPr>
              <w:bidi w:val="0"/>
              <w:rPr>
                <w:rFonts w:hint="default" w:eastAsia="宋体"/>
                <w:color w:val="auto"/>
                <w:highlight w:val="none"/>
                <w:lang w:val="en-US" w:eastAsia="zh-CN"/>
              </w:rPr>
            </w:pPr>
            <w:r>
              <w:rPr>
                <w:rFonts w:hint="eastAsia"/>
                <w:color w:val="auto"/>
                <w:highlight w:val="none"/>
                <w:lang w:val="en-US" w:eastAsia="zh-CN"/>
              </w:rPr>
              <w:t>投标人须拟派项目团队在英语听力考试期间进行驻点，每所学校驻点技术人员不得少于1人，确保本项目涉及的22所学校在英语听力考试期间设备的正常运行，以及能及时有效的排除故障，保证英语听力考试的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679" w:type="dxa"/>
            <w:vAlign w:val="center"/>
          </w:tcPr>
          <w:p>
            <w:pPr>
              <w:spacing w:line="360" w:lineRule="exact"/>
              <w:rPr>
                <w:rFonts w:ascii="宋体" w:hAnsi="宋体" w:cs="宋体"/>
                <w:b/>
                <w:bCs/>
                <w:color w:val="auto"/>
                <w:szCs w:val="21"/>
                <w:highlight w:val="none"/>
              </w:rPr>
            </w:pPr>
            <w:r>
              <w:rPr>
                <w:rFonts w:hint="eastAsia" w:ascii="宋体" w:hAnsi="宋体" w:cs="宋体"/>
                <w:bCs/>
                <w:color w:val="auto"/>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679"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本项目的核心产品</w:t>
            </w:r>
          </w:p>
        </w:tc>
        <w:tc>
          <w:tcPr>
            <w:tcW w:w="5679" w:type="dxa"/>
            <w:vAlign w:val="center"/>
          </w:tcPr>
          <w:p>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主功放</w:t>
            </w:r>
            <w:r>
              <w:rPr>
                <w:rFonts w:hint="eastAsia" w:ascii="宋体" w:hAnsi="宋体" w:cs="宋体"/>
                <w:color w:val="auto"/>
                <w:szCs w:val="21"/>
                <w:highlight w:val="none"/>
                <w:lang w:val="en-US" w:eastAsia="zh-CN"/>
              </w:rPr>
              <w:t>、壁挂音箱</w:t>
            </w:r>
          </w:p>
        </w:tc>
      </w:tr>
    </w:tbl>
    <w:p>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商务要求</w:t>
      </w:r>
    </w:p>
    <w:tbl>
      <w:tblPr>
        <w:tblStyle w:val="37"/>
        <w:tblW w:w="87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7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711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1"/>
                <w:highlight w:val="none"/>
              </w:rPr>
            </w:pPr>
            <w:r>
              <w:rPr>
                <w:rFonts w:hint="eastAsia" w:ascii="宋体" w:hAnsi="宋体" w:cs="宋体"/>
                <w:color w:val="auto"/>
                <w:szCs w:val="21"/>
                <w:highlight w:val="none"/>
              </w:rPr>
              <w:t>★</w:t>
            </w:r>
            <w:r>
              <w:rPr>
                <w:rFonts w:hint="eastAsia" w:ascii="宋体" w:hAnsi="宋体" w:cs="宋体"/>
                <w:color w:val="auto"/>
                <w:highlight w:val="none"/>
              </w:rPr>
              <w:t>1.签订合同时间</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中标通知书发出之日起30日内签订合同，具体签约时间以采购人通知为准。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★2.工期</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合同签订后30日历天内完成设备安装，试运行并在2024年5月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日前通过验收。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ind w:left="36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服务地点</w:t>
            </w:r>
          </w:p>
        </w:tc>
        <w:tc>
          <w:tcPr>
            <w:tcW w:w="7110" w:type="dxa"/>
            <w:tcBorders>
              <w:top w:val="single" w:color="auto" w:sz="4" w:space="0"/>
              <w:left w:val="single" w:color="auto" w:sz="4" w:space="0"/>
              <w:bottom w:val="single" w:color="auto" w:sz="4" w:space="0"/>
              <w:right w:val="single" w:color="auto" w:sz="4" w:space="0"/>
            </w:tcBorders>
            <w:vAlign w:val="center"/>
          </w:tcPr>
          <w:p>
            <w:pPr>
              <w:pStyle w:val="21"/>
              <w:snapToGrid w:val="0"/>
              <w:spacing w:line="400" w:lineRule="exact"/>
              <w:rPr>
                <w:rFonts w:hAnsi="宋体" w:cs="宋体"/>
                <w:color w:val="auto"/>
                <w:sz w:val="21"/>
                <w:highlight w:val="none"/>
              </w:rPr>
            </w:pPr>
            <w:r>
              <w:rPr>
                <w:rFonts w:hint="eastAsia" w:hAnsi="宋体" w:cs="宋体"/>
                <w:color w:val="auto"/>
                <w:sz w:val="21"/>
                <w:highlight w:val="none"/>
              </w:rPr>
              <w:t>招标人指定地点。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★4.付款条件</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合同生效并具备实施条件后7个工作日内，采购人向中标人支付合同总额的40%作为预付款（中标人于合同签订前书面承诺放弃预付款或降低预付款支付比例的，可不适用本条款，具体支付方式由双方在合同签订中自行约定）；</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2）项目完成安装、调试、试运行并通过竣工验收后</w:t>
            </w:r>
            <w:r>
              <w:rPr>
                <w:rFonts w:ascii="宋体" w:hAnsi="宋体" w:cs="宋体"/>
                <w:color w:val="auto"/>
                <w:szCs w:val="21"/>
                <w:highlight w:val="none"/>
              </w:rPr>
              <w:t>支付</w:t>
            </w:r>
            <w:r>
              <w:rPr>
                <w:rFonts w:hint="eastAsia" w:ascii="宋体" w:hAnsi="宋体" w:cs="宋体"/>
                <w:color w:val="auto"/>
                <w:szCs w:val="21"/>
                <w:highlight w:val="none"/>
              </w:rPr>
              <w:t>剩余</w:t>
            </w:r>
            <w:r>
              <w:rPr>
                <w:rFonts w:ascii="宋体" w:hAnsi="宋体" w:cs="宋体"/>
                <w:color w:val="auto"/>
                <w:szCs w:val="21"/>
                <w:highlight w:val="none"/>
              </w:rPr>
              <w:t>合同总价的</w:t>
            </w:r>
            <w:r>
              <w:rPr>
                <w:rFonts w:hint="eastAsia" w:ascii="宋体" w:hAnsi="宋体" w:cs="宋体"/>
                <w:color w:val="auto"/>
                <w:szCs w:val="21"/>
                <w:highlight w:val="none"/>
                <w:lang w:val="en-US" w:eastAsia="zh-CN"/>
              </w:rPr>
              <w:t>60</w:t>
            </w:r>
            <w:r>
              <w:rPr>
                <w:rFonts w:ascii="宋体" w:hAnsi="宋体" w:cs="宋体"/>
                <w:color w:val="auto"/>
                <w:szCs w:val="21"/>
                <w:highlight w:val="none"/>
              </w:rPr>
              <w:t>%</w:t>
            </w:r>
            <w:r>
              <w:rPr>
                <w:rFonts w:hint="eastAsia" w:ascii="宋体" w:hAnsi="宋体" w:cs="宋体"/>
                <w:color w:val="auto"/>
                <w:szCs w:val="21"/>
                <w:highlight w:val="none"/>
              </w:rPr>
              <w:t>。</w:t>
            </w:r>
          </w:p>
          <w:p>
            <w:pPr>
              <w:spacing w:line="400" w:lineRule="exact"/>
              <w:rPr>
                <w:rFonts w:hAnsi="宋体" w:cs="宋体"/>
                <w:color w:val="auto"/>
                <w:highlight w:val="none"/>
              </w:rPr>
            </w:pPr>
            <w:r>
              <w:rPr>
                <w:rFonts w:hint="eastAsia" w:ascii="宋体" w:hAnsi="宋体" w:cs="宋体"/>
                <w:color w:val="auto"/>
                <w:szCs w:val="21"/>
                <w:highlight w:val="none"/>
              </w:rPr>
              <w:t>注：约定的支付时间以政府财政性资金支付要求为准，如因财政等原因导致支付延迟，采购人不承担相应责任。每次合同款支付前中标人必须先向采购人提供该次应付款金额100%的正规税务发票。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★5.履约保证金</w:t>
            </w:r>
          </w:p>
        </w:tc>
        <w:tc>
          <w:tcPr>
            <w:tcW w:w="7110" w:type="dxa"/>
            <w:tcBorders>
              <w:top w:val="single" w:color="auto" w:sz="4" w:space="0"/>
              <w:left w:val="single" w:color="auto" w:sz="4" w:space="0"/>
              <w:bottom w:val="single" w:color="auto" w:sz="4" w:space="0"/>
              <w:right w:val="single" w:color="auto" w:sz="4" w:space="0"/>
            </w:tcBorders>
            <w:vAlign w:val="center"/>
          </w:tcPr>
          <w:p>
            <w:pPr>
              <w:pStyle w:val="21"/>
              <w:snapToGrid w:val="0"/>
              <w:spacing w:line="400" w:lineRule="exact"/>
              <w:rPr>
                <w:rFonts w:hAnsi="宋体" w:cs="宋体"/>
                <w:color w:val="auto"/>
                <w:sz w:val="21"/>
                <w:highlight w:val="none"/>
              </w:rPr>
            </w:pPr>
            <w:r>
              <w:rPr>
                <w:rFonts w:hint="eastAsia" w:hAnsi="宋体" w:cs="宋体"/>
                <w:color w:val="auto"/>
                <w:sz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highlight w:val="none"/>
              </w:rPr>
            </w:pPr>
            <w:r>
              <w:rPr>
                <w:rFonts w:hint="eastAsia" w:ascii="宋体" w:hAnsi="宋体" w:cs="宋体"/>
                <w:color w:val="auto"/>
                <w:szCs w:val="21"/>
                <w:highlight w:val="none"/>
              </w:rPr>
              <w:t>★</w:t>
            </w:r>
            <w:r>
              <w:rPr>
                <w:rFonts w:hint="eastAsia" w:ascii="宋体" w:hAnsi="宋体"/>
                <w:color w:val="auto"/>
                <w:szCs w:val="21"/>
                <w:highlight w:val="none"/>
              </w:rPr>
              <w:t>6.质保期</w:t>
            </w:r>
          </w:p>
        </w:tc>
        <w:tc>
          <w:tcPr>
            <w:tcW w:w="71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bCs/>
                <w:color w:val="auto"/>
                <w:szCs w:val="22"/>
                <w:highlight w:val="none"/>
                <w:lang w:val="en-US" w:eastAsia="zh-CN"/>
              </w:rPr>
            </w:pPr>
            <w:r>
              <w:rPr>
                <w:rFonts w:hint="eastAsia" w:ascii="宋体" w:hAnsi="宋体" w:cs="宋体"/>
                <w:color w:val="auto"/>
                <w:szCs w:val="21"/>
                <w:highlight w:val="none"/>
              </w:rPr>
              <w:t>质保期：</w:t>
            </w:r>
            <w:r>
              <w:rPr>
                <w:rFonts w:hint="eastAsia" w:ascii="宋体" w:hAnsi="宋体" w:cs="宋体"/>
                <w:color w:val="auto"/>
                <w:szCs w:val="21"/>
                <w:highlight w:val="none"/>
                <w:lang w:val="en-US" w:eastAsia="zh-CN"/>
              </w:rPr>
              <w:t>本项目整体质保三年，个别设备承诺提供原厂质保的，以承诺的时间为准。</w:t>
            </w:r>
          </w:p>
          <w:p>
            <w:pPr>
              <w:spacing w:line="360" w:lineRule="exact"/>
              <w:jc w:val="left"/>
              <w:rPr>
                <w:rFonts w:ascii="宋体" w:hAnsi="宋体"/>
                <w:color w:val="auto"/>
                <w:szCs w:val="21"/>
                <w:highlight w:val="none"/>
              </w:rPr>
            </w:pPr>
            <w:r>
              <w:rPr>
                <w:rFonts w:hint="eastAsia" w:ascii="宋体" w:hAnsi="宋体" w:cs="宋体"/>
                <w:color w:val="auto"/>
                <w:kern w:val="0"/>
                <w:szCs w:val="21"/>
                <w:highlight w:val="none"/>
              </w:rPr>
              <w:t>在质保期间，负责对设备（若设备出现质量问题，应及时更换或修复）和平台的对接、接入进行及时维护，服务范围至少包括软件升级、扩容支持、性能调优、技术咨询、各种突发事件的应急策略、数据备份等。由于设备及其系统质量瑕疵造成的缺陷或影响使用的问题，乙方应无条件免费进行修复至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color w:val="auto"/>
                <w:szCs w:val="21"/>
                <w:highlight w:val="none"/>
              </w:rPr>
              <w:t>★</w:t>
            </w:r>
            <w:r>
              <w:rPr>
                <w:rFonts w:hint="eastAsia"/>
                <w:color w:val="auto"/>
                <w:highlight w:val="none"/>
              </w:rPr>
              <w:t>7.</w:t>
            </w:r>
            <w:r>
              <w:rPr>
                <w:color w:val="auto"/>
                <w:highlight w:val="none"/>
              </w:rPr>
              <w:t xml:space="preserve"> </w:t>
            </w:r>
            <w:r>
              <w:rPr>
                <w:rFonts w:hint="eastAsia"/>
                <w:color w:val="auto"/>
                <w:highlight w:val="none"/>
              </w:rPr>
              <w:t>技术培训</w:t>
            </w:r>
          </w:p>
        </w:tc>
        <w:tc>
          <w:tcPr>
            <w:tcW w:w="7110"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hint="default" w:eastAsia="宋体"/>
                <w:color w:val="auto"/>
                <w:highlight w:val="none"/>
                <w:lang w:val="en-US" w:eastAsia="zh-CN"/>
              </w:rPr>
            </w:pPr>
            <w:r>
              <w:rPr>
                <w:rFonts w:hint="eastAsia"/>
                <w:color w:val="auto"/>
                <w:highlight w:val="none"/>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★8.备品备件及材料等要求</w:t>
            </w:r>
          </w:p>
        </w:tc>
        <w:tc>
          <w:tcPr>
            <w:tcW w:w="7110"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color w:val="auto"/>
                <w:szCs w:val="21"/>
                <w:highlight w:val="none"/>
              </w:rPr>
            </w:pPr>
            <w:r>
              <w:rPr>
                <w:rFonts w:hint="eastAsia" w:ascii="宋体" w:hAnsi="宋体" w:cs="宋体"/>
                <w:bCs/>
                <w:color w:val="auto"/>
                <w:szCs w:val="22"/>
                <w:highlight w:val="none"/>
              </w:rPr>
              <w:t>免费提供质保期内备品备件；中标人对主要设备须提供足够的备品备件、附件和耗材并保证是原厂生产，以满足设备正常运行的需要。（需在投标文件中明确免费提供的备品备件名称和数量）。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64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highlight w:val="none"/>
              </w:rPr>
              <w:t>9.</w:t>
            </w:r>
            <w:r>
              <w:rPr>
                <w:rFonts w:hint="eastAsia" w:ascii="宋体" w:hAnsi="宋体" w:cs="宋体"/>
                <w:color w:val="auto"/>
                <w:highlight w:val="none"/>
              </w:rPr>
              <w:t>其他</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1.在采购及合同执行过程中，供应商应承担由于其行为所造成的人身伤害、财产损失或损坏的责任，无论何种原因所造成，采购人均不负责。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640" w:type="dxa"/>
            <w:vMerge w:val="continue"/>
            <w:tcBorders>
              <w:left w:val="single" w:color="auto" w:sz="4" w:space="0"/>
              <w:right w:val="single" w:color="auto" w:sz="4" w:space="0"/>
            </w:tcBorders>
            <w:vAlign w:val="center"/>
          </w:tcPr>
          <w:p>
            <w:pPr>
              <w:spacing w:line="400" w:lineRule="exact"/>
              <w:jc w:val="left"/>
              <w:rPr>
                <w:rFonts w:ascii="宋体" w:hAnsi="宋体" w:cs="宋体"/>
                <w:color w:val="auto"/>
                <w:highlight w:val="none"/>
              </w:rPr>
            </w:pP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2.在合同履行过程中，中标人不得存在与本项目实施有利害冲突，影响或可能影响考核公正的情形，一旦出现，采购人有权</w:t>
            </w:r>
            <w:r>
              <w:rPr>
                <w:rFonts w:hint="eastAsia" w:ascii="宋体" w:hAnsi="宋体" w:cs="宋体"/>
                <w:color w:val="auto"/>
                <w:szCs w:val="21"/>
                <w:highlight w:val="none"/>
              </w:rPr>
              <w:t>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40"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highlight w:val="none"/>
              </w:rPr>
            </w:pP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中标人在完成设备安装调试后，须邀请具备国家检测资质的第三方检测机构对设备播放的实际效果进行检测，所出具的检测报告须满足《宁波市初中学业水平考试英语听力考试设备配置参考标准》，如检测结果不符合要求，中标人须对设备进行整改直至通过检测。相关的检测费用以及整改费用由中标人自行承担。</w:t>
            </w:r>
          </w:p>
        </w:tc>
      </w:tr>
    </w:tbl>
    <w:p>
      <w:pPr>
        <w:widowControl/>
        <w:spacing w:line="360" w:lineRule="auto"/>
        <w:jc w:val="center"/>
        <w:rPr>
          <w:rFonts w:ascii="宋体" w:hAnsi="宋体" w:cs="宋体"/>
          <w:color w:val="auto"/>
          <w:sz w:val="24"/>
          <w:szCs w:val="28"/>
          <w:highlight w:val="none"/>
        </w:rPr>
        <w:sectPr>
          <w:headerReference r:id="rId7" w:type="default"/>
          <w:footerReference r:id="rId8" w:type="default"/>
          <w:pgSz w:w="11907" w:h="16840"/>
          <w:pgMar w:top="1276" w:right="1701" w:bottom="1428" w:left="1701" w:header="720" w:footer="720" w:gutter="0"/>
          <w:cols w:space="720" w:num="1"/>
          <w:docGrid w:type="linesAndChars" w:linePitch="286" w:charSpace="0"/>
        </w:sectPr>
      </w:pPr>
    </w:p>
    <w:p>
      <w:pPr>
        <w:widowControl/>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一、技术要点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根据现有校园广播系统采用“模拟+模拟”或“模拟+数字”的主、备路传输方式，必须采用模拟广播系统作为主播放系统。</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广播室设备配置：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CD光盘播放器，不能具有较为强大的纠错功能；手提式CD播放机；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功放：功率＞考场数×音响功率×1.5，必须有备用功放；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主备功放切换器（自动倒备器）：具有自动切换和手动切换功能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UPS不间断电源：保证后备运行时长大于等于1小时</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传输线路：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模拟广播系统的设备都是非常成熟的设备，整个系统的关键在于施工，所有广播系统 </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color w:val="auto"/>
          <w:highlight w:val="none"/>
          <w:lang w:val="en-US" w:eastAsia="zh-CN"/>
        </w:rPr>
      </w:pPr>
      <w:r>
        <w:rPr>
          <w:rFonts w:hint="eastAsia"/>
          <w:color w:val="auto"/>
          <w:highlight w:val="none"/>
          <w:lang w:val="en-US" w:eastAsia="zh-CN"/>
        </w:rPr>
        <w:t xml:space="preserve">施工须满足《公共广播系统工程技术标准》（GB/T50526—2021）。尤其需注意广播传输线缆宜减少接驳，需要接驳时，接头要求焊接并妥善包扎并安置在防水接线盒内。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监理、验收要点：</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到货设备的合格证、说明书作为验收依据之一妥善保留；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布线时全程监理，广播室与教学楼之间不允许接驳；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 xml:space="preserve">施工布线图纸务必保留，接驳点必须标出； </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教室听音位务必进行声压测试；平均分贝值在70dB以上。</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eastAsia"/>
          <w:color w:val="auto"/>
          <w:highlight w:val="none"/>
          <w:lang w:val="en-US" w:eastAsia="zh-CN"/>
        </w:rPr>
      </w:pPr>
      <w:r>
        <w:rPr>
          <w:rFonts w:hint="eastAsia"/>
          <w:color w:val="auto"/>
          <w:highlight w:val="none"/>
          <w:lang w:val="en-US" w:eastAsia="zh-CN"/>
        </w:rPr>
        <w:t>售后服务要求：</w:t>
      </w:r>
    </w:p>
    <w:p>
      <w:pPr>
        <w:keepNext w:val="0"/>
        <w:keepLines w:val="0"/>
        <w:pageBreakBefore w:val="0"/>
        <w:kinsoku/>
        <w:wordWrap/>
        <w:overflowPunct/>
        <w:topLinePunct w:val="0"/>
        <w:autoSpaceDE/>
        <w:autoSpaceDN/>
        <w:bidi w:val="0"/>
        <w:adjustRightInd w:val="0"/>
        <w:snapToGrid w:val="0"/>
        <w:spacing w:line="440" w:lineRule="exact"/>
        <w:ind w:firstLine="424" w:firstLineChars="200"/>
        <w:textAlignment w:val="auto"/>
        <w:rPr>
          <w:rFonts w:hint="default"/>
          <w:color w:val="auto"/>
          <w:highlight w:val="none"/>
          <w:lang w:val="en-US" w:eastAsia="zh-CN"/>
        </w:rPr>
      </w:pPr>
      <w:r>
        <w:rPr>
          <w:rFonts w:hint="eastAsia"/>
          <w:color w:val="auto"/>
          <w:highlight w:val="none"/>
          <w:lang w:val="en-US" w:eastAsia="zh-CN"/>
        </w:rPr>
        <w:t>▲增加巡检一年3次，每学期巡检一次，中考前巡检一次，至少三次。投标时须提供承诺函加盖公章。</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widowControl/>
        <w:spacing w:line="360" w:lineRule="auto"/>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二、</w:t>
      </w:r>
      <w:r>
        <w:rPr>
          <w:rFonts w:hint="eastAsia" w:ascii="宋体" w:hAnsi="宋体" w:cs="宋体"/>
          <w:b/>
          <w:bCs/>
          <w:color w:val="auto"/>
          <w:sz w:val="30"/>
          <w:szCs w:val="30"/>
          <w:highlight w:val="none"/>
        </w:rPr>
        <w:t>22所学校听力考试专用广播系统配置</w:t>
      </w:r>
      <w:r>
        <w:rPr>
          <w:rFonts w:hint="eastAsia" w:ascii="宋体" w:hAnsi="宋体" w:cs="宋体"/>
          <w:b/>
          <w:bCs/>
          <w:color w:val="auto"/>
          <w:sz w:val="30"/>
          <w:szCs w:val="30"/>
          <w:highlight w:val="none"/>
          <w:lang w:val="en-US" w:eastAsia="zh-CN"/>
        </w:rPr>
        <w:t>需求</w:t>
      </w:r>
    </w:p>
    <w:tbl>
      <w:tblPr>
        <w:tblStyle w:val="37"/>
        <w:tblW w:w="133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4245"/>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学校名称</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系统简要说明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余姚市梨洲中学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余姚市兰江中学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余姚市实验学校</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余姚市高风中学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余姚市姚江中学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余姚市子陵中学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余姚市低塘初级中学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余姚市姚北实验学校（初中部）</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余姚市陆埠中学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余姚市河姆渡镇初级中学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余姚市三七市镇初级中学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余姚市丈亭镇初级中学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余姚市梁弄镇中学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余姚市瑞云中学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余姚市阳明中学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余姚市舜水中学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余姚市世南中学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余姚市小曹娥镇中学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余姚市泗门镇初级中学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余姚市黄家埠镇初级中学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余姚市临山镇初级中学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余姚市马渚镇中学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（32个</w:t>
            </w:r>
            <w:r>
              <w:rPr>
                <w:rFonts w:hint="eastAsia" w:ascii="宋体" w:hAnsi="宋体" w:cs="宋体"/>
                <w:i w:val="0"/>
                <w:iCs w:val="0"/>
                <w:color w:val="auto"/>
                <w:kern w:val="0"/>
                <w:sz w:val="22"/>
                <w:szCs w:val="22"/>
                <w:highlight w:val="none"/>
                <w:u w:val="none"/>
                <w:lang w:val="en-US" w:eastAsia="zh-CN" w:bidi="ar"/>
              </w:rPr>
              <w:t>试场</w:t>
            </w:r>
            <w:r>
              <w:rPr>
                <w:rFonts w:hint="eastAsia" w:ascii="宋体" w:hAnsi="宋体" w:eastAsia="宋体" w:cs="宋体"/>
                <w:i w:val="0"/>
                <w:iCs w:val="0"/>
                <w:color w:val="auto"/>
                <w:kern w:val="0"/>
                <w:sz w:val="22"/>
                <w:szCs w:val="22"/>
                <w:highlight w:val="none"/>
                <w:u w:val="none"/>
                <w:lang w:val="en-US" w:eastAsia="zh-CN" w:bidi="ar"/>
              </w:rPr>
              <w:t>）</w:t>
            </w:r>
          </w:p>
        </w:tc>
      </w:tr>
    </w:tbl>
    <w:p>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br w:type="page"/>
      </w:r>
    </w:p>
    <w:p>
      <w:pPr>
        <w:widowControl/>
        <w:spacing w:line="360" w:lineRule="auto"/>
        <w:jc w:val="both"/>
        <w:rPr>
          <w:rFonts w:hint="eastAsia" w:ascii="宋体" w:hAnsi="宋体" w:cs="宋体"/>
          <w:b/>
          <w:bCs/>
          <w:color w:val="auto"/>
          <w:sz w:val="30"/>
          <w:szCs w:val="30"/>
          <w:highlight w:val="none"/>
        </w:rPr>
      </w:pPr>
      <w:r>
        <w:rPr>
          <w:rFonts w:hint="eastAsia" w:ascii="宋体" w:hAnsi="宋体" w:eastAsia="宋体" w:cs="宋体"/>
          <w:i w:val="0"/>
          <w:iCs w:val="0"/>
          <w:color w:val="auto"/>
          <w:kern w:val="0"/>
          <w:sz w:val="22"/>
          <w:szCs w:val="22"/>
          <w:highlight w:val="none"/>
          <w:u w:val="none"/>
          <w:lang w:val="en-US" w:eastAsia="zh-CN" w:bidi="ar"/>
        </w:rPr>
        <w:t>后附设备清单</w:t>
      </w:r>
    </w:p>
    <w:tbl>
      <w:tblPr>
        <w:tblStyle w:val="37"/>
        <w:tblW w:w="88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318"/>
        <w:gridCol w:w="4524"/>
        <w:gridCol w:w="2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bookmarkStart w:id="29" w:name="_Toc298230958"/>
            <w:bookmarkStart w:id="30" w:name="_Toc520902392"/>
            <w:r>
              <w:rPr>
                <w:rFonts w:hint="eastAsia" w:ascii="宋体" w:hAnsi="宋体" w:eastAsia="宋体" w:cs="宋体"/>
                <w:i w:val="0"/>
                <w:iCs w:val="0"/>
                <w:color w:val="auto"/>
                <w:kern w:val="0"/>
                <w:sz w:val="20"/>
                <w:szCs w:val="20"/>
                <w:highlight w:val="none"/>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4524"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w:t>
            </w:r>
          </w:p>
        </w:tc>
        <w:tc>
          <w:tcPr>
            <w:tcW w:w="231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广播智能控制主机</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件功能:①软件全自动运行，能自动在播放完当日作息表后关闭计算机;②软件按作息表自动管理设备电源与分区，自动调整音乐文件音量，自动进行播放;③作息表一周7天,自动循环,可设置无限套作息表;④具有按日期自动更换作息表功能,能事先编排好任意时间的播放任务;⑤可配套遥控系统,具备遥控点曲,遥控播放完后保留区域讲话;⑥支持设定播放时区域与播放后的区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智能广播控制器：①具有10路功率分区(8个自动分区 1个监听分区,一路手动分区)应用更灵</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▲供该产品有效期内3C认证复印件，并加盖公章</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1" locked="0" layoutInCell="1" allowOverlap="1">
                  <wp:simplePos x="0" y="0"/>
                  <wp:positionH relativeFrom="column">
                    <wp:posOffset>89535</wp:posOffset>
                  </wp:positionH>
                  <wp:positionV relativeFrom="paragraph">
                    <wp:posOffset>1158240</wp:posOffset>
                  </wp:positionV>
                  <wp:extent cx="1118235" cy="379095"/>
                  <wp:effectExtent l="0" t="0" r="5715" b="1905"/>
                  <wp:wrapThrough wrapText="bothSides">
                    <wp:wrapPolygon>
                      <wp:start x="0" y="0"/>
                      <wp:lineTo x="0" y="20623"/>
                      <wp:lineTo x="21342" y="20623"/>
                      <wp:lineTo x="21342" y="0"/>
                      <wp:lineTo x="0" y="0"/>
                    </wp:wrapPolygon>
                  </wp:wrapThrough>
                  <wp:docPr id="17" name="图片_4"/>
                  <wp:cNvGraphicFramePr/>
                  <a:graphic xmlns:a="http://schemas.openxmlformats.org/drawingml/2006/main">
                    <a:graphicData uri="http://schemas.openxmlformats.org/drawingml/2006/picture">
                      <pic:pic xmlns:pic="http://schemas.openxmlformats.org/drawingml/2006/picture">
                        <pic:nvPicPr>
                          <pic:cNvPr id="17" name="图片_4"/>
                          <pic:cNvPicPr/>
                        </pic:nvPicPr>
                        <pic:blipFill>
                          <a:blip r:embed="rId15"/>
                          <a:stretch>
                            <a:fillRect/>
                          </a:stretch>
                        </pic:blipFill>
                        <pic:spPr>
                          <a:xfrm>
                            <a:off x="0" y="0"/>
                            <a:ext cx="1118235" cy="3790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带编组广播调音台</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kern w:val="0"/>
                <w:sz w:val="20"/>
                <w:szCs w:val="20"/>
                <w:highlight w:val="none"/>
                <w:lang w:bidi="ar"/>
              </w:rPr>
              <w:t>★</w:t>
            </w:r>
            <w:r>
              <w:rPr>
                <w:rFonts w:hint="eastAsia" w:ascii="宋体" w:hAnsi="宋体" w:eastAsia="宋体" w:cs="宋体"/>
                <w:i w:val="0"/>
                <w:iCs w:val="0"/>
                <w:color w:val="auto"/>
                <w:kern w:val="0"/>
                <w:sz w:val="20"/>
                <w:szCs w:val="20"/>
                <w:highlight w:val="none"/>
                <w:u w:val="none"/>
                <w:lang w:val="en-US" w:eastAsia="zh-CN" w:bidi="ar"/>
              </w:rPr>
              <w:t>1、≥8个平衡输入接口，每一路具有高、中音、低音以及音量调节功能</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2、带多功能彩色高清显示屏，准确显示99DSP数字效果和MP3播放器（二合一）                                                                                                                                               3、单99种DSP数字混响效果，延时可自定义                                                                                                                                                                                           4、单通道独立48V幻象电源  .七段均衡 .  内置电源开关  .60行程推子控制                                                                                                                                                      </w:t>
            </w:r>
            <w:r>
              <w:rPr>
                <w:rFonts w:hint="eastAsia" w:ascii="宋体" w:hAnsi="宋体" w:cs="宋体"/>
                <w:color w:val="auto"/>
                <w:kern w:val="0"/>
                <w:sz w:val="20"/>
                <w:szCs w:val="20"/>
                <w:highlight w:val="none"/>
                <w:lang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2路编组输出，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2路主输出                                                                                                                                                                                             6、多功能卡龙输入插口                                                                                                                                                                                                            7、高精度三色精确电平柱，准确显示输出电平                                                                                                                                                                                  8、每分路单独立双色静音开关。蓝光为通道打开，红光为通道关闭                                                                                                                                                                                                                                                                                                                                                                                                                 9、精细、超线性的GB30话筒前置放大品提供高品质、低噪音的平衡式话筒输入</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975360</wp:posOffset>
                  </wp:positionV>
                  <wp:extent cx="1105535" cy="974090"/>
                  <wp:effectExtent l="0" t="0" r="18415" b="16510"/>
                  <wp:wrapNone/>
                  <wp:docPr id="13" name="图片_5"/>
                  <wp:cNvGraphicFramePr/>
                  <a:graphic xmlns:a="http://schemas.openxmlformats.org/drawingml/2006/main">
                    <a:graphicData uri="http://schemas.openxmlformats.org/drawingml/2006/picture">
                      <pic:pic xmlns:pic="http://schemas.openxmlformats.org/drawingml/2006/picture">
                        <pic:nvPicPr>
                          <pic:cNvPr id="13" name="图片_5"/>
                          <pic:cNvPicPr/>
                        </pic:nvPicPr>
                        <pic:blipFill>
                          <a:blip r:embed="rId16"/>
                          <a:stretch>
                            <a:fillRect/>
                          </a:stretch>
                        </pic:blipFill>
                        <pic:spPr>
                          <a:xfrm>
                            <a:off x="0" y="0"/>
                            <a:ext cx="1105535" cy="9740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▲1、性能需求:择D型80A动力型空气开关；备背面引入电缆接入空开（提供由国家权威机构ILAC-MRA或CNAS或CMA认证并出具的“电源时序器”检测报告，投标时同步提供以上证书加盖公章扫描件，原件预中标后提供。）</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2、输入:单相3线,单相两刀型空气开关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3、输出:不少于16路；时序通道数量不少于8通道,可输出通道数不少于8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4、通道输入最大电流容量:80A（AC220V）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5、每通道最大输出电流容量:不少于30A/60S或10Ams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6、不少于1路消防短路报警触发信号输出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7、前面板指示功能三位数字为电压、错相接入警告、超压警告、待机、运行、全部旁通、单独通道旁通</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时序间隔时间：1sec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USB灯座最大输出电压/电流：5V/50mA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电源：AC 220V±10%  50-60Hz  </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设备尺寸：485(W)x434(D)x88(H)mm</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1" locked="0" layoutInCell="1" allowOverlap="1">
                  <wp:simplePos x="0" y="0"/>
                  <wp:positionH relativeFrom="column">
                    <wp:posOffset>138430</wp:posOffset>
                  </wp:positionH>
                  <wp:positionV relativeFrom="paragraph">
                    <wp:posOffset>1252220</wp:posOffset>
                  </wp:positionV>
                  <wp:extent cx="1074420" cy="248285"/>
                  <wp:effectExtent l="0" t="0" r="30480" b="37465"/>
                  <wp:wrapThrough wrapText="bothSides">
                    <wp:wrapPolygon>
                      <wp:start x="0" y="0"/>
                      <wp:lineTo x="0" y="19887"/>
                      <wp:lineTo x="21064" y="19887"/>
                      <wp:lineTo x="21064" y="0"/>
                      <wp:lineTo x="0" y="0"/>
                    </wp:wrapPolygon>
                  </wp:wrapThrough>
                  <wp:docPr id="19" name="图片_6"/>
                  <wp:cNvGraphicFramePr/>
                  <a:graphic xmlns:a="http://schemas.openxmlformats.org/drawingml/2006/main">
                    <a:graphicData uri="http://schemas.openxmlformats.org/drawingml/2006/picture">
                      <pic:pic xmlns:pic="http://schemas.openxmlformats.org/drawingml/2006/picture">
                        <pic:nvPicPr>
                          <pic:cNvPr id="19" name="图片_6"/>
                          <pic:cNvPicPr/>
                        </pic:nvPicPr>
                        <pic:blipFill>
                          <a:blip r:embed="rId17"/>
                          <a:stretch>
                            <a:fillRect/>
                          </a:stretch>
                        </pic:blipFill>
                        <pic:spPr>
                          <a:xfrm>
                            <a:off x="0" y="0"/>
                            <a:ext cx="1074420" cy="2482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自动倒备器</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功能特点：</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1、标准（2U）机柜式设计，黑色喷砂面板，高档大气。</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2、轻触式按键操作，LED指示灯显示工作状态，一目了然。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kern w:val="0"/>
                <w:sz w:val="20"/>
                <w:szCs w:val="20"/>
                <w:highlight w:val="none"/>
                <w:lang w:bidi="ar"/>
              </w:rPr>
              <w:t>★</w:t>
            </w:r>
            <w:r>
              <w:rPr>
                <w:rFonts w:hint="eastAsia" w:ascii="宋体" w:hAnsi="宋体" w:eastAsia="宋体" w:cs="宋体"/>
                <w:i w:val="0"/>
                <w:iCs w:val="0"/>
                <w:color w:val="auto"/>
                <w:kern w:val="0"/>
                <w:sz w:val="20"/>
                <w:szCs w:val="20"/>
                <w:highlight w:val="none"/>
                <w:u w:val="none"/>
                <w:lang w:val="en-US" w:eastAsia="zh-CN" w:bidi="ar"/>
              </w:rPr>
              <w:t>3、具有4路完全相同的独立切换通道，供4台主功放和4台备用功放通道切换。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自动检测声频功放故障并在主功放和备功放之间自动切换，自动切换时间小于0.2S。（提供由国家权威机构ILAC-MRA或CNAS或CMA认证并出具的“倒备切换器”检测报告，投标时同步提供以上证书加盖公章扫描件，原件预中标后提供。）</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、可手动切换主功放和备功放。有4组功率信号输出端子，接扬声器。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系统参数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可控制通道组数：四组CH1～CH4</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信号输入口参数：0.775V（0dB）,非平衡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巡回检测周期 ：500MS,巡回检测6次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主功放输出口 ：MAIN1、MAIN2、MAIN3、MAIN4</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备用功放输出口：SUB1、SUB2、SUB3、SUB4</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指示灯：POWER</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电源 ：AC 220V±10%  50-60Hz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电源功耗 ：12-15W</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设备尺寸：485(W)x330(D)x88(H)mm</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220980</wp:posOffset>
                  </wp:positionH>
                  <wp:positionV relativeFrom="paragraph">
                    <wp:posOffset>2607945</wp:posOffset>
                  </wp:positionV>
                  <wp:extent cx="946150" cy="194310"/>
                  <wp:effectExtent l="0" t="0" r="6350" b="15240"/>
                  <wp:wrapNone/>
                  <wp:docPr id="18" name="图片_7"/>
                  <wp:cNvGraphicFramePr/>
                  <a:graphic xmlns:a="http://schemas.openxmlformats.org/drawingml/2006/main">
                    <a:graphicData uri="http://schemas.openxmlformats.org/drawingml/2006/picture">
                      <pic:pic xmlns:pic="http://schemas.openxmlformats.org/drawingml/2006/picture">
                        <pic:nvPicPr>
                          <pic:cNvPr id="18" name="图片_7"/>
                          <pic:cNvPicPr/>
                        </pic:nvPicPr>
                        <pic:blipFill>
                          <a:blip r:embed="rId18"/>
                          <a:stretch>
                            <a:fillRect/>
                          </a:stretch>
                        </pic:blipFill>
                        <pic:spPr>
                          <a:xfrm>
                            <a:off x="0" y="0"/>
                            <a:ext cx="946150" cy="1943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主功放（1500W）</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额定输出功率≥1500W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扬声器输出 120V/240V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输入灵敏度＆输入阻抗 :775mV/10KΩ，不平衡TRS输入端子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过载源电动势: ≥15dB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频率响应 :50Hz-16KHz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信噪比: &gt;90dB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总谐波失真: 1KHz时0.5%，1/3输出功率。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散热: 由前往后强制风冷，散热器温度55度时启动内置风扇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保护 :过热，过载&amp;短路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 :220V-/50Hz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 ：铝面板，SPCC高强度冷轧板材质机箱</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▲供该产品有效期内3C认证复印件，并加盖公章</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93980</wp:posOffset>
                  </wp:positionH>
                  <wp:positionV relativeFrom="paragraph">
                    <wp:posOffset>962025</wp:posOffset>
                  </wp:positionV>
                  <wp:extent cx="1072515" cy="473710"/>
                  <wp:effectExtent l="0" t="0" r="13335" b="2540"/>
                  <wp:wrapNone/>
                  <wp:docPr id="14" name="图片_6_SpCnt_1"/>
                  <wp:cNvGraphicFramePr/>
                  <a:graphic xmlns:a="http://schemas.openxmlformats.org/drawingml/2006/main">
                    <a:graphicData uri="http://schemas.openxmlformats.org/drawingml/2006/picture">
                      <pic:pic xmlns:pic="http://schemas.openxmlformats.org/drawingml/2006/picture">
                        <pic:nvPicPr>
                          <pic:cNvPr id="14" name="图片_6_SpCnt_1"/>
                          <pic:cNvPicPr/>
                        </pic:nvPicPr>
                        <pic:blipFill>
                          <a:blip r:embed="rId19"/>
                          <a:stretch>
                            <a:fillRect/>
                          </a:stretch>
                        </pic:blipFill>
                        <pic:spPr>
                          <a:xfrm>
                            <a:off x="0" y="0"/>
                            <a:ext cx="1072515" cy="4737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备用功放（1500W）</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额定输出功率≥1500W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扬声器输出 120V/240V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输入灵敏度＆输入阻抗 :775mV/10KΩ，不平衡TRS输入端子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过载源电动势: ≥15dB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频率响应 :50Hz-16KHz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信噪比: &gt;90dB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总谐波失真: 1KHz时0.5%，1/3输出功率。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散热: 由前往后强制风冷，散热器温度55度时启动内置风扇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保护 :过热，过载&amp;短路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 :220V-/50Hz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 ：铝面板，SPCC高强度冷轧板材质机箱</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▲供该产品有效期内3C认证复印件，并加盖公章</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132080</wp:posOffset>
                  </wp:positionH>
                  <wp:positionV relativeFrom="paragraph">
                    <wp:posOffset>1233170</wp:posOffset>
                  </wp:positionV>
                  <wp:extent cx="1094740" cy="452120"/>
                  <wp:effectExtent l="0" t="0" r="10160" b="5080"/>
                  <wp:wrapNone/>
                  <wp:docPr id="15" name="图片_6_SpCnt_2"/>
                  <wp:cNvGraphicFramePr/>
                  <a:graphic xmlns:a="http://schemas.openxmlformats.org/drawingml/2006/main">
                    <a:graphicData uri="http://schemas.openxmlformats.org/drawingml/2006/picture">
                      <pic:pic xmlns:pic="http://schemas.openxmlformats.org/drawingml/2006/picture">
                        <pic:nvPicPr>
                          <pic:cNvPr id="15" name="图片_6_SpCnt_2"/>
                          <pic:cNvPicPr/>
                        </pic:nvPicPr>
                        <pic:blipFill>
                          <a:blip r:embed="rId19"/>
                          <a:stretch>
                            <a:fillRect/>
                          </a:stretch>
                        </pic:blipFill>
                        <pic:spPr>
                          <a:xfrm>
                            <a:off x="0" y="0"/>
                            <a:ext cx="1094740" cy="4521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监听音箱（广播室+考务办）</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设备参数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★额定功率：10W-25W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额定电压：70V-120V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★频率响应：150Hz-15KHz±5dB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★灵敏度：≥90dB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★失真度≤5%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扬声器阻抗：5"8Ω，2.5"8Ω，分频器分频</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扬声器单元：1*5"+1*2.5"</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箱体材质：12MM厚密度板</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405130</wp:posOffset>
                  </wp:positionH>
                  <wp:positionV relativeFrom="paragraph">
                    <wp:posOffset>500380</wp:posOffset>
                  </wp:positionV>
                  <wp:extent cx="467360" cy="751205"/>
                  <wp:effectExtent l="0" t="0" r="8890" b="10795"/>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20"/>
                          <a:stretch>
                            <a:fillRect/>
                          </a:stretch>
                        </pic:blipFill>
                        <pic:spPr>
                          <a:xfrm>
                            <a:off x="0" y="0"/>
                            <a:ext cx="467360" cy="751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壁挂音箱</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设备参数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★额定功率：10W-25W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额定电压：70V-120V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★频率响应：150Hz-15KHz±5dB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★灵敏度：≥90dB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★失真度≤5%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扬声器阻抗：5"8Ω，2.5"8Ω，分频器分频</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扬声器单元：1*5"+1*2.5"</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箱体材质：12MM厚密度板</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361315</wp:posOffset>
                  </wp:positionH>
                  <wp:positionV relativeFrom="paragraph">
                    <wp:posOffset>580390</wp:posOffset>
                  </wp:positionV>
                  <wp:extent cx="467360" cy="751205"/>
                  <wp:effectExtent l="0" t="0" r="8890" b="10795"/>
                  <wp:wrapNone/>
                  <wp:docPr id="21" name="图片_1_SpCnt_1"/>
                  <wp:cNvGraphicFramePr/>
                  <a:graphic xmlns:a="http://schemas.openxmlformats.org/drawingml/2006/main">
                    <a:graphicData uri="http://schemas.openxmlformats.org/drawingml/2006/picture">
                      <pic:pic xmlns:pic="http://schemas.openxmlformats.org/drawingml/2006/picture">
                        <pic:nvPicPr>
                          <pic:cNvPr id="21" name="图片_1_SpCnt_1"/>
                          <pic:cNvPicPr/>
                        </pic:nvPicPr>
                        <pic:blipFill>
                          <a:blip r:embed="rId20"/>
                          <a:stretch>
                            <a:fillRect/>
                          </a:stretch>
                        </pic:blipFill>
                        <pic:spPr>
                          <a:xfrm>
                            <a:off x="0" y="0"/>
                            <a:ext cx="467360" cy="751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CD播放机</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声道：两声道、立体声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碟片解码：CD、CD-R/RW前置USB端口解码：WAV, MP3, AAC, WMA, FLAC HD, ALAC, AIFF 和 DSD 文件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DAC IC：32 Bit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频率响应：2 Hz-20 kHz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动态范围：100 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信噪比：110 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总谐波失真：0.0016%</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设备须配有液晶显示屏，具有播放、暂停、停止、快进、快退以及时间码显示等六种基本功能；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不应具有刻盘和录制功能；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不能有网络端口、不能有蓝牙功能、不能具有较为强大的纠错功能</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125730</wp:posOffset>
                  </wp:positionH>
                  <wp:positionV relativeFrom="paragraph">
                    <wp:posOffset>1016635</wp:posOffset>
                  </wp:positionV>
                  <wp:extent cx="1030605" cy="420370"/>
                  <wp:effectExtent l="0" t="0" r="17145" b="17780"/>
                  <wp:wrapNone/>
                  <wp:docPr id="22" name="图片_1_SpCnt_2"/>
                  <wp:cNvGraphicFramePr/>
                  <a:graphic xmlns:a="http://schemas.openxmlformats.org/drawingml/2006/main">
                    <a:graphicData uri="http://schemas.openxmlformats.org/drawingml/2006/picture">
                      <pic:pic xmlns:pic="http://schemas.openxmlformats.org/drawingml/2006/picture">
                        <pic:nvPicPr>
                          <pic:cNvPr id="22" name="图片_1_SpCnt_2"/>
                          <pic:cNvPicPr/>
                        </pic:nvPicPr>
                        <pic:blipFill>
                          <a:blip r:embed="rId21"/>
                          <a:stretch>
                            <a:fillRect/>
                          </a:stretch>
                        </pic:blipFill>
                        <pic:spPr>
                          <a:xfrm>
                            <a:off x="0" y="0"/>
                            <a:ext cx="1030605" cy="4203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便携式CD播放机</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播放格式:CD、CD-R</w:t>
            </w:r>
          </w:p>
          <w:p>
            <w:pPr>
              <w:keepNext w:val="0"/>
              <w:keepLines w:val="0"/>
              <w:widowControl/>
              <w:suppressLineNumbers w:val="0"/>
              <w:jc w:val="left"/>
              <w:textAlignment w:val="top"/>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液晶显示屏，具有播放、暂停、停止、快进、快退以及时间码显示等六种基本功能</w:t>
            </w:r>
          </w:p>
          <w:p>
            <w:pPr>
              <w:keepNext w:val="0"/>
              <w:keepLines w:val="0"/>
              <w:widowControl/>
              <w:suppressLineNumbers w:val="0"/>
              <w:jc w:val="left"/>
              <w:textAlignment w:val="top"/>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不应具有刻盘和录制功能；</w:t>
            </w:r>
          </w:p>
          <w:p>
            <w:pPr>
              <w:keepNext w:val="0"/>
              <w:keepLines w:val="0"/>
              <w:widowControl/>
              <w:suppressLineNumbers w:val="0"/>
              <w:jc w:val="left"/>
              <w:textAlignment w:val="top"/>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不能有网络端口、不能有蓝牙功能。</w:t>
            </w:r>
          </w:p>
          <w:p>
            <w:pPr>
              <w:keepNext w:val="0"/>
              <w:keepLines w:val="0"/>
              <w:widowControl/>
              <w:suppressLineNumbers w:val="0"/>
              <w:jc w:val="left"/>
              <w:textAlignment w:val="top"/>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bidi="ar"/>
              </w:rPr>
              <w:t>应自带电源，自带或外接音频播放的输出设备</w:t>
            </w:r>
          </w:p>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cs="宋体"/>
                <w:color w:val="auto"/>
                <w:kern w:val="0"/>
                <w:sz w:val="20"/>
                <w:szCs w:val="20"/>
                <w:highlight w:val="none"/>
                <w:lang w:bidi="ar"/>
              </w:rPr>
              <w:t>输出功率: ≥2W+2W</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403225</wp:posOffset>
                  </wp:positionV>
                  <wp:extent cx="791210" cy="681355"/>
                  <wp:effectExtent l="0" t="0" r="8890" b="4445"/>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22"/>
                          <a:stretch>
                            <a:fillRect/>
                          </a:stretch>
                        </pic:blipFill>
                        <pic:spPr>
                          <a:xfrm>
                            <a:off x="0" y="0"/>
                            <a:ext cx="791210" cy="6813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播音话筒</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换能方式: 电容式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频率响应: 40Hz-16KHz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指向性: 心型指向</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输出阻抗（Ω）: 200Ω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灵敏度: -38dB±2dB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供电电压(V) : DC3V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有效拾音距离: 50cm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带前凑音(开启和关闭时, 有“叮咚”前奏音放出), 灯环提示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咪线长度、配置: 6米单芯、卡龙母+ 6.35单声道插嘴</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 有声无锁</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349250</wp:posOffset>
                  </wp:positionH>
                  <wp:positionV relativeFrom="paragraph">
                    <wp:posOffset>332105</wp:posOffset>
                  </wp:positionV>
                  <wp:extent cx="525145" cy="730250"/>
                  <wp:effectExtent l="0" t="0" r="8255" b="1270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3"/>
                          <a:stretch>
                            <a:fillRect/>
                          </a:stretch>
                        </pic:blipFill>
                        <pic:spPr>
                          <a:xfrm>
                            <a:off x="0" y="0"/>
                            <a:ext cx="525145" cy="7302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设备机柜</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600</w:t>
            </w:r>
            <w:r>
              <w:rPr>
                <w:rFonts w:hint="eastAsia" w:ascii="宋体" w:hAnsi="宋体" w:cs="宋体"/>
                <w:i w:val="0"/>
                <w:iCs w:val="0"/>
                <w:color w:val="auto"/>
                <w:kern w:val="0"/>
                <w:sz w:val="18"/>
                <w:szCs w:val="18"/>
                <w:highlight w:val="none"/>
                <w:u w:val="none"/>
                <w:lang w:val="en-US" w:eastAsia="zh-CN" w:bidi="ar"/>
              </w:rPr>
              <w:t>mm</w:t>
            </w:r>
            <w:r>
              <w:rPr>
                <w:rFonts w:hint="eastAsia" w:ascii="宋体" w:hAnsi="宋体" w:eastAsia="宋体" w:cs="宋体"/>
                <w:i w:val="0"/>
                <w:iCs w:val="0"/>
                <w:color w:val="auto"/>
                <w:kern w:val="0"/>
                <w:sz w:val="18"/>
                <w:szCs w:val="18"/>
                <w:highlight w:val="none"/>
                <w:u w:val="none"/>
                <w:lang w:val="en-US" w:eastAsia="zh-CN" w:bidi="ar"/>
              </w:rPr>
              <w:t>*600</w:t>
            </w:r>
            <w:r>
              <w:rPr>
                <w:rFonts w:hint="eastAsia" w:ascii="宋体" w:hAnsi="宋体" w:cs="宋体"/>
                <w:i w:val="0"/>
                <w:iCs w:val="0"/>
                <w:color w:val="auto"/>
                <w:kern w:val="0"/>
                <w:sz w:val="18"/>
                <w:szCs w:val="18"/>
                <w:highlight w:val="none"/>
                <w:u w:val="none"/>
                <w:lang w:val="en-US" w:eastAsia="zh-CN" w:bidi="ar"/>
              </w:rPr>
              <w:t>mm</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1200mm</w:t>
            </w:r>
            <w:r>
              <w:rPr>
                <w:rFonts w:hint="eastAsia" w:ascii="宋体" w:hAnsi="宋体" w:eastAsia="宋体" w:cs="宋体"/>
                <w:i w:val="0"/>
                <w:iCs w:val="0"/>
                <w:color w:val="auto"/>
                <w:kern w:val="0"/>
                <w:sz w:val="18"/>
                <w:szCs w:val="18"/>
                <w:highlight w:val="none"/>
                <w:u w:val="none"/>
                <w:lang w:val="en-US" w:eastAsia="zh-CN" w:bidi="ar"/>
              </w:rPr>
              <w:t>，钢化玻璃前门,冷扎板后门,快开式侧板,预留对地安装孔和接地柱,可拆装,两侧带走线槽,载重800KG,厚度角规2.0,框架1.2,其他1.0,带1个6位插座,三块托板,4个风扇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控制主机必须带有9针COM口</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cs="宋体"/>
                <w:i w:val="0"/>
                <w:iCs w:val="0"/>
                <w:color w:val="auto"/>
                <w:kern w:val="0"/>
                <w:sz w:val="20"/>
                <w:szCs w:val="20"/>
                <w:highlight w:val="none"/>
                <w:u w:val="none"/>
                <w:lang w:val="en-US" w:eastAsia="zh-CN" w:bidi="ar"/>
              </w:rPr>
              <w:t>配置不低于：</w:t>
            </w:r>
            <w:r>
              <w:rPr>
                <w:rFonts w:hint="eastAsia" w:ascii="宋体" w:hAnsi="宋体" w:eastAsia="宋体" w:cs="宋体"/>
                <w:i w:val="0"/>
                <w:iCs w:val="0"/>
                <w:color w:val="auto"/>
                <w:kern w:val="0"/>
                <w:sz w:val="20"/>
                <w:szCs w:val="20"/>
                <w:highlight w:val="none"/>
                <w:u w:val="none"/>
                <w:lang w:val="en-US" w:eastAsia="zh-CN" w:bidi="ar"/>
              </w:rPr>
              <w:t>i5-12500</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8G</w:t>
            </w:r>
            <w:r>
              <w:rPr>
                <w:rFonts w:hint="eastAsia" w:ascii="宋体" w:hAnsi="宋体" w:cs="宋体"/>
                <w:i w:val="0"/>
                <w:iCs w:val="0"/>
                <w:color w:val="auto"/>
                <w:kern w:val="0"/>
                <w:sz w:val="20"/>
                <w:szCs w:val="20"/>
                <w:highlight w:val="none"/>
                <w:u w:val="none"/>
                <w:lang w:val="en-US" w:eastAsia="zh-CN" w:bidi="ar"/>
              </w:rPr>
              <w:t>内存、</w:t>
            </w:r>
            <w:r>
              <w:rPr>
                <w:rFonts w:hint="eastAsia" w:ascii="宋体" w:hAnsi="宋体" w:eastAsia="宋体" w:cs="宋体"/>
                <w:i w:val="0"/>
                <w:iCs w:val="0"/>
                <w:color w:val="auto"/>
                <w:kern w:val="0"/>
                <w:sz w:val="20"/>
                <w:szCs w:val="20"/>
                <w:highlight w:val="none"/>
                <w:u w:val="none"/>
                <w:lang w:val="en-US" w:eastAsia="zh-CN" w:bidi="ar"/>
              </w:rPr>
              <w:t>512</w:t>
            </w:r>
            <w:r>
              <w:rPr>
                <w:rFonts w:hint="eastAsia" w:ascii="宋体" w:hAnsi="宋体" w:cs="宋体"/>
                <w:i w:val="0"/>
                <w:iCs w:val="0"/>
                <w:color w:val="auto"/>
                <w:kern w:val="0"/>
                <w:sz w:val="20"/>
                <w:szCs w:val="20"/>
                <w:highlight w:val="none"/>
                <w:u w:val="none"/>
                <w:lang w:val="en-US" w:eastAsia="zh-CN" w:bidi="ar"/>
              </w:rPr>
              <w:t>G固态硬盘、</w:t>
            </w:r>
            <w:r>
              <w:rPr>
                <w:rFonts w:hint="eastAsia" w:ascii="宋体" w:hAnsi="宋体" w:eastAsia="宋体" w:cs="宋体"/>
                <w:i w:val="0"/>
                <w:iCs w:val="0"/>
                <w:color w:val="auto"/>
                <w:kern w:val="0"/>
                <w:sz w:val="20"/>
                <w:szCs w:val="20"/>
                <w:highlight w:val="none"/>
                <w:u w:val="none"/>
                <w:lang w:val="en-US" w:eastAsia="zh-CN" w:bidi="ar"/>
              </w:rPr>
              <w:t>21.5液晶</w:t>
            </w:r>
            <w:r>
              <w:rPr>
                <w:rFonts w:hint="eastAsia" w:ascii="宋体" w:hAnsi="宋体" w:cs="宋体"/>
                <w:i w:val="0"/>
                <w:iCs w:val="0"/>
                <w:color w:val="auto"/>
                <w:kern w:val="0"/>
                <w:sz w:val="20"/>
                <w:szCs w:val="20"/>
                <w:highlight w:val="none"/>
                <w:u w:val="none"/>
                <w:lang w:val="en-US" w:eastAsia="zh-CN" w:bidi="ar"/>
              </w:rPr>
              <w:t>显示器、B760主板</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UPS不间断电源主机</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6KVA/4800W高频在线式，输入额定电压：额定容量: ≥4800W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输入电压:110~300VAC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电池:取决于客户需求和配置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输入频率:(40~70)Hz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电池备用时间:&gt;3分钟(取决于用户需求和配置)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输入功因:≥0.99</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回充时间:5小时回充90%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输出电压:220VAC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效率:市电模式&gt;94%ECO高效模式&gt;98%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输出精度:±2%</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LED显示:负载/电量/输入/输出/运行模式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输出频率:50/60Hz±0.2Hz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连接:单相二线+接地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输出波形:纯净正弦输出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输出谐波失真:≤3%,输入THD-V&lt;1%，线性负载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过载能力:1min@105%-125%负载30s @125%-150%负载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0.5s @&gt;150%负载</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环境参数:温度0-40C湿度20-90%(无凝露)噪声&lt;55dB@距离1米</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免维护铅酸蓄电池</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产品类别</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阀控密封免维护铅酸蓄电池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额定容量(C20@25C)：100AH</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输出电压：12V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产品重量：28.0kg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均充电压：14.1V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浮充电压：13.65V</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最大充电电流：0.3CA</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电池柜</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每个电池柜可以放置16节电池，含空开配线等</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国标RVVPS2*2.5屏蔽线缆</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国标RVVPS2*1.5屏蔽线缆</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PVC管</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DN20PVC线管</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安辅材、配件、接线端子箱等</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系统集成、音箱综合布线、设备安装调试</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r>
    </w:tbl>
    <w:p>
      <w:pPr>
        <w:rPr>
          <w:color w:val="auto"/>
          <w:highlight w:val="none"/>
        </w:rPr>
      </w:pPr>
    </w:p>
    <w:p>
      <w:pPr>
        <w:rPr>
          <w:color w:val="auto"/>
          <w:highlight w:val="none"/>
        </w:rPr>
      </w:pPr>
      <w:r>
        <w:rPr>
          <w:color w:val="auto"/>
          <w:highlight w:val="none"/>
        </w:rPr>
        <w:br w:type="page"/>
      </w:r>
    </w:p>
    <w:p>
      <w:pPr>
        <w:jc w:val="center"/>
        <w:rPr>
          <w:rFonts w:hint="eastAsia"/>
          <w:b/>
          <w:bCs/>
          <w:color w:val="auto"/>
          <w:sz w:val="32"/>
          <w:szCs w:val="28"/>
          <w:highlight w:val="none"/>
          <w:lang w:val="en-US" w:eastAsia="zh-CN"/>
        </w:rPr>
      </w:pPr>
      <w:r>
        <w:rPr>
          <w:rFonts w:hint="eastAsia"/>
          <w:b/>
          <w:bCs/>
          <w:color w:val="auto"/>
          <w:sz w:val="32"/>
          <w:szCs w:val="28"/>
          <w:highlight w:val="none"/>
          <w:lang w:val="en-US" w:eastAsia="zh-CN"/>
        </w:rPr>
        <w:t>设备需求清单</w:t>
      </w:r>
    </w:p>
    <w:tbl>
      <w:tblPr>
        <w:tblStyle w:val="37"/>
        <w:tblW w:w="81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3315"/>
        <w:gridCol w:w="2019"/>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201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2077"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广播智能控制主机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带编组广播调音台</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自动倒备器</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主功放（1500W）</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备用功放（1500W）</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监听音箱（广播室+考务办）</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壁挂音箱</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505</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CD播放机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便携式CD播放机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播音话筒</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设备机柜</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控制主机必须带有9针COM口</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UPS不间断电源主机</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免维护铅酸蓄电池</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电池柜</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国标RVVPS2*2.5屏蔽线缆</w:t>
            </w:r>
            <w:r>
              <w:rPr>
                <w:rFonts w:hint="eastAsia" w:ascii="宋体" w:hAnsi="宋体" w:cs="宋体"/>
                <w:i w:val="0"/>
                <w:iCs w:val="0"/>
                <w:color w:val="auto"/>
                <w:kern w:val="0"/>
                <w:sz w:val="20"/>
                <w:szCs w:val="20"/>
                <w:highlight w:val="none"/>
                <w:u w:val="none"/>
                <w:lang w:val="en-US" w:eastAsia="zh-CN" w:bidi="ar"/>
              </w:rPr>
              <w:t>）</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8427</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广播线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国标RVVPS2*1.5屏蔽线缆</w:t>
            </w:r>
            <w:r>
              <w:rPr>
                <w:rFonts w:hint="eastAsia" w:ascii="宋体" w:hAnsi="宋体" w:cs="宋体"/>
                <w:i w:val="0"/>
                <w:iCs w:val="0"/>
                <w:color w:val="auto"/>
                <w:kern w:val="0"/>
                <w:sz w:val="20"/>
                <w:szCs w:val="20"/>
                <w:highlight w:val="none"/>
                <w:u w:val="none"/>
                <w:lang w:val="en-US" w:eastAsia="zh-CN" w:bidi="ar"/>
              </w:rPr>
              <w:t>）</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13613</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PVC管</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22040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安辅材、配件、接线端子箱等</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系统集成、音箱综合布线、设备安装调试</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pPr>
        <w:bidi w:val="0"/>
        <w:rPr>
          <w:color w:val="auto"/>
          <w:highlight w:val="none"/>
        </w:rPr>
      </w:pPr>
      <w:r>
        <w:rPr>
          <w:color w:val="auto"/>
          <w:highlight w:val="none"/>
        </w:rPr>
        <w:br w:type="page"/>
      </w:r>
    </w:p>
    <w:p>
      <w:pPr>
        <w:pStyle w:val="2"/>
        <w:spacing w:beforeLines="0" w:afterLines="0" w:line="360" w:lineRule="auto"/>
        <w:rPr>
          <w:rFonts w:hint="eastAsia" w:ascii="宋体" w:hAnsi="宋体" w:cs="宋体"/>
          <w:color w:val="auto"/>
          <w:sz w:val="32"/>
          <w:szCs w:val="32"/>
          <w:highlight w:val="none"/>
        </w:rPr>
      </w:pPr>
    </w:p>
    <w:p>
      <w:pPr>
        <w:pStyle w:val="2"/>
        <w:spacing w:beforeLines="0" w:afterLines="0" w:line="360" w:lineRule="auto"/>
        <w:rPr>
          <w:rFonts w:ascii="宋体" w:hAnsi="宋体" w:cs="宋体"/>
          <w:color w:val="auto"/>
          <w:sz w:val="32"/>
          <w:szCs w:val="32"/>
          <w:highlight w:val="none"/>
        </w:rPr>
      </w:pPr>
      <w:r>
        <w:rPr>
          <w:rFonts w:hint="eastAsia" w:ascii="宋体" w:hAnsi="宋体" w:cs="宋体"/>
          <w:color w:val="auto"/>
          <w:sz w:val="32"/>
          <w:szCs w:val="32"/>
          <w:highlight w:val="none"/>
        </w:rPr>
        <w:t>第三部分  投标资料表</w:t>
      </w:r>
      <w:bookmarkEnd w:id="29"/>
      <w:bookmarkEnd w:id="30"/>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本部分关于本次招标项目的具体要求是对 “投标人须知”和“合同格式”的相关条款的补充和修改，如有矛盾，应以此为准。</w:t>
      </w:r>
    </w:p>
    <w:tbl>
      <w:tblPr>
        <w:tblStyle w:val="37"/>
        <w:tblW w:w="0" w:type="auto"/>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7512" w:type="dxa"/>
            <w:vAlign w:val="center"/>
          </w:tcPr>
          <w:p>
            <w:pPr>
              <w:spacing w:before="146" w:beforeLines="50"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12" w:type="dxa"/>
            <w:vAlign w:val="center"/>
          </w:tcPr>
          <w:p>
            <w:pPr>
              <w:spacing w:line="360" w:lineRule="exact"/>
              <w:rPr>
                <w:rFonts w:hint="eastAsia" w:ascii="宋体" w:hAnsi="宋体" w:cs="宋体"/>
                <w:color w:val="auto"/>
                <w:highlight w:val="none"/>
                <w:lang w:eastAsia="zh-CN"/>
              </w:rPr>
            </w:pPr>
            <w:r>
              <w:rPr>
                <w:rFonts w:hint="eastAsia" w:ascii="宋体" w:hAnsi="宋体" w:cs="宋体"/>
                <w:color w:val="auto"/>
                <w:highlight w:val="none"/>
                <w:lang w:eastAsia="zh-CN"/>
              </w:rPr>
              <w:t>采购人名称： 余姚市教育局</w:t>
            </w:r>
          </w:p>
          <w:p>
            <w:pPr>
              <w:spacing w:line="360" w:lineRule="exact"/>
              <w:rPr>
                <w:rFonts w:hint="eastAsia" w:ascii="宋体" w:hAnsi="宋体" w:cs="宋体"/>
                <w:color w:val="auto"/>
                <w:highlight w:val="none"/>
                <w:lang w:eastAsia="zh-CN"/>
              </w:rPr>
            </w:pPr>
            <w:r>
              <w:rPr>
                <w:rFonts w:hint="eastAsia" w:ascii="宋体" w:hAnsi="宋体" w:cs="宋体"/>
                <w:color w:val="auto"/>
                <w:highlight w:val="none"/>
                <w:lang w:eastAsia="zh-CN"/>
              </w:rPr>
              <w:t>地    址：余姚市兰江街道谭家岭西路142号</w:t>
            </w:r>
          </w:p>
          <w:p>
            <w:pPr>
              <w:spacing w:line="360" w:lineRule="exact"/>
              <w:rPr>
                <w:rFonts w:hint="default" w:ascii="宋体" w:hAnsi="宋体" w:cs="宋体"/>
                <w:color w:val="auto"/>
                <w:highlight w:val="none"/>
                <w:lang w:val="en-US" w:eastAsia="zh-CN"/>
              </w:rPr>
            </w:pPr>
            <w:r>
              <w:rPr>
                <w:rFonts w:hint="eastAsia" w:ascii="宋体" w:hAnsi="宋体" w:cs="宋体"/>
                <w:color w:val="auto"/>
                <w:highlight w:val="none"/>
                <w:lang w:eastAsia="zh-CN"/>
              </w:rPr>
              <w:t>邮    编：</w:t>
            </w:r>
            <w:r>
              <w:rPr>
                <w:rFonts w:hint="eastAsia" w:ascii="宋体" w:hAnsi="宋体" w:cs="宋体"/>
                <w:color w:val="auto"/>
                <w:highlight w:val="none"/>
                <w:lang w:val="en-US" w:eastAsia="zh-CN"/>
              </w:rPr>
              <w:t>315400</w:t>
            </w:r>
          </w:p>
          <w:p>
            <w:pPr>
              <w:spacing w:line="360" w:lineRule="exact"/>
              <w:rPr>
                <w:rFonts w:hint="eastAsia" w:ascii="宋体" w:hAnsi="宋体" w:cs="宋体"/>
                <w:color w:val="auto"/>
                <w:highlight w:val="none"/>
                <w:lang w:eastAsia="zh-CN"/>
              </w:rPr>
            </w:pPr>
            <w:r>
              <w:rPr>
                <w:rFonts w:hint="eastAsia" w:ascii="宋体" w:hAnsi="宋体" w:cs="宋体"/>
                <w:color w:val="auto"/>
                <w:highlight w:val="none"/>
                <w:lang w:eastAsia="zh-CN"/>
              </w:rPr>
              <w:t>电    话：</w:t>
            </w:r>
            <w:r>
              <w:rPr>
                <w:rFonts w:hint="eastAsia" w:ascii="宋体" w:hAnsi="宋体" w:cs="宋体"/>
                <w:color w:val="auto"/>
                <w:highlight w:val="none"/>
                <w:lang w:val="en-US" w:eastAsia="zh-CN"/>
              </w:rPr>
              <w:t>0574-89553200</w:t>
            </w:r>
            <w:r>
              <w:rPr>
                <w:rFonts w:hint="eastAsia" w:ascii="宋体" w:hAnsi="宋体" w:cs="宋体"/>
                <w:color w:val="auto"/>
                <w:highlight w:val="none"/>
                <w:lang w:eastAsia="zh-CN"/>
              </w:rPr>
              <w:t xml:space="preserve"> </w:t>
            </w:r>
          </w:p>
          <w:p>
            <w:pPr>
              <w:spacing w:line="360" w:lineRule="exact"/>
              <w:rPr>
                <w:rFonts w:ascii="宋体" w:hAnsi="宋体" w:cs="宋体"/>
                <w:color w:val="auto"/>
                <w:highlight w:val="none"/>
              </w:rPr>
            </w:pPr>
            <w:r>
              <w:rPr>
                <w:rFonts w:hint="eastAsia" w:ascii="宋体" w:hAnsi="宋体" w:cs="宋体"/>
                <w:color w:val="auto"/>
                <w:highlight w:val="none"/>
                <w:lang w:eastAsia="zh-CN"/>
              </w:rPr>
              <w:t>联 系 人：俞</w:t>
            </w:r>
            <w:r>
              <w:rPr>
                <w:rFonts w:hint="eastAsia" w:ascii="宋体" w:hAnsi="宋体" w:cs="宋体"/>
                <w:color w:val="auto"/>
                <w:highlight w:val="none"/>
                <w:lang w:val="en-US" w:eastAsia="zh-CN"/>
              </w:rPr>
              <w:t>老师</w:t>
            </w:r>
            <w:r>
              <w:rPr>
                <w:rFonts w:hint="eastAsia" w:ascii="宋体" w:hAnsi="宋体" w:cs="宋体"/>
                <w:color w:val="auto"/>
                <w:highlight w:val="none"/>
                <w:lang w:eastAsia="zh-CN"/>
              </w:rPr>
              <w:t xml:space="preserve">   </w:t>
            </w:r>
            <w:r>
              <w:rPr>
                <w:rFonts w:hint="eastAsia" w:ascii="宋体" w:hAnsi="宋体" w:cs="宋体"/>
                <w:color w:val="auto"/>
                <w:highlight w:val="none"/>
              </w:rPr>
              <w:t xml:space="preserve">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04" w:hRule="atLeast"/>
        </w:trPr>
        <w:tc>
          <w:tcPr>
            <w:tcW w:w="1101" w:type="dxa"/>
            <w:vMerge w:val="continue"/>
            <w:vAlign w:val="center"/>
          </w:tcPr>
          <w:p>
            <w:pPr>
              <w:spacing w:before="146" w:beforeLines="50" w:line="360" w:lineRule="exact"/>
              <w:jc w:val="center"/>
              <w:rPr>
                <w:rFonts w:ascii="宋体" w:hAnsi="宋体" w:cs="宋体"/>
                <w:b/>
                <w:bCs/>
                <w:color w:val="auto"/>
                <w:sz w:val="32"/>
                <w:szCs w:val="21"/>
                <w:highlight w:val="none"/>
              </w:rPr>
            </w:pPr>
          </w:p>
        </w:tc>
        <w:tc>
          <w:tcPr>
            <w:tcW w:w="7512" w:type="dxa"/>
            <w:vAlign w:val="center"/>
          </w:tcPr>
          <w:p>
            <w:pPr>
              <w:spacing w:line="360" w:lineRule="exact"/>
              <w:rPr>
                <w:rFonts w:hint="eastAsia" w:ascii="宋体" w:hAnsi="宋体" w:eastAsia="宋体" w:cs="宋体"/>
                <w:color w:val="auto"/>
                <w:highlight w:val="none"/>
                <w:u w:val="single"/>
                <w:lang w:eastAsia="zh-CN"/>
              </w:rPr>
            </w:pPr>
            <w:r>
              <w:rPr>
                <w:rFonts w:hint="eastAsia" w:ascii="宋体" w:hAnsi="宋体" w:cs="宋体"/>
                <w:color w:val="auto"/>
                <w:highlight w:val="none"/>
              </w:rPr>
              <w:t>采购代理机构名称：</w:t>
            </w:r>
            <w:r>
              <w:rPr>
                <w:rFonts w:hint="eastAsia" w:ascii="宋体" w:hAnsi="宋体" w:cs="宋体"/>
                <w:color w:val="auto"/>
                <w:highlight w:val="none"/>
                <w:lang w:eastAsia="zh-CN"/>
              </w:rPr>
              <w:t>宁波国咨工程造价咨询有限公司</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地    址：宁波市鄞州区和源路510号宁兴国贸大厦</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楼</w:t>
            </w:r>
            <w:r>
              <w:rPr>
                <w:rFonts w:hint="eastAsia" w:ascii="宋体" w:hAnsi="宋体" w:cs="宋体"/>
                <w:color w:val="auto"/>
                <w:szCs w:val="21"/>
                <w:highlight w:val="none"/>
                <w:lang w:val="en-US" w:eastAsia="zh-CN"/>
              </w:rPr>
              <w:t>1203</w:t>
            </w:r>
            <w:r>
              <w:rPr>
                <w:rFonts w:hint="eastAsia" w:ascii="宋体" w:hAnsi="宋体" w:cs="宋体"/>
                <w:color w:val="auto"/>
                <w:szCs w:val="21"/>
                <w:highlight w:val="none"/>
              </w:rPr>
              <w:t>室</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邮    编：315040</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0574-88203787</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电子邮件：</w:t>
            </w:r>
            <w:r>
              <w:rPr>
                <w:rFonts w:hint="eastAsia" w:ascii="宋体" w:hAnsi="宋体" w:cs="宋体"/>
                <w:color w:val="auto"/>
                <w:szCs w:val="21"/>
                <w:highlight w:val="none"/>
                <w:lang w:val="en-US" w:eastAsia="zh-CN"/>
              </w:rPr>
              <w:t>464492651</w:t>
            </w:r>
            <w:r>
              <w:rPr>
                <w:rFonts w:hint="eastAsia" w:ascii="宋体" w:hAnsi="宋体" w:cs="宋体"/>
                <w:color w:val="auto"/>
                <w:szCs w:val="21"/>
                <w:highlight w:val="none"/>
              </w:rPr>
              <w:t>@qq.com</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王浩宇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3" w:hRule="atLeast"/>
        </w:trPr>
        <w:tc>
          <w:tcPr>
            <w:tcW w:w="1101" w:type="dxa"/>
            <w:vMerge w:val="continue"/>
            <w:vAlign w:val="center"/>
          </w:tcPr>
          <w:p>
            <w:pPr>
              <w:spacing w:before="146" w:beforeLines="50" w:line="360" w:lineRule="exact"/>
              <w:jc w:val="center"/>
              <w:rPr>
                <w:rFonts w:ascii="宋体" w:hAnsi="宋体" w:cs="宋体"/>
                <w:b/>
                <w:bCs/>
                <w:color w:val="auto"/>
                <w:sz w:val="32"/>
                <w:szCs w:val="21"/>
                <w:highlight w:val="none"/>
              </w:rPr>
            </w:pPr>
          </w:p>
        </w:tc>
        <w:tc>
          <w:tcPr>
            <w:tcW w:w="7512" w:type="dxa"/>
            <w:vAlign w:val="center"/>
          </w:tcPr>
          <w:p>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余姚市中考听力广播系统项目</w:t>
            </w:r>
            <w:r>
              <w:rPr>
                <w:rFonts w:hint="eastAsia" w:ascii="宋体" w:hAnsi="宋体" w:cs="宋体"/>
                <w:color w:val="auto"/>
                <w:szCs w:val="21"/>
                <w:highlight w:val="none"/>
              </w:rPr>
              <w:t>（本次采购为非专门面向中小企业）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751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招标范围：详见招标文件第二部分“招标项目需求”。</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b/>
                <w:color w:val="auto"/>
                <w:highlight w:val="none"/>
              </w:rPr>
              <w:t>★</w:t>
            </w:r>
            <w:r>
              <w:rPr>
                <w:rFonts w:hint="eastAsia" w:ascii="宋体" w:hAnsi="宋体" w:cs="宋体"/>
                <w:color w:val="auto"/>
                <w:szCs w:val="21"/>
                <w:highlight w:val="none"/>
              </w:rPr>
              <w:t>4.1</w:t>
            </w:r>
          </w:p>
        </w:tc>
        <w:tc>
          <w:tcPr>
            <w:tcW w:w="7512" w:type="dxa"/>
            <w:vAlign w:val="center"/>
          </w:tcPr>
          <w:p>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合格投标人的资格要求（本项目采用资格后审）：</w:t>
            </w:r>
          </w:p>
          <w:p>
            <w:pPr>
              <w:spacing w:line="360" w:lineRule="exact"/>
              <w:rPr>
                <w:rFonts w:ascii="宋体" w:hAnsi="宋体" w:cs="宋体"/>
                <w:color w:val="auto"/>
                <w:highlight w:val="none"/>
              </w:rPr>
            </w:pPr>
            <w:r>
              <w:rPr>
                <w:rFonts w:hint="eastAsia" w:ascii="宋体" w:hAnsi="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exact"/>
              <w:rPr>
                <w:rFonts w:ascii="宋体" w:hAnsi="宋体" w:cs="宋体"/>
                <w:color w:val="auto"/>
                <w:highlight w:val="none"/>
              </w:rPr>
            </w:pPr>
            <w:r>
              <w:rPr>
                <w:rFonts w:hint="eastAsia" w:ascii="宋体" w:hAnsi="宋体" w:cs="宋体"/>
                <w:color w:val="auto"/>
                <w:highlight w:val="none"/>
              </w:rPr>
              <w:t>2.落实政府采购政策需满足的资格要求：</w:t>
            </w:r>
            <w:r>
              <w:rPr>
                <w:rFonts w:hint="eastAsia"/>
                <w:color w:val="auto"/>
                <w:szCs w:val="21"/>
                <w:highlight w:val="none"/>
              </w:rPr>
              <w:t>无。</w:t>
            </w:r>
          </w:p>
          <w:p>
            <w:pPr>
              <w:spacing w:line="360" w:lineRule="exact"/>
              <w:jc w:val="left"/>
              <w:rPr>
                <w:rFonts w:ascii="宋体" w:hAnsi="宋体" w:cs="宋体"/>
                <w:color w:val="auto"/>
                <w:highlight w:val="none"/>
              </w:rPr>
            </w:pPr>
            <w:r>
              <w:rPr>
                <w:rFonts w:hint="eastAsia" w:ascii="宋体" w:hAnsi="宋体" w:cs="宋体"/>
                <w:color w:val="auto"/>
                <w:highlight w:val="none"/>
              </w:rPr>
              <w:t>3.本项目的特定资格要求：无。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7512"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现场考察：不组织</w:t>
            </w:r>
          </w:p>
          <w:p>
            <w:pPr>
              <w:spacing w:line="360" w:lineRule="exact"/>
              <w:rPr>
                <w:rFonts w:ascii="宋体" w:hAnsi="宋体" w:cs="宋体"/>
                <w:color w:val="auto"/>
                <w:sz w:val="24"/>
                <w:szCs w:val="24"/>
                <w:highlight w:val="none"/>
              </w:rPr>
            </w:pPr>
            <w:r>
              <w:rPr>
                <w:rFonts w:hint="eastAsia" w:ascii="宋体" w:hAnsi="宋体" w:cs="宋体"/>
                <w:color w:val="auto"/>
                <w:highlight w:val="none"/>
              </w:rPr>
              <w:t>答疑会：不组织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39"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b/>
                <w:color w:val="auto"/>
                <w:highlight w:val="none"/>
              </w:rPr>
              <w:t>★</w:t>
            </w:r>
            <w:r>
              <w:rPr>
                <w:rFonts w:hint="eastAsia" w:ascii="宋体" w:hAnsi="宋体" w:cs="宋体"/>
                <w:color w:val="auto"/>
                <w:szCs w:val="21"/>
                <w:highlight w:val="none"/>
              </w:rPr>
              <w:t>9.1</w:t>
            </w:r>
          </w:p>
        </w:tc>
        <w:tc>
          <w:tcPr>
            <w:tcW w:w="7512"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投标文件组成：</w:t>
            </w:r>
          </w:p>
          <w:p>
            <w:pPr>
              <w:spacing w:line="360" w:lineRule="exact"/>
              <w:rPr>
                <w:rFonts w:ascii="宋体" w:hAnsi="宋体" w:cs="宋体"/>
                <w:b/>
                <w:color w:val="auto"/>
                <w:highlight w:val="none"/>
              </w:rPr>
            </w:pPr>
            <w:r>
              <w:rPr>
                <w:rFonts w:hint="eastAsia" w:ascii="宋体" w:hAnsi="宋体" w:cs="宋体"/>
                <w:b/>
                <w:color w:val="auto"/>
                <w:highlight w:val="none"/>
              </w:rPr>
              <w:t>1.商务技术文件，含：</w:t>
            </w:r>
          </w:p>
          <w:p>
            <w:pPr>
              <w:spacing w:line="360" w:lineRule="exact"/>
              <w:rPr>
                <w:rFonts w:ascii="宋体" w:hAnsi="宋体" w:cs="宋体"/>
                <w:color w:val="auto"/>
                <w:highlight w:val="none"/>
              </w:rPr>
            </w:pPr>
            <w:r>
              <w:rPr>
                <w:rFonts w:hint="eastAsia" w:ascii="宋体" w:hAnsi="宋体" w:cs="宋体"/>
                <w:color w:val="auto"/>
                <w:highlight w:val="none"/>
              </w:rPr>
              <w:t>(1)投标函；</w:t>
            </w:r>
          </w:p>
          <w:p>
            <w:pPr>
              <w:spacing w:line="360" w:lineRule="exact"/>
              <w:rPr>
                <w:rFonts w:ascii="宋体" w:hAnsi="宋体" w:cs="宋体"/>
                <w:color w:val="auto"/>
                <w:highlight w:val="none"/>
              </w:rPr>
            </w:pPr>
            <w:r>
              <w:rPr>
                <w:rFonts w:hint="eastAsia" w:ascii="宋体" w:hAnsi="宋体" w:cs="宋体"/>
                <w:color w:val="auto"/>
                <w:highlight w:val="none"/>
              </w:rPr>
              <w:t>(2)单位负责人授权书或单位负责人身份证明；</w:t>
            </w:r>
          </w:p>
          <w:p>
            <w:pPr>
              <w:spacing w:line="360" w:lineRule="exact"/>
              <w:rPr>
                <w:rFonts w:ascii="宋体" w:hAnsi="宋体" w:cs="宋体"/>
                <w:color w:val="auto"/>
                <w:highlight w:val="none"/>
              </w:rPr>
            </w:pPr>
            <w:r>
              <w:rPr>
                <w:rFonts w:hint="eastAsia" w:ascii="宋体" w:hAnsi="宋体" w:cs="宋体"/>
                <w:color w:val="auto"/>
                <w:highlight w:val="none"/>
              </w:rPr>
              <w:t>(3)投标单位情况一览表</w:t>
            </w:r>
            <w:r>
              <w:rPr>
                <w:rFonts w:hint="eastAsia" w:ascii="宋体" w:hAnsi="宋体" w:cs="宋体"/>
                <w:color w:val="auto"/>
                <w:szCs w:val="21"/>
                <w:highlight w:val="none"/>
              </w:rPr>
              <w:t>（若联合体投标的，联合体各方均须提供）</w:t>
            </w:r>
            <w:r>
              <w:rPr>
                <w:rFonts w:hint="eastAsia" w:ascii="宋体" w:hAnsi="宋体" w:cs="宋体"/>
                <w:color w:val="auto"/>
                <w:highlight w:val="none"/>
              </w:rPr>
              <w:t>；</w:t>
            </w:r>
          </w:p>
          <w:p>
            <w:pPr>
              <w:spacing w:line="360" w:lineRule="exact"/>
              <w:rPr>
                <w:rFonts w:ascii="宋体" w:hAnsi="宋体" w:cs="宋体"/>
                <w:color w:val="auto"/>
                <w:highlight w:val="none"/>
              </w:rPr>
            </w:pPr>
            <w:r>
              <w:rPr>
                <w:rFonts w:hint="eastAsia" w:ascii="宋体" w:hAnsi="宋体" w:cs="宋体"/>
                <w:color w:val="auto"/>
                <w:highlight w:val="none"/>
              </w:rPr>
              <w:t>(4)技术条款偏离表；</w:t>
            </w:r>
          </w:p>
          <w:p>
            <w:pPr>
              <w:spacing w:line="360" w:lineRule="exact"/>
              <w:rPr>
                <w:rFonts w:ascii="宋体" w:hAnsi="宋体" w:cs="宋体"/>
                <w:color w:val="auto"/>
                <w:highlight w:val="none"/>
              </w:rPr>
            </w:pPr>
            <w:r>
              <w:rPr>
                <w:rFonts w:hint="eastAsia" w:ascii="宋体" w:hAnsi="宋体" w:cs="宋体"/>
                <w:color w:val="auto"/>
                <w:highlight w:val="none"/>
              </w:rPr>
              <w:t>(5)商务条款偏离表；</w:t>
            </w:r>
          </w:p>
          <w:p>
            <w:pPr>
              <w:spacing w:line="360" w:lineRule="exact"/>
              <w:rPr>
                <w:rFonts w:ascii="宋体" w:hAnsi="宋体" w:cs="宋体"/>
                <w:color w:val="auto"/>
                <w:highlight w:val="none"/>
              </w:rPr>
            </w:pPr>
            <w:r>
              <w:rPr>
                <w:rFonts w:hint="eastAsia" w:ascii="宋体" w:hAnsi="宋体" w:cs="宋体"/>
                <w:color w:val="auto"/>
                <w:highlight w:val="none"/>
              </w:rPr>
              <w:t>(6)第五部分“评标办法”中“评分标准”要求提供的资料（如有需提供）；</w:t>
            </w:r>
          </w:p>
          <w:p>
            <w:pPr>
              <w:spacing w:line="360" w:lineRule="exact"/>
              <w:rPr>
                <w:rFonts w:ascii="宋体" w:hAnsi="宋体" w:cs="宋体"/>
                <w:color w:val="auto"/>
                <w:highlight w:val="none"/>
              </w:rPr>
            </w:pPr>
            <w:r>
              <w:rPr>
                <w:rFonts w:hint="eastAsia" w:ascii="宋体" w:hAnsi="宋体" w:cs="宋体"/>
                <w:color w:val="auto"/>
                <w:highlight w:val="none"/>
              </w:rPr>
              <w:t>以上条款请按本招标文件第七部分“附件（投标文件格式）”编制。</w:t>
            </w:r>
          </w:p>
          <w:p>
            <w:pPr>
              <w:spacing w:line="360" w:lineRule="exact"/>
              <w:rPr>
                <w:rFonts w:ascii="宋体" w:hAnsi="宋体" w:cs="宋体"/>
                <w:b/>
                <w:color w:val="auto"/>
                <w:highlight w:val="none"/>
              </w:rPr>
            </w:pPr>
            <w:r>
              <w:rPr>
                <w:rFonts w:hint="eastAsia" w:ascii="宋体" w:hAnsi="宋体" w:cs="宋体"/>
                <w:b/>
                <w:color w:val="auto"/>
                <w:highlight w:val="none"/>
              </w:rPr>
              <w:t>2.资格证明文件，含：</w:t>
            </w:r>
          </w:p>
          <w:p>
            <w:pPr>
              <w:spacing w:line="360" w:lineRule="exact"/>
              <w:rPr>
                <w:rFonts w:ascii="宋体" w:hAnsi="宋体" w:cs="宋体"/>
                <w:color w:val="auto"/>
                <w:highlight w:val="none"/>
              </w:rPr>
            </w:pPr>
            <w:r>
              <w:rPr>
                <w:rFonts w:hint="eastAsia" w:ascii="宋体" w:hAnsi="宋体" w:cs="宋体"/>
                <w:color w:val="auto"/>
                <w:highlight w:val="none"/>
              </w:rPr>
              <w:t>(1)资格条件自查表；</w:t>
            </w:r>
          </w:p>
          <w:p>
            <w:pPr>
              <w:spacing w:line="360" w:lineRule="exact"/>
              <w:rPr>
                <w:rFonts w:ascii="宋体" w:hAnsi="宋体" w:cs="宋体"/>
                <w:color w:val="auto"/>
                <w:highlight w:val="none"/>
              </w:rPr>
            </w:pPr>
            <w:r>
              <w:rPr>
                <w:rFonts w:hint="eastAsia" w:ascii="宋体" w:hAnsi="宋体" w:cs="宋体"/>
                <w:color w:val="auto"/>
                <w:highlight w:val="none"/>
              </w:rPr>
              <w:t>(2)投标声明书</w:t>
            </w:r>
            <w:r>
              <w:rPr>
                <w:rFonts w:hint="eastAsia" w:ascii="宋体" w:hAnsi="宋体"/>
                <w:color w:val="auto"/>
                <w:szCs w:val="21"/>
                <w:highlight w:val="none"/>
              </w:rPr>
              <w:t>（</w:t>
            </w:r>
            <w:r>
              <w:rPr>
                <w:rFonts w:hint="eastAsia" w:ascii="宋体" w:hAnsi="宋体"/>
                <w:color w:val="auto"/>
                <w:szCs w:val="21"/>
                <w:highlight w:val="none"/>
                <w:lang w:eastAsia="zh-Hans"/>
              </w:rPr>
              <w:t>若</w:t>
            </w:r>
            <w:r>
              <w:rPr>
                <w:rFonts w:hint="eastAsia" w:ascii="宋体" w:hAnsi="宋体"/>
                <w:color w:val="auto"/>
                <w:szCs w:val="21"/>
                <w:highlight w:val="none"/>
              </w:rPr>
              <w:t>联合体投标的，联合体各方均须提供）</w:t>
            </w:r>
            <w:r>
              <w:rPr>
                <w:rFonts w:hint="eastAsia" w:ascii="宋体" w:hAnsi="宋体" w:cs="宋体"/>
                <w:color w:val="auto"/>
                <w:highlight w:val="none"/>
              </w:rPr>
              <w:t>；</w:t>
            </w:r>
          </w:p>
          <w:p>
            <w:pPr>
              <w:spacing w:line="360" w:lineRule="exact"/>
              <w:rPr>
                <w:rFonts w:ascii="宋体" w:hAnsi="宋体" w:cs="宋体"/>
                <w:color w:val="auto"/>
                <w:highlight w:val="none"/>
              </w:rPr>
            </w:pPr>
            <w:r>
              <w:rPr>
                <w:rFonts w:hint="eastAsia" w:ascii="宋体" w:hAnsi="宋体" w:cs="宋体"/>
                <w:color w:val="auto"/>
                <w:highlight w:val="none"/>
              </w:rPr>
              <w:t>(3)有效的“多证合一”的营业执照（未办理多证合一的提供营业执照、税务登记证、组织机构代码证）副本复印件。投标人如果有名称变更的，应提供由行政主管部门出具的变更证明文件</w:t>
            </w:r>
            <w:r>
              <w:rPr>
                <w:rFonts w:hint="eastAsia" w:ascii="宋体" w:hAnsi="宋体" w:cs="宋体"/>
                <w:color w:val="auto"/>
                <w:szCs w:val="21"/>
                <w:highlight w:val="none"/>
              </w:rPr>
              <w:t>（若联合体投标的，联合体各方均须提供）</w:t>
            </w:r>
            <w:r>
              <w:rPr>
                <w:rFonts w:hint="eastAsia" w:ascii="宋体" w:hAnsi="宋体" w:cs="宋体"/>
                <w:color w:val="auto"/>
                <w:highlight w:val="none"/>
              </w:rPr>
              <w:t>；</w:t>
            </w:r>
          </w:p>
          <w:p>
            <w:pPr>
              <w:spacing w:line="360" w:lineRule="exact"/>
              <w:rPr>
                <w:rFonts w:ascii="宋体" w:hAnsi="宋体" w:cs="宋体"/>
                <w:color w:val="auto"/>
                <w:highlight w:val="none"/>
              </w:rPr>
            </w:pPr>
            <w:r>
              <w:rPr>
                <w:rFonts w:hint="eastAsia" w:ascii="宋体" w:hAnsi="宋体" w:cs="宋体"/>
                <w:color w:val="auto"/>
                <w:highlight w:val="none"/>
              </w:rPr>
              <w:t>(4) 关于资格的承诺函</w:t>
            </w:r>
            <w:r>
              <w:rPr>
                <w:rFonts w:hint="eastAsia" w:ascii="宋体" w:hAnsi="宋体"/>
                <w:color w:val="auto"/>
                <w:szCs w:val="21"/>
                <w:highlight w:val="none"/>
              </w:rPr>
              <w:t>（</w:t>
            </w:r>
            <w:r>
              <w:rPr>
                <w:rFonts w:hint="eastAsia" w:ascii="宋体" w:hAnsi="宋体"/>
                <w:color w:val="auto"/>
                <w:szCs w:val="21"/>
                <w:highlight w:val="none"/>
                <w:lang w:eastAsia="zh-Hans"/>
              </w:rPr>
              <w:t>若</w:t>
            </w:r>
            <w:r>
              <w:rPr>
                <w:rFonts w:hint="eastAsia" w:ascii="宋体" w:hAnsi="宋体"/>
                <w:color w:val="auto"/>
                <w:szCs w:val="21"/>
                <w:highlight w:val="none"/>
              </w:rPr>
              <w:t>联合体投标的，联合体各方均须提供）</w:t>
            </w:r>
            <w:r>
              <w:rPr>
                <w:rFonts w:hint="eastAsia" w:ascii="宋体" w:hAnsi="宋体" w:cs="宋体"/>
                <w:color w:val="auto"/>
                <w:highlight w:val="none"/>
              </w:rPr>
              <w:t>；</w:t>
            </w:r>
          </w:p>
          <w:p>
            <w:pPr>
              <w:spacing w:line="360" w:lineRule="exact"/>
              <w:rPr>
                <w:rFonts w:ascii="宋体" w:hAnsi="宋体" w:cs="宋体"/>
                <w:color w:val="auto"/>
                <w:highlight w:val="none"/>
              </w:rPr>
            </w:pPr>
            <w:r>
              <w:rPr>
                <w:rFonts w:hint="eastAsia" w:ascii="宋体" w:hAnsi="宋体" w:cs="宋体"/>
                <w:color w:val="auto"/>
                <w:highlight w:val="none"/>
              </w:rPr>
              <w:t>(5)投标人的特定条件的证明文件（如有）；</w:t>
            </w:r>
          </w:p>
          <w:p>
            <w:pPr>
              <w:spacing w:line="360" w:lineRule="exact"/>
              <w:rPr>
                <w:rFonts w:ascii="宋体" w:hAnsi="宋体" w:cs="宋体"/>
                <w:color w:val="auto"/>
                <w:szCs w:val="22"/>
                <w:highlight w:val="none"/>
              </w:rPr>
            </w:pPr>
            <w:r>
              <w:rPr>
                <w:rFonts w:hint="eastAsia" w:ascii="宋体" w:hAnsi="宋体" w:cs="宋体"/>
                <w:color w:val="auto"/>
                <w:szCs w:val="22"/>
                <w:highlight w:val="none"/>
              </w:rPr>
              <w:t>(6)</w:t>
            </w:r>
            <w:r>
              <w:rPr>
                <w:rFonts w:hint="eastAsia" w:ascii="宋体" w:hAnsi="宋体" w:cs="宋体"/>
                <w:bCs/>
                <w:color w:val="auto"/>
                <w:szCs w:val="21"/>
                <w:highlight w:val="none"/>
              </w:rPr>
              <w:t>联合体协议书（如需联合体时提供）。</w:t>
            </w:r>
          </w:p>
          <w:p>
            <w:pPr>
              <w:spacing w:line="360" w:lineRule="exact"/>
              <w:rPr>
                <w:rFonts w:ascii="宋体" w:hAnsi="宋体" w:cs="宋体"/>
                <w:b/>
                <w:color w:val="auto"/>
                <w:highlight w:val="none"/>
              </w:rPr>
            </w:pPr>
            <w:r>
              <w:rPr>
                <w:rFonts w:hint="eastAsia" w:ascii="宋体" w:hAnsi="宋体" w:cs="宋体"/>
                <w:b/>
                <w:color w:val="auto"/>
                <w:highlight w:val="none"/>
              </w:rPr>
              <w:t>3．报价文件，含：</w:t>
            </w:r>
          </w:p>
          <w:p>
            <w:pPr>
              <w:spacing w:line="360" w:lineRule="exact"/>
              <w:rPr>
                <w:rFonts w:ascii="宋体" w:hAnsi="宋体" w:cs="宋体"/>
                <w:color w:val="auto"/>
                <w:highlight w:val="none"/>
              </w:rPr>
            </w:pPr>
            <w:r>
              <w:rPr>
                <w:rFonts w:hint="eastAsia" w:ascii="宋体" w:hAnsi="宋体" w:cs="宋体"/>
                <w:color w:val="auto"/>
                <w:highlight w:val="none"/>
              </w:rPr>
              <w:t>(1)开标一览表；</w:t>
            </w:r>
          </w:p>
          <w:p>
            <w:pPr>
              <w:spacing w:line="360" w:lineRule="exact"/>
              <w:rPr>
                <w:rFonts w:ascii="宋体" w:hAnsi="宋体" w:cs="宋体"/>
                <w:color w:val="auto"/>
                <w:highlight w:val="none"/>
              </w:rPr>
            </w:pPr>
            <w:r>
              <w:rPr>
                <w:rFonts w:hint="eastAsia" w:ascii="宋体" w:hAnsi="宋体" w:cs="宋体"/>
                <w:color w:val="auto"/>
                <w:highlight w:val="none"/>
              </w:rPr>
              <w:t>(2)投标报价组成明细表；</w:t>
            </w:r>
          </w:p>
          <w:p>
            <w:pPr>
              <w:spacing w:line="360" w:lineRule="exact"/>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color w:val="auto"/>
                <w:szCs w:val="21"/>
                <w:highlight w:val="none"/>
              </w:rPr>
              <w:t>质保期后备品备件清单；</w:t>
            </w:r>
          </w:p>
          <w:p>
            <w:pPr>
              <w:spacing w:line="360" w:lineRule="exact"/>
              <w:rPr>
                <w:rFonts w:ascii="宋体" w:hAnsi="宋体" w:cs="宋体"/>
                <w:color w:val="auto"/>
                <w:highlight w:val="none"/>
              </w:rPr>
            </w:pPr>
            <w:r>
              <w:rPr>
                <w:rFonts w:hint="eastAsia" w:ascii="宋体" w:hAnsi="宋体" w:cs="宋体"/>
                <w:color w:val="auto"/>
                <w:highlight w:val="none"/>
              </w:rPr>
              <w:t>(4)中小企业声明函（如有需提供）；</w:t>
            </w:r>
          </w:p>
          <w:p>
            <w:pPr>
              <w:spacing w:line="360" w:lineRule="exact"/>
              <w:rPr>
                <w:rFonts w:ascii="宋体" w:hAnsi="宋体" w:cs="宋体"/>
                <w:color w:val="auto"/>
                <w:highlight w:val="none"/>
              </w:rPr>
            </w:pPr>
            <w:r>
              <w:rPr>
                <w:rFonts w:hint="eastAsia" w:ascii="宋体" w:hAnsi="宋体" w:cs="宋体"/>
                <w:color w:val="auto"/>
                <w:highlight w:val="none"/>
              </w:rPr>
              <w:t>(5)残疾人福利性单位声明函（如有需提供）；</w:t>
            </w:r>
          </w:p>
          <w:p>
            <w:pPr>
              <w:spacing w:line="360" w:lineRule="exact"/>
              <w:rPr>
                <w:rFonts w:ascii="宋体" w:hAnsi="宋体" w:cs="宋体"/>
                <w:color w:val="auto"/>
                <w:szCs w:val="22"/>
                <w:highlight w:val="none"/>
              </w:rPr>
            </w:pPr>
            <w:r>
              <w:rPr>
                <w:rFonts w:hint="eastAsia" w:ascii="宋体" w:hAnsi="宋体" w:cs="宋体"/>
                <w:color w:val="auto"/>
                <w:highlight w:val="none"/>
              </w:rPr>
              <w:t>(6)</w:t>
            </w:r>
            <w:r>
              <w:rPr>
                <w:rFonts w:hint="eastAsia" w:ascii="宋体" w:hAnsi="宋体" w:cs="宋体"/>
                <w:color w:val="auto"/>
                <w:szCs w:val="22"/>
                <w:highlight w:val="none"/>
              </w:rPr>
              <w:t>监狱企业声明函</w:t>
            </w:r>
            <w:r>
              <w:rPr>
                <w:rFonts w:hint="eastAsia" w:ascii="宋体" w:hAnsi="宋体" w:cs="宋体"/>
                <w:color w:val="auto"/>
                <w:highlight w:val="none"/>
              </w:rPr>
              <w:t>（如有需提供）</w:t>
            </w:r>
            <w:r>
              <w:rPr>
                <w:rFonts w:hint="eastAsia" w:ascii="宋体" w:hAnsi="宋体" w:cs="宋体"/>
                <w:color w:val="auto"/>
                <w:szCs w:val="22"/>
                <w:highlight w:val="none"/>
              </w:rPr>
              <w:t>。</w:t>
            </w:r>
          </w:p>
          <w:p>
            <w:pPr>
              <w:spacing w:line="360" w:lineRule="exact"/>
              <w:rPr>
                <w:rFonts w:ascii="宋体" w:hAnsi="宋体" w:cs="宋体"/>
                <w:b/>
                <w:bCs/>
                <w:color w:val="auto"/>
                <w:szCs w:val="22"/>
                <w:highlight w:val="none"/>
              </w:rPr>
            </w:pPr>
            <w:r>
              <w:rPr>
                <w:rFonts w:hint="eastAsia" w:ascii="宋体" w:hAnsi="宋体" w:cs="宋体"/>
                <w:b/>
                <w:bCs/>
                <w:color w:val="auto"/>
                <w:szCs w:val="22"/>
                <w:highlight w:val="none"/>
              </w:rPr>
              <w:t>供应商应对投标文件编制目录和评分索引表以方便查询。</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b/>
                <w:color w:val="auto"/>
                <w:highlight w:val="none"/>
              </w:rPr>
              <w:t>★</w:t>
            </w:r>
            <w:r>
              <w:rPr>
                <w:rFonts w:hint="eastAsia" w:ascii="宋体" w:hAnsi="宋体" w:cs="宋体"/>
                <w:color w:val="auto"/>
                <w:szCs w:val="21"/>
                <w:highlight w:val="none"/>
              </w:rPr>
              <w:t>10.1</w:t>
            </w:r>
          </w:p>
        </w:tc>
        <w:tc>
          <w:tcPr>
            <w:tcW w:w="7512" w:type="dxa"/>
            <w:vAlign w:val="center"/>
          </w:tcPr>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本项目采用</w:t>
            </w:r>
            <w:r>
              <w:rPr>
                <w:rFonts w:hint="eastAsia" w:ascii="宋体" w:hAnsi="宋体" w:cs="宋体"/>
                <w:b/>
                <w:bCs/>
                <w:color w:val="auto"/>
                <w:szCs w:val="21"/>
                <w:highlight w:val="none"/>
              </w:rPr>
              <w:t>固定总价方式。</w:t>
            </w:r>
          </w:p>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投标报价的组成：本项目投标报价应为承包完成本次投标需完成全部工作所发生的所有费用，并承担一切风险责任，包括但不限于设备材料的供应、安装、实施、技术服务、调试、开通、验收、试运行、培训、系统集成及配合、成品保护、售后服务、原厂保修费、国家和有关部门规定的强制检测费用、管理费、培训费、利润、税金以及其他费用，凡影响报价的所有相关费用均应列入。供应商自行应承担其编制响应文件与递交投标文件及参与本次招标活动所涉及的一切费用。</w:t>
            </w:r>
          </w:p>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投标人应承担其参加本招标活动自身所发生的费用。</w:t>
            </w:r>
          </w:p>
          <w:p>
            <w:pPr>
              <w:spacing w:line="360" w:lineRule="exact"/>
              <w:rPr>
                <w:rFonts w:ascii="宋体" w:hAnsi="宋体" w:cs="宋体"/>
                <w:color w:val="auto"/>
                <w:szCs w:val="21"/>
                <w:highlight w:val="none"/>
              </w:rPr>
            </w:pPr>
            <w:r>
              <w:rPr>
                <w:rFonts w:hint="eastAsia" w:ascii="宋体" w:hAnsi="宋体" w:cs="宋体"/>
                <w:bCs/>
                <w:color w:val="auto"/>
                <w:szCs w:val="21"/>
                <w:highlight w:val="none"/>
              </w:rPr>
              <w:t>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b/>
                <w:color w:val="auto"/>
                <w:highlight w:val="none"/>
              </w:rPr>
              <w:t>★</w:t>
            </w:r>
            <w:r>
              <w:rPr>
                <w:rFonts w:hint="eastAsia" w:ascii="宋体" w:hAnsi="宋体" w:cs="宋体"/>
                <w:color w:val="auto"/>
                <w:szCs w:val="21"/>
                <w:highlight w:val="none"/>
              </w:rPr>
              <w:t>10.5</w:t>
            </w:r>
          </w:p>
        </w:tc>
        <w:tc>
          <w:tcPr>
            <w:tcW w:w="7512" w:type="dxa"/>
            <w:vAlign w:val="center"/>
          </w:tcPr>
          <w:p>
            <w:pPr>
              <w:spacing w:before="146" w:beforeLines="50" w:line="360" w:lineRule="auto"/>
              <w:rPr>
                <w:b/>
                <w:color w:val="auto"/>
                <w:highlight w:val="none"/>
              </w:rPr>
            </w:pPr>
            <w:r>
              <w:rPr>
                <w:rFonts w:hint="eastAsia"/>
                <w:b/>
                <w:color w:val="auto"/>
                <w:highlight w:val="none"/>
              </w:rPr>
              <w:t>本项目采用最高投标限价，超过最高限价的投标将被判定为无效投标。</w:t>
            </w:r>
          </w:p>
          <w:p>
            <w:pPr>
              <w:spacing w:before="146" w:beforeLines="50" w:line="360" w:lineRule="auto"/>
              <w:rPr>
                <w:color w:val="auto"/>
                <w:highlight w:val="none"/>
              </w:rPr>
            </w:pPr>
            <w:r>
              <w:rPr>
                <w:rFonts w:hint="eastAsia"/>
                <w:b/>
                <w:color w:val="auto"/>
                <w:highlight w:val="none"/>
              </w:rPr>
              <w:t>本项目最高限价为</w:t>
            </w:r>
            <w:r>
              <w:rPr>
                <w:rFonts w:hint="eastAsia"/>
                <w:b/>
                <w:color w:val="auto"/>
                <w:highlight w:val="none"/>
                <w:lang w:eastAsia="zh-CN"/>
              </w:rPr>
              <w:t>1480000元</w:t>
            </w:r>
            <w:r>
              <w:rPr>
                <w:rFonts w:hint="eastAsia"/>
                <w:b/>
                <w:color w:val="auto"/>
                <w:highlight w:val="none"/>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7512" w:type="dxa"/>
            <w:vAlign w:val="center"/>
          </w:tcPr>
          <w:p>
            <w:pPr>
              <w:spacing w:line="360" w:lineRule="exact"/>
              <w:rPr>
                <w:rFonts w:ascii="宋体" w:hAnsi="宋体" w:cs="宋体"/>
                <w:bCs/>
                <w:color w:val="auto"/>
                <w:szCs w:val="21"/>
                <w:highlight w:val="none"/>
              </w:rPr>
            </w:pPr>
            <w:r>
              <w:rPr>
                <w:rFonts w:hint="eastAsia" w:ascii="宋体" w:hAnsi="宋体" w:cs="宋体"/>
                <w:b/>
                <w:color w:val="auto"/>
                <w:szCs w:val="21"/>
                <w:highlight w:val="none"/>
              </w:rPr>
              <w:t>投标文件数量要求：</w:t>
            </w:r>
            <w:r>
              <w:rPr>
                <w:rFonts w:hint="eastAsia" w:ascii="宋体" w:hAnsi="宋体" w:cs="宋体"/>
                <w:bCs/>
                <w:color w:val="auto"/>
                <w:szCs w:val="21"/>
                <w:highlight w:val="none"/>
              </w:rPr>
              <w:t>本项目实行网上投标，供应商应准备以下投标文件：</w:t>
            </w:r>
          </w:p>
          <w:p>
            <w:pPr>
              <w:spacing w:line="360" w:lineRule="exact"/>
              <w:rPr>
                <w:rFonts w:ascii="宋体" w:hAnsi="宋体" w:cs="宋体"/>
                <w:bCs/>
                <w:color w:val="auto"/>
                <w:szCs w:val="21"/>
                <w:highlight w:val="none"/>
              </w:rPr>
            </w:pPr>
            <w:r>
              <w:rPr>
                <w:rFonts w:hint="eastAsia" w:ascii="宋体" w:hAnsi="宋体" w:cs="宋体"/>
                <w:b/>
                <w:color w:val="auto"/>
                <w:highlight w:val="none"/>
              </w:rPr>
              <w:t>★</w:t>
            </w:r>
            <w:r>
              <w:rPr>
                <w:rFonts w:hint="eastAsia" w:ascii="宋体" w:hAnsi="宋体" w:cs="宋体"/>
                <w:bCs/>
                <w:color w:val="auto"/>
                <w:szCs w:val="21"/>
                <w:highlight w:val="none"/>
              </w:rPr>
              <w:t>（1）上传到政府采购云平台的电子投标文件（含资格证明文件、商务和技术文件、报价文件）1份。</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注意事项 </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（1）电子投标文件中所须加盖公章部分均采用 CA 签章。 </w:t>
            </w:r>
          </w:p>
          <w:p>
            <w:pPr>
              <w:spacing w:line="360" w:lineRule="exact"/>
              <w:rPr>
                <w:rFonts w:ascii="宋体" w:hAnsi="宋体" w:cs="宋体"/>
                <w:color w:val="auto"/>
                <w:szCs w:val="21"/>
                <w:highlight w:val="none"/>
              </w:rPr>
            </w:pPr>
            <w:r>
              <w:rPr>
                <w:rFonts w:hint="eastAsia" w:ascii="宋体" w:hAnsi="宋体" w:cs="宋体"/>
                <w:b/>
                <w:bCs/>
                <w:color w:val="auto"/>
                <w:szCs w:val="21"/>
                <w:highlight w:val="none"/>
              </w:rPr>
              <w:t>（2）电子备份投标文件不作实质性要求，是否提交由供应商自行决定。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7512" w:type="dxa"/>
            <w:vAlign w:val="center"/>
          </w:tcPr>
          <w:p>
            <w:pPr>
              <w:spacing w:before="146" w:beforeLines="50" w:line="360" w:lineRule="exact"/>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 90 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7512" w:type="dxa"/>
            <w:vAlign w:val="center"/>
          </w:tcPr>
          <w:p>
            <w:pPr>
              <w:spacing w:line="360" w:lineRule="exact"/>
              <w:rPr>
                <w:rFonts w:ascii="宋体" w:hAnsi="宋体" w:cs="宋体"/>
                <w:b/>
                <w:color w:val="auto"/>
                <w:highlight w:val="none"/>
              </w:rPr>
            </w:pPr>
            <w:r>
              <w:rPr>
                <w:rFonts w:hint="eastAsia" w:ascii="宋体" w:hAnsi="宋体" w:cs="宋体"/>
                <w:b/>
                <w:color w:val="auto"/>
                <w:highlight w:val="none"/>
              </w:rPr>
              <w:t>投标保证金金额：无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7"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512" w:type="dxa"/>
            <w:vAlign w:val="center"/>
          </w:tcPr>
          <w:p>
            <w:pPr>
              <w:spacing w:before="146" w:beforeLines="50" w:line="36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4</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4</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11</w:t>
            </w:r>
            <w:bookmarkStart w:id="117" w:name="_GoBack"/>
            <w:bookmarkEnd w:id="117"/>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点</w:t>
            </w:r>
            <w:r>
              <w:rPr>
                <w:rFonts w:hint="eastAsia" w:ascii="宋体" w:hAnsi="宋体" w:cs="宋体"/>
                <w:bCs/>
                <w:color w:val="auto"/>
                <w:highlight w:val="none"/>
                <w:u w:val="single"/>
                <w:lang w:val="en-US" w:eastAsia="zh-CN"/>
              </w:rPr>
              <w:t>00</w:t>
            </w:r>
            <w:r>
              <w:rPr>
                <w:rFonts w:hint="eastAsia" w:ascii="宋体" w:hAnsi="宋体" w:cs="宋体"/>
                <w:bCs/>
                <w:color w:val="auto"/>
                <w:highlight w:val="none"/>
                <w:u w:val="single"/>
              </w:rPr>
              <w:t>分</w:t>
            </w:r>
            <w:r>
              <w:rPr>
                <w:rFonts w:hint="eastAsia" w:ascii="宋体" w:hAnsi="宋体" w:cs="宋体"/>
                <w:color w:val="auto"/>
                <w:szCs w:val="21"/>
                <w:highlight w:val="none"/>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512" w:type="dxa"/>
            <w:vAlign w:val="center"/>
          </w:tcPr>
          <w:p>
            <w:pPr>
              <w:numPr>
                <w:ilvl w:val="0"/>
                <w:numId w:val="7"/>
              </w:numPr>
              <w:spacing w:line="360" w:lineRule="exact"/>
              <w:rPr>
                <w:rFonts w:ascii="宋体" w:hAnsi="宋体" w:cs="宋体"/>
                <w:color w:val="auto"/>
                <w:highlight w:val="none"/>
              </w:rPr>
            </w:pPr>
            <w:r>
              <w:rPr>
                <w:rFonts w:hint="eastAsia" w:ascii="宋体" w:hAnsi="宋体" w:cs="宋体"/>
                <w:color w:val="auto"/>
                <w:highlight w:val="none"/>
              </w:rPr>
              <w:t>根据宁波市中介超市网上本项目的中选公告，本采购代理单位中标单位收取人民币</w:t>
            </w:r>
            <w:r>
              <w:rPr>
                <w:rFonts w:hint="eastAsia" w:ascii="宋体" w:hAnsi="宋体" w:cs="宋体"/>
                <w:color w:val="auto"/>
                <w:highlight w:val="none"/>
                <w:u w:val="single"/>
                <w:lang w:val="en-US" w:eastAsia="zh-CN"/>
              </w:rPr>
              <w:t>16400</w:t>
            </w:r>
            <w:r>
              <w:rPr>
                <w:rFonts w:hint="eastAsia" w:ascii="宋体" w:hAnsi="宋体" w:cs="宋体"/>
                <w:color w:val="auto"/>
                <w:highlight w:val="none"/>
              </w:rPr>
              <w:t>元整的代理服务费。</w:t>
            </w:r>
          </w:p>
          <w:p>
            <w:pPr>
              <w:numPr>
                <w:ilvl w:val="0"/>
                <w:numId w:val="7"/>
              </w:numPr>
              <w:spacing w:line="360" w:lineRule="exact"/>
              <w:rPr>
                <w:rFonts w:ascii="宋体" w:hAnsi="宋体" w:cs="宋体"/>
                <w:color w:val="auto"/>
                <w:szCs w:val="21"/>
                <w:highlight w:val="none"/>
              </w:rPr>
            </w:pPr>
            <w:r>
              <w:rPr>
                <w:rFonts w:hint="eastAsia" w:ascii="宋体" w:hAnsi="宋体" w:cs="宋体"/>
                <w:color w:val="auto"/>
                <w:szCs w:val="21"/>
                <w:highlight w:val="none"/>
              </w:rPr>
              <w:t>中标人负责承担中标服务费，并应在采购代理机构发出中标通知书5个工作日内向采购代理机构支付中标服务费。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3.中标服务费只收电汇款。</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4.代理服务费收款账户信息：</w:t>
            </w:r>
          </w:p>
          <w:p>
            <w:pPr>
              <w:tabs>
                <w:tab w:val="left" w:pos="210"/>
              </w:tabs>
              <w:spacing w:line="360" w:lineRule="exact"/>
              <w:rPr>
                <w:rFonts w:ascii="宋体" w:hAnsi="宋体" w:cs="宋体"/>
                <w:color w:val="auto"/>
                <w:szCs w:val="21"/>
                <w:highlight w:val="none"/>
              </w:rPr>
            </w:pPr>
            <w:r>
              <w:rPr>
                <w:rFonts w:hint="eastAsia" w:ascii="宋体" w:hAnsi="宋体" w:cs="宋体"/>
                <w:color w:val="auto"/>
                <w:szCs w:val="21"/>
                <w:highlight w:val="none"/>
              </w:rPr>
              <w:t>开户银行：建行宁波分行营业部；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w:t>
            </w:r>
            <w:r>
              <w:rPr>
                <w:rFonts w:hint="eastAsia" w:ascii="宋体" w:hAnsi="宋体" w:cs="宋体"/>
                <w:color w:val="auto"/>
                <w:szCs w:val="21"/>
                <w:highlight w:val="none"/>
                <w:lang w:eastAsia="zh-CN"/>
              </w:rPr>
              <w:t>宁波国咨工程造价咨询有限公司</w:t>
            </w:r>
            <w:r>
              <w:rPr>
                <w:rFonts w:hint="eastAsia" w:ascii="宋体" w:hAnsi="宋体" w:cs="宋体"/>
                <w:color w:val="auto"/>
                <w:szCs w:val="21"/>
                <w:highlight w:val="none"/>
              </w:rPr>
              <w:t>；</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账号：33101983679050502597。</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pPr>
              <w:spacing w:before="146"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7512" w:type="dxa"/>
            <w:tcBorders>
              <w:bottom w:val="single" w:color="auto" w:sz="12" w:space="0"/>
            </w:tcBorders>
            <w:vAlign w:val="center"/>
          </w:tcPr>
          <w:p>
            <w:pPr>
              <w:spacing w:line="360" w:lineRule="exact"/>
              <w:ind w:left="797" w:hanging="794" w:hangingChars="375"/>
              <w:rPr>
                <w:rFonts w:ascii="宋体" w:hAnsi="宋体" w:cs="宋体"/>
                <w:color w:val="auto"/>
                <w:highlight w:val="none"/>
              </w:rPr>
            </w:pPr>
            <w:r>
              <w:rPr>
                <w:rFonts w:hint="eastAsia" w:ascii="宋体" w:hAnsi="宋体" w:cs="宋体"/>
                <w:color w:val="auto"/>
                <w:highlight w:val="none"/>
              </w:rPr>
              <w:t>发布本项目招标公告、中标结果公告的媒体：</w:t>
            </w:r>
          </w:p>
          <w:p>
            <w:pPr>
              <w:spacing w:line="360" w:lineRule="exact"/>
              <w:ind w:left="797" w:hanging="794" w:hangingChars="375"/>
              <w:rPr>
                <w:rFonts w:ascii="宋体" w:hAnsi="宋体" w:cs="宋体"/>
                <w:color w:val="auto"/>
                <w:highlight w:val="none"/>
              </w:rPr>
            </w:pPr>
            <w:r>
              <w:rPr>
                <w:rFonts w:hint="eastAsia" w:ascii="宋体" w:hAnsi="宋体" w:cs="宋体"/>
                <w:color w:val="auto"/>
                <w:highlight w:val="none"/>
              </w:rPr>
              <w:t>浙江政府采购网https://zfcg.czt.zj.gov.cn/</w:t>
            </w:r>
          </w:p>
          <w:p>
            <w:pPr>
              <w:spacing w:line="360" w:lineRule="exact"/>
              <w:rPr>
                <w:rFonts w:ascii="宋体" w:hAnsi="宋体" w:cs="宋体"/>
                <w:color w:val="auto"/>
                <w:highlight w:val="none"/>
              </w:rPr>
            </w:pPr>
            <w:r>
              <w:rPr>
                <w:rFonts w:hint="eastAsia" w:ascii="宋体" w:hAnsi="宋体" w:cs="宋体"/>
                <w:color w:val="auto"/>
                <w:highlight w:val="none"/>
              </w:rPr>
              <w:t>宁波政府采购网</w:t>
            </w:r>
            <w:r>
              <w:rPr>
                <w:rFonts w:hint="eastAsia"/>
                <w:color w:val="auto"/>
                <w:highlight w:val="none"/>
              </w:rPr>
              <w:fldChar w:fldCharType="begin"/>
            </w:r>
            <w:r>
              <w:rPr>
                <w:color w:val="auto"/>
                <w:highlight w:val="none"/>
              </w:rPr>
              <w:instrText xml:space="preserve"> HYPERLINK "http://www.nbzfcg.cn" </w:instrText>
            </w:r>
            <w:r>
              <w:rPr>
                <w:rFonts w:hint="eastAsia"/>
                <w:color w:val="auto"/>
                <w:highlight w:val="none"/>
              </w:rPr>
              <w:fldChar w:fldCharType="separate"/>
            </w:r>
            <w:r>
              <w:rPr>
                <w:rFonts w:hint="eastAsia" w:ascii="宋体" w:hAnsi="宋体" w:cs="宋体"/>
                <w:color w:val="auto"/>
                <w:highlight w:val="none"/>
              </w:rPr>
              <w:t>www.nbzf</w:t>
            </w:r>
            <w:bookmarkStart w:id="31" w:name="_Hlt237917837"/>
            <w:bookmarkStart w:id="32" w:name="_Hlt237917838"/>
            <w:r>
              <w:rPr>
                <w:rFonts w:hint="eastAsia" w:ascii="宋体" w:hAnsi="宋体" w:cs="宋体"/>
                <w:color w:val="auto"/>
                <w:highlight w:val="none"/>
              </w:rPr>
              <w:t>c</w:t>
            </w:r>
            <w:bookmarkEnd w:id="31"/>
            <w:bookmarkEnd w:id="32"/>
            <w:bookmarkStart w:id="33" w:name="_Hlt237842726"/>
            <w:bookmarkStart w:id="34" w:name="_Hlt237842683"/>
            <w:bookmarkStart w:id="35" w:name="_Hlt237842684"/>
            <w:bookmarkStart w:id="36" w:name="_Hlt237842727"/>
            <w:r>
              <w:rPr>
                <w:rFonts w:hint="eastAsia" w:ascii="宋体" w:hAnsi="宋体" w:cs="宋体"/>
                <w:color w:val="auto"/>
                <w:highlight w:val="none"/>
              </w:rPr>
              <w:t>g</w:t>
            </w:r>
            <w:bookmarkEnd w:id="33"/>
            <w:bookmarkEnd w:id="34"/>
            <w:bookmarkEnd w:id="35"/>
            <w:bookmarkEnd w:id="36"/>
            <w:r>
              <w:rPr>
                <w:rFonts w:hint="eastAsia" w:ascii="宋体" w:hAnsi="宋体" w:cs="宋体"/>
                <w:color w:val="auto"/>
                <w:highlight w:val="none"/>
              </w:rPr>
              <w:t>.cn</w:t>
            </w:r>
            <w:r>
              <w:rPr>
                <w:rFonts w:hint="eastAsia" w:ascii="宋体" w:hAnsi="宋体" w:cs="宋体"/>
                <w:color w:val="auto"/>
                <w:highlight w:val="none"/>
              </w:rPr>
              <w:fldChar w:fldCharType="end"/>
            </w:r>
          </w:p>
        </w:tc>
      </w:tr>
    </w:tbl>
    <w:p>
      <w:pPr>
        <w:widowControl/>
        <w:spacing w:line="360" w:lineRule="auto"/>
        <w:ind w:firstLine="424" w:firstLineChars="200"/>
        <w:jc w:val="left"/>
        <w:rPr>
          <w:rFonts w:ascii="宋体" w:hAnsi="宋体" w:cs="宋体"/>
          <w:color w:val="auto"/>
          <w:szCs w:val="21"/>
          <w:highlight w:val="none"/>
          <w:u w:val="single"/>
        </w:rPr>
      </w:pPr>
    </w:p>
    <w:p>
      <w:pPr>
        <w:rPr>
          <w:color w:val="auto"/>
          <w:highlight w:val="none"/>
        </w:rPr>
      </w:pPr>
      <w:bookmarkStart w:id="37" w:name="_Toc316649292"/>
      <w:bookmarkStart w:id="38" w:name="_Toc520902393"/>
    </w:p>
    <w:p>
      <w:pPr>
        <w:rPr>
          <w:rFonts w:ascii="宋体" w:hAnsi="宋体" w:cs="宋体"/>
          <w:color w:val="auto"/>
          <w:sz w:val="32"/>
          <w:szCs w:val="32"/>
          <w:highlight w:val="none"/>
        </w:rPr>
      </w:pPr>
    </w:p>
    <w:p>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rPr>
          <w:rFonts w:hint="eastAsia"/>
          <w:color w:val="auto"/>
          <w:highlight w:val="none"/>
        </w:rPr>
      </w:pPr>
    </w:p>
    <w:p>
      <w:pPr>
        <w:pStyle w:val="2"/>
        <w:spacing w:before="293" w:after="293"/>
        <w:rPr>
          <w:rFonts w:ascii="宋体" w:hAnsi="宋体" w:cs="宋体"/>
          <w:color w:val="auto"/>
          <w:sz w:val="32"/>
          <w:szCs w:val="32"/>
          <w:highlight w:val="none"/>
        </w:rPr>
      </w:pPr>
      <w:r>
        <w:rPr>
          <w:rFonts w:hint="eastAsia" w:ascii="宋体" w:hAnsi="宋体" w:cs="宋体"/>
          <w:color w:val="auto"/>
          <w:sz w:val="32"/>
          <w:szCs w:val="32"/>
          <w:highlight w:val="none"/>
        </w:rPr>
        <w:t>第四部分投标人须知</w:t>
      </w:r>
      <w:bookmarkEnd w:id="37"/>
      <w:bookmarkEnd w:id="38"/>
    </w:p>
    <w:p>
      <w:pPr>
        <w:jc w:val="center"/>
        <w:outlineLvl w:val="1"/>
        <w:rPr>
          <w:rFonts w:ascii="宋体" w:hAnsi="宋体" w:cs="宋体"/>
          <w:b/>
          <w:color w:val="auto"/>
          <w:sz w:val="28"/>
          <w:highlight w:val="none"/>
        </w:rPr>
      </w:pPr>
      <w:bookmarkStart w:id="39" w:name="_Toc513798900"/>
      <w:bookmarkStart w:id="40" w:name="_Toc513799071"/>
      <w:bookmarkStart w:id="41" w:name="_Toc440276561"/>
      <w:bookmarkStart w:id="42" w:name="_Toc520902394"/>
      <w:bookmarkStart w:id="43" w:name="_Toc316649293"/>
      <w:bookmarkStart w:id="44" w:name="_Toc481153658"/>
      <w:bookmarkStart w:id="45" w:name="_Toc502819341"/>
      <w:bookmarkStart w:id="46" w:name="_Toc501721427"/>
      <w:bookmarkStart w:id="47" w:name="_Toc501721316"/>
      <w:bookmarkStart w:id="48" w:name="_Toc481153623"/>
      <w:bookmarkStart w:id="49" w:name="_Toc501721199"/>
      <w:bookmarkStart w:id="50" w:name="_Toc497935707"/>
      <w:r>
        <w:rPr>
          <w:rFonts w:hint="eastAsia" w:ascii="宋体" w:hAnsi="宋体" w:cs="宋体"/>
          <w:b/>
          <w:color w:val="auto"/>
          <w:sz w:val="28"/>
          <w:highlight w:val="none"/>
        </w:rPr>
        <w:t>A  总则</w:t>
      </w:r>
      <w:bookmarkEnd w:id="39"/>
      <w:bookmarkEnd w:id="40"/>
      <w:bookmarkEnd w:id="41"/>
      <w:bookmarkEnd w:id="42"/>
    </w:p>
    <w:p>
      <w:pPr>
        <w:numPr>
          <w:ilvl w:val="0"/>
          <w:numId w:val="8"/>
        </w:numPr>
        <w:spacing w:line="360" w:lineRule="auto"/>
        <w:rPr>
          <w:rFonts w:ascii="宋体" w:hAnsi="宋体" w:cs="宋体"/>
          <w:b/>
          <w:color w:val="auto"/>
          <w:szCs w:val="21"/>
          <w:highlight w:val="none"/>
        </w:rPr>
      </w:pPr>
      <w:r>
        <w:rPr>
          <w:rFonts w:hint="eastAsia" w:ascii="宋体" w:hAnsi="宋体" w:cs="宋体"/>
          <w:b/>
          <w:color w:val="auto"/>
          <w:szCs w:val="21"/>
          <w:highlight w:val="none"/>
        </w:rPr>
        <w:t>适用范围</w:t>
      </w:r>
    </w:p>
    <w:p>
      <w:pPr>
        <w:spacing w:line="360" w:lineRule="auto"/>
        <w:ind w:firstLine="424" w:firstLineChars="200"/>
        <w:rPr>
          <w:rFonts w:ascii="宋体" w:hAnsi="宋体" w:cs="宋体"/>
          <w:color w:val="auto"/>
          <w:highlight w:val="none"/>
        </w:rPr>
      </w:pPr>
      <w:r>
        <w:rPr>
          <w:rFonts w:hint="eastAsia" w:ascii="宋体" w:hAnsi="宋体" w:cs="宋体"/>
          <w:color w:val="auto"/>
          <w:highlight w:val="none"/>
        </w:rPr>
        <w:t>本招标文件适用于本项目的招标、投标、评标、定标、验收、合同履约、付款等行为（法律、法规另有规定的，从其规定）。</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 xml:space="preserve"> </w:t>
      </w:r>
      <w:r>
        <w:rPr>
          <w:rFonts w:hint="eastAsia" w:ascii="宋体" w:hAnsi="宋体" w:cs="宋体"/>
          <w:b/>
          <w:color w:val="auto"/>
          <w:szCs w:val="21"/>
          <w:highlight w:val="none"/>
        </w:rPr>
        <w:t>定义</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“采购人”、“采购代理机构”和“项目名称”：见“投标资料表”。</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2.2</w:t>
      </w:r>
      <w:r>
        <w:rPr>
          <w:rFonts w:hint="eastAsia" w:ascii="宋体" w:hAnsi="宋体" w:cs="宋体"/>
          <w:color w:val="auto"/>
          <w:szCs w:val="21"/>
          <w:highlight w:val="none"/>
        </w:rPr>
        <w:t xml:space="preserve">  “投标人”系指向采购人提交投标文件的单位或个人。</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2.4</w:t>
      </w:r>
      <w:r>
        <w:rPr>
          <w:rFonts w:hint="eastAsia" w:ascii="宋体" w:hAnsi="宋体" w:cs="宋体"/>
          <w:color w:val="auto"/>
          <w:szCs w:val="21"/>
          <w:highlight w:val="none"/>
        </w:rPr>
        <w:t xml:space="preserve">  “服务”系指招标文件规定投标人须承担的安装、调试、运维、技术协助、校准、培训、技术指导以及其它类似的义务。</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“项目”系指投标人按招标文件规定向采购人提供的货物或服务。</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“书面形式”包括信函、传真、邮件等。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“★”系指实质性要求条款。投标文件对这些条款的任何负偏离将导致投标无效。</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 xml:space="preserve"> </w:t>
      </w:r>
      <w:r>
        <w:rPr>
          <w:rFonts w:hint="eastAsia" w:ascii="宋体" w:hAnsi="宋体" w:cs="宋体"/>
          <w:b/>
          <w:color w:val="auto"/>
          <w:szCs w:val="21"/>
          <w:highlight w:val="none"/>
        </w:rPr>
        <w:t>招标范围</w:t>
      </w:r>
    </w:p>
    <w:p>
      <w:pPr>
        <w:spacing w:line="360" w:lineRule="auto"/>
        <w:rPr>
          <w:rFonts w:ascii="宋体" w:hAnsi="宋体" w:cs="宋体"/>
          <w:color w:val="auto"/>
          <w:highlight w:val="none"/>
        </w:rPr>
      </w:pPr>
      <w:r>
        <w:rPr>
          <w:rFonts w:hint="eastAsia" w:ascii="宋体" w:hAnsi="宋体" w:cs="宋体"/>
          <w:b/>
          <w:color w:val="auto"/>
          <w:szCs w:val="21"/>
          <w:highlight w:val="none"/>
        </w:rPr>
        <w:t xml:space="preserve">3.1  </w:t>
      </w:r>
      <w:r>
        <w:rPr>
          <w:rFonts w:hint="eastAsia" w:ascii="宋体" w:hAnsi="宋体" w:cs="宋体"/>
          <w:color w:val="auto"/>
          <w:highlight w:val="none"/>
        </w:rPr>
        <w:t>招标范围：见“投标资料表”。</w:t>
      </w:r>
    </w:p>
    <w:p>
      <w:pPr>
        <w:spacing w:line="360" w:lineRule="auto"/>
        <w:rPr>
          <w:rFonts w:ascii="宋体" w:hAnsi="宋体" w:cs="宋体"/>
          <w:color w:val="auto"/>
          <w:highlight w:val="none"/>
        </w:rPr>
      </w:pPr>
      <w:r>
        <w:rPr>
          <w:rFonts w:hint="eastAsia" w:ascii="宋体" w:hAnsi="宋体" w:cs="宋体"/>
          <w:b/>
          <w:color w:val="auto"/>
          <w:szCs w:val="21"/>
          <w:highlight w:val="none"/>
        </w:rPr>
        <w:t>3.2</w:t>
      </w:r>
      <w:r>
        <w:rPr>
          <w:rFonts w:hint="eastAsia" w:ascii="宋体" w:hAnsi="宋体" w:cs="宋体"/>
          <w:color w:val="auto"/>
          <w:highlight w:val="none"/>
        </w:rPr>
        <w:t xml:space="preserve">  本项目不得转包。</w:t>
      </w:r>
    </w:p>
    <w:p>
      <w:pPr>
        <w:spacing w:line="360" w:lineRule="auto"/>
        <w:ind w:firstLine="212" w:firstLineChars="100"/>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4.</w:t>
      </w:r>
      <w:r>
        <w:rPr>
          <w:rFonts w:ascii="宋体" w:hAnsi="宋体" w:cs="宋体"/>
          <w:b/>
          <w:color w:val="auto"/>
          <w:szCs w:val="21"/>
          <w:highlight w:val="none"/>
        </w:rPr>
        <w:t xml:space="preserve"> </w:t>
      </w:r>
      <w:r>
        <w:rPr>
          <w:rFonts w:hint="eastAsia" w:ascii="宋体" w:hAnsi="宋体" w:cs="宋体"/>
          <w:b/>
          <w:color w:val="auto"/>
          <w:szCs w:val="21"/>
          <w:highlight w:val="none"/>
        </w:rPr>
        <w:t>合格的投标人</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pPr>
        <w:spacing w:line="44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pPr>
        <w:spacing w:line="44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pPr>
        <w:spacing w:line="44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pPr>
        <w:spacing w:line="400" w:lineRule="exact"/>
        <w:rPr>
          <w:rFonts w:ascii="宋体" w:hAnsi="宋体" w:cs="宋体"/>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5.</w:t>
      </w:r>
      <w:r>
        <w:rPr>
          <w:rFonts w:ascii="宋体" w:hAnsi="宋体" w:cs="宋体"/>
          <w:b/>
          <w:color w:val="auto"/>
          <w:szCs w:val="21"/>
          <w:highlight w:val="none"/>
        </w:rPr>
        <w:t xml:space="preserve"> </w:t>
      </w:r>
      <w:r>
        <w:rPr>
          <w:rFonts w:hint="eastAsia" w:ascii="宋体" w:hAnsi="宋体" w:cs="宋体"/>
          <w:b/>
          <w:color w:val="auto"/>
          <w:szCs w:val="21"/>
          <w:highlight w:val="none"/>
        </w:rPr>
        <w:t>投标人代表</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6.</w:t>
      </w:r>
      <w:r>
        <w:rPr>
          <w:rFonts w:ascii="宋体" w:hAnsi="宋体" w:cs="宋体"/>
          <w:b/>
          <w:color w:val="auto"/>
          <w:szCs w:val="21"/>
          <w:highlight w:val="none"/>
        </w:rPr>
        <w:t xml:space="preserve"> </w:t>
      </w:r>
      <w:r>
        <w:rPr>
          <w:rFonts w:hint="eastAsia" w:ascii="宋体" w:hAnsi="宋体" w:cs="宋体"/>
          <w:b/>
          <w:color w:val="auto"/>
          <w:szCs w:val="21"/>
          <w:highlight w:val="none"/>
        </w:rPr>
        <w:t>投标费用</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pPr>
        <w:spacing w:line="400" w:lineRule="exact"/>
        <w:jc w:val="center"/>
        <w:rPr>
          <w:rFonts w:ascii="宋体" w:hAnsi="宋体" w:cs="宋体"/>
          <w:b/>
          <w:color w:val="auto"/>
          <w:sz w:val="28"/>
          <w:highlight w:val="none"/>
        </w:rPr>
      </w:pPr>
    </w:p>
    <w:p>
      <w:pPr>
        <w:jc w:val="center"/>
        <w:outlineLvl w:val="1"/>
        <w:rPr>
          <w:rFonts w:ascii="宋体" w:hAnsi="宋体" w:cs="宋体"/>
          <w:b/>
          <w:color w:val="auto"/>
          <w:sz w:val="28"/>
          <w:highlight w:val="none"/>
        </w:rPr>
      </w:pPr>
      <w:bookmarkStart w:id="51" w:name="_Toc513799072"/>
      <w:bookmarkStart w:id="52" w:name="_Toc513798901"/>
      <w:bookmarkStart w:id="53" w:name="_Toc440276562"/>
      <w:bookmarkStart w:id="54" w:name="_Toc520902395"/>
      <w:r>
        <w:rPr>
          <w:rFonts w:hint="eastAsia" w:ascii="宋体" w:hAnsi="宋体" w:cs="宋体"/>
          <w:b/>
          <w:color w:val="auto"/>
          <w:sz w:val="28"/>
          <w:highlight w:val="none"/>
        </w:rPr>
        <w:t>B  招标文件</w:t>
      </w:r>
      <w:bookmarkEnd w:id="51"/>
      <w:bookmarkEnd w:id="52"/>
      <w:bookmarkEnd w:id="53"/>
      <w:bookmarkEnd w:id="54"/>
    </w:p>
    <w:p>
      <w:pPr>
        <w:spacing w:line="400" w:lineRule="exact"/>
        <w:rPr>
          <w:rFonts w:ascii="宋体" w:hAnsi="宋体" w:cs="宋体"/>
          <w:color w:val="auto"/>
          <w:szCs w:val="21"/>
          <w:highlight w:val="none"/>
        </w:rPr>
      </w:pPr>
      <w:r>
        <w:rPr>
          <w:rFonts w:hint="eastAsia" w:ascii="宋体" w:hAnsi="宋体" w:cs="宋体"/>
          <w:b/>
          <w:color w:val="auto"/>
          <w:szCs w:val="21"/>
          <w:highlight w:val="none"/>
        </w:rPr>
        <w:t>7.</w:t>
      </w:r>
      <w:r>
        <w:rPr>
          <w:rFonts w:ascii="宋体" w:hAnsi="宋体" w:cs="宋体"/>
          <w:b/>
          <w:color w:val="auto"/>
          <w:szCs w:val="21"/>
          <w:highlight w:val="none"/>
        </w:rPr>
        <w:t xml:space="preserve"> </w:t>
      </w:r>
      <w:r>
        <w:rPr>
          <w:rFonts w:hint="eastAsia" w:ascii="宋体" w:hAnsi="宋体" w:cs="宋体"/>
          <w:b/>
          <w:color w:val="auto"/>
          <w:szCs w:val="21"/>
          <w:highlight w:val="none"/>
        </w:rPr>
        <w:t>招标文件的构成</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ascii="宋体" w:hAnsi="宋体" w:cs="宋体"/>
          <w:b/>
          <w:color w:val="auto"/>
          <w:szCs w:val="21"/>
          <w:highlight w:val="none"/>
        </w:rPr>
        <w:t xml:space="preserve">  </w:t>
      </w:r>
      <w:r>
        <w:rPr>
          <w:rFonts w:hint="eastAsia" w:ascii="宋体" w:hAnsi="宋体" w:cs="宋体"/>
          <w:color w:val="auto"/>
          <w:szCs w:val="21"/>
          <w:highlight w:val="none"/>
        </w:rPr>
        <w:t>招标文件共有七部分。内容如下：</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第一部分  采购公告</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第二部分  招标项目需求</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第三部分  投标资料表</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第四部分  投标人须知</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第五部分  评标办法</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第六部分  合同格式</w:t>
      </w:r>
    </w:p>
    <w:p>
      <w:pPr>
        <w:spacing w:line="400" w:lineRule="exact"/>
        <w:ind w:left="284" w:leftChars="134"/>
        <w:rPr>
          <w:rFonts w:ascii="宋体" w:hAnsi="宋体" w:cs="宋体"/>
          <w:color w:val="auto"/>
          <w:szCs w:val="21"/>
          <w:highlight w:val="none"/>
        </w:rPr>
      </w:pPr>
      <w:r>
        <w:rPr>
          <w:rFonts w:hint="eastAsia" w:ascii="宋体" w:hAnsi="宋体" w:cs="宋体"/>
          <w:color w:val="auto"/>
          <w:szCs w:val="21"/>
          <w:highlight w:val="none"/>
        </w:rPr>
        <w:t>第七部分  附件（投标文件格式）</w:t>
      </w:r>
    </w:p>
    <w:p>
      <w:pPr>
        <w:spacing w:line="400" w:lineRule="exact"/>
        <w:ind w:firstLine="466" w:firstLineChars="220"/>
        <w:rPr>
          <w:rFonts w:ascii="宋体" w:hAnsi="宋体" w:cs="宋体"/>
          <w:b/>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pPr>
        <w:spacing w:line="400" w:lineRule="exact"/>
        <w:ind w:firstLine="212" w:firstLineChars="100"/>
        <w:rPr>
          <w:rFonts w:ascii="宋体" w:hAnsi="宋体" w:cs="宋体"/>
          <w:b/>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8.</w:t>
      </w:r>
      <w:r>
        <w:rPr>
          <w:rFonts w:ascii="宋体" w:hAnsi="宋体" w:cs="宋体"/>
          <w:b/>
          <w:color w:val="auto"/>
          <w:szCs w:val="21"/>
          <w:highlight w:val="none"/>
        </w:rPr>
        <w:t xml:space="preserve"> </w:t>
      </w:r>
      <w:r>
        <w:rPr>
          <w:rFonts w:hint="eastAsia" w:ascii="宋体" w:hAnsi="宋体" w:cs="宋体"/>
          <w:b/>
          <w:color w:val="auto"/>
          <w:szCs w:val="21"/>
          <w:highlight w:val="none"/>
        </w:rPr>
        <w:t>招标文件的澄清和修改</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ascii="宋体" w:hAnsi="宋体" w:cs="宋体"/>
          <w:b/>
          <w:color w:val="auto"/>
          <w:szCs w:val="21"/>
          <w:highlight w:val="none"/>
        </w:rPr>
        <w:t xml:space="preserve">  </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或者在招标文件提供期限截止后以书面形式通知所有获取招标文件的潜在投标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采购人或者采购代理机构可以对已发出的招标文件进行必要的澄清或者修改，但不得改变采购标的和资格条件。澄清或者修改在原公告发布媒体上发布澄清公告。澄清或者修改的内容为招标文件的组成部分。</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8.5</w:t>
      </w:r>
      <w:r>
        <w:rPr>
          <w:rFonts w:hint="eastAsia" w:ascii="宋体" w:hAnsi="宋体" w:cs="宋体"/>
          <w:color w:val="auto"/>
          <w:szCs w:val="21"/>
          <w:highlight w:val="none"/>
        </w:rPr>
        <w:t xml:space="preserve">  潜在投标人收到招标文件澄清或修改通知，或推迟截标和开标时间通知后，应在通知单回执上明示意见、盖上投标人单位公章，以书面形式（纸质、传真或电子邮件形式）回复采购代理机构。</w:t>
      </w:r>
    </w:p>
    <w:p>
      <w:pPr>
        <w:spacing w:line="400" w:lineRule="exact"/>
        <w:rPr>
          <w:rFonts w:ascii="宋体" w:hAnsi="宋体" w:cs="宋体"/>
          <w:color w:val="auto"/>
          <w:szCs w:val="24"/>
          <w:highlight w:val="none"/>
          <w:u w:val="single"/>
        </w:rPr>
      </w:pPr>
    </w:p>
    <w:p>
      <w:pPr>
        <w:jc w:val="center"/>
        <w:outlineLvl w:val="1"/>
        <w:rPr>
          <w:rFonts w:ascii="宋体" w:hAnsi="宋体" w:cs="宋体"/>
          <w:b/>
          <w:color w:val="auto"/>
          <w:sz w:val="28"/>
          <w:highlight w:val="none"/>
        </w:rPr>
      </w:pPr>
      <w:bookmarkStart w:id="55" w:name="_Toc513798902"/>
      <w:bookmarkStart w:id="56" w:name="_Toc440276563"/>
      <w:bookmarkStart w:id="57" w:name="_Toc520902396"/>
      <w:bookmarkStart w:id="58" w:name="_Toc513799073"/>
      <w:r>
        <w:rPr>
          <w:rFonts w:hint="eastAsia" w:ascii="宋体" w:hAnsi="宋体" w:cs="宋体"/>
          <w:b/>
          <w:color w:val="auto"/>
          <w:sz w:val="28"/>
          <w:highlight w:val="none"/>
        </w:rPr>
        <w:t>C  投标文件</w:t>
      </w:r>
      <w:bookmarkEnd w:id="55"/>
      <w:bookmarkEnd w:id="56"/>
      <w:bookmarkEnd w:id="57"/>
      <w:bookmarkEnd w:id="58"/>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9.1</w:t>
      </w:r>
      <w:r>
        <w:rPr>
          <w:rFonts w:hint="eastAsia" w:ascii="宋体" w:hAnsi="宋体" w:cs="宋体"/>
          <w:color w:val="auto"/>
          <w:szCs w:val="21"/>
          <w:highlight w:val="none"/>
        </w:rPr>
        <w:t xml:space="preserve">  投标文件组成在本招标文件“投标资料表”中做出规定。</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9.2</w:t>
      </w:r>
      <w:r>
        <w:rPr>
          <w:rFonts w:hint="eastAsia" w:ascii="宋体" w:hAnsi="宋体" w:cs="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cs="宋体"/>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w:t>
      </w:r>
      <w:r>
        <w:rPr>
          <w:rFonts w:ascii="宋体" w:hAnsi="宋体" w:cs="宋体"/>
          <w:b/>
          <w:color w:val="auto"/>
          <w:szCs w:val="21"/>
          <w:highlight w:val="none"/>
        </w:rPr>
        <w:t xml:space="preserve"> </w:t>
      </w:r>
      <w:r>
        <w:rPr>
          <w:rFonts w:hint="eastAsia" w:ascii="宋体" w:hAnsi="宋体" w:cs="宋体"/>
          <w:b/>
          <w:color w:val="auto"/>
          <w:szCs w:val="21"/>
          <w:highlight w:val="none"/>
        </w:rPr>
        <w:t>投标报价</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投标人要按照招标文件中的“开标一览表”格式和内容完整填写投标总价及其他事项。</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本项目采用最高投标限价，超过最高限价的投标文件无效。</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本项目的投标货币为人民币。</w:t>
      </w:r>
    </w:p>
    <w:p>
      <w:pPr>
        <w:spacing w:line="400" w:lineRule="exact"/>
        <w:rPr>
          <w:rFonts w:ascii="宋体" w:hAnsi="宋体" w:cs="宋体"/>
          <w:b/>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11.</w:t>
      </w:r>
      <w:r>
        <w:rPr>
          <w:rFonts w:ascii="宋体" w:hAnsi="宋体" w:cs="宋体"/>
          <w:b/>
          <w:color w:val="auto"/>
          <w:szCs w:val="21"/>
          <w:highlight w:val="none"/>
        </w:rPr>
        <w:t xml:space="preserve"> </w:t>
      </w:r>
      <w:r>
        <w:rPr>
          <w:rFonts w:hint="eastAsia" w:ascii="宋体" w:hAnsi="宋体" w:cs="宋体"/>
          <w:b/>
          <w:color w:val="auto"/>
          <w:szCs w:val="21"/>
          <w:highlight w:val="none"/>
        </w:rPr>
        <w:t>投标文件的形式和效力</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 xml:space="preserve">11.1 </w:t>
      </w:r>
      <w:r>
        <w:rPr>
          <w:rFonts w:ascii="宋体" w:hAnsi="宋体" w:cs="宋体"/>
          <w:b/>
          <w:bCs/>
          <w:color w:val="auto"/>
          <w:szCs w:val="21"/>
          <w:highlight w:val="none"/>
        </w:rPr>
        <w:t xml:space="preserve"> </w:t>
      </w:r>
      <w:r>
        <w:rPr>
          <w:rFonts w:hint="eastAsia" w:ascii="宋体" w:hAnsi="宋体" w:cs="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 xml:space="preserve">11.2 </w:t>
      </w:r>
      <w:r>
        <w:rPr>
          <w:rFonts w:ascii="宋体" w:hAnsi="宋体" w:cs="宋体"/>
          <w:b/>
          <w:bCs/>
          <w:color w:val="auto"/>
          <w:szCs w:val="21"/>
          <w:highlight w:val="none"/>
        </w:rPr>
        <w:t xml:space="preserve"> </w:t>
      </w:r>
      <w:r>
        <w:rPr>
          <w:rFonts w:hint="eastAsia" w:ascii="宋体" w:hAnsi="宋体" w:cs="宋体"/>
          <w:color w:val="auto"/>
          <w:szCs w:val="21"/>
          <w:highlight w:val="none"/>
        </w:rPr>
        <w:t>电子投标文件，按“项目采购-电子招投标操作指南”及本招标文件要求制作，并加密。</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11.3</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备份投标文件，按“项目采购-电子招投标操作指南”制作的电子备份文件。</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 xml:space="preserve">11.4 </w:t>
      </w:r>
      <w:r>
        <w:rPr>
          <w:rFonts w:ascii="宋体" w:hAnsi="宋体" w:cs="宋体"/>
          <w:b/>
          <w:bCs/>
          <w:color w:val="auto"/>
          <w:szCs w:val="21"/>
          <w:highlight w:val="none"/>
        </w:rPr>
        <w:t xml:space="preserve"> </w:t>
      </w:r>
      <w:r>
        <w:rPr>
          <w:rFonts w:hint="eastAsia" w:ascii="宋体" w:hAnsi="宋体" w:cs="宋体"/>
          <w:color w:val="auto"/>
          <w:szCs w:val="21"/>
          <w:highlight w:val="none"/>
        </w:rPr>
        <w:t>投标文件填写字迹必须清楚、工整，对不同文字文本投标文件的解释发生异议的，以中文文本为准。</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11.5</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投标文件的效力</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12.1 </w:t>
      </w:r>
      <w:r>
        <w:rPr>
          <w:rFonts w:ascii="宋体" w:hAnsi="宋体" w:cs="宋体"/>
          <w:b/>
          <w:bCs/>
          <w:color w:val="auto"/>
          <w:szCs w:val="21"/>
          <w:highlight w:val="none"/>
        </w:rPr>
        <w:t xml:space="preserve"> </w:t>
      </w:r>
      <w:r>
        <w:rPr>
          <w:rFonts w:hint="eastAsia" w:ascii="宋体" w:hAnsi="宋体" w:cs="宋体"/>
          <w:color w:val="auto"/>
          <w:szCs w:val="21"/>
          <w:highlight w:val="none"/>
        </w:rPr>
        <w:t>投标有效期在本招标文件“投标资料表”中做出规定。投标有效期从提交投标文件的截止之日起算。投标文件中承诺的投标有效期应当不少于招标文件中载明的投标有效期。</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12.2 </w:t>
      </w:r>
      <w:r>
        <w:rPr>
          <w:rFonts w:ascii="宋体" w:hAnsi="宋体" w:cs="宋体"/>
          <w:b/>
          <w:bCs/>
          <w:color w:val="auto"/>
          <w:szCs w:val="21"/>
          <w:highlight w:val="none"/>
        </w:rPr>
        <w:t xml:space="preserve"> </w:t>
      </w:r>
      <w:r>
        <w:rPr>
          <w:rFonts w:hint="eastAsia" w:ascii="宋体" w:hAnsi="宋体" w:cs="宋体"/>
          <w:color w:val="auto"/>
          <w:szCs w:val="21"/>
          <w:highlight w:val="none"/>
        </w:rPr>
        <w:t>在特殊情况下，在原投标有效期截止之前，应采购人要求，采购代理机构可要求投标人延长投标有效期，这种要求的提出和投标人的答复都应以书面形式进行。</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12.3 </w:t>
      </w:r>
      <w:r>
        <w:rPr>
          <w:rFonts w:ascii="宋体" w:hAnsi="宋体" w:cs="宋体"/>
          <w:b/>
          <w:bCs/>
          <w:color w:val="auto"/>
          <w:szCs w:val="21"/>
          <w:highlight w:val="none"/>
        </w:rPr>
        <w:t xml:space="preserve"> </w:t>
      </w:r>
      <w:r>
        <w:rPr>
          <w:rFonts w:hint="eastAsia" w:ascii="宋体" w:hAnsi="宋体" w:cs="宋体"/>
          <w:color w:val="auto"/>
          <w:szCs w:val="21"/>
          <w:highlight w:val="none"/>
        </w:rPr>
        <w:t>供应商可拒绝接受延期要求。同意延长有效期的供应商不能修改投标文件。</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w:t>
      </w:r>
      <w:r>
        <w:rPr>
          <w:rFonts w:ascii="宋体" w:hAnsi="宋体" w:cs="宋体"/>
          <w:b/>
          <w:color w:val="auto"/>
          <w:szCs w:val="21"/>
          <w:highlight w:val="none"/>
        </w:rPr>
        <w:t xml:space="preserve"> </w:t>
      </w:r>
      <w:r>
        <w:rPr>
          <w:rFonts w:hint="eastAsia" w:ascii="宋体" w:hAnsi="宋体" w:cs="宋体"/>
          <w:b/>
          <w:color w:val="auto"/>
          <w:szCs w:val="21"/>
          <w:highlight w:val="none"/>
        </w:rPr>
        <w:t>投标保证金</w:t>
      </w:r>
    </w:p>
    <w:p>
      <w:pPr>
        <w:spacing w:line="400" w:lineRule="exact"/>
        <w:ind w:left="90" w:hanging="88" w:hangingChars="42"/>
        <w:rPr>
          <w:rFonts w:ascii="宋体" w:hAnsi="宋体" w:cs="宋体"/>
          <w:color w:val="auto"/>
          <w:szCs w:val="21"/>
          <w:highlight w:val="none"/>
        </w:rPr>
      </w:pPr>
      <w:r>
        <w:rPr>
          <w:rFonts w:hint="eastAsia" w:ascii="宋体" w:hAnsi="宋体" w:cs="宋体"/>
          <w:b/>
          <w:color w:val="auto"/>
          <w:szCs w:val="21"/>
          <w:highlight w:val="none"/>
        </w:rPr>
        <w:t xml:space="preserve">13.1 </w:t>
      </w:r>
      <w:r>
        <w:rPr>
          <w:rFonts w:hint="eastAsia" w:ascii="宋体" w:hAnsi="宋体" w:cs="宋体"/>
          <w:color w:val="auto"/>
          <w:szCs w:val="21"/>
          <w:highlight w:val="none"/>
        </w:rPr>
        <w:t xml:space="preserve"> 投标保证金金额在本招标文件“投标资料表”中做出规定。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13.2</w:t>
      </w:r>
      <w:r>
        <w:rPr>
          <w:rFonts w:hint="eastAsia" w:ascii="宋体" w:hAnsi="宋体" w:cs="宋体"/>
          <w:color w:val="auto"/>
          <w:szCs w:val="21"/>
          <w:highlight w:val="none"/>
        </w:rPr>
        <w:t xml:space="preserve">  投标保证金递交时间和形式在本招标文件“投标资料表”中做出规定。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13.3  </w:t>
      </w:r>
      <w:r>
        <w:rPr>
          <w:rFonts w:hint="eastAsia" w:ascii="宋体" w:hAnsi="宋体" w:cs="宋体"/>
          <w:color w:val="auto"/>
          <w:szCs w:val="21"/>
          <w:highlight w:val="none"/>
        </w:rPr>
        <w:t>投标人在投标截止时间前撤回已提交的投标文件的，采购人或者采购代理机构自收到投标人书面撤回通知之日起5个工作日内，退还已收取的投标保证金，但因投标人自身原因导致无法及时退还的除外。</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13.4</w:t>
      </w:r>
      <w:r>
        <w:rPr>
          <w:rFonts w:hint="eastAsia" w:ascii="宋体" w:hAnsi="宋体" w:cs="宋体"/>
          <w:color w:val="auto"/>
          <w:szCs w:val="21"/>
          <w:highlight w:val="none"/>
        </w:rPr>
        <w:t xml:space="preserve">  采购人或者采购代理机构自中标通知书发出之日起5个工作日内退还未中标人的投标保证金，自采购合同签订之日起5个工作日内退还中标人的投标保证金或者转为中标人的履约保证金。</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13.5  </w:t>
      </w:r>
      <w:r>
        <w:rPr>
          <w:rFonts w:hint="eastAsia" w:ascii="宋体" w:hAnsi="宋体" w:cs="宋体"/>
          <w:color w:val="auto"/>
          <w:szCs w:val="21"/>
          <w:highlight w:val="none"/>
        </w:rPr>
        <w:t>采购人或者采购代理机构逾期退还投标保证金的，除退还投标保证金本金外，还应按中国人民银行同期贷款基准利率上浮20%后的利率支付超期资金占用费，但因投标人自身原因导致无法及时退还的除外。</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13.6</w:t>
      </w:r>
      <w:r>
        <w:rPr>
          <w:rFonts w:hint="eastAsia" w:ascii="宋体" w:hAnsi="宋体" w:cs="宋体"/>
          <w:color w:val="auto"/>
          <w:szCs w:val="21"/>
          <w:highlight w:val="none"/>
        </w:rPr>
        <w:t xml:space="preserve">  投标人有下列情形之一的，投标保证金将不予退还：</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（3）中标人不按招标文件要求提交履约保证金；</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（4）投标人串通投标、提供虚假材料投标。</w:t>
      </w:r>
    </w:p>
    <w:p>
      <w:pPr>
        <w:spacing w:line="400" w:lineRule="exact"/>
        <w:rPr>
          <w:rFonts w:ascii="宋体" w:hAnsi="宋体" w:cs="宋体"/>
          <w:color w:val="auto"/>
          <w:sz w:val="24"/>
          <w:highlight w:val="none"/>
          <w:u w:val="single"/>
        </w:rPr>
      </w:pP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14</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bCs/>
          <w:color w:val="auto"/>
          <w:szCs w:val="21"/>
          <w:highlight w:val="none"/>
        </w:rPr>
        <w:t>投标文件的组成和份数</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14.1</w:t>
      </w:r>
      <w:r>
        <w:rPr>
          <w:rFonts w:ascii="宋体" w:hAnsi="宋体" w:cs="宋体"/>
          <w:b/>
          <w:bCs/>
          <w:color w:val="auto"/>
          <w:szCs w:val="21"/>
          <w:highlight w:val="none"/>
        </w:rPr>
        <w:t xml:space="preserve">  </w:t>
      </w:r>
      <w:r>
        <w:rPr>
          <w:rFonts w:hint="eastAsia" w:ascii="宋体" w:hAnsi="宋体" w:cs="宋体"/>
          <w:b/>
          <w:bCs/>
          <w:color w:val="auto"/>
          <w:szCs w:val="21"/>
          <w:highlight w:val="none"/>
        </w:rPr>
        <w:t>投标文件的组成：</w:t>
      </w:r>
    </w:p>
    <w:p>
      <w:pPr>
        <w:spacing w:line="40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投标文件组成在本招标文件“投标资料表”中做出规定。</w:t>
      </w:r>
    </w:p>
    <w:p>
      <w:pPr>
        <w:spacing w:line="44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组成投标文件的各项资料中本招标书的有规定格式的，应统一按本招标书的规定格式填写。未有规定格式的资料，投标人应自行编制，但至少要包含组成投标文件要求的内容。</w:t>
      </w:r>
    </w:p>
    <w:p>
      <w:pPr>
        <w:adjustRightInd w:val="0"/>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14.2 </w:t>
      </w:r>
      <w:r>
        <w:rPr>
          <w:rFonts w:ascii="宋体" w:hAnsi="宋体" w:cs="宋体"/>
          <w:b/>
          <w:bCs/>
          <w:color w:val="auto"/>
          <w:szCs w:val="21"/>
          <w:highlight w:val="none"/>
        </w:rPr>
        <w:t xml:space="preserve"> </w:t>
      </w:r>
      <w:r>
        <w:rPr>
          <w:rFonts w:hint="eastAsia" w:ascii="宋体" w:hAnsi="宋体" w:cs="宋体"/>
          <w:b/>
          <w:bCs/>
          <w:color w:val="auto"/>
          <w:szCs w:val="21"/>
          <w:highlight w:val="none"/>
        </w:rPr>
        <w:t>投标文件制作：</w:t>
      </w:r>
    </w:p>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宋体"/>
          <w:bCs/>
          <w:color w:val="auto"/>
          <w:szCs w:val="21"/>
          <w:highlight w:val="none"/>
        </w:rPr>
        <w:t>95763</w:t>
      </w:r>
      <w:r>
        <w:rPr>
          <w:rFonts w:hint="eastAsia" w:ascii="宋体" w:hAnsi="宋体" w:cs="宋体"/>
          <w:bCs/>
          <w:color w:val="auto"/>
          <w:szCs w:val="21"/>
          <w:highlight w:val="none"/>
        </w:rPr>
        <w:t>。制作电子投标文件的系统配置要求：请使用windows7及以上64位操作系统，不适用于mac或linux桌面系统。</w:t>
      </w:r>
    </w:p>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（2）供应商通过政府采购云平台电子投标工具制作投标文件。电子投标工具请供应商自行前往浙江政府采购网下载并安装（zfcg.czt.zj.gov.cn/bidClientTemplate/2019-05-27/12946.html）。</w:t>
      </w:r>
    </w:p>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供应商投标文件制作及电子交易操作指南详见：</w:t>
      </w:r>
    </w:p>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①政府采购项目电子交易管理操作指南（视频）：</w:t>
      </w:r>
    </w:p>
    <w:p>
      <w:pPr>
        <w:adjustRightInd w:val="0"/>
        <w:snapToGrid w:val="0"/>
        <w:spacing w:line="400" w:lineRule="exact"/>
        <w:rPr>
          <w:rFonts w:ascii="宋体" w:hAnsi="宋体" w:cs="宋体"/>
          <w:bCs/>
          <w:color w:val="auto"/>
          <w:szCs w:val="21"/>
          <w:highlight w:val="none"/>
        </w:rPr>
      </w:pPr>
      <w:r>
        <w:rPr>
          <w:color w:val="auto"/>
          <w:highlight w:val="none"/>
        </w:rPr>
        <w:fldChar w:fldCharType="begin"/>
      </w:r>
      <w:r>
        <w:rPr>
          <w:color w:val="auto"/>
          <w:highlight w:val="none"/>
        </w:rPr>
        <w:instrText xml:space="preserve"> HYPERLINK "https://service.zcygov.cn/" \l "/knowledges/CW1EtGwBFdiHxlNd6I3m/7GyLXW0BXgMSmLUuYuPM" </w:instrText>
      </w:r>
      <w:r>
        <w:rPr>
          <w:color w:val="auto"/>
          <w:highlight w:val="none"/>
        </w:rPr>
        <w:fldChar w:fldCharType="separate"/>
      </w:r>
      <w:r>
        <w:rPr>
          <w:rFonts w:hint="eastAsia" w:ascii="宋体" w:hAnsi="宋体" w:cs="宋体"/>
          <w:color w:val="auto"/>
          <w:highlight w:val="none"/>
        </w:rPr>
        <w:t>service.zcygov.cn/#/knowledges/CW1EtGwBFdiHxlNd6I3m/7GyLXW0BXgMSmLUuYuPM</w:t>
      </w:r>
      <w:r>
        <w:rPr>
          <w:rFonts w:hint="eastAsia" w:ascii="宋体" w:hAnsi="宋体" w:cs="宋体"/>
          <w:color w:val="auto"/>
          <w:highlight w:val="none"/>
        </w:rPr>
        <w:fldChar w:fldCharType="end"/>
      </w:r>
      <w:r>
        <w:rPr>
          <w:rFonts w:hint="eastAsia" w:ascii="宋体" w:hAnsi="宋体" w:cs="宋体"/>
          <w:bCs/>
          <w:color w:val="auto"/>
          <w:szCs w:val="21"/>
          <w:highlight w:val="none"/>
        </w:rPr>
        <w:t>（电脑登录账号观看）；</w:t>
      </w:r>
    </w:p>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②政府采购项目电子交易管理操作指南（文本）：</w:t>
      </w:r>
    </w:p>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service.zcygov.cn/#/knowledges/CW1EtGwBFdiHxlNd6I3m/6IMVAG0BFdiHxlNdQ8Na（电脑登录账号浏览）。</w:t>
      </w:r>
    </w:p>
    <w:p>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（3）以U盘或光盘存储的电子备份投标文件1份，即按“项目采购-电子招投标操作指南”制作的电子备份文件，以用于异常情况处理。</w:t>
      </w:r>
    </w:p>
    <w:p>
      <w:pPr>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400" w:lineRule="exact"/>
        <w:jc w:val="left"/>
        <w:rPr>
          <w:rFonts w:ascii="宋体" w:hAnsi="宋体" w:cs="宋体"/>
          <w:b/>
          <w:bCs/>
          <w:color w:val="auto"/>
          <w:szCs w:val="21"/>
          <w:highlight w:val="none"/>
        </w:rPr>
      </w:pP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15</w:t>
      </w: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bCs/>
          <w:color w:val="auto"/>
          <w:szCs w:val="21"/>
          <w:highlight w:val="none"/>
        </w:rPr>
        <w:t>投标文件的签署盖章</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 xml:space="preserve">15.1 </w:t>
      </w:r>
      <w:r>
        <w:rPr>
          <w:rFonts w:ascii="宋体" w:hAnsi="宋体" w:cs="宋体"/>
          <w:b/>
          <w:bCs/>
          <w:color w:val="auto"/>
          <w:szCs w:val="21"/>
          <w:highlight w:val="none"/>
        </w:rPr>
        <w:t xml:space="preserve"> </w:t>
      </w:r>
      <w:r>
        <w:rPr>
          <w:rFonts w:hint="eastAsia" w:ascii="宋体" w:hAnsi="宋体" w:cs="宋体"/>
          <w:color w:val="auto"/>
          <w:szCs w:val="21"/>
          <w:highlight w:val="none"/>
        </w:rPr>
        <w:t>招标文件第七部分“附件”中标明加盖公章或签字的，加盖公章部分采用CA签章，签字部分由法定代表人或授权代表签字后扫描上传。授权代表签字的，还应附法定代表人签署的法定代表人授权书。</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15.2</w:t>
      </w:r>
      <w:r>
        <w:rPr>
          <w:rFonts w:hint="eastAsia" w:ascii="宋体" w:hAnsi="宋体" w:cs="宋体"/>
          <w:color w:val="auto"/>
          <w:szCs w:val="21"/>
          <w:highlight w:val="none"/>
        </w:rPr>
        <w:t xml:space="preserve">  投标文件须由供应商在规定位置盖章并由法定代表人或法定代表人的授权委托人签署，供应商应写全称。如为联合体投标，除联合体协议及联合体各成员单位提供的本单位证明材料外，响应文件由联合体牵头人按上述规定加盖联合体牵头人单位公章。</w:t>
      </w:r>
    </w:p>
    <w:p>
      <w:pPr>
        <w:spacing w:line="400" w:lineRule="exact"/>
        <w:jc w:val="left"/>
        <w:rPr>
          <w:rFonts w:ascii="宋体" w:hAnsi="宋体" w:cs="宋体"/>
          <w:color w:val="auto"/>
          <w:szCs w:val="21"/>
          <w:highlight w:val="none"/>
        </w:rPr>
      </w:pPr>
    </w:p>
    <w:p>
      <w:pPr>
        <w:jc w:val="center"/>
        <w:outlineLvl w:val="1"/>
        <w:rPr>
          <w:rFonts w:ascii="宋体" w:hAnsi="宋体" w:cs="宋体"/>
          <w:b/>
          <w:color w:val="auto"/>
          <w:sz w:val="28"/>
          <w:highlight w:val="none"/>
        </w:rPr>
      </w:pPr>
      <w:bookmarkStart w:id="59" w:name="_Toc513798903"/>
      <w:bookmarkStart w:id="60" w:name="_Toc440276564"/>
      <w:bookmarkStart w:id="61" w:name="_Toc513799074"/>
      <w:bookmarkStart w:id="62" w:name="_Toc520902397"/>
      <w:r>
        <w:rPr>
          <w:rFonts w:hint="eastAsia" w:ascii="宋体" w:hAnsi="宋体" w:cs="宋体"/>
          <w:b/>
          <w:color w:val="auto"/>
          <w:sz w:val="28"/>
          <w:highlight w:val="none"/>
        </w:rPr>
        <w:t>D  投标文件的递交</w:t>
      </w:r>
      <w:bookmarkEnd w:id="59"/>
      <w:bookmarkEnd w:id="60"/>
      <w:bookmarkEnd w:id="61"/>
      <w:bookmarkEnd w:id="62"/>
    </w:p>
    <w:p>
      <w:pPr>
        <w:spacing w:line="400" w:lineRule="exact"/>
        <w:rPr>
          <w:rFonts w:ascii="宋体" w:hAnsi="宋体" w:cs="宋体"/>
          <w:color w:val="auto"/>
          <w:szCs w:val="21"/>
          <w:highlight w:val="none"/>
        </w:rPr>
      </w:pPr>
      <w:r>
        <w:rPr>
          <w:rFonts w:hint="eastAsia" w:ascii="宋体" w:hAnsi="宋体" w:cs="宋体"/>
          <w:b/>
          <w:color w:val="auto"/>
          <w:szCs w:val="21"/>
          <w:highlight w:val="none"/>
        </w:rPr>
        <w:t>16.</w:t>
      </w:r>
      <w:r>
        <w:rPr>
          <w:rFonts w:ascii="宋体" w:hAnsi="宋体" w:cs="宋体"/>
          <w:b/>
          <w:color w:val="auto"/>
          <w:szCs w:val="21"/>
          <w:highlight w:val="none"/>
        </w:rPr>
        <w:t xml:space="preserve"> </w:t>
      </w:r>
      <w:r>
        <w:rPr>
          <w:rFonts w:hint="eastAsia" w:ascii="宋体" w:hAnsi="宋体" w:cs="宋体"/>
          <w:b/>
          <w:color w:val="auto"/>
          <w:szCs w:val="21"/>
          <w:highlight w:val="none"/>
        </w:rPr>
        <w:t>投标文件的密封和标记</w:t>
      </w:r>
    </w:p>
    <w:p>
      <w:pPr>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16.1</w:t>
      </w:r>
      <w:r>
        <w:rPr>
          <w:rFonts w:ascii="宋体" w:hAnsi="宋体" w:cs="宋体"/>
          <w:b/>
          <w:color w:val="auto"/>
          <w:szCs w:val="21"/>
          <w:highlight w:val="none"/>
        </w:rPr>
        <w:t xml:space="preserve">  </w:t>
      </w:r>
      <w:r>
        <w:rPr>
          <w:rFonts w:hint="eastAsia" w:ascii="宋体" w:hAnsi="宋体" w:cs="宋体"/>
          <w:color w:val="auto"/>
          <w:szCs w:val="21"/>
          <w:highlight w:val="none"/>
        </w:rPr>
        <w:t>电子投标文件：供应商应根据“项目采购-电子招投标操作指南”及本招标文件规定的格式和顺序编制电子投标文件并进行关联定位。</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16.2</w:t>
      </w:r>
      <w:r>
        <w:rPr>
          <w:rFonts w:ascii="宋体" w:hAnsi="宋体" w:cs="宋体"/>
          <w:b/>
          <w:bCs/>
          <w:color w:val="auto"/>
          <w:szCs w:val="21"/>
          <w:highlight w:val="none"/>
        </w:rPr>
        <w:t xml:space="preserve">  </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用封袋密封后递交。</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16.3</w:t>
      </w:r>
      <w:r>
        <w:rPr>
          <w:rFonts w:ascii="宋体" w:hAnsi="宋体" w:cs="宋体"/>
          <w:b/>
          <w:bCs/>
          <w:color w:val="auto"/>
          <w:szCs w:val="21"/>
          <w:highlight w:val="none"/>
        </w:rPr>
        <w:t xml:space="preserve">  </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pPr>
        <w:tabs>
          <w:tab w:val="left" w:pos="900"/>
        </w:tabs>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（1）注明：</w:t>
      </w:r>
      <w:r>
        <w:rPr>
          <w:rFonts w:hint="eastAsia" w:ascii="宋体" w:hAnsi="宋体" w:cs="宋体"/>
          <w:color w:val="auto"/>
          <w:szCs w:val="21"/>
          <w:highlight w:val="none"/>
          <w:u w:val="single"/>
        </w:rPr>
        <w:t>“电子备份投标文件”</w:t>
      </w:r>
      <w:r>
        <w:rPr>
          <w:rFonts w:hint="eastAsia" w:ascii="宋体" w:hAnsi="宋体" w:cs="宋体"/>
          <w:color w:val="auto"/>
          <w:szCs w:val="21"/>
          <w:highlight w:val="none"/>
        </w:rPr>
        <w:t>；</w:t>
      </w:r>
    </w:p>
    <w:p>
      <w:pPr>
        <w:tabs>
          <w:tab w:val="left" w:pos="900"/>
        </w:tabs>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（2）项目编号：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tabs>
          <w:tab w:val="left" w:pos="90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lang w:eastAsia="zh-CN"/>
        </w:rPr>
        <w:t>余姚市中考听力广播系统项目</w:t>
      </w:r>
      <w:r>
        <w:rPr>
          <w:rFonts w:hint="eastAsia" w:ascii="宋体" w:hAnsi="宋体" w:cs="宋体"/>
          <w:color w:val="auto"/>
          <w:szCs w:val="21"/>
          <w:highlight w:val="none"/>
        </w:rPr>
        <w:t>；</w:t>
      </w:r>
    </w:p>
    <w:p>
      <w:pPr>
        <w:tabs>
          <w:tab w:val="left" w:pos="90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（4）所投标项（如有多个标项须填写）：</w:t>
      </w:r>
    </w:p>
    <w:p>
      <w:pPr>
        <w:tabs>
          <w:tab w:val="left" w:pos="90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（5）在年月日（规定的开标日期和时间）前不准启封；</w:t>
      </w:r>
    </w:p>
    <w:p>
      <w:pPr>
        <w:tabs>
          <w:tab w:val="left" w:pos="900"/>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（6）供应商的名称：。</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17. 投标递交</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 xml:space="preserve">17.1 </w:t>
      </w:r>
      <w:r>
        <w:rPr>
          <w:rFonts w:ascii="宋体" w:hAnsi="宋体" w:cs="宋体"/>
          <w:b/>
          <w:bCs/>
          <w:color w:val="auto"/>
          <w:szCs w:val="21"/>
          <w:highlight w:val="none"/>
        </w:rPr>
        <w:t xml:space="preserve"> </w:t>
      </w:r>
      <w:r>
        <w:rPr>
          <w:rFonts w:hint="eastAsia" w:ascii="宋体" w:hAnsi="宋体" w:cs="宋体"/>
          <w:color w:val="auto"/>
          <w:szCs w:val="21"/>
          <w:highlight w:val="none"/>
        </w:rPr>
        <w:t>投标文件递交的具体要求：</w:t>
      </w:r>
    </w:p>
    <w:p>
      <w:pPr>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（1）供应商应于提交投标文件截止时间前将电子投标文件上传到政府采购云平台（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color w:val="auto"/>
          <w:szCs w:val="21"/>
          <w:highlight w:val="none"/>
        </w:rPr>
        <w:t>www.zcygov.cn</w: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），并应于提交投标文件截止时间前，将以U盘或光盘存储的电子备份投标文件密封后按以下方式送达。</w:t>
      </w:r>
    </w:p>
    <w:p>
      <w:pPr>
        <w:spacing w:line="400" w:lineRule="exact"/>
        <w:ind w:firstLine="480" w:firstLineChars="227"/>
        <w:rPr>
          <w:rFonts w:ascii="宋体" w:hAnsi="宋体" w:cs="宋体"/>
          <w:bCs/>
          <w:color w:val="auto"/>
          <w:szCs w:val="21"/>
          <w:highlight w:val="none"/>
        </w:rPr>
      </w:pPr>
      <w:r>
        <w:rPr>
          <w:rFonts w:hint="eastAsia" w:ascii="宋体" w:hAnsi="宋体" w:cs="宋体"/>
          <w:color w:val="auto"/>
          <w:kern w:val="0"/>
          <w:szCs w:val="21"/>
          <w:highlight w:val="none"/>
        </w:rPr>
        <w:t>方式一：</w:t>
      </w:r>
      <w:r>
        <w:rPr>
          <w:rFonts w:hint="eastAsia" w:ascii="宋体" w:hAnsi="宋体" w:cs="宋体"/>
          <w:bCs/>
          <w:color w:val="auto"/>
          <w:szCs w:val="21"/>
          <w:highlight w:val="none"/>
        </w:rPr>
        <w:t xml:space="preserve">现场递交方式，请供应商在投标截止时间前将电子备份投标文件余姚市公共资源交易中心（余姚市谭家岭东路2号，南雷大厦附楼4楼，详见开评标场所安排），投标文件递交时须同时递交供应商的法定代表人（或其授权代表）联系方式，并保证开标期间联系方式畅通。 </w:t>
      </w:r>
    </w:p>
    <w:p>
      <w:pPr>
        <w:snapToGrid w:val="0"/>
        <w:spacing w:line="380" w:lineRule="exact"/>
        <w:ind w:firstLine="424"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方式二：</w:t>
      </w:r>
      <w:r>
        <w:rPr>
          <w:rFonts w:hint="eastAsia" w:ascii="宋体" w:hAnsi="宋体" w:cs="宋体"/>
          <w:bCs/>
          <w:color w:val="auto"/>
          <w:szCs w:val="21"/>
          <w:highlight w:val="none"/>
        </w:rPr>
        <w:t>邮寄送达。供应商可以通过邮寄送达电子备份投标文件，送达地址</w:t>
      </w:r>
      <w:r>
        <w:rPr>
          <w:rFonts w:hint="eastAsia" w:ascii="宋体" w:hAnsi="宋体" w:cs="宋体"/>
          <w:bCs/>
          <w:color w:val="auto"/>
          <w:szCs w:val="21"/>
          <w:highlight w:val="none"/>
          <w:lang w:eastAsia="zh-CN"/>
        </w:rPr>
        <w:t>宁波国咨工程造价咨询有限公司</w:t>
      </w:r>
      <w:r>
        <w:rPr>
          <w:rFonts w:hint="eastAsia" w:ascii="宋体" w:hAnsi="宋体" w:cs="宋体"/>
          <w:bCs/>
          <w:color w:val="auto"/>
          <w:szCs w:val="21"/>
          <w:highlight w:val="none"/>
        </w:rPr>
        <w:t>（宁波市鄞州区和源路510号宁兴国贸大厦</w:t>
      </w:r>
      <w:r>
        <w:rPr>
          <w:rFonts w:hint="eastAsia" w:ascii="宋体" w:hAnsi="宋体" w:cs="宋体"/>
          <w:bCs/>
          <w:color w:val="auto"/>
          <w:szCs w:val="21"/>
          <w:highlight w:val="none"/>
          <w:lang w:val="en-US" w:eastAsia="zh-CN"/>
        </w:rPr>
        <w:t>1203</w:t>
      </w:r>
      <w:r>
        <w:rPr>
          <w:rFonts w:hint="eastAsia" w:ascii="宋体" w:hAnsi="宋体" w:cs="宋体"/>
          <w:bCs/>
          <w:color w:val="auto"/>
          <w:szCs w:val="21"/>
          <w:highlight w:val="none"/>
        </w:rPr>
        <w:t>室），联系方式：</w:t>
      </w:r>
      <w:r>
        <w:rPr>
          <w:rFonts w:hint="eastAsia" w:ascii="宋体" w:hAnsi="宋体" w:cs="宋体"/>
          <w:color w:val="auto"/>
          <w:szCs w:val="21"/>
          <w:highlight w:val="none"/>
          <w:lang w:val="en-US" w:eastAsia="zh-CN"/>
        </w:rPr>
        <w:t>0574-88203787</w:t>
      </w:r>
      <w:r>
        <w:rPr>
          <w:rFonts w:hint="eastAsia" w:ascii="宋体" w:hAnsi="宋体" w:cs="宋体"/>
          <w:bCs/>
          <w:color w:val="auto"/>
          <w:szCs w:val="21"/>
          <w:highlight w:val="none"/>
        </w:rPr>
        <w:t>。供应商邮寄后须将邮件单号发送至代理机构电子邮箱（电子邮箱：</w:t>
      </w:r>
      <w:r>
        <w:rPr>
          <w:rFonts w:hint="eastAsia" w:ascii="宋体" w:hAnsi="宋体" w:cs="宋体"/>
          <w:bCs/>
          <w:color w:val="auto"/>
          <w:szCs w:val="21"/>
          <w:highlight w:val="none"/>
          <w:lang w:val="en-US" w:eastAsia="zh-CN"/>
        </w:rPr>
        <w:t>464492651</w:t>
      </w:r>
      <w:r>
        <w:rPr>
          <w:rFonts w:hint="eastAsia" w:ascii="宋体" w:hAnsi="宋体" w:cs="宋体"/>
          <w:bCs/>
          <w:color w:val="auto"/>
          <w:szCs w:val="21"/>
          <w:highlight w:val="none"/>
        </w:rPr>
        <w:t xml:space="preserve">@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投标截止时间前一天17时00分。 </w:t>
      </w:r>
    </w:p>
    <w:p>
      <w:pPr>
        <w:snapToGrid w:val="0"/>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17.2</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供应商未按上述要求密封的电子备份投标文件，代理机构不予受理。</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17.3</w:t>
      </w:r>
      <w:r>
        <w:rPr>
          <w:rFonts w:ascii="宋体" w:hAnsi="宋体" w:cs="宋体"/>
          <w:b/>
          <w:bCs/>
          <w:color w:val="auto"/>
          <w:szCs w:val="21"/>
          <w:highlight w:val="none"/>
        </w:rPr>
        <w:t xml:space="preserve">  </w:t>
      </w:r>
      <w:r>
        <w:rPr>
          <w:rFonts w:hint="eastAsia" w:ascii="宋体" w:hAnsi="宋体" w:cs="宋体"/>
          <w:color w:val="auto"/>
          <w:szCs w:val="21"/>
          <w:highlight w:val="none"/>
        </w:rPr>
        <w:t>逾期送达的或者未送达指定地点的，代理机构不予受理。</w:t>
      </w:r>
    </w:p>
    <w:p>
      <w:pPr>
        <w:spacing w:line="400" w:lineRule="exact"/>
        <w:jc w:val="left"/>
        <w:rPr>
          <w:rFonts w:ascii="宋体" w:hAnsi="宋体" w:cs="宋体"/>
          <w:b/>
          <w:bCs/>
          <w:color w:val="auto"/>
          <w:szCs w:val="21"/>
          <w:highlight w:val="none"/>
        </w:rPr>
      </w:pP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18. 投标文件的补充、修改</w:t>
      </w:r>
    </w:p>
    <w:p>
      <w:pPr>
        <w:spacing w:line="40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rPr>
          <w:rFonts w:ascii="宋体" w:hAnsi="宋体" w:cs="宋体"/>
          <w:color w:val="auto"/>
          <w:szCs w:val="21"/>
          <w:highlight w:val="none"/>
        </w:rPr>
      </w:pPr>
    </w:p>
    <w:p>
      <w:pPr>
        <w:jc w:val="center"/>
        <w:outlineLvl w:val="1"/>
        <w:rPr>
          <w:rFonts w:ascii="宋体" w:hAnsi="宋体" w:cs="宋体"/>
          <w:b/>
          <w:color w:val="auto"/>
          <w:sz w:val="28"/>
          <w:highlight w:val="none"/>
        </w:rPr>
      </w:pPr>
      <w:bookmarkStart w:id="63" w:name="_Toc513798904"/>
      <w:bookmarkStart w:id="64" w:name="_Toc513799075"/>
      <w:bookmarkStart w:id="65" w:name="_Toc440276565"/>
      <w:bookmarkStart w:id="66" w:name="_Toc520902398"/>
      <w:r>
        <w:rPr>
          <w:rFonts w:hint="eastAsia" w:ascii="宋体" w:hAnsi="宋体" w:cs="宋体"/>
          <w:b/>
          <w:color w:val="auto"/>
          <w:sz w:val="28"/>
          <w:highlight w:val="none"/>
        </w:rPr>
        <w:t>E  开标</w:t>
      </w:r>
      <w:bookmarkEnd w:id="63"/>
      <w:bookmarkEnd w:id="64"/>
      <w:bookmarkEnd w:id="65"/>
      <w:bookmarkEnd w:id="66"/>
    </w:p>
    <w:p>
      <w:pPr>
        <w:spacing w:line="400" w:lineRule="exact"/>
        <w:rPr>
          <w:rFonts w:ascii="宋体" w:hAnsi="宋体" w:cs="宋体"/>
          <w:color w:val="auto"/>
          <w:szCs w:val="21"/>
          <w:highlight w:val="none"/>
        </w:rPr>
      </w:pPr>
      <w:r>
        <w:rPr>
          <w:rFonts w:hint="eastAsia" w:ascii="宋体" w:hAnsi="宋体" w:cs="宋体"/>
          <w:b/>
          <w:color w:val="auto"/>
          <w:szCs w:val="21"/>
          <w:highlight w:val="none"/>
        </w:rPr>
        <w:t>19</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b/>
          <w:color w:val="auto"/>
          <w:szCs w:val="21"/>
          <w:highlight w:val="none"/>
        </w:rPr>
        <w:t>开标</w:t>
      </w:r>
    </w:p>
    <w:p>
      <w:pPr>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 xml:space="preserve">19.1 </w:t>
      </w:r>
      <w:r>
        <w:rPr>
          <w:rFonts w:ascii="宋体" w:hAnsi="宋体" w:cs="宋体"/>
          <w:b/>
          <w:color w:val="auto"/>
          <w:szCs w:val="21"/>
          <w:highlight w:val="none"/>
        </w:rPr>
        <w:t xml:space="preserve"> </w:t>
      </w:r>
      <w:r>
        <w:rPr>
          <w:rFonts w:hint="eastAsia" w:ascii="宋体" w:hAnsi="宋体" w:cs="宋体"/>
          <w:color w:val="auto"/>
          <w:szCs w:val="21"/>
          <w:highlight w:val="none"/>
        </w:rPr>
        <w:t>代理机构在招标文件规定的时间和地点公开开标，</w:t>
      </w:r>
      <w:r>
        <w:rPr>
          <w:rFonts w:hint="eastAsia" w:ascii="宋体" w:hAnsi="宋体" w:cs="宋体"/>
          <w:bCs/>
          <w:color w:val="auto"/>
          <w:szCs w:val="21"/>
          <w:highlight w:val="none"/>
        </w:rPr>
        <w:t>请供应商在投标截止时间前将电子备份投标文件送至余姚市公共资源交易中心（余姚市谭家岭东路2号，南雷大厦附楼4楼，详见开评标场所安排），在完成电子备份投标文件和人员登记后立即离开。电子备份投标文件递交时须同时递交供应商的法定代表人（或其授权代表）联系方式，并保证开标期间联系方式畅通。</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19.2</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电子投标开标及评审程序：</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（1）宣布开标；</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（3）介绍开标现场的人员情况；</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（5）供应商签署不存在影响公平竞争的《政府采购活动现场确认声明书》；</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在政府采购云平台开启已解密供应商的“资格证明文件、商务和技术文件、报价文件”，并做开标记录</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（7）在政府采购云平台宣告评审无效供应商名单及理由；</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（8）在政府采购云平台公布评审结果；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（9）开标会议结束。</w:t>
      </w: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19.3</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本项目原则上采用政采云电子投标开标及评审程序，但有下情形之一的，按以下情况处理：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 xml:space="preserve">  </w:t>
      </w:r>
      <w:r>
        <w:rPr>
          <w:rFonts w:hint="eastAsia" w:ascii="宋体" w:hAnsi="宋体" w:cs="宋体"/>
          <w:color w:val="auto"/>
          <w:szCs w:val="21"/>
          <w:highlight w:val="none"/>
        </w:rPr>
        <w:t>电子交易平台发生故障而无法登录访问的；</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 xml:space="preserve">  </w:t>
      </w:r>
      <w:r>
        <w:rPr>
          <w:rFonts w:hint="eastAsia" w:ascii="宋体" w:hAnsi="宋体" w:cs="宋体"/>
          <w:color w:val="auto"/>
          <w:szCs w:val="21"/>
          <w:highlight w:val="none"/>
        </w:rPr>
        <w:t>电子交易平台应用或数据库出现错误，不能进行正常操作的；</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2.3</w:t>
      </w:r>
      <w:r>
        <w:rPr>
          <w:rFonts w:ascii="宋体" w:hAnsi="宋体" w:cs="宋体"/>
          <w:color w:val="auto"/>
          <w:szCs w:val="21"/>
          <w:highlight w:val="none"/>
        </w:rPr>
        <w:t xml:space="preserve">  </w:t>
      </w:r>
      <w:r>
        <w:rPr>
          <w:rFonts w:hint="eastAsia" w:ascii="宋体" w:hAnsi="宋体" w:cs="宋体"/>
          <w:color w:val="auto"/>
          <w:szCs w:val="21"/>
          <w:highlight w:val="none"/>
        </w:rPr>
        <w:t>电子交易平台发现严重安全漏洞，有潜在泄密危险的；</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2.4</w:t>
      </w:r>
      <w:r>
        <w:rPr>
          <w:rFonts w:ascii="宋体" w:hAnsi="宋体" w:cs="宋体"/>
          <w:color w:val="auto"/>
          <w:szCs w:val="21"/>
          <w:highlight w:val="none"/>
        </w:rPr>
        <w:t xml:space="preserve">  </w:t>
      </w:r>
      <w:r>
        <w:rPr>
          <w:rFonts w:hint="eastAsia" w:ascii="宋体" w:hAnsi="宋体" w:cs="宋体"/>
          <w:color w:val="auto"/>
          <w:szCs w:val="21"/>
          <w:highlight w:val="none"/>
        </w:rPr>
        <w:t xml:space="preserve">病毒发作导致不能进行正常操作的；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2.5</w:t>
      </w:r>
      <w:r>
        <w:rPr>
          <w:rFonts w:ascii="宋体" w:hAnsi="宋体" w:cs="宋体"/>
          <w:color w:val="auto"/>
          <w:szCs w:val="21"/>
          <w:highlight w:val="none"/>
        </w:rPr>
        <w:t xml:space="preserve">  </w:t>
      </w:r>
      <w:r>
        <w:rPr>
          <w:rFonts w:hint="eastAsia" w:ascii="宋体" w:hAnsi="宋体" w:cs="宋体"/>
          <w:color w:val="auto"/>
          <w:szCs w:val="21"/>
          <w:highlight w:val="none"/>
        </w:rPr>
        <w:t>其他无法保证电子交易的公平、公正和安全的情况。</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rPr>
          <w:rFonts w:ascii="宋体" w:hAnsi="宋体" w:cs="宋体"/>
          <w:color w:val="auto"/>
          <w:szCs w:val="21"/>
          <w:highlight w:val="none"/>
          <w:u w:val="single"/>
        </w:rPr>
      </w:pPr>
    </w:p>
    <w:p>
      <w:pPr>
        <w:spacing w:before="146" w:beforeLines="50" w:after="146" w:afterLines="50"/>
        <w:jc w:val="center"/>
        <w:outlineLvl w:val="1"/>
        <w:rPr>
          <w:rFonts w:ascii="宋体" w:hAnsi="宋体" w:cs="宋体"/>
          <w:b/>
          <w:color w:val="auto"/>
          <w:sz w:val="28"/>
          <w:highlight w:val="none"/>
        </w:rPr>
      </w:pPr>
      <w:bookmarkStart w:id="67" w:name="_Toc513798905"/>
      <w:bookmarkStart w:id="68" w:name="_Toc440276566"/>
      <w:bookmarkStart w:id="69" w:name="_Toc513799076"/>
      <w:bookmarkStart w:id="70" w:name="_Toc520902399"/>
      <w:r>
        <w:rPr>
          <w:rFonts w:hint="eastAsia" w:ascii="宋体" w:hAnsi="宋体" w:cs="宋体"/>
          <w:b/>
          <w:color w:val="auto"/>
          <w:sz w:val="28"/>
          <w:highlight w:val="none"/>
        </w:rPr>
        <w:t>F  评标和定标</w:t>
      </w:r>
      <w:bookmarkEnd w:id="67"/>
      <w:bookmarkEnd w:id="68"/>
      <w:bookmarkEnd w:id="69"/>
      <w:bookmarkEnd w:id="70"/>
    </w:p>
    <w:p>
      <w:pPr>
        <w:spacing w:line="400" w:lineRule="exact"/>
        <w:rPr>
          <w:rFonts w:ascii="宋体" w:hAnsi="宋体" w:cs="宋体"/>
          <w:color w:val="auto"/>
          <w:szCs w:val="21"/>
          <w:highlight w:val="none"/>
        </w:rPr>
      </w:pPr>
      <w:r>
        <w:rPr>
          <w:rFonts w:hint="eastAsia" w:ascii="宋体" w:hAnsi="宋体" w:cs="宋体"/>
          <w:b/>
          <w:color w:val="auto"/>
          <w:szCs w:val="21"/>
          <w:highlight w:val="none"/>
        </w:rPr>
        <w:t>20. 评标委员会及评标</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20.1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政府采购云平台随机抽取的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20.2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20.3</w:t>
      </w:r>
      <w:r>
        <w:rPr>
          <w:rFonts w:hint="eastAsia" w:ascii="宋体" w:hAnsi="宋体" w:cs="宋体"/>
          <w:color w:val="auto"/>
          <w:szCs w:val="21"/>
          <w:highlight w:val="none"/>
        </w:rPr>
        <w:t xml:space="preserve">  评标委员会根据本须知的规定、招标文件的“评标标准”和“招标项目要求”中所列的具体标准，对投标文件进行评审和比较。</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21.</w:t>
      </w:r>
      <w:r>
        <w:rPr>
          <w:rFonts w:ascii="宋体" w:hAnsi="宋体" w:cs="宋体"/>
          <w:b/>
          <w:color w:val="auto"/>
          <w:szCs w:val="21"/>
          <w:highlight w:val="none"/>
        </w:rPr>
        <w:t xml:space="preserve"> </w:t>
      </w:r>
      <w:r>
        <w:rPr>
          <w:rFonts w:hint="eastAsia" w:ascii="宋体" w:hAnsi="宋体" w:cs="宋体"/>
          <w:b/>
          <w:color w:val="auto"/>
          <w:szCs w:val="21"/>
          <w:highlight w:val="none"/>
        </w:rPr>
        <w:t>投标的澄清</w:t>
      </w:r>
    </w:p>
    <w:p>
      <w:pPr>
        <w:spacing w:line="400" w:lineRule="exact"/>
        <w:rPr>
          <w:rFonts w:ascii="宋体" w:hAnsi="宋体" w:cs="宋体"/>
          <w:color w:val="auto"/>
          <w:highlight w:val="none"/>
        </w:rPr>
      </w:pPr>
      <w:r>
        <w:rPr>
          <w:rFonts w:hint="eastAsia" w:ascii="宋体" w:hAnsi="宋体" w:cs="宋体"/>
          <w:b/>
          <w:bCs/>
          <w:color w:val="auto"/>
          <w:highlight w:val="none"/>
        </w:rPr>
        <w:t>21.1</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rPr>
          <w:rFonts w:ascii="宋体" w:hAnsi="宋体" w:cs="宋体"/>
          <w:color w:val="auto"/>
          <w:highlight w:val="none"/>
        </w:rPr>
      </w:pPr>
      <w:r>
        <w:rPr>
          <w:rFonts w:hint="eastAsia" w:ascii="宋体" w:hAnsi="宋体" w:cs="宋体"/>
          <w:b/>
          <w:bCs/>
          <w:color w:val="auto"/>
          <w:highlight w:val="none"/>
        </w:rPr>
        <w:t>21.2</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政采云具体操作如下：</w:t>
      </w:r>
    </w:p>
    <w:p>
      <w:pPr>
        <w:spacing w:line="400" w:lineRule="exact"/>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rPr>
          <w:rFonts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rPr>
          <w:rFonts w:ascii="宋体" w:hAnsi="宋体" w:cs="宋体"/>
          <w:color w:val="auto"/>
          <w:highlight w:val="none"/>
        </w:rPr>
      </w:pPr>
      <w:r>
        <w:rPr>
          <w:rFonts w:hint="eastAsia" w:ascii="宋体" w:hAnsi="宋体" w:cs="宋体"/>
          <w:b/>
          <w:bCs/>
          <w:color w:val="auto"/>
          <w:highlight w:val="none"/>
        </w:rPr>
        <w:t xml:space="preserve">21.3 </w:t>
      </w:r>
      <w:r>
        <w:rPr>
          <w:rFonts w:ascii="宋体" w:hAnsi="宋体" w:cs="宋体"/>
          <w:b/>
          <w:bCs/>
          <w:color w:val="auto"/>
          <w:highlight w:val="none"/>
        </w:rPr>
        <w:t xml:space="preserve"> </w:t>
      </w:r>
      <w:r>
        <w:rPr>
          <w:rFonts w:hint="eastAsia" w:ascii="宋体" w:hAnsi="宋体" w:cs="宋体"/>
          <w:color w:val="auto"/>
          <w:highlight w:val="none"/>
        </w:rPr>
        <w:t>澄清文件应当由</w:t>
      </w:r>
      <w:r>
        <w:rPr>
          <w:rFonts w:hint="eastAsia" w:ascii="宋体" w:hAnsi="宋体" w:cs="宋体"/>
          <w:color w:val="auto"/>
          <w:szCs w:val="21"/>
          <w:highlight w:val="none"/>
        </w:rPr>
        <w:t>供应商的法定代表人或授权代表签字</w:t>
      </w:r>
      <w:r>
        <w:rPr>
          <w:rFonts w:hint="eastAsia" w:ascii="宋体" w:hAnsi="宋体" w:cs="宋体"/>
          <w:color w:val="auto"/>
          <w:highlight w:val="none"/>
        </w:rPr>
        <w:t>或者加盖供应商公章。澄清文件将作为投标文件内容的一部分，具有相应的法律效力。</w:t>
      </w:r>
    </w:p>
    <w:p>
      <w:pPr>
        <w:spacing w:line="400" w:lineRule="exact"/>
        <w:jc w:val="left"/>
        <w:rPr>
          <w:rFonts w:ascii="宋体" w:hAnsi="宋体" w:cs="宋体"/>
          <w:color w:val="auto"/>
          <w:highlight w:val="none"/>
        </w:rPr>
      </w:pPr>
      <w:r>
        <w:rPr>
          <w:rFonts w:hint="eastAsia" w:ascii="宋体" w:hAnsi="宋体" w:cs="宋体"/>
          <w:b/>
          <w:bCs/>
          <w:color w:val="auto"/>
          <w:highlight w:val="none"/>
        </w:rPr>
        <w:t xml:space="preserve">21.4 </w:t>
      </w:r>
      <w:r>
        <w:rPr>
          <w:rFonts w:ascii="宋体" w:hAnsi="宋体" w:cs="宋体"/>
          <w:b/>
          <w:bCs/>
          <w:color w:val="auto"/>
          <w:highlight w:val="none"/>
        </w:rPr>
        <w:t xml:space="preserve"> </w:t>
      </w:r>
      <w:r>
        <w:rPr>
          <w:rFonts w:hint="eastAsia" w:ascii="宋体" w:hAnsi="宋体" w:cs="宋体"/>
          <w:color w:val="auto"/>
          <w:highlight w:val="none"/>
        </w:rPr>
        <w:t>供应商未在截止时间前完成澄清，将被视作自动放弃。</w:t>
      </w:r>
    </w:p>
    <w:p>
      <w:pPr>
        <w:spacing w:line="400" w:lineRule="exact"/>
        <w:rPr>
          <w:rFonts w:ascii="宋体" w:hAnsi="宋体" w:cs="宋体"/>
          <w:b/>
          <w:color w:val="auto"/>
          <w:szCs w:val="21"/>
          <w:highlight w:val="none"/>
        </w:rPr>
      </w:pPr>
    </w:p>
    <w:p>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22. 评标办法：</w:t>
      </w:r>
      <w:r>
        <w:rPr>
          <w:rFonts w:hint="eastAsia" w:ascii="宋体" w:hAnsi="宋体" w:cs="宋体"/>
          <w:color w:val="auto"/>
          <w:szCs w:val="21"/>
          <w:highlight w:val="none"/>
        </w:rPr>
        <w:t>评标采用综合评分法。</w:t>
      </w:r>
      <w:r>
        <w:rPr>
          <w:rFonts w:hint="eastAsia" w:ascii="宋体" w:hAnsi="宋体" w:cs="宋体"/>
          <w:b/>
          <w:color w:val="auto"/>
          <w:szCs w:val="21"/>
          <w:highlight w:val="none"/>
        </w:rPr>
        <w:t>本项目招标采用的评标方法载明在招标文件第五部分“评标办法”中。</w:t>
      </w:r>
    </w:p>
    <w:p>
      <w:pPr>
        <w:spacing w:line="400" w:lineRule="exact"/>
        <w:ind w:left="154" w:leftChars="73" w:firstLine="318" w:firstLineChars="15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23. 评标程序和原则</w:t>
      </w:r>
    </w:p>
    <w:p>
      <w:pPr>
        <w:spacing w:line="44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23.1</w:t>
      </w:r>
      <w:r>
        <w:rPr>
          <w:rFonts w:ascii="宋体" w:hAnsi="宋体" w:cs="宋体"/>
          <w:b/>
          <w:color w:val="auto"/>
          <w:szCs w:val="21"/>
          <w:highlight w:val="none"/>
        </w:rPr>
        <w:t xml:space="preserve">  </w:t>
      </w:r>
      <w:r>
        <w:rPr>
          <w:rFonts w:hint="eastAsia" w:ascii="宋体" w:hAnsi="宋体" w:cs="宋体"/>
          <w:color w:val="auto"/>
          <w:szCs w:val="21"/>
          <w:highlight w:val="none"/>
          <w:u w:val="thick"/>
        </w:rPr>
        <w:t>评标程序</w:t>
      </w:r>
      <w:r>
        <w:rPr>
          <w:rFonts w:hint="eastAsia" w:ascii="宋体" w:hAnsi="宋体" w:cs="宋体"/>
          <w:color w:val="auto"/>
          <w:szCs w:val="21"/>
          <w:highlight w:val="none"/>
        </w:rPr>
        <w:t>：遵循资格审查、符合性审查、澄清有关问题、比较与评价、推荐中标供应商（或中标候选人）的程序依次进行。</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23.2</w:t>
      </w:r>
      <w:r>
        <w:rPr>
          <w:rFonts w:ascii="宋体" w:hAnsi="宋体" w:cs="宋体"/>
          <w:b/>
          <w:color w:val="auto"/>
          <w:szCs w:val="21"/>
          <w:highlight w:val="none"/>
        </w:rPr>
        <w:t xml:space="preserve">  </w:t>
      </w:r>
      <w:r>
        <w:rPr>
          <w:rFonts w:hint="eastAsia" w:ascii="宋体" w:hAnsi="宋体" w:cs="宋体"/>
          <w:color w:val="auto"/>
          <w:szCs w:val="21"/>
          <w:highlight w:val="none"/>
          <w:u w:val="thick"/>
        </w:rPr>
        <w:t>资格审查</w:t>
      </w:r>
      <w:r>
        <w:rPr>
          <w:rFonts w:hint="eastAsia" w:ascii="宋体" w:hAnsi="宋体" w:cs="宋体"/>
          <w:color w:val="auto"/>
          <w:szCs w:val="21"/>
          <w:highlight w:val="none"/>
        </w:rPr>
        <w:t>：公开招标采购项目开标结束后，采购人或者采购代理机构应当依法对投标人的资格进行审查。详见招标文件第五部分“评标办法”。</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23.3</w:t>
      </w:r>
      <w:r>
        <w:rPr>
          <w:rFonts w:ascii="宋体" w:hAnsi="宋体" w:cs="宋体"/>
          <w:b/>
          <w:color w:val="auto"/>
          <w:szCs w:val="21"/>
          <w:highlight w:val="none"/>
        </w:rPr>
        <w:t xml:space="preserve">  </w:t>
      </w:r>
      <w:r>
        <w:rPr>
          <w:rFonts w:hint="eastAsia" w:ascii="宋体" w:hAnsi="宋体" w:cs="宋体"/>
          <w:color w:val="auto"/>
          <w:szCs w:val="21"/>
          <w:highlight w:val="none"/>
          <w:u w:val="thick"/>
        </w:rPr>
        <w:t>符合性审查</w:t>
      </w:r>
      <w:r>
        <w:rPr>
          <w:rFonts w:hint="eastAsia" w:ascii="宋体" w:hAnsi="宋体" w:cs="宋体"/>
          <w:color w:val="auto"/>
          <w:szCs w:val="21"/>
          <w:highlight w:val="none"/>
        </w:rPr>
        <w:t>：评标委员会应当对符合资格的投标人的投标文件进行符合性审查，以确定其是否满足招标文件的实质性要求。详见招标文件第五部分“评标办法”。</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 xml:space="preserve">23.4 </w:t>
      </w:r>
      <w:r>
        <w:rPr>
          <w:rFonts w:ascii="宋体" w:hAnsi="宋体" w:cs="宋体"/>
          <w:b/>
          <w:color w:val="auto"/>
          <w:szCs w:val="21"/>
          <w:highlight w:val="none"/>
        </w:rPr>
        <w:t xml:space="preserve"> </w:t>
      </w:r>
      <w:r>
        <w:rPr>
          <w:rFonts w:hint="eastAsia" w:ascii="宋体" w:hAnsi="宋体" w:cs="宋体"/>
          <w:color w:val="auto"/>
          <w:szCs w:val="21"/>
          <w:highlight w:val="none"/>
          <w:u w:val="thick"/>
        </w:rPr>
        <w:t>澄清有关问题</w:t>
      </w:r>
      <w:r>
        <w:rPr>
          <w:rFonts w:hint="eastAsia" w:ascii="宋体" w:hAnsi="宋体" w:cs="宋体"/>
          <w:color w:val="auto"/>
          <w:szCs w:val="21"/>
          <w:highlight w:val="none"/>
        </w:rPr>
        <w:t>：按第</w:t>
      </w:r>
      <w:r>
        <w:rPr>
          <w:rFonts w:hint="eastAsia" w:ascii="宋体" w:hAnsi="宋体" w:cs="宋体"/>
          <w:b/>
          <w:color w:val="auto"/>
          <w:szCs w:val="21"/>
          <w:highlight w:val="none"/>
        </w:rPr>
        <w:t>21</w:t>
      </w:r>
      <w:r>
        <w:rPr>
          <w:rFonts w:hint="eastAsia" w:ascii="宋体" w:hAnsi="宋体" w:cs="宋体"/>
          <w:color w:val="auto"/>
          <w:szCs w:val="21"/>
          <w:highlight w:val="none"/>
        </w:rPr>
        <w:t xml:space="preserve">条规定进行。 </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23.5</w:t>
      </w:r>
      <w:r>
        <w:rPr>
          <w:rFonts w:ascii="宋体" w:hAnsi="宋体" w:cs="宋体"/>
          <w:b/>
          <w:color w:val="auto"/>
          <w:szCs w:val="21"/>
          <w:highlight w:val="none"/>
        </w:rPr>
        <w:t xml:space="preserve">  </w:t>
      </w:r>
      <w:r>
        <w:rPr>
          <w:rFonts w:hint="eastAsia" w:ascii="宋体" w:hAnsi="宋体" w:cs="宋体"/>
          <w:color w:val="auto"/>
          <w:szCs w:val="21"/>
          <w:highlight w:val="none"/>
          <w:u w:val="thick"/>
        </w:rPr>
        <w:t>综合比较与评价</w:t>
      </w:r>
      <w:r>
        <w:rPr>
          <w:rFonts w:hint="eastAsia" w:ascii="宋体" w:hAnsi="宋体" w:cs="宋体"/>
          <w:color w:val="auto"/>
          <w:szCs w:val="21"/>
          <w:highlight w:val="none"/>
        </w:rPr>
        <w:t>：评标委员会应当按照招标文件中规定的评标方法和标准，对符合性审查合格的投标文件进行商务和技术评估，综合比较与评价。</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 xml:space="preserve">23.5.1 </w:t>
      </w:r>
      <w:r>
        <w:rPr>
          <w:rFonts w:ascii="宋体" w:hAnsi="宋体" w:cs="宋体"/>
          <w:b/>
          <w:color w:val="auto"/>
          <w:szCs w:val="21"/>
          <w:highlight w:val="none"/>
        </w:rPr>
        <w:t xml:space="preserve"> </w:t>
      </w:r>
      <w:r>
        <w:rPr>
          <w:rFonts w:hint="eastAsia" w:ascii="宋体" w:hAnsi="宋体" w:cs="宋体"/>
          <w:color w:val="auto"/>
          <w:szCs w:val="21"/>
          <w:highlight w:val="none"/>
          <w:u w:val="thick"/>
        </w:rPr>
        <w:t>商务评价</w:t>
      </w:r>
      <w:r>
        <w:rPr>
          <w:rFonts w:hint="eastAsia" w:ascii="宋体" w:hAnsi="宋体" w:cs="宋体"/>
          <w:color w:val="auto"/>
          <w:szCs w:val="21"/>
          <w:highlight w:val="none"/>
        </w:rPr>
        <w:t>：按照招标文件的要求和“评标标准”对照投标文件的响应进行商务评价，并对其偏差计算相应的商务评分分值。</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23.5.2</w:t>
      </w:r>
      <w:r>
        <w:rPr>
          <w:rFonts w:ascii="宋体" w:hAnsi="宋体" w:cs="宋体"/>
          <w:b/>
          <w:color w:val="auto"/>
          <w:szCs w:val="21"/>
          <w:highlight w:val="none"/>
        </w:rPr>
        <w:t xml:space="preserve">  </w:t>
      </w:r>
      <w:r>
        <w:rPr>
          <w:rFonts w:hint="eastAsia" w:ascii="宋体" w:hAnsi="宋体" w:cs="宋体"/>
          <w:color w:val="auto"/>
          <w:szCs w:val="21"/>
          <w:highlight w:val="none"/>
          <w:u w:val="thick"/>
        </w:rPr>
        <w:t>技术评价</w:t>
      </w:r>
      <w:r>
        <w:rPr>
          <w:rFonts w:hint="eastAsia" w:ascii="宋体" w:hAnsi="宋体" w:cs="宋体"/>
          <w:color w:val="auto"/>
          <w:szCs w:val="21"/>
          <w:highlight w:val="none"/>
        </w:rPr>
        <w:t>：按照招标文件的要求和“评标标准”对照投标文件的响应进行技术评价，评定其偏差程度，并计算其相应的技术评分分值。</w:t>
      </w:r>
    </w:p>
    <w:p>
      <w:pPr>
        <w:spacing w:line="440" w:lineRule="exact"/>
        <w:jc w:val="left"/>
        <w:rPr>
          <w:rFonts w:ascii="宋体" w:hAnsi="宋体" w:cs="宋体"/>
          <w:color w:val="auto"/>
          <w:szCs w:val="21"/>
          <w:highlight w:val="none"/>
        </w:rPr>
      </w:pPr>
      <w:r>
        <w:rPr>
          <w:rFonts w:hint="eastAsia" w:ascii="宋体" w:hAnsi="宋体" w:cs="宋体"/>
          <w:b/>
          <w:color w:val="auto"/>
          <w:szCs w:val="21"/>
          <w:highlight w:val="none"/>
        </w:rPr>
        <w:t>23.5.3</w:t>
      </w:r>
      <w:r>
        <w:rPr>
          <w:rFonts w:ascii="宋体" w:hAnsi="宋体" w:cs="宋体"/>
          <w:b/>
          <w:color w:val="auto"/>
          <w:szCs w:val="21"/>
          <w:highlight w:val="none"/>
        </w:rPr>
        <w:t xml:space="preserve">  </w:t>
      </w:r>
      <w:r>
        <w:rPr>
          <w:rFonts w:hint="eastAsia" w:ascii="宋体" w:hAnsi="宋体" w:cs="宋体"/>
          <w:color w:val="auto"/>
          <w:szCs w:val="21"/>
          <w:highlight w:val="none"/>
          <w:u w:val="thick"/>
        </w:rPr>
        <w:t>综合评价</w:t>
      </w:r>
      <w:r>
        <w:rPr>
          <w:rFonts w:hint="eastAsia" w:ascii="宋体" w:hAnsi="宋体" w:cs="宋体"/>
          <w:color w:val="auto"/>
          <w:szCs w:val="21"/>
          <w:highlight w:val="none"/>
        </w:rPr>
        <w:t>：对经过商务评价、技术评价的投标，按“评标标准”规定的评价办法进行综合评价，做出评标结果排序。</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23.6  评标过程处理原则</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23.6.1</w:t>
      </w:r>
      <w:r>
        <w:rPr>
          <w:rFonts w:hint="eastAsia" w:ascii="宋体" w:hAnsi="宋体" w:cs="宋体"/>
          <w:color w:val="auto"/>
          <w:szCs w:val="21"/>
          <w:highlight w:val="none"/>
        </w:rPr>
        <w:t xml:space="preserve">  通过资格审查的投标人不足3家的，不得评标。</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 xml:space="preserve">23.6.2  </w:t>
      </w:r>
      <w:r>
        <w:rPr>
          <w:rFonts w:hint="eastAsia" w:ascii="宋体" w:hAnsi="宋体" w:cs="宋体"/>
          <w:color w:val="auto"/>
          <w:szCs w:val="21"/>
          <w:highlight w:val="none"/>
        </w:rPr>
        <w:t>投标文件报价出现前后不一致的，除招标文件另有规定外，按照下列规定修正：</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（1）投标文件中开标一览表内容与投标文件中相应内容不一致的，以开标一览表为准；</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同时出现两种以上不一致的，按照前款规定的顺序修正。修正后的报价按照投标文件招标文件的规定经投标人确认后产生约束力，投标人不确认的，其投标无效。</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23.6.3</w:t>
      </w:r>
      <w:r>
        <w:rPr>
          <w:rFonts w:hint="eastAsia" w:ascii="宋体" w:hAnsi="宋体" w:cs="宋体"/>
          <w:color w:val="auto"/>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23.6.4</w:t>
      </w:r>
      <w:r>
        <w:rPr>
          <w:rFonts w:hint="eastAsia" w:ascii="宋体" w:hAnsi="宋体" w:cs="宋体"/>
          <w:color w:val="auto"/>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 xml:space="preserve">23.6.5 </w:t>
      </w:r>
      <w:r>
        <w:rPr>
          <w:rFonts w:hint="eastAsia" w:ascii="宋体" w:hAnsi="宋体" w:cs="宋体"/>
          <w:color w:val="auto"/>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非单一产品采购项目，招标文件中应载明核心产品，多家投标人提供的核心产品品牌相同的，按上述规定处理。</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23.6.6</w:t>
      </w:r>
      <w:r>
        <w:rPr>
          <w:rFonts w:hint="eastAsia" w:ascii="宋体" w:hAnsi="宋体" w:cs="宋体"/>
          <w:color w:val="auto"/>
          <w:szCs w:val="21"/>
          <w:highlight w:val="none"/>
        </w:rPr>
        <w:t xml:space="preserve">  有下列情形之一的，视为投标人串通投标，其投标无效：</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23.6.7</w:t>
      </w:r>
      <w:r>
        <w:rPr>
          <w:rFonts w:hint="eastAsia" w:ascii="宋体" w:hAnsi="宋体" w:cs="宋体"/>
          <w:color w:val="auto"/>
          <w:szCs w:val="21"/>
          <w:highlight w:val="none"/>
        </w:rPr>
        <w:t xml:space="preserve">  投标人存在下列情况之一的，投标无效：</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（1）未按照招标文件的规定提交投标保证金的；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（2）投标文件未按招标文件要求签署、盖章的；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（4）报价超过招标文件中规定的预算金额或者最高限价的；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（5）投标文件含有采购人不能接受的附加条件的；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（6）法律、法规和招标文件规定的其他无效情形。</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 xml:space="preserve">23.6.8  </w:t>
      </w:r>
      <w:r>
        <w:rPr>
          <w:rFonts w:hint="eastAsia" w:ascii="宋体" w:hAnsi="宋体" w:cs="宋体"/>
          <w:color w:val="auto"/>
          <w:szCs w:val="21"/>
          <w:highlight w:val="none"/>
        </w:rPr>
        <w:t>评标结果汇总完成后，除下列情形外，任何人不得修改评标结果：</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（1）分值汇总计算错误的;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（2）分项评分超出评分标准范围的;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（3）评标委员会成员对客观评审因素评分不一致的;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（4）经评标委员会认定评分畸高、畸低的。</w:t>
      </w:r>
    </w:p>
    <w:p>
      <w:pPr>
        <w:spacing w:line="440" w:lineRule="exact"/>
        <w:ind w:firstLine="453" w:firstLineChars="214"/>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53" w:firstLineChars="214"/>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 xml:space="preserve">23.6.9  </w:t>
      </w:r>
      <w:r>
        <w:rPr>
          <w:rFonts w:hint="eastAsia" w:ascii="宋体" w:hAnsi="宋体" w:cs="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24.</w:t>
      </w:r>
      <w:r>
        <w:rPr>
          <w:rFonts w:ascii="宋体" w:hAnsi="宋体" w:cs="宋体"/>
          <w:b/>
          <w:color w:val="auto"/>
          <w:szCs w:val="21"/>
          <w:highlight w:val="none"/>
        </w:rPr>
        <w:t xml:space="preserve"> </w:t>
      </w:r>
      <w:r>
        <w:rPr>
          <w:rFonts w:hint="eastAsia" w:ascii="宋体" w:hAnsi="宋体" w:cs="宋体"/>
          <w:b/>
          <w:color w:val="auto"/>
          <w:szCs w:val="21"/>
          <w:highlight w:val="none"/>
        </w:rPr>
        <w:t>推荐中标候选人</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24.1</w:t>
      </w:r>
      <w:r>
        <w:rPr>
          <w:rFonts w:hint="eastAsia" w:ascii="宋体" w:hAnsi="宋体" w:cs="宋体"/>
          <w:color w:val="auto"/>
          <w:kern w:val="0"/>
          <w:szCs w:val="21"/>
          <w:highlight w:val="none"/>
        </w:rPr>
        <w:t xml:space="preserve">  评标委员会按照招标文件第五部分“评标标准”推荐</w:t>
      </w:r>
      <w:r>
        <w:rPr>
          <w:rFonts w:hint="eastAsia" w:ascii="宋体" w:hAnsi="宋体" w:cs="宋体"/>
          <w:color w:val="auto"/>
          <w:kern w:val="0"/>
          <w:szCs w:val="21"/>
          <w:highlight w:val="none"/>
          <w:lang w:val="en-US" w:eastAsia="zh-CN"/>
        </w:rPr>
        <w:t>一家</w:t>
      </w:r>
      <w:r>
        <w:rPr>
          <w:rFonts w:hint="eastAsia" w:ascii="宋体" w:hAnsi="宋体" w:cs="宋体"/>
          <w:color w:val="auto"/>
          <w:kern w:val="0"/>
          <w:szCs w:val="21"/>
          <w:highlight w:val="none"/>
        </w:rPr>
        <w:t>中标候选人。</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25.</w:t>
      </w:r>
      <w:r>
        <w:rPr>
          <w:rFonts w:ascii="宋体" w:hAnsi="宋体" w:cs="宋体"/>
          <w:b/>
          <w:color w:val="auto"/>
          <w:szCs w:val="21"/>
          <w:highlight w:val="none"/>
        </w:rPr>
        <w:t xml:space="preserve"> </w:t>
      </w:r>
      <w:r>
        <w:rPr>
          <w:rFonts w:hint="eastAsia" w:ascii="宋体" w:hAnsi="宋体" w:cs="宋体"/>
          <w:b/>
          <w:color w:val="auto"/>
          <w:szCs w:val="21"/>
          <w:highlight w:val="none"/>
        </w:rPr>
        <w:t>定标</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25.1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25.2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25.3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71" w:name="_Toc440276567"/>
      <w:r>
        <w:rPr>
          <w:rFonts w:hint="eastAsia" w:ascii="宋体" w:hAnsi="宋体" w:cs="宋体"/>
          <w:b/>
          <w:color w:val="auto"/>
          <w:sz w:val="28"/>
          <w:highlight w:val="none"/>
        </w:rPr>
        <w:t>G  授予合同</w:t>
      </w:r>
      <w:bookmarkEnd w:id="71"/>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26.</w:t>
      </w:r>
      <w:r>
        <w:rPr>
          <w:rFonts w:ascii="宋体" w:hAnsi="宋体" w:cs="宋体"/>
          <w:b/>
          <w:color w:val="auto"/>
          <w:szCs w:val="21"/>
          <w:highlight w:val="none"/>
        </w:rPr>
        <w:t xml:space="preserve"> </w:t>
      </w:r>
      <w:r>
        <w:rPr>
          <w:rFonts w:hint="eastAsia" w:ascii="宋体" w:hAnsi="宋体" w:cs="宋体"/>
          <w:b/>
          <w:color w:val="auto"/>
          <w:szCs w:val="21"/>
          <w:highlight w:val="none"/>
        </w:rPr>
        <w:t>中标通知</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26.1 </w:t>
      </w:r>
      <w:r>
        <w:rPr>
          <w:rFonts w:hint="eastAsia" w:ascii="宋体" w:hAnsi="宋体" w:cs="宋体"/>
          <w:color w:val="auto"/>
          <w:kern w:val="0"/>
          <w:szCs w:val="21"/>
          <w:highlight w:val="none"/>
        </w:rPr>
        <w:t xml:space="preserve"> 在公告中标结果的同时，采购代理机构应当向中标人发出中标通知书。</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中标通知书发出后，采购人不得违法改变中标结果，中标人无正当理由不得放弃中标。</w:t>
      </w:r>
    </w:p>
    <w:p>
      <w:pPr>
        <w:spacing w:line="400" w:lineRule="exact"/>
        <w:ind w:firstLine="424" w:firstLineChars="200"/>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27.</w:t>
      </w:r>
      <w:r>
        <w:rPr>
          <w:rFonts w:ascii="宋体" w:hAnsi="宋体" w:cs="宋体"/>
          <w:b/>
          <w:color w:val="auto"/>
          <w:szCs w:val="21"/>
          <w:highlight w:val="none"/>
        </w:rPr>
        <w:t xml:space="preserve"> </w:t>
      </w:r>
      <w:r>
        <w:rPr>
          <w:rFonts w:hint="eastAsia" w:ascii="宋体" w:hAnsi="宋体" w:cs="宋体"/>
          <w:b/>
          <w:color w:val="auto"/>
          <w:szCs w:val="21"/>
          <w:highlight w:val="none"/>
        </w:rPr>
        <w:t>签订合同</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28.</w:t>
      </w:r>
      <w:r>
        <w:rPr>
          <w:rFonts w:ascii="宋体" w:hAnsi="宋体" w:cs="宋体"/>
          <w:b/>
          <w:color w:val="auto"/>
          <w:szCs w:val="21"/>
          <w:highlight w:val="none"/>
        </w:rPr>
        <w:t xml:space="preserve"> </w:t>
      </w:r>
      <w:r>
        <w:rPr>
          <w:rFonts w:hint="eastAsia" w:ascii="宋体" w:hAnsi="宋体" w:cs="宋体"/>
          <w:b/>
          <w:color w:val="auto"/>
          <w:szCs w:val="21"/>
          <w:highlight w:val="none"/>
        </w:rPr>
        <w:t>履约保证金</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28.2</w:t>
      </w:r>
      <w:r>
        <w:rPr>
          <w:rFonts w:hint="eastAsia" w:ascii="宋体" w:hAnsi="宋体" w:cs="宋体"/>
          <w:color w:val="auto"/>
          <w:kern w:val="0"/>
          <w:szCs w:val="21"/>
          <w:highlight w:val="none"/>
        </w:rPr>
        <w:t xml:space="preserve">  若中标人不按上述第28.1条要求提供，采购代理机构和采购人有权按前述第13.6条规定处理并撤销其中标资格。在这种情况下，采购代理机构和采购人可按本须知第27.3条规定另选中标人。</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29.</w:t>
      </w:r>
      <w:r>
        <w:rPr>
          <w:rFonts w:ascii="宋体" w:hAnsi="宋体" w:cs="宋体"/>
          <w:b/>
          <w:color w:val="auto"/>
          <w:szCs w:val="21"/>
          <w:highlight w:val="none"/>
        </w:rPr>
        <w:t xml:space="preserve"> </w:t>
      </w:r>
      <w:r>
        <w:rPr>
          <w:rFonts w:hint="eastAsia" w:ascii="宋体" w:hAnsi="宋体" w:cs="宋体"/>
          <w:b/>
          <w:color w:val="auto"/>
          <w:szCs w:val="21"/>
          <w:highlight w:val="none"/>
        </w:rPr>
        <w:t>履约验收</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采购人负责对中标人的履约行为进行验收，验收符合相关政策法规和地方标准。</w:t>
      </w: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72" w:name="_Toc440276568"/>
      <w:r>
        <w:rPr>
          <w:rFonts w:hint="eastAsia" w:ascii="宋体" w:hAnsi="宋体" w:cs="宋体"/>
          <w:b/>
          <w:color w:val="auto"/>
          <w:sz w:val="28"/>
          <w:highlight w:val="none"/>
        </w:rPr>
        <w:t>H  采购代理机构服务费</w:t>
      </w:r>
      <w:bookmarkEnd w:id="72"/>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30.</w:t>
      </w:r>
      <w:r>
        <w:rPr>
          <w:rFonts w:ascii="宋体" w:hAnsi="宋体" w:cs="宋体"/>
          <w:b/>
          <w:color w:val="auto"/>
          <w:szCs w:val="21"/>
          <w:highlight w:val="none"/>
        </w:rPr>
        <w:t xml:space="preserve"> </w:t>
      </w:r>
      <w:r>
        <w:rPr>
          <w:rFonts w:hint="eastAsia" w:ascii="宋体" w:hAnsi="宋体" w:cs="宋体"/>
          <w:b/>
          <w:color w:val="auto"/>
          <w:szCs w:val="21"/>
          <w:highlight w:val="none"/>
        </w:rPr>
        <w:t>采购代理机构服务费</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ascii="宋体" w:hAnsi="宋体" w:cs="宋体"/>
          <w:b/>
          <w:color w:val="auto"/>
          <w:szCs w:val="21"/>
          <w:highlight w:val="none"/>
        </w:rPr>
        <w:t xml:space="preserve">  </w:t>
      </w:r>
      <w:r>
        <w:rPr>
          <w:rFonts w:hint="eastAsia" w:ascii="宋体" w:hAnsi="宋体" w:cs="宋体"/>
          <w:color w:val="auto"/>
          <w:kern w:val="0"/>
          <w:szCs w:val="21"/>
          <w:highlight w:val="none"/>
        </w:rPr>
        <w:t>中标人应在中标结果公示结束后向采购代理机构支付采购代理机构服务费。</w:t>
      </w:r>
    </w:p>
    <w:p>
      <w:pPr>
        <w:spacing w:line="400" w:lineRule="exact"/>
        <w:rPr>
          <w:rFonts w:ascii="宋体" w:hAnsi="宋体" w:cs="宋体"/>
          <w:color w:val="auto"/>
          <w:kern w:val="0"/>
          <w:szCs w:val="21"/>
          <w:highlight w:val="none"/>
        </w:rPr>
      </w:pP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r>
        <w:rPr>
          <w:rFonts w:hint="eastAsia" w:ascii="宋体" w:hAnsi="宋体" w:cs="宋体"/>
          <w:b/>
          <w:color w:val="auto"/>
          <w:sz w:val="28"/>
          <w:highlight w:val="none"/>
        </w:rPr>
        <w:t>Ⅰ  信息发布媒体</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31.</w:t>
      </w:r>
      <w:r>
        <w:rPr>
          <w:rFonts w:ascii="宋体" w:hAnsi="宋体" w:cs="宋体"/>
          <w:b/>
          <w:color w:val="auto"/>
          <w:szCs w:val="21"/>
          <w:highlight w:val="none"/>
        </w:rPr>
        <w:t xml:space="preserve"> </w:t>
      </w:r>
      <w:r>
        <w:rPr>
          <w:rFonts w:hint="eastAsia" w:ascii="宋体" w:hAnsi="宋体" w:cs="宋体"/>
          <w:b/>
          <w:color w:val="auto"/>
          <w:szCs w:val="21"/>
          <w:highlight w:val="none"/>
        </w:rPr>
        <w:t>有关发布项目招标公告、中标结果公告的媒体：</w:t>
      </w:r>
    </w:p>
    <w:p>
      <w:pPr>
        <w:spacing w:line="360" w:lineRule="auto"/>
        <w:ind w:left="797" w:hanging="794" w:hangingChars="375"/>
        <w:rPr>
          <w:rFonts w:ascii="宋体" w:hAnsi="宋体" w:cs="宋体"/>
          <w:color w:val="auto"/>
          <w:szCs w:val="21"/>
          <w:highlight w:val="none"/>
        </w:rPr>
      </w:pPr>
      <w:r>
        <w:rPr>
          <w:rFonts w:hint="eastAsia" w:ascii="宋体" w:hAnsi="宋体" w:cs="宋体"/>
          <w:color w:val="auto"/>
          <w:szCs w:val="21"/>
          <w:highlight w:val="none"/>
        </w:rPr>
        <w:t>浙江政府采购网</w:t>
      </w:r>
      <w:r>
        <w:rPr>
          <w:rFonts w:hint="eastAsia" w:ascii="宋体" w:hAnsi="宋体" w:cs="宋体"/>
          <w:color w:val="auto"/>
          <w:highlight w:val="none"/>
          <w:u w:val="single"/>
        </w:rPr>
        <w:t>https://zfcg.czt.zj.gov.cn/</w:t>
      </w:r>
    </w:p>
    <w:p>
      <w:pPr>
        <w:spacing w:line="360" w:lineRule="auto"/>
        <w:rPr>
          <w:rStyle w:val="44"/>
          <w:rFonts w:ascii="宋体" w:hAnsi="宋体" w:cs="宋体"/>
          <w:color w:val="auto"/>
          <w:szCs w:val="21"/>
          <w:highlight w:val="none"/>
          <w:u w:val="none"/>
        </w:rPr>
      </w:pPr>
      <w:r>
        <w:rPr>
          <w:rFonts w:hint="eastAsia" w:ascii="宋体" w:hAnsi="宋体" w:cs="宋体"/>
          <w:color w:val="auto"/>
          <w:szCs w:val="21"/>
          <w:highlight w:val="none"/>
        </w:rPr>
        <w:t>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Style w:val="44"/>
          <w:rFonts w:hint="eastAsia" w:ascii="宋体" w:hAnsi="宋体" w:cs="宋体"/>
          <w:color w:val="auto"/>
          <w:szCs w:val="21"/>
          <w:highlight w:val="none"/>
        </w:rPr>
        <w:t>www.nbzfcg.cn</w:t>
      </w:r>
      <w:r>
        <w:rPr>
          <w:rStyle w:val="44"/>
          <w:rFonts w:hint="eastAsia" w:ascii="宋体" w:hAnsi="宋体" w:cs="宋体"/>
          <w:color w:val="auto"/>
          <w:szCs w:val="21"/>
          <w:highlight w:val="none"/>
        </w:rPr>
        <w:fldChar w:fldCharType="end"/>
      </w:r>
    </w:p>
    <w:p>
      <w:pPr>
        <w:rPr>
          <w:color w:val="auto"/>
          <w:highlight w:val="none"/>
        </w:rPr>
      </w:pPr>
    </w:p>
    <w:p>
      <w:pPr>
        <w:jc w:val="center"/>
        <w:outlineLvl w:val="1"/>
        <w:rPr>
          <w:rFonts w:ascii="宋体" w:hAnsi="宋体" w:cs="宋体"/>
          <w:b/>
          <w:color w:val="auto"/>
          <w:sz w:val="28"/>
          <w:highlight w:val="none"/>
        </w:rPr>
      </w:pPr>
      <w:r>
        <w:rPr>
          <w:rFonts w:hint="eastAsia" w:ascii="宋体" w:hAnsi="宋体" w:cs="宋体"/>
          <w:b/>
          <w:color w:val="auto"/>
          <w:sz w:val="28"/>
          <w:highlight w:val="none"/>
        </w:rPr>
        <w:t>J  其他规定</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32.</w:t>
      </w:r>
      <w:r>
        <w:rPr>
          <w:rFonts w:ascii="宋体" w:hAnsi="宋体" w:cs="宋体"/>
          <w:b/>
          <w:color w:val="auto"/>
          <w:szCs w:val="21"/>
          <w:highlight w:val="none"/>
        </w:rPr>
        <w:t xml:space="preserve"> </w:t>
      </w:r>
      <w:r>
        <w:rPr>
          <w:rFonts w:hint="eastAsia" w:ascii="宋体" w:hAnsi="宋体" w:cs="宋体"/>
          <w:b/>
          <w:color w:val="auto"/>
          <w:szCs w:val="21"/>
          <w:highlight w:val="none"/>
        </w:rPr>
        <w:t>其他规定</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32.1</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自购买招标文件之日起，投标人应保证其提供的联系方式(电话、传真、电子邮件)一直有效，以保证往来函件(招标文件的澄清、修改等)能及时通知投标人，并能及时反馈信息，否则采购人不承担由此引起的一切后果。</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32.2</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知识产权</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32.2.1</w:t>
      </w:r>
      <w:r>
        <w:rPr>
          <w:rFonts w:ascii="宋体" w:hAnsi="宋体" w:cs="宋体"/>
          <w:b/>
          <w:color w:val="auto"/>
          <w:szCs w:val="21"/>
          <w:highlight w:val="none"/>
        </w:rPr>
        <w:t xml:space="preserve">  </w:t>
      </w:r>
      <w:r>
        <w:rPr>
          <w:rFonts w:hint="eastAsia" w:ascii="宋体" w:hAnsi="宋体" w:cs="宋体"/>
          <w:color w:val="auto"/>
          <w:kern w:val="0"/>
          <w:szCs w:val="21"/>
          <w:highlight w:val="none"/>
        </w:rPr>
        <w:t>投标人应保证提交的全部文件不会侵犯其他任何人的知识产权或专有技术或商业秘密。投标人应保证，如果投标文件使用他人的知识产权或专有技术或商业秘密，投标人已获得了适当授权。投标人应进一步保证，采购人使用其成果不会侵犯他人的知识产权或专有技术或商业秘密，并应当使采购人免于因被指控侵犯上述权利产生的任何责任，若采购人使用其成果被指控侵犯上述权利，投标人应赔偿采购人由此而产生的费用和损失。</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32.2.2</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投标人中标后参与本项目研究的资料、成果等知识产权归采购人，有关的信息未经采购人同意不得向第三方泄露。</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32.2.3 </w:t>
      </w:r>
      <w:r>
        <w:rPr>
          <w:rFonts w:ascii="宋体" w:hAnsi="宋体" w:cs="宋体"/>
          <w:b/>
          <w:color w:val="auto"/>
          <w:szCs w:val="21"/>
          <w:highlight w:val="none"/>
        </w:rPr>
        <w:t xml:space="preserve"> </w:t>
      </w:r>
      <w:r>
        <w:rPr>
          <w:rFonts w:hint="eastAsia" w:ascii="宋体" w:hAnsi="宋体" w:cs="宋体"/>
          <w:color w:val="auto"/>
          <w:kern w:val="0"/>
          <w:szCs w:val="21"/>
          <w:highlight w:val="none"/>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pPr>
        <w:spacing w:line="400" w:lineRule="exact"/>
        <w:rPr>
          <w:rFonts w:ascii="宋体" w:hAnsi="宋体" w:cs="宋体"/>
          <w:b/>
          <w:color w:val="auto"/>
          <w:szCs w:val="21"/>
          <w:highlight w:val="none"/>
        </w:rPr>
      </w:pP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33.</w:t>
      </w:r>
      <w:r>
        <w:rPr>
          <w:rFonts w:ascii="宋体" w:hAnsi="宋体" w:cs="宋体"/>
          <w:b/>
          <w:color w:val="auto"/>
          <w:szCs w:val="21"/>
          <w:highlight w:val="none"/>
        </w:rPr>
        <w:t xml:space="preserve"> </w:t>
      </w:r>
      <w:r>
        <w:rPr>
          <w:rFonts w:hint="eastAsia" w:ascii="宋体" w:hAnsi="宋体" w:cs="宋体"/>
          <w:b/>
          <w:color w:val="auto"/>
          <w:szCs w:val="21"/>
          <w:highlight w:val="none"/>
        </w:rPr>
        <w:t>政府采购活动中有关中小企业的相关规定（采购进口产品项目不适用）</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33.1 </w:t>
      </w:r>
      <w:r>
        <w:rPr>
          <w:rFonts w:hint="eastAsia" w:ascii="宋体" w:hAnsi="宋体" w:cs="宋体"/>
          <w:color w:val="auto"/>
          <w:szCs w:val="21"/>
          <w:highlight w:val="none"/>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33.2 </w:t>
      </w:r>
      <w:r>
        <w:rPr>
          <w:rFonts w:hint="eastAsia" w:ascii="宋体" w:hAnsi="宋体" w:cs="宋体"/>
          <w:color w:val="auto"/>
          <w:szCs w:val="21"/>
          <w:highlight w:val="none"/>
        </w:rPr>
        <w:t xml:space="preserve"> 在政府采购活动中，投标人提供的货物、工程或者服务符合下列情形的，享受本办法规定的中小企业扶持政策：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（1）在货物采购项目中，货物由中小企业制造，即货物由中小企业生产且使用该中小企业商号或者注册商标；</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（2）在工程采购项目中，工程由中小企业承建，即工程施工单位为中小企业；</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）在服务采购项目中，服务由中小企业承接，即提供服务的人员为中小企业依照《中华人民共和国劳动合同法》订立劳动合同的从业人员。</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在货物采购项目中，投标人提供的货物既有中小企业制造货物，也有大型企业制造货物的，不享受本办法规定的中小企业扶持政策。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33.3</w:t>
      </w:r>
      <w:r>
        <w:rPr>
          <w:rFonts w:hint="eastAsia" w:ascii="宋体" w:hAnsi="宋体" w:cs="宋体"/>
          <w:color w:val="auto"/>
          <w:szCs w:val="21"/>
          <w:highlight w:val="none"/>
        </w:rPr>
        <w:t xml:space="preserve">  中小企业参加政府采购活动，应当出具《中小企业声明函》（格式见附件），否则不得享受相关中小企业扶持政策。</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33.4</w:t>
      </w:r>
      <w:r>
        <w:rPr>
          <w:rFonts w:hint="eastAsia" w:ascii="宋体" w:hAnsi="宋体" w:cs="宋体"/>
          <w:color w:val="auto"/>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auto"/>
          <w:szCs w:val="21"/>
          <w:highlight w:val="none"/>
        </w:rPr>
        <w:t>2</w:t>
      </w:r>
      <w:r>
        <w:rPr>
          <w:rFonts w:hint="eastAsia" w:ascii="宋体" w:hAnsi="宋体" w:cs="宋体"/>
          <w:color w:val="auto"/>
          <w:szCs w:val="21"/>
          <w:highlight w:val="none"/>
        </w:rPr>
        <w:t>0%（工程项目为3%—5%）的扣除，用扣除后的价格参加评审。</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s="宋体"/>
          <w:color w:val="auto"/>
          <w:szCs w:val="21"/>
          <w:highlight w:val="none"/>
        </w:rPr>
        <w:t>6</w:t>
      </w:r>
      <w:r>
        <w:rPr>
          <w:rFonts w:hint="eastAsia" w:ascii="宋体" w:hAnsi="宋体" w:cs="宋体"/>
          <w:color w:val="auto"/>
          <w:szCs w:val="21"/>
          <w:highlight w:val="none"/>
        </w:rPr>
        <w:t>%（工程项目为1%—2%）的扣除，用扣除后的价格参加评审。组成联合体或者接受分包的小微企业与联合体内其他企业、分包企业之间存在直接控股、管理关系的，不享受价格扣除优惠政策。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价格扣除比例对小型企业和微型企业同等对待，不作区分。具体采购项目的价格扣除比例，由采购人根据采购标的相关行业平均利润率、市场竞争状况等，在招标文件内确定。</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33.5</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享受扶持政策获得政府采购合同的，小微企业不得将合同分包给大中型企业，中型企业不得将合同分包给大型企业。</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33.6 </w:t>
      </w:r>
      <w:r>
        <w:rPr>
          <w:rFonts w:ascii="宋体" w:hAnsi="宋体" w:cs="宋体"/>
          <w:b/>
          <w:bCs/>
          <w:color w:val="auto"/>
          <w:szCs w:val="21"/>
          <w:highlight w:val="none"/>
        </w:rPr>
        <w:t xml:space="preserve"> </w:t>
      </w:r>
      <w:r>
        <w:rPr>
          <w:rFonts w:hint="eastAsia" w:ascii="宋体" w:hAnsi="宋体" w:cs="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33.7</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33.8</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33.9</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33.10</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进口产品采购需符合“财政部关于印发《政府采购进口产品管理办法》的通知（财库[2007]119号）”第四、八、九、十、十一条的规定。</w:t>
      </w:r>
    </w:p>
    <w:p>
      <w:pPr>
        <w:spacing w:line="400" w:lineRule="exact"/>
        <w:rPr>
          <w:rFonts w:ascii="宋体" w:hAnsi="宋体" w:cs="宋体"/>
          <w:b/>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34.</w:t>
      </w:r>
      <w:r>
        <w:rPr>
          <w:rFonts w:ascii="宋体" w:hAnsi="宋体" w:cs="宋体"/>
          <w:b/>
          <w:color w:val="auto"/>
          <w:szCs w:val="21"/>
          <w:highlight w:val="none"/>
        </w:rPr>
        <w:t xml:space="preserve"> </w:t>
      </w:r>
      <w:r>
        <w:rPr>
          <w:rFonts w:hint="eastAsia" w:ascii="宋体" w:hAnsi="宋体" w:cs="宋体"/>
          <w:b/>
          <w:color w:val="auto"/>
          <w:szCs w:val="21"/>
          <w:highlight w:val="none"/>
        </w:rPr>
        <w:t>招标文件对投标人质疑的相关规定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34.1</w:t>
      </w:r>
      <w:r>
        <w:rPr>
          <w:rFonts w:ascii="宋体" w:hAnsi="宋体" w:cs="宋体"/>
          <w:b/>
          <w:color w:val="auto"/>
          <w:szCs w:val="21"/>
          <w:highlight w:val="none"/>
        </w:rPr>
        <w:t xml:space="preserve">  </w:t>
      </w:r>
      <w:r>
        <w:rPr>
          <w:rFonts w:hint="eastAsia" w:ascii="宋体" w:hAnsi="宋体" w:cs="宋体"/>
          <w:color w:val="auto"/>
          <w:kern w:val="0"/>
          <w:szCs w:val="21"/>
          <w:highlight w:val="none"/>
        </w:rPr>
        <w:t>供应商应当自知道或者应当知道其合法权益受到损害之日起7个工作日内提出质疑。</w:t>
      </w:r>
      <w:r>
        <w:rPr>
          <w:rFonts w:hint="eastAsia" w:ascii="宋体" w:hAnsi="宋体" w:cs="宋体"/>
          <w:color w:val="auto"/>
          <w:szCs w:val="21"/>
          <w:highlight w:val="none"/>
        </w:rPr>
        <w:t>提出质疑的有效期计算，依照下列规定：</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（1）对采购信息公告提出质疑的，应当在采购信息公告发布之日起7个工作日内提出。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（2）对招标文件提出质疑的，应当在获取招标文件或者招标文件公告期限届满之日起7个工作日内提出。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（3）对采购过程提出质疑的，应当在招标文件接收、开标、评标工作、宣布评标结果等环节结束之日起7个工作日内提出。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对采购结果提出质疑的，应当在采购结果公告期限届满或书面通知（书面通知可以采用电子邮件、传真方式）采购结果之日起7个工作日内提出，未按规定在发布采购结果公告同时书面通知采购结果的，以供应商实际知道采购结果之日起计算。</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34.2</w:t>
      </w:r>
      <w:r>
        <w:rPr>
          <w:rFonts w:hint="eastAsia" w:ascii="宋体" w:hAnsi="宋体" w:cs="宋体"/>
          <w:color w:val="auto"/>
          <w:szCs w:val="21"/>
          <w:highlight w:val="none"/>
        </w:rPr>
        <w:t xml:space="preserve">  对采购信息公告内容提出质疑的，不限制质疑主体。未依法获取招标文件的，不得就招标文件提出质疑；未提交投标文件的供应商，视为与采购结果没有利害关系，不得就采购响应截止时间后的采购过程、采购结果提出质疑。</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34.3</w:t>
      </w:r>
      <w:r>
        <w:rPr>
          <w:rFonts w:hint="eastAsia" w:ascii="宋体" w:hAnsi="宋体" w:cs="宋体"/>
          <w:color w:val="auto"/>
          <w:szCs w:val="21"/>
          <w:highlight w:val="none"/>
        </w:rPr>
        <w:t xml:space="preserve">  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34.4</w:t>
      </w:r>
      <w:r>
        <w:rPr>
          <w:rFonts w:hint="eastAsia" w:ascii="宋体" w:hAnsi="宋体" w:cs="宋体"/>
          <w:color w:val="auto"/>
          <w:szCs w:val="21"/>
          <w:highlight w:val="none"/>
        </w:rPr>
        <w:t xml:space="preserve">  接收书面质疑函的方式：质疑人可通过送达、邮寄、传真、邮件的形式提交书面质疑函，通过邮寄方式提交的书面质疑函以被质疑人签收邮件之日为收到书面质疑文件之日，通过传真或邮件方式提交的书面质疑函以被质疑人收到书面质疑文件原件之日为收到书面质疑文件之日。采购人和采购代理机构接收质疑函的联系方式：见本招标文件第一章有关联系方式。</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34.5</w:t>
      </w:r>
      <w:r>
        <w:rPr>
          <w:rFonts w:ascii="宋体" w:hAnsi="宋体" w:cs="宋体"/>
          <w:color w:val="auto"/>
          <w:szCs w:val="21"/>
          <w:highlight w:val="none"/>
        </w:rPr>
        <w:t xml:space="preserve"> </w:t>
      </w:r>
      <w:r>
        <w:rPr>
          <w:rFonts w:hint="eastAsia" w:ascii="宋体" w:hAnsi="宋体" w:cs="宋体"/>
          <w:color w:val="auto"/>
          <w:szCs w:val="21"/>
          <w:highlight w:val="none"/>
        </w:rPr>
        <w:t xml:space="preserve"> 供应商对采购人或采购代理机构的质疑答复不满意或者采购人或采购代理机构未在规定时间内作出答复的，可以在答复期满后十五个工作日内向同级采购监管部门投诉。</w:t>
      </w:r>
    </w:p>
    <w:p>
      <w:pPr>
        <w:spacing w:line="440" w:lineRule="exact"/>
        <w:ind w:firstLine="106" w:firstLineChars="50"/>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b/>
          <w:color w:val="auto"/>
          <w:szCs w:val="21"/>
          <w:highlight w:val="none"/>
        </w:rPr>
        <w:t>35.</w:t>
      </w:r>
      <w:r>
        <w:rPr>
          <w:rFonts w:ascii="宋体" w:hAnsi="宋体" w:cs="宋体"/>
          <w:b/>
          <w:color w:val="auto"/>
          <w:szCs w:val="21"/>
          <w:highlight w:val="none"/>
        </w:rPr>
        <w:t xml:space="preserve"> </w:t>
      </w:r>
      <w:r>
        <w:rPr>
          <w:rFonts w:hint="eastAsia" w:ascii="宋体" w:hAnsi="宋体" w:cs="宋体"/>
          <w:b/>
          <w:color w:val="auto"/>
          <w:szCs w:val="21"/>
          <w:highlight w:val="none"/>
        </w:rPr>
        <w:t>联合体规定</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35.1</w:t>
      </w:r>
      <w:r>
        <w:rPr>
          <w:rFonts w:hint="eastAsia" w:ascii="宋体" w:hAnsi="宋体" w:cs="宋体"/>
          <w:color w:val="auto"/>
          <w:szCs w:val="21"/>
          <w:highlight w:val="none"/>
        </w:rPr>
        <w:t xml:space="preserve">  两个及以上的自然人、法人或者其他组织可以组成一个联合体，以一个供应商的身份共同参加政府采购。</w:t>
      </w:r>
      <w:r>
        <w:rPr>
          <w:rFonts w:hint="eastAsia" w:ascii="宋体" w:hAnsi="宋体" w:cs="宋体"/>
          <w:b/>
          <w:color w:val="auto"/>
          <w:szCs w:val="21"/>
          <w:highlight w:val="none"/>
        </w:rPr>
        <w:t>以联合体形式进行政府采购的，参加联合体的供应商均应当具备本法第二十二条规定的条件，并应当向采购人提交联合协议，载明联合体各方承担的工作和义务。</w:t>
      </w:r>
      <w:r>
        <w:rPr>
          <w:rFonts w:hint="eastAsia" w:ascii="宋体" w:hAnsi="宋体" w:cs="宋体"/>
          <w:color w:val="auto"/>
          <w:szCs w:val="21"/>
          <w:highlight w:val="none"/>
        </w:rPr>
        <w:t>联合体各方应当共同与采购人签订采购合同，就采购合同约定的事项对采购人承担连带责任。本项目接受联合体投标。组成联合体的成员数量不得超过2个。</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35.2</w:t>
      </w:r>
      <w:r>
        <w:rPr>
          <w:rFonts w:hint="eastAsia" w:ascii="宋体" w:hAnsi="宋体" w:cs="宋体"/>
          <w:color w:val="auto"/>
          <w:szCs w:val="21"/>
          <w:highlight w:val="none"/>
        </w:rPr>
        <w:t xml:space="preserve">  联合体中有同类资质的投标人按照联合体分工承担相同工作的，按照资质等级较低的投标人认定资质等级。</w:t>
      </w:r>
    </w:p>
    <w:p>
      <w:pPr>
        <w:spacing w:line="440" w:lineRule="exact"/>
        <w:rPr>
          <w:rFonts w:ascii="宋体" w:hAnsi="宋体" w:cs="宋体"/>
          <w:color w:val="auto"/>
          <w:szCs w:val="21"/>
          <w:highlight w:val="none"/>
        </w:rPr>
      </w:pPr>
      <w:r>
        <w:rPr>
          <w:rFonts w:hint="eastAsia" w:ascii="宋体" w:hAnsi="宋体" w:cs="宋体"/>
          <w:b/>
          <w:color w:val="auto"/>
          <w:szCs w:val="21"/>
          <w:highlight w:val="none"/>
        </w:rPr>
        <w:t xml:space="preserve">35.3 </w:t>
      </w:r>
      <w:r>
        <w:rPr>
          <w:rFonts w:hint="eastAsia" w:ascii="宋体" w:hAnsi="宋体" w:cs="宋体"/>
          <w:color w:val="auto"/>
          <w:szCs w:val="21"/>
          <w:highlight w:val="none"/>
        </w:rPr>
        <w:t xml:space="preserve"> </w:t>
      </w:r>
      <w:r>
        <w:rPr>
          <w:rFonts w:hint="eastAsia" w:ascii="宋体" w:hAnsi="宋体" w:cs="宋体"/>
          <w:b/>
          <w:color w:val="auto"/>
          <w:szCs w:val="21"/>
          <w:highlight w:val="none"/>
        </w:rPr>
        <w:t>以联合体形式参加政府采购活动的，联合体各方不得再单独参加或者与其他投标人另外组成联合体参加同一标项号的政府采购活动。</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5</w:t>
      </w:r>
      <w:r>
        <w:rPr>
          <w:rFonts w:hint="eastAsia" w:ascii="宋体" w:hAnsi="宋体" w:cs="宋体"/>
          <w:b/>
          <w:color w:val="auto"/>
          <w:szCs w:val="21"/>
          <w:highlight w:val="none"/>
        </w:rPr>
        <w:t>.4 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spacing w:line="440" w:lineRule="exact"/>
        <w:rPr>
          <w:rFonts w:ascii="宋体" w:hAnsi="宋体" w:cs="宋体"/>
          <w:b/>
          <w:color w:val="auto"/>
          <w:szCs w:val="21"/>
          <w:highlight w:val="none"/>
        </w:rPr>
      </w:pPr>
    </w:p>
    <w:p>
      <w:pPr>
        <w:spacing w:line="440" w:lineRule="exact"/>
        <w:rPr>
          <w:color w:val="auto"/>
          <w:highlight w:val="none"/>
        </w:rPr>
        <w:sectPr>
          <w:headerReference r:id="rId9" w:type="default"/>
          <w:footerReference r:id="rId10" w:type="default"/>
          <w:pgSz w:w="11907" w:h="16840"/>
          <w:pgMar w:top="1276" w:right="1701" w:bottom="1429" w:left="1701" w:header="720" w:footer="720" w:gutter="0"/>
          <w:cols w:space="0" w:num="1"/>
          <w:docGrid w:type="linesAndChars" w:linePitch="293" w:charSpace="537"/>
        </w:sectPr>
      </w:pPr>
    </w:p>
    <w:p>
      <w:pPr>
        <w:spacing w:line="400" w:lineRule="exact"/>
        <w:ind w:firstLine="102" w:firstLineChars="49"/>
        <w:rPr>
          <w:rFonts w:ascii="宋体" w:hAnsi="宋体" w:cs="宋体"/>
          <w:color w:val="auto"/>
          <w:kern w:val="0"/>
          <w:szCs w:val="21"/>
          <w:highlight w:val="none"/>
        </w:rPr>
      </w:pPr>
    </w:p>
    <w:p>
      <w:pPr>
        <w:rPr>
          <w:color w:val="auto"/>
          <w:highlight w:val="none"/>
        </w:rPr>
      </w:pPr>
    </w:p>
    <w:bookmarkEnd w:id="43"/>
    <w:bookmarkEnd w:id="44"/>
    <w:bookmarkEnd w:id="45"/>
    <w:bookmarkEnd w:id="46"/>
    <w:bookmarkEnd w:id="47"/>
    <w:bookmarkEnd w:id="48"/>
    <w:bookmarkEnd w:id="49"/>
    <w:bookmarkEnd w:id="50"/>
    <w:p>
      <w:pPr>
        <w:spacing w:line="440" w:lineRule="exact"/>
        <w:ind w:firstLine="111" w:firstLineChars="50"/>
        <w:rPr>
          <w:rFonts w:ascii="宋体" w:hAnsi="宋体" w:cs="宋体"/>
          <w:color w:val="auto"/>
          <w:sz w:val="22"/>
          <w:szCs w:val="22"/>
          <w:highlight w:val="none"/>
        </w:rPr>
        <w:sectPr>
          <w:type w:val="continuous"/>
          <w:pgSz w:w="11907" w:h="16840"/>
          <w:pgMar w:top="1276" w:right="1701" w:bottom="1429" w:left="1701" w:header="720" w:footer="720" w:gutter="0"/>
          <w:cols w:space="0" w:num="1"/>
          <w:docGrid w:type="linesAndChars" w:linePitch="293" w:charSpace="537"/>
        </w:sectPr>
      </w:pPr>
    </w:p>
    <w:p>
      <w:pPr>
        <w:pStyle w:val="2"/>
        <w:spacing w:beforeLines="0" w:afterLines="0" w:line="360" w:lineRule="auto"/>
        <w:rPr>
          <w:rFonts w:ascii="宋体" w:hAnsi="宋体" w:cs="宋体"/>
          <w:color w:val="auto"/>
          <w:sz w:val="32"/>
          <w:szCs w:val="32"/>
          <w:highlight w:val="none"/>
        </w:rPr>
      </w:pPr>
      <w:bookmarkStart w:id="73" w:name="_Toc298230959"/>
      <w:bookmarkStart w:id="74" w:name="_Toc520902405"/>
      <w:r>
        <w:rPr>
          <w:rFonts w:hint="eastAsia" w:ascii="宋体" w:hAnsi="宋体" w:cs="宋体"/>
          <w:color w:val="auto"/>
          <w:sz w:val="32"/>
          <w:szCs w:val="32"/>
          <w:highlight w:val="none"/>
        </w:rPr>
        <w:t>第五部分  评标办法</w:t>
      </w:r>
      <w:bookmarkEnd w:id="73"/>
      <w:bookmarkEnd w:id="74"/>
    </w:p>
    <w:p>
      <w:pPr>
        <w:tabs>
          <w:tab w:val="left" w:pos="0"/>
          <w:tab w:val="left" w:pos="723"/>
        </w:tabs>
        <w:spacing w:line="360" w:lineRule="exact"/>
        <w:rPr>
          <w:rFonts w:ascii="宋体" w:hAnsi="宋体" w:cs="宋体"/>
          <w:b/>
          <w:color w:val="auto"/>
          <w:szCs w:val="21"/>
          <w:highlight w:val="none"/>
        </w:rPr>
      </w:pPr>
      <w:r>
        <w:rPr>
          <w:rFonts w:hint="eastAsia" w:ascii="宋体" w:hAnsi="宋体" w:cs="宋体"/>
          <w:b/>
          <w:color w:val="auto"/>
          <w:szCs w:val="21"/>
          <w:highlight w:val="none"/>
        </w:rPr>
        <w:t>一、总则：</w:t>
      </w:r>
    </w:p>
    <w:p>
      <w:pPr>
        <w:tabs>
          <w:tab w:val="left" w:pos="0"/>
          <w:tab w:val="left" w:pos="723"/>
        </w:tabs>
        <w:spacing w:line="360" w:lineRule="exact"/>
        <w:rPr>
          <w:rFonts w:ascii="宋体" w:hAnsi="宋体" w:cs="宋体"/>
          <w:b/>
          <w:color w:val="auto"/>
          <w:szCs w:val="21"/>
          <w:highlight w:val="none"/>
        </w:rPr>
      </w:pP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本评标标准是对“投标人须知”相关条款的具体表述或补充，如有矛盾，应以本办法为准。</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szCs w:val="21"/>
          <w:highlight w:val="none"/>
        </w:rPr>
        <w:t>本次采购为非专门面向中小企业，本次评标将对《中小企业声明函》满足招标文件要求的小微企业的价格按本办法中规定的比例进行扣除，用扣除后的价格参与评审。价格扣除只用于评审过程，如中标，中标价格仍按照其投标价格进行公示。</w:t>
      </w:r>
    </w:p>
    <w:p>
      <w:pPr>
        <w:tabs>
          <w:tab w:val="left" w:pos="0"/>
          <w:tab w:val="left" w:pos="723"/>
        </w:tabs>
        <w:spacing w:line="360" w:lineRule="exact"/>
        <w:rPr>
          <w:rFonts w:ascii="宋体" w:hAnsi="宋体" w:cs="宋体"/>
          <w:b/>
          <w:color w:val="auto"/>
          <w:szCs w:val="21"/>
          <w:highlight w:val="none"/>
        </w:rPr>
      </w:pPr>
      <w:r>
        <w:rPr>
          <w:rFonts w:hint="eastAsia" w:ascii="宋体" w:hAnsi="宋体" w:cs="宋体"/>
          <w:b/>
          <w:color w:val="auto"/>
          <w:szCs w:val="21"/>
          <w:highlight w:val="none"/>
        </w:rPr>
        <w:t>二、评标组织</w:t>
      </w:r>
    </w:p>
    <w:p>
      <w:pPr>
        <w:spacing w:line="360" w:lineRule="auto"/>
        <w:rPr>
          <w:rFonts w:ascii="宋体" w:hAnsi="宋体" w:cs="宋体"/>
          <w:color w:val="auto"/>
          <w:szCs w:val="21"/>
          <w:highlight w:val="none"/>
        </w:rPr>
      </w:pP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评标委员会：采购人和采购代理机构根据采购项目的内容和特点，按国家相关规定组建评标委员会。评标委员会由采购人代表和政府采购云平台随机抽取的技术、经济方面专家等人员组成。</w:t>
      </w:r>
    </w:p>
    <w:p>
      <w:pPr>
        <w:widowControl/>
        <w:tabs>
          <w:tab w:val="left" w:pos="0"/>
          <w:tab w:val="left" w:pos="723"/>
        </w:tabs>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三、评标程序</w:t>
      </w:r>
    </w:p>
    <w:p>
      <w:pPr>
        <w:widowControl/>
        <w:tabs>
          <w:tab w:val="left" w:pos="0"/>
          <w:tab w:val="left" w:pos="723"/>
        </w:tabs>
        <w:spacing w:line="360" w:lineRule="exact"/>
        <w:jc w:val="left"/>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1．资格审查</w:t>
      </w:r>
      <w:r>
        <w:rPr>
          <w:rFonts w:hint="eastAsia" w:ascii="宋体" w:hAnsi="宋体" w:cs="宋体"/>
          <w:color w:val="auto"/>
          <w:szCs w:val="21"/>
          <w:highlight w:val="none"/>
        </w:rPr>
        <w:t>：由采购人或代理机构对投标人的资格进行审查。</w:t>
      </w:r>
    </w:p>
    <w:tbl>
      <w:tblPr>
        <w:tblStyle w:val="37"/>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642"/>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4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审查类别</w:t>
            </w:r>
          </w:p>
        </w:tc>
        <w:tc>
          <w:tcPr>
            <w:tcW w:w="3642" w:type="dxa"/>
            <w:tcBorders>
              <w:right w:val="single" w:color="auto" w:sz="8"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审查项目</w:t>
            </w:r>
          </w:p>
        </w:tc>
        <w:tc>
          <w:tcPr>
            <w:tcW w:w="4715" w:type="dxa"/>
            <w:tcBorders>
              <w:left w:val="single" w:color="auto" w:sz="8"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资格条件</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审查</w:t>
            </w:r>
          </w:p>
        </w:tc>
        <w:tc>
          <w:tcPr>
            <w:tcW w:w="3642" w:type="dxa"/>
            <w:tcBorders>
              <w:right w:val="single" w:color="auto" w:sz="8"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符合《中华人民共和国政府采购法》第二十二条的要求：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1.1具有独立承担民事责任的能力；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1.2具有良好的商业信誉和健全的财务会计制度；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1.3具有履行合同所必需的设备和专业技术能力；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1.4有依法缴纳税收和社会保障资金的良好记录；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1.5参加政府采购活动前三年内，在经营活动中没有重大违法记录；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1.6法律、行政法规规定的其他条件。</w:t>
            </w:r>
          </w:p>
        </w:tc>
        <w:tc>
          <w:tcPr>
            <w:tcW w:w="4715" w:type="dxa"/>
            <w:tcBorders>
              <w:left w:val="single" w:color="auto" w:sz="8"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(1)资格条件自查表；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(2)投标声明书；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(3)有效的“多证合一”的营业执照（未办理多证合一的提供营业执照、税务登记证、组织机构代码证）副本复印件。投标人如果有名称变更的，应提供由行政主管部门出具的变更证明文件；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 关于资格的承诺函；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 投标人的特定条件的证明文件（如有）。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vAlign w:val="center"/>
          </w:tcPr>
          <w:p>
            <w:pPr>
              <w:spacing w:line="360" w:lineRule="auto"/>
              <w:jc w:val="center"/>
              <w:rPr>
                <w:rFonts w:ascii="宋体" w:hAnsi="宋体" w:cs="宋体"/>
                <w:color w:val="auto"/>
                <w:szCs w:val="21"/>
                <w:highlight w:val="none"/>
              </w:rPr>
            </w:pPr>
          </w:p>
        </w:tc>
        <w:tc>
          <w:tcPr>
            <w:tcW w:w="3642" w:type="dxa"/>
            <w:tcBorders>
              <w:right w:val="single" w:color="auto" w:sz="8" w:space="0"/>
            </w:tcBorders>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未被“信用中国”（www.creditchina.gov.cn)、中国政府采购网（www.ccgp.gov.cn）列入失信被执行人、重大税收违法案件当事人名单、政府采购严重违法失信行为记录名单。</w:t>
            </w:r>
          </w:p>
        </w:tc>
        <w:tc>
          <w:tcPr>
            <w:tcW w:w="4715" w:type="dxa"/>
            <w:tcBorders>
              <w:left w:val="single" w:color="auto" w:sz="8"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根据财库【2016】125号文要求，采购人或采购代理机构对投标人的信用记录进行查询并甄别：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（1）信用信息查询的截止时点：投标截止时间；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（2）查询渠道：“信用中国”（www.creditchina.gov.cn)、中国政府采购网（www.ccgp.gov.cn）；</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（3）信用信息查询记录和证据留存具体方式：打印查询网页并与其他采购文件一并保存；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（4）信用信息的使用规则：投标人存在不良信用记录的，其投标将被作为无效投标处理。不良信用记录指：被列入失信被执行人、重大税收违法案件当事人名单、政府采购严重违法失信行为记录名单。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若在开标当天因不可抗力事件导致无法查询且一时无法恢复查询的，可在</w:t>
            </w:r>
            <w:r>
              <w:rPr>
                <w:rFonts w:hint="eastAsia" w:ascii="宋体" w:hAnsi="宋体" w:cs="宋体"/>
                <w:bCs/>
                <w:color w:val="auto"/>
                <w:szCs w:val="21"/>
                <w:highlight w:val="none"/>
              </w:rPr>
              <w:t>发布中标结果公告之前</w:t>
            </w:r>
            <w:r>
              <w:rPr>
                <w:rFonts w:hint="eastAsia" w:ascii="宋体" w:hAnsi="宋体" w:cs="宋体"/>
                <w:color w:val="auto"/>
                <w:szCs w:val="21"/>
                <w:highlight w:val="none"/>
              </w:rPr>
              <w:t>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44" w:type="dxa"/>
            <w:vMerge w:val="continue"/>
            <w:vAlign w:val="center"/>
          </w:tcPr>
          <w:p>
            <w:pPr>
              <w:spacing w:line="360" w:lineRule="auto"/>
              <w:rPr>
                <w:rFonts w:ascii="宋体" w:hAnsi="宋体" w:cs="宋体"/>
                <w:color w:val="auto"/>
                <w:szCs w:val="21"/>
                <w:highlight w:val="none"/>
              </w:rPr>
            </w:pPr>
          </w:p>
        </w:tc>
        <w:tc>
          <w:tcPr>
            <w:tcW w:w="3642" w:type="dxa"/>
            <w:tcBorders>
              <w:right w:val="single" w:color="auto" w:sz="8" w:space="0"/>
            </w:tcBorders>
            <w:vAlign w:val="center"/>
          </w:tcPr>
          <w:p>
            <w:pPr>
              <w:spacing w:line="360" w:lineRule="auto"/>
              <w:ind w:left="34"/>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w:t>
            </w:r>
          </w:p>
        </w:tc>
        <w:tc>
          <w:tcPr>
            <w:tcW w:w="4715" w:type="dxa"/>
            <w:tcBorders>
              <w:left w:val="single" w:color="auto" w:sz="8"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44" w:type="dxa"/>
            <w:vMerge w:val="continue"/>
            <w:vAlign w:val="center"/>
          </w:tcPr>
          <w:p>
            <w:pPr>
              <w:spacing w:line="360" w:lineRule="auto"/>
              <w:rPr>
                <w:rFonts w:ascii="宋体" w:hAnsi="宋体" w:cs="宋体"/>
                <w:color w:val="auto"/>
                <w:szCs w:val="21"/>
                <w:highlight w:val="none"/>
              </w:rPr>
            </w:pPr>
          </w:p>
        </w:tc>
        <w:tc>
          <w:tcPr>
            <w:tcW w:w="3642" w:type="dxa"/>
            <w:tcBorders>
              <w:right w:val="single" w:color="auto" w:sz="8"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本项目的特定资格要求：</w:t>
            </w:r>
          </w:p>
        </w:tc>
        <w:tc>
          <w:tcPr>
            <w:tcW w:w="4715" w:type="dxa"/>
            <w:tcBorders>
              <w:left w:val="single" w:color="auto" w:sz="8"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44" w:type="dxa"/>
            <w:vMerge w:val="continue"/>
            <w:vAlign w:val="center"/>
          </w:tcPr>
          <w:p>
            <w:pPr>
              <w:spacing w:line="360" w:lineRule="auto"/>
              <w:rPr>
                <w:rFonts w:ascii="宋体" w:hAnsi="宋体" w:cs="宋体"/>
                <w:color w:val="auto"/>
                <w:szCs w:val="21"/>
                <w:highlight w:val="none"/>
              </w:rPr>
            </w:pPr>
          </w:p>
        </w:tc>
        <w:tc>
          <w:tcPr>
            <w:tcW w:w="3642" w:type="dxa"/>
            <w:tcBorders>
              <w:bottom w:val="single" w:color="auto" w:sz="8" w:space="0"/>
              <w:right w:val="single" w:color="auto" w:sz="8" w:space="0"/>
            </w:tcBorders>
            <w:vAlign w:val="center"/>
          </w:tcPr>
          <w:p>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本项目接受联合体投标。</w:t>
            </w:r>
          </w:p>
        </w:tc>
        <w:tc>
          <w:tcPr>
            <w:tcW w:w="4715" w:type="dxa"/>
            <w:tcBorders>
              <w:left w:val="single" w:color="auto" w:sz="8" w:space="0"/>
              <w:bottom w:val="single" w:color="auto" w:sz="8"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若为联合体投标时须提供联合体协议书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686" w:type="dxa"/>
            <w:gridSpan w:val="2"/>
            <w:tcBorders>
              <w:right w:val="single" w:color="auto" w:sz="8"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资格审查结论</w:t>
            </w:r>
          </w:p>
        </w:tc>
        <w:tc>
          <w:tcPr>
            <w:tcW w:w="4715" w:type="dxa"/>
            <w:tcBorders>
              <w:top w:val="single" w:color="auto" w:sz="8" w:space="0"/>
              <w:left w:val="single" w:color="auto" w:sz="8" w:space="0"/>
            </w:tcBorders>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Cs w:val="21"/>
          <w:highlight w:val="none"/>
        </w:rPr>
      </w:pPr>
    </w:p>
    <w:p>
      <w:pPr>
        <w:spacing w:line="360" w:lineRule="auto"/>
        <w:rPr>
          <w:rFonts w:ascii="宋体" w:hAnsi="宋体" w:cs="宋体"/>
          <w:color w:val="auto"/>
          <w:kern w:val="0"/>
          <w:szCs w:val="21"/>
          <w:highlight w:val="none"/>
        </w:rPr>
      </w:pPr>
      <w:r>
        <w:rPr>
          <w:rFonts w:hint="eastAsia" w:ascii="宋体" w:hAnsi="宋体" w:cs="宋体"/>
          <w:b/>
          <w:color w:val="auto"/>
          <w:szCs w:val="21"/>
          <w:highlight w:val="none"/>
        </w:rPr>
        <w:t>2．符合性检查</w:t>
      </w:r>
      <w:r>
        <w:rPr>
          <w:rFonts w:hint="eastAsia" w:ascii="宋体" w:hAnsi="宋体" w:cs="宋体"/>
          <w:color w:val="auto"/>
          <w:szCs w:val="21"/>
          <w:highlight w:val="none"/>
        </w:rPr>
        <w:t>：</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2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725"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397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投标有效期：符合第三部分“投标资料表”12.1条的要求。</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单位负责人授权书或单位负责人身份证明。</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（1）投标文件由法定代表人签字的，提供“单位负责人身份证明”。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（2）投标文件由授权代表签字的，提供“单位负责人授权书”。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符合第三章“投标须知”第15条的要求。</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标项以赠送方式投标的，对一个标项提供两个投标方案的。</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供应商不得在投标活动中提供任何虚假材料或从事其他违法活动的。</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违反公平竞争的原则或恶意串通或妨碍其他投标人的竞争行为或损害采购人或者其他投标人的合法权益的；</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不允许含有采购人不能接受的附加条件的；</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不允许出现与招标文件有重大偏离的投标文件。</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评标委员会经过审查，认定供应商虚假应标、串通投标的，有下列情形之一的，视为供应商串通投标：</w:t>
            </w:r>
          </w:p>
          <w:p>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符合法律、法规和招标文件中规定的其他实质性要求（实质性要求招标文件中“</w:t>
            </w:r>
            <w:r>
              <w:rPr>
                <w:rFonts w:hint="eastAsia" w:ascii="宋体" w:hAnsi="宋体" w:cs="宋体"/>
                <w:b/>
                <w:color w:val="auto"/>
                <w:szCs w:val="21"/>
                <w:highlight w:val="none"/>
              </w:rPr>
              <w:t>★</w:t>
            </w:r>
            <w:r>
              <w:rPr>
                <w:rFonts w:hint="eastAsia" w:ascii="宋体" w:hAnsi="宋体" w:cs="宋体"/>
                <w:color w:val="auto"/>
                <w:szCs w:val="21"/>
                <w:highlight w:val="none"/>
              </w:rPr>
              <w:t>”标记）</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4725"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本项目公开招标设有最高限价</w:t>
            </w:r>
            <w:r>
              <w:rPr>
                <w:rFonts w:hint="eastAsia" w:ascii="宋体" w:hAnsi="宋体" w:cs="宋体"/>
                <w:b/>
                <w:color w:val="auto"/>
                <w:szCs w:val="21"/>
                <w:highlight w:val="none"/>
                <w:u w:val="single"/>
                <w:lang w:eastAsia="zh-CN"/>
              </w:rPr>
              <w:t>1480000元</w:t>
            </w:r>
            <w:r>
              <w:rPr>
                <w:rFonts w:hint="eastAsia" w:ascii="宋体" w:hAnsi="宋体" w:cs="宋体"/>
                <w:b/>
                <w:bCs/>
                <w:color w:val="auto"/>
                <w:highlight w:val="none"/>
              </w:rPr>
              <w:t>。</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4725"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投标文件报价出现前后不一致，经按招标文件规定修正后，投标人对修正后的报价不确认的；</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472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970"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45" w:type="dxa"/>
            <w:gridSpan w:val="2"/>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符合性审查结论</w:t>
            </w:r>
          </w:p>
        </w:tc>
        <w:tc>
          <w:tcPr>
            <w:tcW w:w="3970" w:type="dxa"/>
            <w:vAlign w:val="center"/>
          </w:tcPr>
          <w:p>
            <w:pPr>
              <w:spacing w:line="360" w:lineRule="exact"/>
              <w:rPr>
                <w:rFonts w:ascii="宋体" w:hAnsi="宋体" w:cs="宋体"/>
                <w:color w:val="auto"/>
                <w:szCs w:val="21"/>
                <w:highlight w:val="none"/>
              </w:rPr>
            </w:pPr>
          </w:p>
        </w:tc>
      </w:tr>
    </w:tbl>
    <w:p>
      <w:pPr>
        <w:pStyle w:val="16"/>
        <w:rPr>
          <w:rFonts w:ascii="宋体" w:hAnsi="宋体" w:cs="宋体"/>
          <w:b/>
          <w:color w:val="auto"/>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4．最终得分及排序：评标委员会成员独立按照评分标准（兼评委打分表）规定的内容和分值设置，对各投标文件分别打分汇总后计算平均分（小数点后保留两位数），即为各投标人的综合得分。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评标结果按评审后得分由高到低顺序排列。得分相同的，按投标报价由低到高顺序排列。得分且投标报价相同的并列，按推荐中标候选人原则推荐。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确定中标人：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color w:val="auto"/>
          <w:szCs w:val="21"/>
          <w:highlight w:val="none"/>
        </w:rPr>
      </w:pPr>
    </w:p>
    <w:p>
      <w:pPr>
        <w:widowControl/>
        <w:tabs>
          <w:tab w:val="left" w:pos="0"/>
          <w:tab w:val="left" w:pos="723"/>
        </w:tabs>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四、澄清问题的形式</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4" w:firstLineChars="200"/>
        <w:rPr>
          <w:rFonts w:ascii="宋体" w:hAnsi="宋体" w:cs="宋体"/>
          <w:color w:val="auto"/>
          <w:szCs w:val="21"/>
          <w:highlight w:val="none"/>
        </w:rPr>
      </w:pPr>
    </w:p>
    <w:p>
      <w:pPr>
        <w:widowControl/>
        <w:tabs>
          <w:tab w:val="left" w:pos="0"/>
          <w:tab w:val="left" w:pos="723"/>
        </w:tabs>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五、错误修正</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投标文件报价出现前后不一致的，按照下列规定修正：</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投标文件中开标一览表内容与投标文件中相应内容不一致的，以开标一览表为准；</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大写金额和小写金额不一致的，以大写金额为准；</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 xml:space="preserve"> </w:t>
      </w:r>
      <w:r>
        <w:rPr>
          <w:rFonts w:hint="eastAsia" w:ascii="宋体" w:hAnsi="宋体" w:cs="宋体"/>
          <w:color w:val="auto"/>
          <w:szCs w:val="21"/>
          <w:highlight w:val="none"/>
        </w:rPr>
        <w:t>单价金额小数点或者百分比有明显错位的，以开标一览表的总价为准，并修改单价；</w:t>
      </w:r>
    </w:p>
    <w:p>
      <w:pPr>
        <w:spacing w:line="360" w:lineRule="auto"/>
        <w:ind w:firstLine="424" w:firstLineChars="200"/>
        <w:rPr>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总价金额与按单价汇总金额不一致的，以单价金额计算结果为准。</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同时出现两种以上不一致的，按照前款规定的顺序修正。修正后的报价按照招标文件的规定经投标人确认后产生约束力，投标人不确认的，其投标无效。</w:t>
      </w:r>
    </w:p>
    <w:p>
      <w:pPr>
        <w:widowControl/>
        <w:tabs>
          <w:tab w:val="left" w:pos="0"/>
          <w:tab w:val="left" w:pos="723"/>
        </w:tabs>
        <w:spacing w:line="360" w:lineRule="auto"/>
        <w:jc w:val="left"/>
        <w:rPr>
          <w:rFonts w:ascii="宋体" w:hAnsi="宋体" w:cs="宋体"/>
          <w:b/>
          <w:color w:val="auto"/>
          <w:szCs w:val="21"/>
          <w:highlight w:val="none"/>
        </w:rPr>
      </w:pPr>
    </w:p>
    <w:p>
      <w:pPr>
        <w:widowControl/>
        <w:tabs>
          <w:tab w:val="left" w:pos="0"/>
          <w:tab w:val="left" w:pos="723"/>
        </w:tabs>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六、其它投标无效的情形</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1．未提供或未如实提供投标货物的技术参数，或者投标文件标明的响应或偏离与事实不符或虚假投标的；</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2．投标技术方案不明确，存在一个或一个以上备选（替代）投标方案的；</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3．未采用投标文件要求的报价形式报价的；</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4．投标报价具有选择性；</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7．招标文件规定的其他无效情形。</w:t>
      </w:r>
    </w:p>
    <w:p>
      <w:pPr>
        <w:widowControl/>
        <w:tabs>
          <w:tab w:val="left" w:pos="0"/>
          <w:tab w:val="left" w:pos="723"/>
        </w:tabs>
        <w:spacing w:line="360" w:lineRule="auto"/>
        <w:jc w:val="left"/>
        <w:rPr>
          <w:rFonts w:ascii="宋体" w:hAnsi="宋体" w:cs="宋体"/>
          <w:b/>
          <w:color w:val="auto"/>
          <w:szCs w:val="21"/>
          <w:highlight w:val="none"/>
        </w:rPr>
      </w:pPr>
    </w:p>
    <w:p>
      <w:pPr>
        <w:spacing w:line="360" w:lineRule="auto"/>
        <w:rPr>
          <w:rFonts w:ascii="宋体" w:hAnsi="宋体" w:cs="宋体"/>
          <w:color w:val="auto"/>
          <w:szCs w:val="21"/>
          <w:highlight w:val="none"/>
        </w:rPr>
      </w:pPr>
    </w:p>
    <w:p>
      <w:pPr>
        <w:spacing w:line="360" w:lineRule="auto"/>
        <w:ind w:left="210"/>
        <w:rPr>
          <w:rFonts w:ascii="宋体" w:hAnsi="宋体" w:cs="宋体"/>
          <w:b/>
          <w:color w:val="auto"/>
          <w:sz w:val="24"/>
          <w:szCs w:val="24"/>
          <w:highlight w:val="none"/>
        </w:rPr>
      </w:pPr>
      <w:r>
        <w:rPr>
          <w:rFonts w:hint="eastAsia" w:ascii="宋体" w:hAnsi="宋体" w:cs="宋体"/>
          <w:b/>
          <w:color w:val="auto"/>
          <w:sz w:val="24"/>
          <w:szCs w:val="24"/>
          <w:highlight w:val="none"/>
        </w:rPr>
        <w:br w:type="page"/>
      </w:r>
      <w:bookmarkStart w:id="75" w:name="_Toc298230960"/>
      <w:r>
        <w:rPr>
          <w:rFonts w:hint="eastAsia" w:ascii="宋体" w:hAnsi="宋体" w:cs="宋体"/>
          <w:b/>
          <w:color w:val="auto"/>
          <w:sz w:val="24"/>
          <w:szCs w:val="24"/>
          <w:highlight w:val="none"/>
        </w:rPr>
        <w:t>七、评分标准（兼评委打分表）</w:t>
      </w:r>
    </w:p>
    <w:p>
      <w:pPr>
        <w:ind w:firstLine="536"/>
        <w:rPr>
          <w:rFonts w:ascii="宋体" w:hAnsi="宋体" w:cs="宋体"/>
          <w:color w:val="auto"/>
          <w:spacing w:val="14"/>
          <w:sz w:val="21"/>
          <w:szCs w:val="21"/>
          <w:highlight w:val="none"/>
        </w:rPr>
      </w:pPr>
      <w:bookmarkStart w:id="76" w:name="_Toc520902406"/>
      <w:r>
        <w:rPr>
          <w:rFonts w:hint="eastAsia" w:ascii="宋体" w:hAnsi="宋体" w:cs="宋体"/>
          <w:color w:val="auto"/>
          <w:spacing w:val="14"/>
          <w:sz w:val="21"/>
          <w:szCs w:val="21"/>
          <w:highlight w:val="none"/>
        </w:rPr>
        <w:t>打分说明：</w:t>
      </w:r>
      <w:r>
        <w:rPr>
          <w:rFonts w:hint="eastAsia" w:ascii="宋体" w:hAnsi="宋体" w:cs="宋体"/>
          <w:color w:val="auto"/>
          <w:sz w:val="21"/>
          <w:szCs w:val="21"/>
          <w:highlight w:val="none"/>
        </w:rPr>
        <w:t>各评委</w:t>
      </w:r>
      <w:r>
        <w:rPr>
          <w:rFonts w:hint="eastAsia" w:ascii="宋体" w:hAnsi="宋体" w:cs="宋体"/>
          <w:color w:val="auto"/>
          <w:spacing w:val="14"/>
          <w:sz w:val="21"/>
          <w:szCs w:val="21"/>
          <w:highlight w:val="none"/>
        </w:rPr>
        <w:t>根据评标情况</w:t>
      </w:r>
      <w:r>
        <w:rPr>
          <w:rFonts w:hint="eastAsia" w:ascii="宋体" w:hAnsi="宋体" w:cs="宋体"/>
          <w:color w:val="auto"/>
          <w:sz w:val="21"/>
          <w:szCs w:val="21"/>
          <w:highlight w:val="none"/>
        </w:rPr>
        <w:t>进行独立评估打分</w:t>
      </w:r>
      <w:r>
        <w:rPr>
          <w:rFonts w:hint="eastAsia" w:ascii="宋体" w:hAnsi="宋体" w:cs="宋体"/>
          <w:color w:val="auto"/>
          <w:spacing w:val="14"/>
          <w:sz w:val="21"/>
          <w:szCs w:val="21"/>
          <w:highlight w:val="none"/>
        </w:rPr>
        <w:t>，每栏分值不得超出本栏规定的分值范围；</w:t>
      </w:r>
    </w:p>
    <w:p>
      <w:pPr>
        <w:spacing w:line="240" w:lineRule="exact"/>
        <w:rPr>
          <w:rFonts w:ascii="宋体" w:hAnsi="宋体"/>
          <w:b/>
          <w:color w:val="auto"/>
          <w:kern w:val="0"/>
          <w:sz w:val="21"/>
          <w:szCs w:val="21"/>
          <w:highlight w:val="none"/>
        </w:rPr>
      </w:pPr>
    </w:p>
    <w:tbl>
      <w:tblPr>
        <w:tblStyle w:val="37"/>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405"/>
        <w:gridCol w:w="976"/>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57" w:type="dxa"/>
            <w:vAlign w:val="center"/>
          </w:tcPr>
          <w:p>
            <w:pPr>
              <w:adjustRightInd w:val="0"/>
              <w:spacing w:line="276" w:lineRule="auto"/>
              <w:textAlignment w:val="baseline"/>
              <w:rPr>
                <w:rFonts w:ascii="宋体" w:hAnsi="宋体"/>
                <w:b/>
                <w:color w:val="auto"/>
                <w:sz w:val="21"/>
                <w:szCs w:val="21"/>
                <w:highlight w:val="none"/>
              </w:rPr>
            </w:pPr>
          </w:p>
        </w:tc>
        <w:tc>
          <w:tcPr>
            <w:tcW w:w="8616" w:type="dxa"/>
            <w:gridSpan w:val="3"/>
            <w:vAlign w:val="center"/>
          </w:tcPr>
          <w:p>
            <w:pPr>
              <w:adjustRightInd w:val="0"/>
              <w:spacing w:line="276" w:lineRule="auto"/>
              <w:ind w:firstLine="361"/>
              <w:jc w:val="center"/>
              <w:textAlignment w:val="baseline"/>
              <w:rPr>
                <w:rFonts w:ascii="宋体" w:hAnsi="宋体"/>
                <w:b/>
                <w:color w:val="auto"/>
                <w:sz w:val="21"/>
                <w:szCs w:val="21"/>
                <w:highlight w:val="none"/>
              </w:rPr>
            </w:pPr>
            <w:r>
              <w:rPr>
                <w:rFonts w:hint="eastAsia" w:ascii="宋体" w:hAnsi="宋体"/>
                <w:b/>
                <w:color w:val="auto"/>
                <w:sz w:val="21"/>
                <w:szCs w:val="21"/>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1157" w:type="dxa"/>
            <w:vMerge w:val="restart"/>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en-US" w:eastAsia="zh-CN"/>
              </w:rPr>
              <w:t>69</w:t>
            </w:r>
            <w:r>
              <w:rPr>
                <w:rFonts w:hint="eastAsia" w:ascii="宋体" w:hAnsi="宋体" w:cs="宋体"/>
                <w:color w:val="auto"/>
                <w:sz w:val="21"/>
                <w:szCs w:val="21"/>
                <w:highlight w:val="none"/>
              </w:rPr>
              <w:t>分</w:t>
            </w:r>
          </w:p>
        </w:tc>
        <w:tc>
          <w:tcPr>
            <w:tcW w:w="1405" w:type="dxa"/>
            <w:vAlign w:val="center"/>
          </w:tcPr>
          <w:p>
            <w:pPr>
              <w:spacing w:line="276" w:lineRule="auto"/>
              <w:jc w:val="center"/>
              <w:rPr>
                <w:rFonts w:ascii="宋体" w:hAnsi="宋体" w:cs="宋体"/>
                <w:color w:val="auto"/>
                <w:sz w:val="21"/>
                <w:szCs w:val="21"/>
                <w:highlight w:val="none"/>
              </w:rPr>
            </w:pPr>
            <w:bookmarkStart w:id="77" w:name="_Hlk143112213"/>
            <w:r>
              <w:rPr>
                <w:rFonts w:hint="eastAsia" w:ascii="宋体" w:hAnsi="宋体" w:cs="宋体"/>
                <w:color w:val="auto"/>
                <w:sz w:val="21"/>
                <w:szCs w:val="21"/>
                <w:highlight w:val="none"/>
              </w:rPr>
              <w:t>产品技术符合性</w:t>
            </w:r>
            <w:bookmarkEnd w:id="77"/>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分）</w:t>
            </w:r>
          </w:p>
        </w:tc>
        <w:tc>
          <w:tcPr>
            <w:tcW w:w="976"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客观分</w:t>
            </w:r>
          </w:p>
        </w:tc>
        <w:tc>
          <w:tcPr>
            <w:tcW w:w="6235" w:type="dxa"/>
            <w:vAlign w:val="center"/>
          </w:tcPr>
          <w:p>
            <w:pPr>
              <w:rPr>
                <w:rFonts w:hint="eastAsia" w:ascii="宋体" w:hAnsi="宋体" w:eastAsia="宋体" w:cs="Times New Roman"/>
                <w:color w:val="000000"/>
                <w:highlight w:val="none"/>
              </w:rPr>
            </w:pPr>
            <w:r>
              <w:rPr>
                <w:rFonts w:hint="eastAsia" w:ascii="宋体" w:hAnsi="宋体" w:eastAsia="宋体" w:cs="Times New Roman"/>
                <w:color w:val="000000"/>
                <w:highlight w:val="none"/>
              </w:rPr>
              <w:t>根据投标</w:t>
            </w:r>
            <w:r>
              <w:rPr>
                <w:rFonts w:hint="eastAsia" w:ascii="宋体" w:hAnsi="宋体" w:eastAsia="宋体" w:cs="Times New Roman"/>
                <w:color w:val="000000"/>
                <w:highlight w:val="none"/>
                <w:lang w:val="en-US" w:eastAsia="zh-CN"/>
              </w:rPr>
              <w:t>人</w:t>
            </w:r>
            <w:r>
              <w:rPr>
                <w:rFonts w:hint="eastAsia" w:ascii="宋体" w:hAnsi="宋体" w:eastAsia="宋体" w:cs="Times New Roman"/>
                <w:color w:val="000000"/>
                <w:highlight w:val="none"/>
              </w:rPr>
              <w:t>提供货物配置和技术参数进行打分，带“★”技术参数为必须满足指标不得有负偏离，若有负偏离则视为无效标书技术；所有技术参数完全符合招标要求的得</w:t>
            </w:r>
            <w:r>
              <w:rPr>
                <w:rFonts w:hint="eastAsia" w:ascii="宋体" w:hAnsi="宋体" w:eastAsia="宋体" w:cs="Times New Roman"/>
                <w:color w:val="000000"/>
                <w:highlight w:val="none"/>
                <w:lang w:val="en-US" w:eastAsia="zh-CN"/>
              </w:rPr>
              <w:t>28</w:t>
            </w:r>
            <w:r>
              <w:rPr>
                <w:rFonts w:hint="eastAsia" w:ascii="宋体" w:hAnsi="宋体" w:eastAsia="宋体" w:cs="Times New Roman"/>
                <w:color w:val="000000"/>
                <w:highlight w:val="none"/>
              </w:rPr>
              <w:t>分；带“▲”为重要项，</w:t>
            </w:r>
            <w:r>
              <w:rPr>
                <w:rFonts w:hint="eastAsia" w:ascii="宋体" w:hAnsi="宋体" w:eastAsia="宋体" w:cs="Times New Roman"/>
                <w:color w:val="000000"/>
                <w:highlight w:val="none"/>
                <w:lang w:val="en-US" w:eastAsia="zh-CN"/>
              </w:rPr>
              <w:t>共5项，</w:t>
            </w:r>
            <w:r>
              <w:rPr>
                <w:rFonts w:hint="eastAsia" w:ascii="宋体" w:hAnsi="宋体" w:eastAsia="宋体" w:cs="Times New Roman"/>
                <w:color w:val="000000"/>
                <w:highlight w:val="none"/>
              </w:rPr>
              <w:t>每负偏离一项扣1分；非“★”和非“▲”指标共</w:t>
            </w:r>
            <w:r>
              <w:rPr>
                <w:rFonts w:hint="eastAsia" w:ascii="宋体" w:hAnsi="宋体" w:eastAsia="宋体" w:cs="Times New Roman"/>
                <w:color w:val="000000"/>
                <w:highlight w:val="none"/>
                <w:lang w:val="en-US" w:eastAsia="zh-CN"/>
              </w:rPr>
              <w:t>115</w:t>
            </w:r>
            <w:r>
              <w:rPr>
                <w:rFonts w:hint="eastAsia" w:ascii="宋体" w:hAnsi="宋体" w:eastAsia="宋体" w:cs="Times New Roman"/>
                <w:color w:val="000000"/>
                <w:highlight w:val="none"/>
              </w:rPr>
              <w:t>项，每负偏离一项扣0.2分，直至扣完。</w:t>
            </w:r>
          </w:p>
          <w:p>
            <w:pPr>
              <w:ind w:firstLine="361"/>
              <w:rPr>
                <w:rFonts w:ascii="宋体" w:hAnsi="宋体" w:cs="宋体"/>
                <w:b/>
                <w:bCs/>
                <w:color w:val="auto"/>
                <w:sz w:val="21"/>
                <w:szCs w:val="21"/>
                <w:highlight w:val="none"/>
              </w:rPr>
            </w:pPr>
            <w:r>
              <w:rPr>
                <w:rFonts w:hint="eastAsia" w:ascii="宋体" w:hAnsi="宋体" w:cs="宋体"/>
                <w:b/>
                <w:bCs/>
                <w:color w:val="auto"/>
                <w:sz w:val="21"/>
                <w:szCs w:val="21"/>
                <w:highlight w:val="none"/>
              </w:rPr>
              <w:t>注：1、要求投标人对产品技术参数进行逐项响应，对技术参数有偏离的，如实填写至《技术偏离表》中，未在《技术偏离表》中填写的，视为参数无偏离。《技术偏离表》将作为验收依据之一，如投标人虚假响应，自行承担违约风险。</w:t>
            </w:r>
          </w:p>
          <w:p>
            <w:pPr>
              <w:ind w:firstLine="361"/>
              <w:rPr>
                <w:rFonts w:ascii="宋体" w:hAnsi="宋体" w:cs="宋体"/>
                <w:color w:val="auto"/>
                <w:sz w:val="21"/>
                <w:szCs w:val="21"/>
                <w:highlight w:val="none"/>
              </w:rPr>
            </w:pPr>
            <w:r>
              <w:rPr>
                <w:rFonts w:hint="eastAsia" w:ascii="宋体" w:hAnsi="宋体" w:cs="宋体"/>
                <w:b/>
                <w:bCs/>
                <w:color w:val="auto"/>
                <w:sz w:val="21"/>
                <w:szCs w:val="21"/>
                <w:highlight w:val="none"/>
              </w:rPr>
              <w:t>2、技术参数要求提供相关证明材料，未提供证明材料的，视为参数负偏离。证明材料制作索引目录，提供《证明材料索引表》，方便评委查找。不制作索引目录或编排混乱导致评委漏查的，造成的不利后果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157" w:type="dxa"/>
            <w:vMerge w:val="continue"/>
            <w:vAlign w:val="center"/>
          </w:tcPr>
          <w:p>
            <w:pPr>
              <w:spacing w:line="276" w:lineRule="auto"/>
              <w:rPr>
                <w:rFonts w:ascii="宋体" w:hAnsi="宋体" w:cs="宋体"/>
                <w:color w:val="auto"/>
                <w:sz w:val="21"/>
                <w:szCs w:val="21"/>
                <w:highlight w:val="none"/>
              </w:rPr>
            </w:pPr>
          </w:p>
        </w:tc>
        <w:tc>
          <w:tcPr>
            <w:tcW w:w="1405"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类似业绩</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976"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客观分</w:t>
            </w:r>
          </w:p>
        </w:tc>
        <w:tc>
          <w:tcPr>
            <w:tcW w:w="623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投标人自202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年1月1日（以合同签订时间为准）至今，具有类似业绩的每个得1分，最多得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rPr>
                <w:rFonts w:ascii="宋体" w:hAnsi="宋体" w:cs="宋体"/>
                <w:color w:val="auto"/>
                <w:sz w:val="21"/>
                <w:szCs w:val="21"/>
                <w:highlight w:val="none"/>
              </w:rPr>
            </w:pPr>
            <w:r>
              <w:rPr>
                <w:rFonts w:hint="eastAsia" w:ascii="宋体" w:hAnsi="宋体" w:cs="宋体"/>
                <w:color w:val="auto"/>
                <w:sz w:val="21"/>
                <w:szCs w:val="21"/>
                <w:highlight w:val="none"/>
              </w:rPr>
              <w:t>注：提供中标通知书及合同（复印件加盖投标人公章）。</w:t>
            </w:r>
          </w:p>
          <w:p>
            <w:pPr>
              <w:rPr>
                <w:rFonts w:ascii="宋体" w:hAnsi="宋体" w:cs="宋体"/>
                <w:color w:val="auto"/>
                <w:sz w:val="21"/>
                <w:szCs w:val="21"/>
                <w:highlight w:val="none"/>
              </w:rPr>
            </w:pPr>
            <w:r>
              <w:rPr>
                <w:rFonts w:hint="eastAsia" w:ascii="宋体" w:hAnsi="宋体" w:cs="宋体"/>
                <w:color w:val="auto"/>
                <w:sz w:val="21"/>
                <w:szCs w:val="21"/>
                <w:highlight w:val="none"/>
              </w:rPr>
              <w:t>1、投标文件中提供中标通知书和合同</w:t>
            </w:r>
            <w:r>
              <w:rPr>
                <w:rFonts w:hint="eastAsia" w:ascii="宋体" w:hAnsi="宋体" w:cs="宋体"/>
                <w:color w:val="auto"/>
                <w:sz w:val="21"/>
                <w:szCs w:val="21"/>
                <w:highlight w:val="none"/>
                <w:lang w:val="en-US" w:eastAsia="zh-CN"/>
              </w:rPr>
              <w:t>复印件</w:t>
            </w:r>
            <w:r>
              <w:rPr>
                <w:rFonts w:hint="eastAsia" w:ascii="宋体" w:hAnsi="宋体" w:cs="宋体"/>
                <w:color w:val="auto"/>
                <w:sz w:val="21"/>
                <w:szCs w:val="21"/>
                <w:highlight w:val="none"/>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157" w:type="dxa"/>
            <w:vMerge w:val="continue"/>
            <w:vAlign w:val="center"/>
          </w:tcPr>
          <w:p>
            <w:pPr>
              <w:spacing w:line="276" w:lineRule="auto"/>
              <w:rPr>
                <w:rFonts w:ascii="宋体" w:hAnsi="宋体" w:cs="宋体"/>
                <w:color w:val="auto"/>
                <w:sz w:val="21"/>
                <w:szCs w:val="21"/>
                <w:highlight w:val="none"/>
              </w:rPr>
            </w:pPr>
          </w:p>
        </w:tc>
        <w:tc>
          <w:tcPr>
            <w:tcW w:w="1405" w:type="dxa"/>
            <w:vAlign w:val="center"/>
          </w:tcPr>
          <w:p>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976"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客观分</w:t>
            </w:r>
          </w:p>
        </w:tc>
        <w:tc>
          <w:tcPr>
            <w:tcW w:w="6235" w:type="dxa"/>
            <w:vAlign w:val="center"/>
          </w:tcPr>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投标人承诺的质保期，在满足招标文件要求的前提下，每增加1年得2分，本项最高得6分。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restart"/>
            <w:vAlign w:val="center"/>
          </w:tcPr>
          <w:p>
            <w:pPr>
              <w:spacing w:line="276" w:lineRule="auto"/>
              <w:rPr>
                <w:rFonts w:ascii="宋体" w:hAnsi="宋体" w:cs="宋体"/>
                <w:color w:val="auto"/>
                <w:kern w:val="0"/>
                <w:sz w:val="21"/>
                <w:szCs w:val="21"/>
                <w:highlight w:val="none"/>
              </w:rPr>
            </w:pPr>
            <w:bookmarkStart w:id="78" w:name="_Hlk143112281"/>
            <w:r>
              <w:rPr>
                <w:rFonts w:hint="eastAsia" w:ascii="宋体" w:hAnsi="宋体" w:cs="宋体"/>
                <w:color w:val="auto"/>
                <w:kern w:val="0"/>
                <w:sz w:val="21"/>
                <w:szCs w:val="21"/>
                <w:highlight w:val="none"/>
              </w:rPr>
              <w:t>售后服务</w:t>
            </w:r>
            <w:bookmarkEnd w:id="78"/>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分）</w:t>
            </w:r>
          </w:p>
        </w:tc>
        <w:tc>
          <w:tcPr>
            <w:tcW w:w="976" w:type="dxa"/>
            <w:vAlign w:val="center"/>
          </w:tcPr>
          <w:p>
            <w:pPr>
              <w:spacing w:line="276"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6235" w:type="dxa"/>
            <w:vAlign w:val="center"/>
          </w:tcPr>
          <w:p>
            <w:pPr>
              <w:pStyle w:val="15"/>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根据提供的</w:t>
            </w:r>
            <w:r>
              <w:rPr>
                <w:rFonts w:hint="eastAsia" w:ascii="宋体" w:hAnsi="宋体" w:cs="宋体"/>
                <w:color w:val="auto"/>
                <w:kern w:val="0"/>
                <w:sz w:val="21"/>
                <w:szCs w:val="21"/>
                <w:highlight w:val="none"/>
                <w:lang w:val="en-US" w:eastAsia="zh-CN"/>
              </w:rPr>
              <w:t>运维服务</w:t>
            </w:r>
            <w:r>
              <w:rPr>
                <w:rFonts w:hint="eastAsia" w:ascii="宋体" w:hAnsi="宋体" w:cs="宋体"/>
                <w:color w:val="auto"/>
                <w:kern w:val="0"/>
                <w:sz w:val="21"/>
                <w:szCs w:val="21"/>
                <w:highlight w:val="none"/>
              </w:rPr>
              <w:t>方案中售后服务机构情况等方面进行综合评议，本项最多得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分，未提供不得分。</w:t>
            </w:r>
          </w:p>
          <w:p>
            <w:pPr>
              <w:pStyle w:val="15"/>
              <w:rPr>
                <w:rFonts w:ascii="宋体" w:hAnsi="宋体" w:cs="宋体"/>
                <w:color w:val="auto"/>
                <w:kern w:val="0"/>
                <w:sz w:val="21"/>
                <w:szCs w:val="21"/>
                <w:highlight w:val="none"/>
              </w:rPr>
            </w:pPr>
            <w:r>
              <w:rPr>
                <w:rFonts w:hint="eastAsia" w:ascii="宋体" w:hAnsi="宋体" w:cs="宋体"/>
                <w:color w:val="auto"/>
                <w:kern w:val="0"/>
                <w:sz w:val="21"/>
                <w:szCs w:val="21"/>
                <w:highlight w:val="none"/>
              </w:rPr>
              <w:t>①供应商提供的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，方案内容阐述详实全面，科学合理，</w:t>
            </w:r>
            <w:r>
              <w:rPr>
                <w:rFonts w:hint="eastAsia" w:ascii="宋体" w:hAnsi="宋体" w:cs="宋体"/>
                <w:color w:val="auto"/>
                <w:kern w:val="0"/>
                <w:sz w:val="21"/>
                <w:szCs w:val="21"/>
                <w:highlight w:val="none"/>
                <w:lang w:val="en-US" w:eastAsia="zh-CN"/>
              </w:rPr>
              <w:t>具有切实的可行性</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pPr>
              <w:pStyle w:val="15"/>
              <w:rPr>
                <w:rFonts w:ascii="宋体" w:hAnsi="宋体" w:cs="宋体"/>
                <w:color w:val="auto"/>
                <w:kern w:val="0"/>
                <w:sz w:val="21"/>
                <w:szCs w:val="21"/>
                <w:highlight w:val="none"/>
              </w:rPr>
            </w:pPr>
            <w:r>
              <w:rPr>
                <w:rFonts w:hint="eastAsia" w:ascii="宋体" w:hAnsi="宋体" w:cs="宋体"/>
                <w:color w:val="auto"/>
                <w:kern w:val="0"/>
                <w:sz w:val="21"/>
                <w:szCs w:val="21"/>
                <w:highlight w:val="none"/>
              </w:rPr>
              <w:t>②供应商提供的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，方案内容阐述详实</w:t>
            </w:r>
            <w:r>
              <w:rPr>
                <w:rFonts w:hint="eastAsia" w:ascii="宋体" w:hAnsi="宋体" w:cs="宋体"/>
                <w:color w:val="auto"/>
                <w:kern w:val="0"/>
                <w:sz w:val="21"/>
                <w:szCs w:val="21"/>
                <w:highlight w:val="none"/>
                <w:lang w:val="en-US" w:eastAsia="zh-CN"/>
              </w:rPr>
              <w:t>但不全面</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具有一定的可行性</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pPr>
              <w:pStyle w:val="15"/>
              <w:rPr>
                <w:rFonts w:ascii="宋体" w:hAnsi="宋体" w:cs="宋体"/>
                <w:color w:val="auto"/>
                <w:kern w:val="0"/>
                <w:sz w:val="21"/>
                <w:szCs w:val="21"/>
                <w:highlight w:val="none"/>
              </w:rPr>
            </w:pPr>
            <w:r>
              <w:rPr>
                <w:rFonts w:hint="eastAsia" w:ascii="宋体" w:hAnsi="宋体" w:cs="宋体"/>
                <w:color w:val="auto"/>
                <w:kern w:val="0"/>
                <w:sz w:val="21"/>
                <w:szCs w:val="21"/>
                <w:highlight w:val="none"/>
              </w:rPr>
              <w:t>③供应商提供的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，方案内容阐述空泛，有明显漏洞的，得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rPr>
                <w:rFonts w:hint="eastAsia" w:ascii="宋体" w:hAnsi="宋体" w:cs="宋体"/>
                <w:color w:val="auto"/>
                <w:kern w:val="0"/>
                <w:sz w:val="21"/>
                <w:szCs w:val="21"/>
                <w:highlight w:val="none"/>
              </w:rPr>
            </w:pPr>
          </w:p>
        </w:tc>
        <w:tc>
          <w:tcPr>
            <w:tcW w:w="976" w:type="dxa"/>
            <w:vAlign w:val="center"/>
          </w:tcPr>
          <w:p>
            <w:pPr>
              <w:spacing w:line="276" w:lineRule="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客观分</w:t>
            </w:r>
          </w:p>
        </w:tc>
        <w:tc>
          <w:tcPr>
            <w:tcW w:w="6235" w:type="dxa"/>
            <w:vAlign w:val="center"/>
          </w:tcPr>
          <w:p>
            <w:pPr>
              <w:pStyle w:val="15"/>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根据投标人提供的售后服务团队人数进行评审，在满足招标文件要求的22个人员的基础上，每多增加1人加0.5分，本项最高得5分。投标人须提供拟派人员的身份证复印件以及</w:t>
            </w:r>
            <w:r>
              <w:rPr>
                <w:rFonts w:hint="eastAsia" w:ascii="宋体" w:hAnsi="宋体" w:cs="宋体"/>
                <w:color w:val="auto"/>
                <w:sz w:val="21"/>
                <w:szCs w:val="21"/>
                <w:highlight w:val="none"/>
                <w:lang w:val="en-US" w:eastAsia="zh-CN"/>
              </w:rPr>
              <w:t>并</w:t>
            </w:r>
            <w:r>
              <w:rPr>
                <w:rFonts w:hint="eastAsia" w:ascii="宋体" w:hAnsi="宋体" w:cs="宋体"/>
                <w:color w:val="auto"/>
                <w:sz w:val="21"/>
                <w:szCs w:val="21"/>
                <w:highlight w:val="none"/>
                <w:lang w:val="en-US" w:eastAsia="en-US"/>
              </w:rPr>
              <w:t>提供投标截止日前半年内任意</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en-US" w:eastAsia="en-US"/>
              </w:rPr>
              <w:t>个月的社保缴费证明复印件并加盖公章，否则不得分</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rPr>
                <w:rFonts w:hint="eastAsia" w:ascii="宋体" w:hAnsi="宋体" w:cs="宋体"/>
                <w:color w:val="auto"/>
                <w:kern w:val="0"/>
                <w:sz w:val="21"/>
                <w:szCs w:val="21"/>
                <w:highlight w:val="none"/>
              </w:rPr>
            </w:pPr>
          </w:p>
        </w:tc>
        <w:tc>
          <w:tcPr>
            <w:tcW w:w="976" w:type="dxa"/>
            <w:vAlign w:val="center"/>
          </w:tcPr>
          <w:p>
            <w:pPr>
              <w:spacing w:line="276"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客观分</w:t>
            </w:r>
          </w:p>
        </w:tc>
        <w:tc>
          <w:tcPr>
            <w:tcW w:w="6235" w:type="dxa"/>
            <w:vAlign w:val="center"/>
          </w:tcPr>
          <w:p>
            <w:pPr>
              <w:pStyle w:val="15"/>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根据投标人提供的售后服务人员质量进行评审，所提供的人员中每具备一本职称证书或行业主管部门颁发的资格证书（弱电、智能化、机电、通信、安全等相关专业）的加1分，本项最高得5分。一人多证，按1本证书计入，不重复叠加。</w:t>
            </w:r>
          </w:p>
          <w:p>
            <w:pPr>
              <w:pStyle w:val="15"/>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注：以上人员须在投标文件中提供证书复印件并加盖公章，并提供投标截止日前半年内任意一个月的社保缴费证明复印件并加盖公章或提供项目团队为投标人本单位人员的承诺函原件，否则不得分。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rPr>
                <w:rFonts w:hint="eastAsia" w:ascii="宋体" w:hAnsi="宋体" w:cs="宋体"/>
                <w:color w:val="auto"/>
                <w:kern w:val="0"/>
                <w:sz w:val="21"/>
                <w:szCs w:val="21"/>
                <w:highlight w:val="none"/>
              </w:rPr>
            </w:pPr>
          </w:p>
        </w:tc>
        <w:tc>
          <w:tcPr>
            <w:tcW w:w="976" w:type="dxa"/>
            <w:vAlign w:val="center"/>
          </w:tcPr>
          <w:p>
            <w:pPr>
              <w:spacing w:line="276"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客观分</w:t>
            </w:r>
          </w:p>
        </w:tc>
        <w:tc>
          <w:tcPr>
            <w:tcW w:w="6235" w:type="dxa"/>
            <w:vAlign w:val="center"/>
          </w:tcPr>
          <w:p>
            <w:pPr>
              <w:bidi w:val="0"/>
              <w:rPr>
                <w:rFonts w:hint="eastAsia"/>
                <w:highlight w:val="none"/>
                <w:lang w:eastAsia="zh-CN"/>
              </w:rPr>
            </w:pPr>
            <w:r>
              <w:rPr>
                <w:rFonts w:hint="eastAsia"/>
                <w:highlight w:val="none"/>
                <w:lang w:eastAsia="zh-CN"/>
              </w:rPr>
              <w:t>供应商具有商品售后服务认证五星级及以上认证证书或具有信息技术服务运行维护标准符合性证书（1分）</w:t>
            </w:r>
          </w:p>
          <w:p>
            <w:pPr>
              <w:widowControl/>
              <w:textAlignment w:val="center"/>
              <w:rPr>
                <w:rFonts w:hint="eastAsia" w:ascii="宋体" w:hAnsi="宋体" w:cs="宋体"/>
                <w:color w:val="auto"/>
                <w:kern w:val="0"/>
                <w:sz w:val="21"/>
                <w:szCs w:val="21"/>
                <w:highlight w:val="none"/>
                <w:lang w:val="en-US" w:eastAsia="zh-CN"/>
              </w:rPr>
            </w:pPr>
            <w:r>
              <w:rPr>
                <w:rFonts w:hint="eastAsia" w:ascii="Times New Roman" w:hAnsi="Times New Roman" w:eastAsia="宋体" w:cs="宋体"/>
                <w:color w:val="auto"/>
                <w:kern w:val="0"/>
                <w:highlight w:val="none"/>
                <w:lang w:eastAsia="zh-CN"/>
              </w:rPr>
              <w:t>注：提供加盖供应商公章的证书复印件，证书中的供应商名称必须与投标供应商名称一致，且证书均须在有效期内，否则不予认可（名称工商变更的除外，但必须提供工商变更的相关材料）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ind w:firstLine="360"/>
              <w:rPr>
                <w:rFonts w:ascii="宋体" w:hAnsi="宋体" w:cs="宋体"/>
                <w:color w:val="auto"/>
                <w:sz w:val="21"/>
                <w:szCs w:val="21"/>
                <w:highlight w:val="none"/>
              </w:rPr>
            </w:pPr>
          </w:p>
        </w:tc>
        <w:tc>
          <w:tcPr>
            <w:tcW w:w="976" w:type="dxa"/>
            <w:vAlign w:val="center"/>
          </w:tcPr>
          <w:p>
            <w:pPr>
              <w:spacing w:line="276"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主观分</w:t>
            </w:r>
          </w:p>
        </w:tc>
        <w:tc>
          <w:tcPr>
            <w:tcW w:w="6235" w:type="dxa"/>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中技术支持的力度、质保期承诺的完整度、售后服务承诺的完善度、服务承诺落实的保障措施、故障响应及修复时间、其他优惠承诺及措施等方面进行综合评议，本项最多得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分，未提供不得分。</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，方案内容详实、科学，操作性强、契合项目实际情况，有优惠承诺及措施的，得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w:t>
            </w:r>
            <w:r>
              <w:rPr>
                <w:rFonts w:hint="eastAsia" w:ascii="宋体" w:hAnsi="宋体" w:cs="宋体"/>
                <w:color w:val="auto"/>
                <w:szCs w:val="21"/>
                <w:highlight w:val="none"/>
              </w:rPr>
              <w:t>方案内容编制基本完整、科学，基本吻合项目情况</w:t>
            </w:r>
            <w:r>
              <w:rPr>
                <w:rFonts w:hint="eastAsia" w:ascii="宋体" w:hAnsi="宋体" w:cs="宋体"/>
                <w:color w:val="auto"/>
                <w:kern w:val="0"/>
                <w:sz w:val="21"/>
                <w:szCs w:val="21"/>
                <w:highlight w:val="none"/>
              </w:rPr>
              <w:t>，有优惠承诺及措施的，得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③供应商提供的</w:t>
            </w:r>
            <w:r>
              <w:rPr>
                <w:rFonts w:hint="eastAsia" w:ascii="宋体" w:hAnsi="宋体" w:cs="宋体"/>
                <w:color w:val="auto"/>
                <w:kern w:val="0"/>
                <w:sz w:val="21"/>
                <w:szCs w:val="21"/>
                <w:highlight w:val="none"/>
                <w:lang w:val="en-US" w:eastAsia="zh-CN"/>
              </w:rPr>
              <w:t>运维服务方案</w:t>
            </w:r>
            <w:r>
              <w:rPr>
                <w:rFonts w:hint="eastAsia" w:ascii="宋体" w:hAnsi="宋体" w:cs="宋体"/>
                <w:color w:val="auto"/>
                <w:kern w:val="0"/>
                <w:sz w:val="21"/>
                <w:szCs w:val="21"/>
                <w:highlight w:val="none"/>
              </w:rPr>
              <w:t>，方案内容阐述空泛，思路模糊的，有明显漏洞的，得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ind w:firstLine="360"/>
              <w:rPr>
                <w:rFonts w:ascii="宋体" w:hAnsi="宋体" w:cs="宋体"/>
                <w:color w:val="auto"/>
                <w:sz w:val="21"/>
                <w:szCs w:val="21"/>
                <w:highlight w:val="none"/>
              </w:rPr>
            </w:pPr>
          </w:p>
        </w:tc>
        <w:tc>
          <w:tcPr>
            <w:tcW w:w="976" w:type="dxa"/>
            <w:vAlign w:val="center"/>
          </w:tcPr>
          <w:p>
            <w:pPr>
              <w:spacing w:line="276" w:lineRule="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主观分</w:t>
            </w:r>
          </w:p>
        </w:tc>
        <w:tc>
          <w:tcPr>
            <w:tcW w:w="6235" w:type="dxa"/>
            <w:vAlign w:val="center"/>
          </w:tcPr>
          <w:p>
            <w:pPr>
              <w:spacing w:line="36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根据供应商</w:t>
            </w:r>
            <w:r>
              <w:rPr>
                <w:rFonts w:hint="eastAsia" w:ascii="宋体" w:hAnsi="宋体" w:cs="仿宋_GB2312"/>
                <w:color w:val="auto"/>
                <w:kern w:val="0"/>
                <w:szCs w:val="21"/>
                <w:highlight w:val="none"/>
                <w:lang w:val="en-US" w:eastAsia="zh-CN"/>
              </w:rPr>
              <w:t>针对</w:t>
            </w:r>
            <w:r>
              <w:rPr>
                <w:rFonts w:hint="eastAsia" w:ascii="宋体" w:hAnsi="宋体" w:cs="仿宋_GB2312"/>
                <w:color w:val="auto"/>
                <w:kern w:val="0"/>
                <w:szCs w:val="21"/>
                <w:highlight w:val="none"/>
              </w:rPr>
              <w:t>本项目</w:t>
            </w:r>
            <w:r>
              <w:rPr>
                <w:rFonts w:hint="eastAsia" w:ascii="宋体" w:hAnsi="宋体" w:cs="宋体"/>
                <w:color w:val="auto"/>
                <w:kern w:val="0"/>
                <w:sz w:val="21"/>
                <w:szCs w:val="21"/>
                <w:highlight w:val="none"/>
                <w:lang w:val="en-US" w:eastAsia="zh-CN"/>
              </w:rPr>
              <w:t>考试期间的应急服务方案</w:t>
            </w:r>
            <w:r>
              <w:rPr>
                <w:rFonts w:hint="eastAsia" w:ascii="宋体" w:hAnsi="宋体" w:cs="仿宋_GB2312"/>
                <w:color w:val="auto"/>
                <w:kern w:val="0"/>
                <w:szCs w:val="21"/>
                <w:highlight w:val="none"/>
              </w:rPr>
              <w:t>进行综合评议，本项最多得</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w:t>
            </w:r>
            <w:r>
              <w:rPr>
                <w:rFonts w:hint="eastAsia"/>
                <w:color w:val="auto"/>
                <w:highlight w:val="none"/>
              </w:rPr>
              <w:t>，未提供不得分</w:t>
            </w:r>
            <w:r>
              <w:rPr>
                <w:rFonts w:hint="eastAsia" w:ascii="宋体" w:hAnsi="宋体" w:cs="仿宋_GB2312"/>
                <w:color w:val="auto"/>
                <w:kern w:val="0"/>
                <w:szCs w:val="21"/>
                <w:highlight w:val="none"/>
              </w:rPr>
              <w:t>。</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①供应商提供的</w:t>
            </w:r>
            <w:r>
              <w:rPr>
                <w:rFonts w:hint="eastAsia" w:ascii="宋体" w:hAnsi="宋体" w:cs="宋体"/>
                <w:color w:val="auto"/>
                <w:kern w:val="0"/>
                <w:sz w:val="21"/>
                <w:szCs w:val="21"/>
                <w:highlight w:val="none"/>
                <w:lang w:val="en-US" w:eastAsia="zh-CN"/>
              </w:rPr>
              <w:t>应急服务方案</w:t>
            </w:r>
            <w:r>
              <w:rPr>
                <w:rFonts w:hint="eastAsia" w:ascii="宋体" w:hAnsi="宋体" w:cs="宋体"/>
                <w:color w:val="auto"/>
                <w:kern w:val="0"/>
                <w:sz w:val="21"/>
                <w:szCs w:val="21"/>
                <w:highlight w:val="none"/>
              </w:rPr>
              <w:t>，方案内容阐述详实全面，科学合理，思路清晰的，</w:t>
            </w:r>
            <w:r>
              <w:rPr>
                <w:rFonts w:hint="eastAsia" w:ascii="宋体" w:hAnsi="宋体" w:cs="宋体"/>
                <w:color w:val="auto"/>
                <w:kern w:val="0"/>
                <w:sz w:val="21"/>
                <w:szCs w:val="21"/>
                <w:highlight w:val="none"/>
                <w:lang w:val="en-US" w:eastAsia="zh-CN"/>
              </w:rPr>
              <w:t>能及时排除故障，保障考试顺利进行的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②供应商提供的</w:t>
            </w:r>
            <w:r>
              <w:rPr>
                <w:rFonts w:hint="eastAsia" w:ascii="宋体" w:hAnsi="宋体" w:cs="宋体"/>
                <w:color w:val="auto"/>
                <w:kern w:val="0"/>
                <w:sz w:val="21"/>
                <w:szCs w:val="21"/>
                <w:highlight w:val="none"/>
                <w:lang w:val="en-US" w:eastAsia="zh-CN"/>
              </w:rPr>
              <w:t>应急服务方案</w:t>
            </w:r>
            <w:r>
              <w:rPr>
                <w:rFonts w:hint="eastAsia" w:ascii="宋体" w:hAnsi="宋体" w:cs="宋体"/>
                <w:color w:val="auto"/>
                <w:kern w:val="0"/>
                <w:sz w:val="21"/>
                <w:szCs w:val="21"/>
                <w:highlight w:val="none"/>
              </w:rPr>
              <w:t>，方案内容阐述</w:t>
            </w:r>
            <w:r>
              <w:rPr>
                <w:rFonts w:hint="eastAsia" w:ascii="宋体" w:hAnsi="宋体" w:cs="宋体"/>
                <w:color w:val="auto"/>
                <w:szCs w:val="21"/>
                <w:highlight w:val="none"/>
              </w:rPr>
              <w:t>基本完整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科学合理，思路较清晰的，</w:t>
            </w:r>
            <w:r>
              <w:rPr>
                <w:rFonts w:hint="eastAsia" w:ascii="宋体" w:hAnsi="宋体" w:cs="宋体"/>
                <w:color w:val="auto"/>
                <w:kern w:val="0"/>
                <w:sz w:val="21"/>
                <w:szCs w:val="21"/>
                <w:highlight w:val="none"/>
                <w:lang w:val="en-US" w:eastAsia="zh-CN"/>
              </w:rPr>
              <w:t>能及时排除故障，保障考试顺利进行的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pP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③供应商提供的</w:t>
            </w:r>
            <w:r>
              <w:rPr>
                <w:rFonts w:hint="eastAsia" w:ascii="宋体" w:hAnsi="宋体" w:cs="宋体"/>
                <w:color w:val="auto"/>
                <w:kern w:val="0"/>
                <w:sz w:val="21"/>
                <w:szCs w:val="21"/>
                <w:highlight w:val="none"/>
                <w:lang w:val="en-US" w:eastAsia="zh-CN"/>
              </w:rPr>
              <w:t>应急服务方案</w:t>
            </w:r>
            <w:r>
              <w:rPr>
                <w:rFonts w:hint="eastAsia" w:ascii="宋体" w:hAnsi="宋体" w:cs="宋体"/>
                <w:color w:val="auto"/>
                <w:kern w:val="0"/>
                <w:sz w:val="21"/>
                <w:szCs w:val="21"/>
                <w:highlight w:val="none"/>
              </w:rPr>
              <w:t>，方案内容阐述空泛，思路模糊的，有明显漏洞的，得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restart"/>
            <w:vAlign w:val="center"/>
          </w:tcPr>
          <w:p>
            <w:pPr>
              <w:spacing w:line="276" w:lineRule="auto"/>
              <w:rPr>
                <w:rFonts w:ascii="宋体" w:hAnsi="宋体" w:cs="宋体"/>
                <w:color w:val="auto"/>
                <w:sz w:val="21"/>
                <w:szCs w:val="21"/>
                <w:highlight w:val="none"/>
              </w:rPr>
            </w:pPr>
            <w:bookmarkStart w:id="79" w:name="_Hlk143112295"/>
            <w:r>
              <w:rPr>
                <w:rFonts w:hint="eastAsia" w:ascii="宋体" w:hAnsi="宋体" w:cs="宋体"/>
                <w:color w:val="auto"/>
                <w:kern w:val="0"/>
                <w:sz w:val="21"/>
                <w:szCs w:val="21"/>
                <w:highlight w:val="none"/>
              </w:rPr>
              <w:t>项目方案</w:t>
            </w:r>
            <w:bookmarkEnd w:id="79"/>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分）</w:t>
            </w:r>
          </w:p>
        </w:tc>
        <w:tc>
          <w:tcPr>
            <w:tcW w:w="976"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主观分</w:t>
            </w:r>
          </w:p>
        </w:tc>
        <w:tc>
          <w:tcPr>
            <w:tcW w:w="6235" w:type="dxa"/>
            <w:vAlign w:val="center"/>
          </w:tcPr>
          <w:p>
            <w:pPr>
              <w:spacing w:line="36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根据供应商对本项目需求的理解透彻程度进行综合评议，本项最多得</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w:t>
            </w:r>
            <w:r>
              <w:rPr>
                <w:rFonts w:hint="eastAsia"/>
                <w:color w:val="auto"/>
                <w:highlight w:val="none"/>
              </w:rPr>
              <w:t>，未提供不得分</w:t>
            </w:r>
            <w:r>
              <w:rPr>
                <w:rFonts w:hint="eastAsia" w:ascii="宋体" w:hAnsi="宋体" w:cs="仿宋_GB2312"/>
                <w:color w:val="auto"/>
                <w:kern w:val="0"/>
                <w:szCs w:val="21"/>
                <w:highlight w:val="none"/>
              </w:rPr>
              <w:t>。</w:t>
            </w:r>
          </w:p>
          <w:p>
            <w:pPr>
              <w:spacing w:line="36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①供应商对项目需求理解透彻，准确全面，科学合理，得</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w:t>
            </w:r>
          </w:p>
          <w:p>
            <w:pPr>
              <w:spacing w:line="36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②供应商对项目需求理解</w:t>
            </w:r>
            <w:r>
              <w:rPr>
                <w:rFonts w:hint="eastAsia" w:ascii="宋体" w:hAnsi="宋体" w:cs="仿宋_GB2312"/>
                <w:color w:val="auto"/>
                <w:kern w:val="0"/>
                <w:szCs w:val="21"/>
                <w:highlight w:val="none"/>
                <w:lang w:val="en-US" w:eastAsia="zh-CN"/>
              </w:rPr>
              <w:t>能基本满足项目要求</w:t>
            </w:r>
            <w:r>
              <w:rPr>
                <w:rFonts w:hint="eastAsia" w:ascii="宋体" w:hAnsi="宋体" w:cs="仿宋_GB2312"/>
                <w:color w:val="auto"/>
                <w:kern w:val="0"/>
                <w:szCs w:val="21"/>
                <w:highlight w:val="none"/>
              </w:rPr>
              <w:t>，得</w:t>
            </w:r>
            <w:r>
              <w:rPr>
                <w:rFonts w:hint="eastAsia" w:ascii="宋体" w:hAnsi="宋体" w:cs="仿宋_GB2312"/>
                <w:color w:val="auto"/>
                <w:kern w:val="0"/>
                <w:szCs w:val="21"/>
                <w:highlight w:val="none"/>
                <w:lang w:val="en-US" w:eastAsia="zh-CN"/>
              </w:rPr>
              <w:t>2</w:t>
            </w:r>
            <w:r>
              <w:rPr>
                <w:rFonts w:hint="eastAsia" w:ascii="宋体" w:hAnsi="宋体" w:cs="仿宋_GB2312"/>
                <w:color w:val="auto"/>
                <w:kern w:val="0"/>
                <w:szCs w:val="21"/>
                <w:highlight w:val="none"/>
              </w:rPr>
              <w:t>分；</w:t>
            </w:r>
          </w:p>
          <w:p>
            <w:pPr>
              <w:spacing w:line="360" w:lineRule="exact"/>
              <w:rPr>
                <w:color w:val="auto"/>
                <w:sz w:val="21"/>
                <w:szCs w:val="21"/>
                <w:highlight w:val="none"/>
              </w:rPr>
            </w:pPr>
            <w:r>
              <w:rPr>
                <w:rFonts w:hint="eastAsia" w:ascii="宋体" w:hAnsi="宋体" w:cs="仿宋_GB2312"/>
                <w:color w:val="auto"/>
                <w:kern w:val="0"/>
                <w:szCs w:val="21"/>
                <w:highlight w:val="none"/>
              </w:rPr>
              <w:t>③供应商对项目需求理解度不够透彻，逻辑偏差，得</w:t>
            </w:r>
            <w:r>
              <w:rPr>
                <w:rFonts w:hint="eastAsia" w:ascii="宋体" w:hAnsi="宋体" w:cs="仿宋_GB2312"/>
                <w:color w:val="auto"/>
                <w:kern w:val="0"/>
                <w:szCs w:val="21"/>
                <w:highlight w:val="none"/>
                <w:lang w:val="en-US" w:eastAsia="zh-CN"/>
              </w:rPr>
              <w:t>1</w:t>
            </w:r>
            <w:r>
              <w:rPr>
                <w:rFonts w:hint="eastAsia" w:ascii="宋体" w:hAnsi="宋体" w:cs="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rPr>
                <w:rFonts w:hint="eastAsia" w:ascii="宋体" w:hAnsi="宋体" w:cs="宋体"/>
                <w:color w:val="auto"/>
                <w:kern w:val="0"/>
                <w:sz w:val="21"/>
                <w:szCs w:val="21"/>
                <w:highlight w:val="none"/>
              </w:rPr>
            </w:pPr>
          </w:p>
        </w:tc>
        <w:tc>
          <w:tcPr>
            <w:tcW w:w="976" w:type="dxa"/>
            <w:vAlign w:val="center"/>
          </w:tcPr>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主观分</w:t>
            </w:r>
          </w:p>
        </w:tc>
        <w:tc>
          <w:tcPr>
            <w:tcW w:w="6235" w:type="dxa"/>
            <w:vAlign w:val="center"/>
          </w:tcPr>
          <w:p>
            <w:pPr>
              <w:spacing w:line="36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根据供应商对本</w:t>
            </w:r>
            <w:r>
              <w:rPr>
                <w:rFonts w:hint="eastAsia" w:ascii="宋体" w:hAnsi="宋体"/>
                <w:color w:val="auto"/>
                <w:szCs w:val="21"/>
                <w:highlight w:val="none"/>
              </w:rPr>
              <w:t>项目建设方案与项目需求的吻合程度</w:t>
            </w:r>
            <w:r>
              <w:rPr>
                <w:rFonts w:hint="eastAsia" w:ascii="宋体" w:hAnsi="宋体" w:cs="仿宋_GB2312"/>
                <w:color w:val="auto"/>
                <w:kern w:val="0"/>
                <w:szCs w:val="21"/>
                <w:highlight w:val="none"/>
              </w:rPr>
              <w:t>进行综合评议</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rPr>
              <w:t>本项最多得</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w:t>
            </w:r>
            <w:r>
              <w:rPr>
                <w:rFonts w:hint="eastAsia"/>
                <w:color w:val="auto"/>
                <w:highlight w:val="none"/>
              </w:rPr>
              <w:t>，未提供不得分</w:t>
            </w:r>
            <w:r>
              <w:rPr>
                <w:rFonts w:hint="eastAsia" w:ascii="宋体" w:hAnsi="宋体" w:cs="仿宋_GB2312"/>
                <w:color w:val="auto"/>
                <w:kern w:val="0"/>
                <w:szCs w:val="21"/>
                <w:highlight w:val="none"/>
              </w:rPr>
              <w:t>。</w:t>
            </w:r>
          </w:p>
          <w:p>
            <w:pPr>
              <w:spacing w:line="360" w:lineRule="exact"/>
              <w:rPr>
                <w:color w:val="auto"/>
                <w:sz w:val="21"/>
                <w:szCs w:val="21"/>
                <w:highlight w:val="none"/>
              </w:rPr>
            </w:pPr>
            <w:r>
              <w:rPr>
                <w:rFonts w:hint="eastAsia" w:ascii="宋体" w:hAnsi="宋体" w:cs="仿宋_GB2312"/>
                <w:color w:val="auto"/>
                <w:kern w:val="0"/>
                <w:szCs w:val="21"/>
                <w:highlight w:val="none"/>
              </w:rPr>
              <w:t>①</w:t>
            </w:r>
            <w:r>
              <w:rPr>
                <w:rFonts w:hint="eastAsia" w:ascii="宋体" w:hAnsi="宋体" w:cs="仿宋_GB2312"/>
                <w:color w:val="auto"/>
                <w:kern w:val="0"/>
                <w:szCs w:val="21"/>
                <w:highlight w:val="none"/>
                <w:lang w:val="en-US" w:eastAsia="zh-CN"/>
              </w:rPr>
              <w:t>建设</w:t>
            </w:r>
            <w:r>
              <w:rPr>
                <w:rFonts w:hint="eastAsia"/>
                <w:color w:val="auto"/>
                <w:sz w:val="21"/>
                <w:szCs w:val="21"/>
                <w:highlight w:val="none"/>
              </w:rPr>
              <w:t>方案内容详实、科学，操作性强、契合项目实际情况的得3分；</w:t>
            </w:r>
          </w:p>
          <w:p>
            <w:pPr>
              <w:spacing w:line="360" w:lineRule="exact"/>
              <w:rPr>
                <w:color w:val="auto"/>
                <w:sz w:val="21"/>
                <w:szCs w:val="21"/>
                <w:highlight w:val="none"/>
              </w:rPr>
            </w:pPr>
            <w:r>
              <w:rPr>
                <w:rFonts w:hint="eastAsia" w:ascii="宋体" w:hAnsi="宋体" w:cs="仿宋_GB2312"/>
                <w:color w:val="auto"/>
                <w:kern w:val="0"/>
                <w:szCs w:val="21"/>
                <w:highlight w:val="none"/>
              </w:rPr>
              <w:t>②</w:t>
            </w:r>
            <w:r>
              <w:rPr>
                <w:rFonts w:hint="eastAsia" w:ascii="宋体" w:hAnsi="宋体" w:cs="仿宋_GB2312"/>
                <w:color w:val="auto"/>
                <w:kern w:val="0"/>
                <w:szCs w:val="21"/>
                <w:highlight w:val="none"/>
                <w:lang w:val="en-US" w:eastAsia="zh-CN"/>
              </w:rPr>
              <w:t>建设</w:t>
            </w:r>
            <w:r>
              <w:rPr>
                <w:rFonts w:hint="eastAsia"/>
                <w:color w:val="auto"/>
                <w:sz w:val="21"/>
                <w:szCs w:val="21"/>
                <w:highlight w:val="none"/>
              </w:rPr>
              <w:t>方案内容编制基本完整、科学，基本吻合项目情况的得2分；</w:t>
            </w:r>
          </w:p>
          <w:p>
            <w:pPr>
              <w:spacing w:line="360" w:lineRule="exact"/>
              <w:rPr>
                <w:color w:val="auto"/>
                <w:sz w:val="21"/>
                <w:szCs w:val="21"/>
                <w:highlight w:val="none"/>
              </w:rPr>
            </w:pPr>
            <w:r>
              <w:rPr>
                <w:rFonts w:hint="eastAsia" w:ascii="宋体" w:hAnsi="宋体" w:cs="仿宋_GB2312"/>
                <w:color w:val="auto"/>
                <w:kern w:val="0"/>
                <w:szCs w:val="21"/>
                <w:highlight w:val="none"/>
              </w:rPr>
              <w:t>③</w:t>
            </w:r>
            <w:r>
              <w:rPr>
                <w:rFonts w:hint="eastAsia" w:ascii="宋体" w:hAnsi="宋体" w:cs="仿宋_GB2312"/>
                <w:color w:val="auto"/>
                <w:kern w:val="0"/>
                <w:szCs w:val="21"/>
                <w:highlight w:val="none"/>
                <w:lang w:val="en-US" w:eastAsia="zh-CN"/>
              </w:rPr>
              <w:t>建设方案</w:t>
            </w:r>
            <w:r>
              <w:rPr>
                <w:rFonts w:hint="eastAsia"/>
                <w:color w:val="auto"/>
                <w:sz w:val="21"/>
                <w:szCs w:val="21"/>
                <w:highlight w:val="none"/>
              </w:rPr>
              <w:t>内容编制混乱、操作性弱、与项目实际情况存在偏差的得1分；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57" w:type="dxa"/>
            <w:vMerge w:val="continue"/>
            <w:vAlign w:val="center"/>
          </w:tcPr>
          <w:p>
            <w:pPr>
              <w:widowControl/>
              <w:spacing w:line="276" w:lineRule="auto"/>
              <w:ind w:firstLine="360"/>
              <w:rPr>
                <w:rFonts w:ascii="宋体" w:hAnsi="宋体"/>
                <w:color w:val="auto"/>
                <w:sz w:val="21"/>
                <w:szCs w:val="21"/>
                <w:highlight w:val="none"/>
              </w:rPr>
            </w:pPr>
          </w:p>
        </w:tc>
        <w:tc>
          <w:tcPr>
            <w:tcW w:w="1405" w:type="dxa"/>
            <w:vMerge w:val="continue"/>
            <w:vAlign w:val="center"/>
          </w:tcPr>
          <w:p>
            <w:pPr>
              <w:spacing w:line="276" w:lineRule="auto"/>
              <w:rPr>
                <w:rFonts w:hint="eastAsia" w:ascii="宋体" w:hAnsi="宋体" w:cs="宋体"/>
                <w:color w:val="auto"/>
                <w:kern w:val="0"/>
                <w:sz w:val="21"/>
                <w:szCs w:val="21"/>
                <w:highlight w:val="none"/>
              </w:rPr>
            </w:pPr>
          </w:p>
        </w:tc>
        <w:tc>
          <w:tcPr>
            <w:tcW w:w="976" w:type="dxa"/>
            <w:vAlign w:val="center"/>
          </w:tcPr>
          <w:p>
            <w:p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主观分</w:t>
            </w:r>
          </w:p>
        </w:tc>
        <w:tc>
          <w:tcPr>
            <w:tcW w:w="6235" w:type="dxa"/>
            <w:vAlign w:val="center"/>
          </w:tcPr>
          <w:p>
            <w:pPr>
              <w:spacing w:line="36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根据供应商对本</w:t>
            </w:r>
            <w:r>
              <w:rPr>
                <w:rFonts w:hint="eastAsia" w:ascii="宋体" w:hAnsi="宋体"/>
                <w:color w:val="auto"/>
                <w:szCs w:val="21"/>
                <w:highlight w:val="none"/>
              </w:rPr>
              <w:t>项目</w:t>
            </w:r>
            <w:r>
              <w:rPr>
                <w:rFonts w:hint="eastAsia" w:ascii="宋体" w:hAnsi="宋体"/>
                <w:color w:val="auto"/>
                <w:szCs w:val="21"/>
                <w:highlight w:val="none"/>
                <w:lang w:val="en-US" w:eastAsia="zh-CN"/>
              </w:rPr>
              <w:t>的巡检方案进行评议，</w:t>
            </w:r>
            <w:r>
              <w:rPr>
                <w:rFonts w:hint="eastAsia" w:ascii="宋体" w:hAnsi="宋体" w:cs="仿宋_GB2312"/>
                <w:color w:val="auto"/>
                <w:kern w:val="0"/>
                <w:szCs w:val="21"/>
                <w:highlight w:val="none"/>
              </w:rPr>
              <w:t>本项最多得</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w:t>
            </w:r>
            <w:r>
              <w:rPr>
                <w:rFonts w:hint="eastAsia"/>
                <w:color w:val="auto"/>
                <w:highlight w:val="none"/>
              </w:rPr>
              <w:t>，未提供不得分</w:t>
            </w:r>
            <w:r>
              <w:rPr>
                <w:rFonts w:hint="eastAsia" w:ascii="宋体" w:hAnsi="宋体" w:cs="仿宋_GB2312"/>
                <w:color w:val="auto"/>
                <w:kern w:val="0"/>
                <w:szCs w:val="21"/>
                <w:highlight w:val="none"/>
              </w:rPr>
              <w:t>。</w:t>
            </w:r>
          </w:p>
          <w:p>
            <w:pPr>
              <w:spacing w:line="36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①供应商</w:t>
            </w:r>
            <w:r>
              <w:rPr>
                <w:rFonts w:hint="eastAsia" w:ascii="宋体" w:hAnsi="宋体" w:cs="仿宋_GB2312"/>
                <w:color w:val="auto"/>
                <w:kern w:val="0"/>
                <w:szCs w:val="21"/>
                <w:highlight w:val="none"/>
                <w:lang w:val="en-US" w:eastAsia="zh-CN"/>
              </w:rPr>
              <w:t>所提交的</w:t>
            </w:r>
            <w:r>
              <w:rPr>
                <w:rFonts w:hint="eastAsia" w:ascii="宋体" w:hAnsi="宋体"/>
                <w:color w:val="auto"/>
                <w:szCs w:val="21"/>
                <w:highlight w:val="none"/>
                <w:lang w:val="en-US" w:eastAsia="zh-CN"/>
              </w:rPr>
              <w:t>巡检方案</w:t>
            </w:r>
            <w:r>
              <w:rPr>
                <w:rFonts w:hint="eastAsia" w:ascii="宋体" w:hAnsi="宋体" w:cs="仿宋_GB2312"/>
                <w:color w:val="auto"/>
                <w:kern w:val="0"/>
                <w:szCs w:val="21"/>
                <w:highlight w:val="none"/>
                <w:lang w:val="en-US" w:eastAsia="zh-CN"/>
              </w:rPr>
              <w:t>时间安排合理，符合项目实际情况</w:t>
            </w: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参与人员的专业性满足巡检需求的</w:t>
            </w:r>
            <w:r>
              <w:rPr>
                <w:rFonts w:hint="eastAsia" w:ascii="宋体" w:hAnsi="宋体" w:cs="仿宋_GB2312"/>
                <w:color w:val="auto"/>
                <w:kern w:val="0"/>
                <w:szCs w:val="21"/>
                <w:highlight w:val="none"/>
              </w:rPr>
              <w:t>，得</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分；</w:t>
            </w:r>
          </w:p>
          <w:p>
            <w:pPr>
              <w:spacing w:line="36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②供应商</w:t>
            </w:r>
            <w:r>
              <w:rPr>
                <w:rFonts w:hint="eastAsia" w:ascii="宋体" w:hAnsi="宋体" w:cs="仿宋_GB2312"/>
                <w:color w:val="auto"/>
                <w:kern w:val="0"/>
                <w:szCs w:val="21"/>
                <w:highlight w:val="none"/>
                <w:lang w:val="en-US" w:eastAsia="zh-CN"/>
              </w:rPr>
              <w:t>所提交的</w:t>
            </w:r>
            <w:r>
              <w:rPr>
                <w:rFonts w:hint="eastAsia" w:ascii="宋体" w:hAnsi="宋体"/>
                <w:color w:val="auto"/>
                <w:szCs w:val="21"/>
                <w:highlight w:val="none"/>
                <w:lang w:val="en-US" w:eastAsia="zh-CN"/>
              </w:rPr>
              <w:t>巡检方案</w:t>
            </w:r>
            <w:r>
              <w:rPr>
                <w:rFonts w:hint="eastAsia" w:ascii="宋体" w:hAnsi="宋体" w:cs="仿宋_GB2312"/>
                <w:color w:val="auto"/>
                <w:kern w:val="0"/>
                <w:szCs w:val="21"/>
                <w:highlight w:val="none"/>
                <w:lang w:val="en-US" w:eastAsia="zh-CN"/>
              </w:rPr>
              <w:t>时间安排基本合理</w:t>
            </w: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基本符合项目实际情况</w:t>
            </w: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参与人员专业性基本满足巡检需求的</w:t>
            </w:r>
            <w:r>
              <w:rPr>
                <w:rFonts w:hint="eastAsia" w:ascii="宋体" w:hAnsi="宋体" w:cs="仿宋_GB2312"/>
                <w:color w:val="auto"/>
                <w:kern w:val="0"/>
                <w:szCs w:val="21"/>
                <w:highlight w:val="none"/>
              </w:rPr>
              <w:t>，得</w:t>
            </w:r>
            <w:r>
              <w:rPr>
                <w:rFonts w:hint="eastAsia" w:ascii="宋体" w:hAnsi="宋体" w:cs="仿宋_GB2312"/>
                <w:color w:val="auto"/>
                <w:kern w:val="0"/>
                <w:szCs w:val="21"/>
                <w:highlight w:val="none"/>
                <w:lang w:val="en-US" w:eastAsia="zh-CN"/>
              </w:rPr>
              <w:t>2</w:t>
            </w:r>
            <w:r>
              <w:rPr>
                <w:rFonts w:hint="eastAsia" w:ascii="宋体" w:hAnsi="宋体" w:cs="仿宋_GB2312"/>
                <w:color w:val="auto"/>
                <w:kern w:val="0"/>
                <w:szCs w:val="21"/>
                <w:highlight w:val="none"/>
              </w:rPr>
              <w:t>分；</w:t>
            </w:r>
          </w:p>
          <w:p>
            <w:pPr>
              <w:spacing w:line="360" w:lineRule="exact"/>
              <w:rPr>
                <w:rFonts w:hint="default"/>
                <w:color w:val="auto"/>
                <w:highlight w:val="none"/>
                <w:lang w:val="en-US" w:eastAsia="zh-CN"/>
              </w:rPr>
            </w:pPr>
            <w:r>
              <w:rPr>
                <w:rFonts w:hint="eastAsia" w:ascii="宋体" w:hAnsi="宋体" w:cs="仿宋_GB2312"/>
                <w:color w:val="auto"/>
                <w:kern w:val="0"/>
                <w:szCs w:val="21"/>
                <w:highlight w:val="none"/>
              </w:rPr>
              <w:t>③供应商</w:t>
            </w:r>
            <w:r>
              <w:rPr>
                <w:rFonts w:hint="eastAsia" w:ascii="宋体" w:hAnsi="宋体" w:cs="仿宋_GB2312"/>
                <w:color w:val="auto"/>
                <w:kern w:val="0"/>
                <w:szCs w:val="21"/>
                <w:highlight w:val="none"/>
                <w:lang w:val="en-US" w:eastAsia="zh-CN"/>
              </w:rPr>
              <w:t>所提交的</w:t>
            </w:r>
            <w:r>
              <w:rPr>
                <w:rFonts w:hint="eastAsia" w:ascii="宋体" w:hAnsi="宋体"/>
                <w:color w:val="auto"/>
                <w:szCs w:val="21"/>
                <w:highlight w:val="none"/>
                <w:lang w:val="en-US" w:eastAsia="zh-CN"/>
              </w:rPr>
              <w:t>巡检方案</w:t>
            </w:r>
            <w:r>
              <w:rPr>
                <w:rFonts w:hint="eastAsia" w:ascii="宋体" w:hAnsi="宋体" w:cs="仿宋_GB2312"/>
                <w:color w:val="auto"/>
                <w:kern w:val="0"/>
                <w:szCs w:val="21"/>
                <w:highlight w:val="none"/>
                <w:lang w:val="en-US" w:eastAsia="zh-CN"/>
              </w:rPr>
              <w:t>时间安排不合理</w:t>
            </w: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不符合项目实际情况，参与人员不具备专业性的</w:t>
            </w:r>
            <w:r>
              <w:rPr>
                <w:rFonts w:hint="eastAsia" w:ascii="宋体" w:hAnsi="宋体" w:cs="仿宋_GB2312"/>
                <w:color w:val="auto"/>
                <w:kern w:val="0"/>
                <w:szCs w:val="21"/>
                <w:highlight w:val="none"/>
              </w:rPr>
              <w:t>，得</w:t>
            </w:r>
            <w:r>
              <w:rPr>
                <w:rFonts w:hint="eastAsia" w:ascii="宋体" w:hAnsi="宋体" w:cs="仿宋_GB2312"/>
                <w:color w:val="auto"/>
                <w:kern w:val="0"/>
                <w:szCs w:val="21"/>
                <w:highlight w:val="none"/>
                <w:lang w:val="en-US" w:eastAsia="zh-CN"/>
              </w:rPr>
              <w:t>1</w:t>
            </w:r>
            <w:r>
              <w:rPr>
                <w:rFonts w:hint="eastAsia" w:ascii="宋体" w:hAnsi="宋体" w:cs="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57" w:type="dxa"/>
            <w:vMerge w:val="continue"/>
            <w:vAlign w:val="center"/>
          </w:tcPr>
          <w:p>
            <w:pPr>
              <w:spacing w:line="276" w:lineRule="auto"/>
              <w:ind w:firstLine="360"/>
              <w:rPr>
                <w:rFonts w:ascii="宋体" w:hAnsi="宋体"/>
                <w:color w:val="auto"/>
                <w:sz w:val="21"/>
                <w:szCs w:val="21"/>
                <w:highlight w:val="none"/>
              </w:rPr>
            </w:pPr>
          </w:p>
        </w:tc>
        <w:tc>
          <w:tcPr>
            <w:tcW w:w="1405" w:type="dxa"/>
            <w:vAlign w:val="center"/>
          </w:tcPr>
          <w:p>
            <w:pPr>
              <w:spacing w:line="276" w:lineRule="auto"/>
              <w:rPr>
                <w:rFonts w:ascii="宋体" w:hAnsi="宋体" w:cs="宋体"/>
                <w:color w:val="auto"/>
                <w:sz w:val="21"/>
                <w:szCs w:val="21"/>
                <w:highlight w:val="none"/>
              </w:rPr>
            </w:pPr>
            <w:bookmarkStart w:id="80" w:name="_Hlk143112306"/>
            <w:r>
              <w:rPr>
                <w:rFonts w:hint="eastAsia" w:ascii="宋体" w:hAnsi="宋体" w:cs="宋体"/>
                <w:color w:val="auto"/>
                <w:kern w:val="0"/>
                <w:sz w:val="21"/>
                <w:szCs w:val="21"/>
                <w:highlight w:val="none"/>
              </w:rPr>
              <w:t>培训方案</w:t>
            </w:r>
            <w:bookmarkEnd w:id="80"/>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976" w:type="dxa"/>
            <w:vAlign w:val="center"/>
          </w:tcPr>
          <w:p>
            <w:p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主观分</w:t>
            </w:r>
          </w:p>
        </w:tc>
        <w:tc>
          <w:tcPr>
            <w:tcW w:w="6235" w:type="dxa"/>
            <w:vAlign w:val="center"/>
          </w:tcPr>
          <w:p>
            <w:pPr>
              <w:numPr>
                <w:ilvl w:val="0"/>
                <w:numId w:val="0"/>
              </w:numPr>
              <w:spacing w:line="300" w:lineRule="exact"/>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color w:val="auto"/>
                <w:highlight w:val="none"/>
              </w:rPr>
              <w:t>投标人</w:t>
            </w:r>
            <w:r>
              <w:rPr>
                <w:rFonts w:hint="eastAsia" w:ascii="宋体" w:hAnsi="宋体" w:cs="宋体"/>
                <w:bCs/>
                <w:color w:val="auto"/>
                <w:szCs w:val="21"/>
                <w:highlight w:val="none"/>
              </w:rPr>
              <w:t>提供的培训方案、计划的可行性及合理性。要求方案内容包含但不限于培训师资、培训课程、培训时间、培训方式等内容，本项最高得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分，未提供不得分。</w:t>
            </w:r>
          </w:p>
          <w:p>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（1）培训方案的细化全面、逻辑清晰程度（</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分）</w:t>
            </w:r>
          </w:p>
          <w:p>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（2）培训人员的专业性及培训内容与项目实际情况的切合程度（</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分）</w:t>
            </w:r>
          </w:p>
          <w:p>
            <w:pPr>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）培训内容的丰富程度及培训时间的长短频率能够满足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lang w:eastAsia="zh-CN"/>
              </w:rPr>
              <w:t>对本项目设备产品的理解操作（</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538" w:type="dxa"/>
            <w:gridSpan w:val="3"/>
            <w:vAlign w:val="center"/>
          </w:tcPr>
          <w:p>
            <w:pPr>
              <w:spacing w:before="146" w:beforeLines="50" w:line="360" w:lineRule="exact"/>
              <w:jc w:val="center"/>
              <w:rPr>
                <w:rFonts w:hint="eastAsia" w:ascii="宋体" w:hAnsi="宋体" w:cs="宋体"/>
                <w:color w:val="auto"/>
                <w:sz w:val="21"/>
                <w:szCs w:val="21"/>
                <w:highlight w:val="none"/>
              </w:rPr>
            </w:pPr>
            <w:r>
              <w:rPr>
                <w:rFonts w:hint="eastAsia" w:ascii="宋体" w:hAnsi="宋体"/>
                <w:snapToGrid w:val="0"/>
                <w:color w:val="auto"/>
                <w:spacing w:val="-4"/>
                <w:szCs w:val="21"/>
                <w:highlight w:val="none"/>
              </w:rPr>
              <w:t>报价分（满分3</w:t>
            </w:r>
            <w:r>
              <w:rPr>
                <w:rFonts w:hint="eastAsia" w:ascii="宋体" w:hAnsi="宋体"/>
                <w:snapToGrid w:val="0"/>
                <w:color w:val="auto"/>
                <w:spacing w:val="-4"/>
                <w:szCs w:val="21"/>
                <w:highlight w:val="none"/>
                <w:lang w:val="en-US" w:eastAsia="zh-CN"/>
              </w:rPr>
              <w:t>1</w:t>
            </w:r>
            <w:r>
              <w:rPr>
                <w:rFonts w:hint="eastAsia" w:ascii="宋体" w:hAnsi="宋体"/>
                <w:snapToGrid w:val="0"/>
                <w:color w:val="auto"/>
                <w:spacing w:val="-4"/>
                <w:szCs w:val="21"/>
                <w:highlight w:val="none"/>
              </w:rPr>
              <w:t>分）</w:t>
            </w:r>
          </w:p>
        </w:tc>
        <w:tc>
          <w:tcPr>
            <w:tcW w:w="6235" w:type="dxa"/>
          </w:tcPr>
          <w:p>
            <w:pPr>
              <w:widowControl/>
              <w:spacing w:line="360" w:lineRule="exact"/>
              <w:rPr>
                <w:rFonts w:ascii="宋体" w:hAnsi="宋体"/>
                <w:color w:val="auto"/>
                <w:szCs w:val="21"/>
                <w:highlight w:val="none"/>
              </w:rPr>
            </w:pPr>
            <w:r>
              <w:rPr>
                <w:rFonts w:hint="eastAsia" w:ascii="宋体" w:hAnsi="宋体"/>
                <w:color w:val="auto"/>
                <w:szCs w:val="21"/>
                <w:highlight w:val="none"/>
              </w:rPr>
              <w:t>评标基准价指的是满足招标文件要求且最低的参与评审的价格。</w:t>
            </w:r>
          </w:p>
          <w:p>
            <w:pPr>
              <w:widowControl/>
              <w:spacing w:line="360" w:lineRule="exact"/>
              <w:rPr>
                <w:rFonts w:ascii="宋体" w:hAnsi="宋体"/>
                <w:color w:val="auto"/>
                <w:szCs w:val="21"/>
                <w:highlight w:val="none"/>
              </w:rPr>
            </w:pPr>
            <w:r>
              <w:rPr>
                <w:rFonts w:hint="eastAsia" w:ascii="宋体" w:hAnsi="宋体"/>
                <w:color w:val="auto"/>
                <w:szCs w:val="21"/>
                <w:highlight w:val="none"/>
              </w:rPr>
              <w:t>参与评审的价格=投标报价</w:t>
            </w:r>
            <w:r>
              <w:rPr>
                <w:rFonts w:hint="eastAsia" w:ascii="宋体" w:hAnsi="宋体" w:cs="宋体"/>
                <w:color w:val="auto"/>
                <w:szCs w:val="21"/>
                <w:highlight w:val="none"/>
              </w:rPr>
              <w:t>-小微企业价格扣除优惠值（如有）</w:t>
            </w:r>
            <w:r>
              <w:rPr>
                <w:rFonts w:hint="eastAsia" w:ascii="宋体" w:hAnsi="宋体"/>
                <w:color w:val="auto"/>
                <w:szCs w:val="21"/>
                <w:highlight w:val="none"/>
              </w:rPr>
              <w:t>。</w:t>
            </w:r>
          </w:p>
          <w:p>
            <w:pPr>
              <w:widowControl/>
              <w:spacing w:line="360" w:lineRule="exact"/>
              <w:rPr>
                <w:rFonts w:ascii="宋体" w:hAnsi="宋体"/>
                <w:color w:val="auto"/>
                <w:szCs w:val="21"/>
                <w:highlight w:val="none"/>
              </w:rPr>
            </w:pPr>
            <w:r>
              <w:rPr>
                <w:rFonts w:hint="eastAsia" w:ascii="宋体" w:hAnsi="宋体"/>
                <w:color w:val="auto"/>
                <w:szCs w:val="21"/>
                <w:highlight w:val="none"/>
              </w:rPr>
              <w:t>参与评审的价格为评标基准价的其价格得分得满分</w:t>
            </w:r>
            <w:r>
              <w:rPr>
                <w:rFonts w:hint="eastAsia" w:ascii="宋体" w:hAnsi="宋体"/>
                <w:color w:val="auto"/>
                <w:szCs w:val="21"/>
                <w:highlight w:val="none"/>
                <w:u w:val="single"/>
              </w:rPr>
              <w:t>3</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分。</w:t>
            </w:r>
          </w:p>
          <w:p>
            <w:pPr>
              <w:widowControl/>
              <w:spacing w:line="360" w:lineRule="exact"/>
              <w:rPr>
                <w:rFonts w:ascii="宋体" w:hAnsi="宋体"/>
                <w:color w:val="auto"/>
                <w:szCs w:val="21"/>
                <w:highlight w:val="none"/>
              </w:rPr>
            </w:pPr>
            <w:r>
              <w:rPr>
                <w:rFonts w:hint="eastAsia" w:ascii="宋体" w:hAnsi="宋体"/>
                <w:color w:val="auto"/>
                <w:szCs w:val="21"/>
                <w:highlight w:val="none"/>
              </w:rPr>
              <w:t>其他供应商价格得分按照下列公式计算：</w:t>
            </w:r>
          </w:p>
          <w:p>
            <w:pPr>
              <w:widowControl/>
              <w:spacing w:line="360" w:lineRule="exact"/>
              <w:rPr>
                <w:rFonts w:ascii="宋体" w:hAnsi="宋体"/>
                <w:color w:val="auto"/>
                <w:szCs w:val="21"/>
                <w:highlight w:val="none"/>
              </w:rPr>
            </w:pPr>
            <w:r>
              <w:rPr>
                <w:rFonts w:hint="eastAsia" w:ascii="宋体" w:hAnsi="宋体"/>
                <w:color w:val="auto"/>
                <w:szCs w:val="21"/>
                <w:highlight w:val="none"/>
              </w:rPr>
              <w:t>价格得分=（评标基准价/各供应商参与评审的价格）×</w:t>
            </w:r>
            <w:r>
              <w:rPr>
                <w:rFonts w:hint="eastAsia" w:ascii="宋体" w:hAnsi="宋体"/>
                <w:color w:val="auto"/>
                <w:szCs w:val="21"/>
                <w:highlight w:val="none"/>
                <w:u w:val="single"/>
              </w:rPr>
              <w:t>3</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w:t>
            </w:r>
          </w:p>
          <w:p>
            <w:pPr>
              <w:widowControl/>
              <w:spacing w:line="360" w:lineRule="exact"/>
              <w:rPr>
                <w:rFonts w:ascii="宋体" w:hAnsi="宋体"/>
                <w:color w:val="auto"/>
                <w:szCs w:val="21"/>
                <w:highlight w:val="none"/>
              </w:rPr>
            </w:pPr>
            <w:r>
              <w:rPr>
                <w:rFonts w:hint="eastAsia" w:ascii="宋体" w:hAnsi="宋体"/>
                <w:color w:val="auto"/>
                <w:szCs w:val="21"/>
                <w:highlight w:val="none"/>
              </w:rPr>
              <w:t>注：1、投标报价超过对应最高限价的作无效标处理。</w:t>
            </w:r>
          </w:p>
          <w:p>
            <w:pPr>
              <w:widowControl/>
              <w:spacing w:line="360" w:lineRule="exact"/>
              <w:rPr>
                <w:rFonts w:ascii="宋体" w:hAnsi="宋体"/>
                <w:color w:val="auto"/>
                <w:szCs w:val="21"/>
                <w:highlight w:val="none"/>
              </w:rPr>
            </w:pPr>
            <w:r>
              <w:rPr>
                <w:rFonts w:hint="eastAsia" w:ascii="宋体" w:hAnsi="宋体"/>
                <w:color w:val="auto"/>
                <w:szCs w:val="21"/>
                <w:highlight w:val="none"/>
              </w:rPr>
              <w:t>2、价格得分小数点后保留2位小数，第3位小数四舍五入。</w:t>
            </w:r>
          </w:p>
          <w:p>
            <w:pPr>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根据《政府采购促进中小企业发展管理办法》（财库[2020]46号）、《财政部关于进一步加大政府采购支持中小企业力度的通知》（财库〔2022〕19号），对符合规定的小微企业报价给予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%的扣除，用扣除后的价格参加评审。</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b w:val="0"/>
                <w:w w:val="100"/>
                <w:sz w:val="21"/>
                <w:highlight w:val="none"/>
                <w:lang w:eastAsia="zh-CN"/>
              </w:rPr>
              <w:t>对于联合协议或者分包意向协议约定小微企业的合同份额占到合同总金额30%以上的，联合体或者大中型企业的投标报价按</w:t>
            </w:r>
            <w:r>
              <w:rPr>
                <w:rFonts w:hint="eastAsia"/>
                <w:b w:val="0"/>
                <w:w w:val="100"/>
                <w:sz w:val="21"/>
                <w:highlight w:val="none"/>
                <w:lang w:val="en-US" w:eastAsia="zh-CN"/>
              </w:rPr>
              <w:t>6</w:t>
            </w:r>
            <w:r>
              <w:rPr>
                <w:rFonts w:hint="eastAsia" w:ascii="宋体" w:hAnsi="宋体" w:eastAsia="宋体"/>
                <w:b w:val="0"/>
                <w:w w:val="100"/>
                <w:sz w:val="21"/>
                <w:highlight w:val="none"/>
                <w:lang w:eastAsia="zh-CN"/>
              </w:rPr>
              <w:t>%给予扣除，用扣除后的价格参加评审。</w:t>
            </w:r>
          </w:p>
        </w:tc>
      </w:tr>
    </w:tbl>
    <w:p>
      <w:pPr>
        <w:rPr>
          <w:color w:val="auto"/>
          <w:highlight w:val="none"/>
        </w:rPr>
      </w:pPr>
      <w:r>
        <w:rPr>
          <w:color w:val="auto"/>
          <w:highlight w:val="none"/>
        </w:rPr>
        <w:br w:type="page"/>
      </w:r>
    </w:p>
    <w:p>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第六章 采购合同</w:t>
      </w:r>
    </w:p>
    <w:p>
      <w:pPr>
        <w:pStyle w:val="21"/>
        <w:snapToGrid w:val="0"/>
        <w:spacing w:before="120" w:after="120" w:line="276" w:lineRule="auto"/>
        <w:jc w:val="center"/>
        <w:rPr>
          <w:rFonts w:hAnsi="宋体" w:cs="宋体"/>
          <w:b/>
          <w:bCs/>
          <w:color w:val="auto"/>
          <w:highlight w:val="none"/>
        </w:rPr>
      </w:pPr>
    </w:p>
    <w:p>
      <w:pPr>
        <w:widowControl/>
        <w:snapToGrid w:val="0"/>
        <w:spacing w:line="700" w:lineRule="exac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lang w:eastAsia="zh-CN"/>
        </w:rPr>
        <w:t>余姚市中考听力广播系统项目</w:t>
      </w:r>
      <w:r>
        <w:rPr>
          <w:rFonts w:hint="eastAsia" w:ascii="宋体" w:hAnsi="宋体" w:cs="宋体"/>
          <w:color w:val="auto"/>
          <w:kern w:val="0"/>
          <w:sz w:val="32"/>
          <w:szCs w:val="32"/>
          <w:highlight w:val="none"/>
        </w:rPr>
        <w:t>合同</w:t>
      </w:r>
    </w:p>
    <w:p>
      <w:pPr>
        <w:spacing w:line="320" w:lineRule="exact"/>
        <w:jc w:val="center"/>
        <w:rPr>
          <w:rFonts w:ascii="黑体" w:hAnsi="黑体" w:eastAsia="黑体"/>
          <w:color w:val="auto"/>
          <w:sz w:val="30"/>
          <w:szCs w:val="30"/>
          <w:highlight w:val="none"/>
        </w:rPr>
      </w:pPr>
    </w:p>
    <w:p>
      <w:pPr>
        <w:spacing w:line="320" w:lineRule="exact"/>
        <w:jc w:val="center"/>
        <w:rPr>
          <w:rFonts w:ascii="黑体" w:hAnsi="黑体" w:eastAsia="黑体"/>
          <w:color w:val="auto"/>
          <w:sz w:val="30"/>
          <w:szCs w:val="30"/>
          <w:highlight w:val="none"/>
        </w:rPr>
      </w:pPr>
    </w:p>
    <w:p>
      <w:pPr>
        <w:widowControl/>
        <w:snapToGrid w:val="0"/>
        <w:spacing w:line="660" w:lineRule="exact"/>
        <w:jc w:val="center"/>
        <w:rPr>
          <w:rFonts w:ascii="宋体" w:hAnsi="宋体" w:cs="宋体"/>
          <w:color w:val="auto"/>
          <w:kern w:val="0"/>
          <w:sz w:val="36"/>
          <w:szCs w:val="36"/>
          <w:highlight w:val="none"/>
        </w:rPr>
      </w:pPr>
    </w:p>
    <w:p>
      <w:pPr>
        <w:spacing w:line="320" w:lineRule="exact"/>
        <w:jc w:val="center"/>
        <w:rPr>
          <w:b/>
          <w:color w:val="auto"/>
          <w:szCs w:val="21"/>
          <w:highlight w:val="none"/>
        </w:rPr>
      </w:pPr>
    </w:p>
    <w:p>
      <w:pPr>
        <w:widowControl/>
        <w:snapToGrid w:val="0"/>
        <w:jc w:val="left"/>
        <w:rPr>
          <w:rFonts w:ascii="宋体" w:hAnsi="宋体" w:cs="宋体"/>
          <w:b/>
          <w:color w:val="auto"/>
          <w:kern w:val="0"/>
          <w:sz w:val="44"/>
          <w:szCs w:val="44"/>
          <w:highlight w:val="none"/>
        </w:rPr>
      </w:pPr>
    </w:p>
    <w:p>
      <w:pPr>
        <w:widowControl/>
        <w:snapToGrid w:val="0"/>
        <w:jc w:val="left"/>
        <w:rPr>
          <w:rFonts w:ascii="宋体" w:hAnsi="宋体" w:cs="宋体"/>
          <w:b/>
          <w:color w:val="auto"/>
          <w:kern w:val="0"/>
          <w:sz w:val="44"/>
          <w:szCs w:val="44"/>
          <w:highlight w:val="none"/>
        </w:rPr>
      </w:pPr>
    </w:p>
    <w:p>
      <w:pPr>
        <w:widowControl/>
        <w:snapToGrid w:val="0"/>
        <w:jc w:val="left"/>
        <w:rPr>
          <w:rFonts w:ascii="宋体" w:hAnsi="宋体" w:cs="宋体"/>
          <w:b/>
          <w:color w:val="auto"/>
          <w:kern w:val="0"/>
          <w:sz w:val="44"/>
          <w:szCs w:val="44"/>
          <w:highlight w:val="none"/>
        </w:rPr>
      </w:pPr>
    </w:p>
    <w:p>
      <w:pPr>
        <w:spacing w:line="360" w:lineRule="auto"/>
        <w:ind w:firstLine="705" w:firstLineChars="25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甲方：</w:t>
      </w:r>
      <w:r>
        <w:rPr>
          <w:rFonts w:hint="eastAsia" w:ascii="宋体" w:hAnsi="宋体"/>
          <w:color w:val="auto"/>
          <w:sz w:val="28"/>
          <w:szCs w:val="28"/>
          <w:highlight w:val="none"/>
          <w:lang w:eastAsia="zh-CN"/>
        </w:rPr>
        <w:t>余姚市教育局</w:t>
      </w:r>
    </w:p>
    <w:p>
      <w:pPr>
        <w:spacing w:line="360" w:lineRule="auto"/>
        <w:ind w:firstLine="705" w:firstLineChars="250"/>
        <w:rPr>
          <w:rFonts w:ascii="宋体" w:hAnsi="宋体"/>
          <w:color w:val="auto"/>
          <w:sz w:val="28"/>
          <w:szCs w:val="28"/>
          <w:highlight w:val="none"/>
        </w:rPr>
      </w:pPr>
    </w:p>
    <w:p>
      <w:pPr>
        <w:spacing w:line="360" w:lineRule="auto"/>
        <w:ind w:firstLine="705" w:firstLineChars="250"/>
        <w:rPr>
          <w:rFonts w:ascii="宋体" w:hAnsi="宋体"/>
          <w:color w:val="auto"/>
          <w:sz w:val="28"/>
          <w:szCs w:val="28"/>
          <w:highlight w:val="none"/>
        </w:rPr>
      </w:pPr>
      <w:r>
        <w:rPr>
          <w:rFonts w:hint="eastAsia" w:ascii="宋体" w:hAnsi="宋体"/>
          <w:color w:val="auto"/>
          <w:sz w:val="28"/>
          <w:szCs w:val="28"/>
          <w:highlight w:val="none"/>
        </w:rPr>
        <w:t>乙方：</w:t>
      </w:r>
    </w:p>
    <w:p>
      <w:pPr>
        <w:spacing w:line="360" w:lineRule="auto"/>
        <w:rPr>
          <w:rFonts w:ascii="宋体" w:hAnsi="宋体"/>
          <w:color w:val="auto"/>
          <w:sz w:val="28"/>
          <w:szCs w:val="28"/>
          <w:highlight w:val="none"/>
        </w:rPr>
      </w:pPr>
    </w:p>
    <w:p>
      <w:pPr>
        <w:spacing w:line="360" w:lineRule="auto"/>
        <w:ind w:firstLine="705" w:firstLineChars="250"/>
        <w:rPr>
          <w:rFonts w:ascii="宋体" w:hAnsi="宋体"/>
          <w:color w:val="auto"/>
          <w:sz w:val="28"/>
          <w:szCs w:val="28"/>
          <w:highlight w:val="none"/>
        </w:rPr>
      </w:pPr>
      <w:r>
        <w:rPr>
          <w:rFonts w:hint="eastAsia" w:ascii="宋体" w:hAnsi="宋体"/>
          <w:color w:val="auto"/>
          <w:sz w:val="28"/>
          <w:szCs w:val="28"/>
          <w:highlight w:val="none"/>
        </w:rPr>
        <w:t>签署日期：202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r>
        <w:rPr>
          <w:rFonts w:ascii="宋体" w:hAnsi="宋体"/>
          <w:color w:val="auto"/>
          <w:sz w:val="28"/>
          <w:szCs w:val="28"/>
          <w:highlight w:val="none"/>
        </w:rPr>
        <w:t xml:space="preserve"> </w:t>
      </w:r>
    </w:p>
    <w:p>
      <w:pPr>
        <w:spacing w:line="360" w:lineRule="auto"/>
        <w:ind w:firstLine="705" w:firstLineChars="250"/>
        <w:rPr>
          <w:rFonts w:ascii="宋体" w:hAnsi="宋体"/>
          <w:color w:val="auto"/>
          <w:sz w:val="28"/>
          <w:szCs w:val="28"/>
          <w:highlight w:val="none"/>
        </w:rPr>
      </w:pPr>
    </w:p>
    <w:p>
      <w:pPr>
        <w:spacing w:line="360" w:lineRule="auto"/>
        <w:ind w:firstLine="705" w:firstLineChars="250"/>
        <w:rPr>
          <w:rFonts w:ascii="宋体" w:hAnsi="宋体"/>
          <w:color w:val="auto"/>
          <w:sz w:val="28"/>
          <w:szCs w:val="28"/>
          <w:highlight w:val="none"/>
        </w:rPr>
      </w:pPr>
      <w:r>
        <w:rPr>
          <w:rFonts w:hint="eastAsia" w:ascii="宋体" w:hAnsi="宋体"/>
          <w:color w:val="auto"/>
          <w:sz w:val="28"/>
          <w:szCs w:val="28"/>
          <w:highlight w:val="none"/>
        </w:rPr>
        <w:t>签署地点/方式：</w:t>
      </w:r>
    </w:p>
    <w:p>
      <w:pPr>
        <w:widowControl/>
        <w:snapToGrid w:val="0"/>
        <w:spacing w:before="100" w:beforeAutospacing="1" w:after="100" w:afterAutospacing="1" w:line="400" w:lineRule="exact"/>
        <w:jc w:val="left"/>
        <w:rPr>
          <w:rFonts w:ascii="宋体" w:hAnsi="宋体" w:cs="宋体"/>
          <w:color w:val="auto"/>
          <w:kern w:val="0"/>
          <w:szCs w:val="21"/>
          <w:highlight w:val="none"/>
        </w:rPr>
      </w:pPr>
    </w:p>
    <w:p>
      <w:pPr>
        <w:spacing w:after="120"/>
        <w:rPr>
          <w:color w:val="auto"/>
          <w:highlight w:val="none"/>
        </w:rPr>
      </w:pPr>
    </w:p>
    <w:p>
      <w:pPr>
        <w:spacing w:after="120"/>
        <w:rPr>
          <w:color w:val="auto"/>
          <w:highlight w:val="none"/>
        </w:rPr>
      </w:pPr>
    </w:p>
    <w:p>
      <w:pPr>
        <w:spacing w:after="120"/>
        <w:rPr>
          <w:color w:val="auto"/>
          <w:highlight w:val="none"/>
        </w:rPr>
      </w:pPr>
    </w:p>
    <w:p>
      <w:pPr>
        <w:spacing w:after="120"/>
        <w:rPr>
          <w:color w:val="auto"/>
          <w:highlight w:val="none"/>
        </w:rPr>
      </w:pPr>
    </w:p>
    <w:p>
      <w:pPr>
        <w:spacing w:after="120"/>
        <w:rPr>
          <w:color w:val="auto"/>
          <w:highlight w:val="none"/>
        </w:rPr>
      </w:pPr>
    </w:p>
    <w:p>
      <w:pPr>
        <w:spacing w:after="120"/>
        <w:rPr>
          <w:color w:val="auto"/>
          <w:highlight w:val="none"/>
        </w:rPr>
      </w:pPr>
    </w:p>
    <w:p>
      <w:pPr>
        <w:spacing w:after="120"/>
        <w:rPr>
          <w:rFonts w:ascii="宋体" w:hAnsi="宋体" w:cs="宋体"/>
          <w:color w:val="auto"/>
          <w:highlight w:val="none"/>
        </w:rPr>
      </w:pPr>
    </w:p>
    <w:p>
      <w:pPr>
        <w:snapToGrid w:val="0"/>
        <w:spacing w:line="440" w:lineRule="exact"/>
        <w:jc w:val="left"/>
        <w:rPr>
          <w:rFonts w:ascii="宋体" w:hAnsi="宋体" w:cs="宋体"/>
          <w:color w:val="auto"/>
          <w:kern w:val="0"/>
          <w:sz w:val="24"/>
          <w:szCs w:val="24"/>
          <w:highlight w:val="none"/>
        </w:rPr>
      </w:pPr>
    </w:p>
    <w:p>
      <w:pPr>
        <w:snapToGrid w:val="0"/>
        <w:spacing w:line="426" w:lineRule="exact"/>
        <w:jc w:val="left"/>
        <w:rPr>
          <w:rFonts w:ascii="黑体" w:hAnsi="黑体" w:eastAsia="黑体" w:cs="宋体"/>
          <w:color w:val="auto"/>
          <w:kern w:val="0"/>
          <w:szCs w:val="21"/>
          <w:highlight w:val="none"/>
        </w:rPr>
      </w:pPr>
    </w:p>
    <w:p>
      <w:pPr>
        <w:snapToGrid w:val="0"/>
        <w:spacing w:line="426" w:lineRule="exact"/>
        <w:jc w:val="left"/>
        <w:rPr>
          <w:rFonts w:ascii="宋体" w:hAnsi="宋体" w:cs="宋体"/>
          <w:color w:val="auto"/>
          <w:kern w:val="0"/>
          <w:sz w:val="24"/>
          <w:szCs w:val="24"/>
          <w:highlight w:val="none"/>
        </w:rPr>
      </w:pPr>
      <w:r>
        <w:rPr>
          <w:rFonts w:hint="eastAsia" w:ascii="宋体" w:hAnsi="宋体" w:cs="宋体"/>
          <w:color w:val="auto"/>
          <w:kern w:val="0"/>
          <w:szCs w:val="21"/>
          <w:highlight w:val="none"/>
        </w:rPr>
        <w:t xml:space="preserve">项目编号： </w:t>
      </w:r>
    </w:p>
    <w:p>
      <w:pPr>
        <w:snapToGrid w:val="0"/>
        <w:spacing w:line="426" w:lineRule="exact"/>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lang w:eastAsia="zh-CN"/>
        </w:rPr>
        <w:t>余姚市中考听力广播系统项目</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甲方（采购人）：</w:t>
      </w:r>
      <w:r>
        <w:rPr>
          <w:rFonts w:hint="eastAsia" w:ascii="宋体" w:hAnsi="宋体" w:cs="宋体"/>
          <w:color w:val="auto"/>
          <w:kern w:val="0"/>
          <w:szCs w:val="21"/>
          <w:highlight w:val="none"/>
          <w:u w:val="single"/>
          <w:lang w:eastAsia="zh-CN"/>
        </w:rPr>
        <w:t>余姚市教育局</w:t>
      </w:r>
      <w:r>
        <w:rPr>
          <w:rFonts w:hint="eastAsia" w:ascii="宋体" w:hAnsi="宋体" w:cs="宋体"/>
          <w:color w:val="auto"/>
          <w:kern w:val="0"/>
          <w:szCs w:val="21"/>
          <w:highlight w:val="none"/>
          <w:u w:val="single"/>
        </w:rPr>
        <w:t xml:space="preserve">      </w:t>
      </w:r>
    </w:p>
    <w:p>
      <w:pPr>
        <w:snapToGrid w:val="0"/>
        <w:spacing w:line="426"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乙方（中标人）：</w:t>
      </w:r>
      <w:r>
        <w:rPr>
          <w:rFonts w:hint="eastAsia" w:ascii="宋体" w:hAnsi="宋体" w:cs="宋体"/>
          <w:color w:val="auto"/>
          <w:kern w:val="0"/>
          <w:szCs w:val="21"/>
          <w:highlight w:val="none"/>
          <w:u w:val="single"/>
        </w:rPr>
        <w:t xml:space="preserve">                  </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甲、乙双方根据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余姚市中考听力广播系统项目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的采购结果，签署本合同，以资共同遵守。</w:t>
      </w:r>
    </w:p>
    <w:p>
      <w:pPr>
        <w:snapToGrid w:val="0"/>
        <w:spacing w:line="426" w:lineRule="exact"/>
        <w:jc w:val="left"/>
        <w:rPr>
          <w:rFonts w:ascii="宋体" w:hAnsi="宋体" w:cs="宋体"/>
          <w:color w:val="auto"/>
          <w:kern w:val="0"/>
          <w:szCs w:val="21"/>
          <w:highlight w:val="none"/>
        </w:rPr>
      </w:pPr>
      <w:r>
        <w:rPr>
          <w:rFonts w:hint="eastAsia" w:ascii="宋体" w:hAnsi="宋体" w:cs="宋体"/>
          <w:b/>
          <w:color w:val="auto"/>
          <w:kern w:val="0"/>
          <w:szCs w:val="21"/>
          <w:highlight w:val="none"/>
        </w:rPr>
        <w:t>一、采购内容及要求：</w:t>
      </w:r>
      <w:r>
        <w:rPr>
          <w:rFonts w:hint="eastAsia" w:ascii="宋体" w:hAnsi="宋体" w:cs="宋体"/>
          <w:color w:val="auto"/>
          <w:kern w:val="0"/>
          <w:szCs w:val="21"/>
          <w:highlight w:val="none"/>
        </w:rPr>
        <w:t>具体详见招标文件（另附）及乙方投标时的响应；</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二、合同标的：</w:t>
      </w:r>
    </w:p>
    <w:tbl>
      <w:tblPr>
        <w:tblStyle w:val="37"/>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238"/>
        <w:gridCol w:w="1801"/>
        <w:gridCol w:w="842"/>
        <w:gridCol w:w="139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4" w:type="dxa"/>
            <w:gridSpan w:val="2"/>
            <w:vAlign w:val="center"/>
          </w:tcPr>
          <w:p>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1801" w:type="dxa"/>
            <w:vAlign w:val="center"/>
          </w:tcPr>
          <w:p>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品牌、型号</w:t>
            </w:r>
          </w:p>
        </w:tc>
        <w:tc>
          <w:tcPr>
            <w:tcW w:w="842" w:type="dxa"/>
            <w:vAlign w:val="center"/>
          </w:tcPr>
          <w:p>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391" w:type="dxa"/>
            <w:vAlign w:val="center"/>
          </w:tcPr>
          <w:p>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单价（元）</w:t>
            </w:r>
          </w:p>
        </w:tc>
        <w:tc>
          <w:tcPr>
            <w:tcW w:w="1827" w:type="dxa"/>
            <w:vAlign w:val="center"/>
          </w:tcPr>
          <w:p>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6" w:type="dxa"/>
            <w:vAlign w:val="center"/>
          </w:tcPr>
          <w:p>
            <w:pPr>
              <w:spacing w:line="340" w:lineRule="exact"/>
              <w:jc w:val="center"/>
              <w:rPr>
                <w:rFonts w:ascii="宋体" w:hAnsi="宋体" w:cs="宋体"/>
                <w:color w:val="auto"/>
                <w:highlight w:val="none"/>
              </w:rPr>
            </w:pPr>
            <w:r>
              <w:rPr>
                <w:rFonts w:hint="eastAsia" w:ascii="宋体" w:hAnsi="宋体" w:cs="宋体"/>
                <w:color w:val="auto"/>
                <w:szCs w:val="21"/>
                <w:highlight w:val="none"/>
              </w:rPr>
              <w:t xml:space="preserve"> </w:t>
            </w:r>
          </w:p>
        </w:tc>
        <w:tc>
          <w:tcPr>
            <w:tcW w:w="1238" w:type="dxa"/>
            <w:vAlign w:val="center"/>
          </w:tcPr>
          <w:p>
            <w:pPr>
              <w:spacing w:line="340" w:lineRule="exact"/>
              <w:jc w:val="center"/>
              <w:rPr>
                <w:rFonts w:ascii="宋体" w:hAnsi="宋体" w:cs="宋体"/>
                <w:color w:val="auto"/>
                <w:highlight w:val="none"/>
              </w:rPr>
            </w:pPr>
          </w:p>
        </w:tc>
        <w:tc>
          <w:tcPr>
            <w:tcW w:w="1801" w:type="dxa"/>
            <w:vAlign w:val="center"/>
          </w:tcPr>
          <w:p>
            <w:pPr>
              <w:spacing w:line="340" w:lineRule="exact"/>
              <w:rPr>
                <w:rFonts w:ascii="宋体" w:hAnsi="宋体" w:cs="宋体"/>
                <w:color w:val="auto"/>
                <w:szCs w:val="21"/>
                <w:highlight w:val="none"/>
              </w:rPr>
            </w:pPr>
          </w:p>
        </w:tc>
        <w:tc>
          <w:tcPr>
            <w:tcW w:w="842" w:type="dxa"/>
            <w:vAlign w:val="center"/>
          </w:tcPr>
          <w:p>
            <w:pPr>
              <w:spacing w:line="340" w:lineRule="exact"/>
              <w:jc w:val="center"/>
              <w:rPr>
                <w:rFonts w:ascii="宋体" w:hAnsi="宋体" w:cs="宋体"/>
                <w:color w:val="auto"/>
                <w:szCs w:val="21"/>
                <w:highlight w:val="none"/>
              </w:rPr>
            </w:pPr>
          </w:p>
        </w:tc>
        <w:tc>
          <w:tcPr>
            <w:tcW w:w="1391" w:type="dxa"/>
            <w:vAlign w:val="center"/>
          </w:tcPr>
          <w:p>
            <w:pPr>
              <w:spacing w:line="340" w:lineRule="exact"/>
              <w:rPr>
                <w:rFonts w:ascii="宋体" w:hAnsi="宋体" w:cs="宋体"/>
                <w:color w:val="auto"/>
                <w:szCs w:val="21"/>
                <w:highlight w:val="none"/>
              </w:rPr>
            </w:pPr>
          </w:p>
        </w:tc>
        <w:tc>
          <w:tcPr>
            <w:tcW w:w="1827" w:type="dxa"/>
            <w:vAlign w:val="center"/>
          </w:tcPr>
          <w:p>
            <w:pPr>
              <w:widowControl/>
              <w:snapToGrid w:val="0"/>
              <w:spacing w:line="3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6" w:type="dxa"/>
            <w:vAlign w:val="center"/>
          </w:tcPr>
          <w:p>
            <w:pPr>
              <w:spacing w:line="340" w:lineRule="exact"/>
              <w:jc w:val="center"/>
              <w:rPr>
                <w:rFonts w:ascii="宋体" w:hAnsi="宋体" w:cs="宋体"/>
                <w:color w:val="auto"/>
                <w:szCs w:val="21"/>
                <w:highlight w:val="none"/>
              </w:rPr>
            </w:pPr>
          </w:p>
        </w:tc>
        <w:tc>
          <w:tcPr>
            <w:tcW w:w="1238" w:type="dxa"/>
            <w:vAlign w:val="center"/>
          </w:tcPr>
          <w:p>
            <w:pPr>
              <w:spacing w:line="340" w:lineRule="exact"/>
              <w:jc w:val="center"/>
              <w:rPr>
                <w:rFonts w:ascii="宋体" w:hAnsi="宋体" w:cs="宋体"/>
                <w:color w:val="auto"/>
                <w:highlight w:val="none"/>
              </w:rPr>
            </w:pPr>
          </w:p>
        </w:tc>
        <w:tc>
          <w:tcPr>
            <w:tcW w:w="1801" w:type="dxa"/>
            <w:vAlign w:val="center"/>
          </w:tcPr>
          <w:p>
            <w:pPr>
              <w:spacing w:line="340" w:lineRule="exact"/>
              <w:jc w:val="center"/>
              <w:rPr>
                <w:rFonts w:ascii="宋体" w:hAnsi="宋体" w:cs="宋体"/>
                <w:color w:val="auto"/>
                <w:szCs w:val="21"/>
                <w:highlight w:val="none"/>
              </w:rPr>
            </w:pPr>
          </w:p>
        </w:tc>
        <w:tc>
          <w:tcPr>
            <w:tcW w:w="842" w:type="dxa"/>
            <w:vAlign w:val="center"/>
          </w:tcPr>
          <w:p>
            <w:pPr>
              <w:spacing w:line="340" w:lineRule="exact"/>
              <w:jc w:val="center"/>
              <w:rPr>
                <w:rFonts w:ascii="宋体" w:hAnsi="宋体" w:cs="宋体"/>
                <w:color w:val="auto"/>
                <w:szCs w:val="21"/>
                <w:highlight w:val="none"/>
              </w:rPr>
            </w:pPr>
          </w:p>
        </w:tc>
        <w:tc>
          <w:tcPr>
            <w:tcW w:w="1391" w:type="dxa"/>
            <w:vAlign w:val="center"/>
          </w:tcPr>
          <w:p>
            <w:pPr>
              <w:spacing w:line="340" w:lineRule="exact"/>
              <w:rPr>
                <w:rFonts w:ascii="宋体" w:hAnsi="宋体" w:cs="宋体"/>
                <w:color w:val="auto"/>
                <w:szCs w:val="21"/>
                <w:highlight w:val="none"/>
              </w:rPr>
            </w:pPr>
          </w:p>
        </w:tc>
        <w:tc>
          <w:tcPr>
            <w:tcW w:w="1827" w:type="dxa"/>
            <w:vAlign w:val="center"/>
          </w:tcPr>
          <w:p>
            <w:pPr>
              <w:spacing w:line="340" w:lineRule="exact"/>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8" w:type="dxa"/>
            <w:gridSpan w:val="5"/>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827" w:type="dxa"/>
            <w:vAlign w:val="center"/>
          </w:tcPr>
          <w:p>
            <w:pPr>
              <w:widowControl/>
              <w:snapToGrid w:val="0"/>
              <w:spacing w:line="360" w:lineRule="exact"/>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tc>
      </w:tr>
    </w:tbl>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三、技术资料</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3.1乙方应按甲方实施本合同的实际需求在甲方规定的时间向甲方提供有关技术资料。</w:t>
      </w:r>
    </w:p>
    <w:p>
      <w:pPr>
        <w:snapToGrid w:val="0"/>
        <w:spacing w:line="426" w:lineRule="exact"/>
        <w:ind w:left="364" w:hanging="362" w:hangingChars="171"/>
        <w:jc w:val="left"/>
        <w:rPr>
          <w:rFonts w:ascii="宋体" w:hAnsi="宋体" w:cs="宋体"/>
          <w:color w:val="auto"/>
          <w:kern w:val="0"/>
          <w:szCs w:val="21"/>
          <w:highlight w:val="none"/>
        </w:rPr>
      </w:pPr>
      <w:r>
        <w:rPr>
          <w:rFonts w:hint="eastAsia" w:ascii="宋体" w:hAnsi="宋体" w:cs="宋体"/>
          <w:color w:val="auto"/>
          <w:kern w:val="0"/>
          <w:szCs w:val="21"/>
          <w:highlight w:val="none"/>
        </w:rPr>
        <w:t>3.2本项目在开发、使用和维护过程中接触到的甲方所有资料，未经甲方授权代表书面许可，乙</w:t>
      </w:r>
    </w:p>
    <w:p>
      <w:pPr>
        <w:snapToGrid w:val="0"/>
        <w:spacing w:line="426" w:lineRule="exact"/>
        <w:ind w:left="364" w:hanging="362" w:hangingChars="171"/>
        <w:jc w:val="left"/>
        <w:rPr>
          <w:rFonts w:ascii="宋体" w:hAnsi="宋体" w:cs="宋体"/>
          <w:color w:val="auto"/>
          <w:kern w:val="0"/>
          <w:szCs w:val="21"/>
          <w:highlight w:val="none"/>
        </w:rPr>
      </w:pPr>
      <w:r>
        <w:rPr>
          <w:rFonts w:hint="eastAsia" w:ascii="宋体" w:hAnsi="宋体" w:cs="宋体"/>
          <w:color w:val="auto"/>
          <w:kern w:val="0"/>
          <w:szCs w:val="21"/>
          <w:highlight w:val="none"/>
        </w:rPr>
        <w:t>方不得留存、私自查阅及向任何第三方泄露，否则甲方将追究乙方的法律责任。</w:t>
      </w:r>
    </w:p>
    <w:p>
      <w:pPr>
        <w:snapToGrid w:val="0"/>
        <w:spacing w:line="426" w:lineRule="exact"/>
        <w:ind w:left="365" w:hanging="362" w:hangingChars="171"/>
        <w:jc w:val="left"/>
        <w:rPr>
          <w:rFonts w:ascii="宋体" w:hAnsi="宋体" w:cs="宋体"/>
          <w:b/>
          <w:color w:val="auto"/>
          <w:kern w:val="0"/>
          <w:szCs w:val="21"/>
          <w:highlight w:val="none"/>
        </w:rPr>
      </w:pPr>
      <w:r>
        <w:rPr>
          <w:rFonts w:hint="eastAsia" w:ascii="宋体" w:hAnsi="宋体" w:cs="宋体"/>
          <w:b/>
          <w:color w:val="auto"/>
          <w:kern w:val="0"/>
          <w:szCs w:val="21"/>
          <w:highlight w:val="none"/>
        </w:rPr>
        <w:t>四、知识产权</w:t>
      </w:r>
    </w:p>
    <w:p>
      <w:pPr>
        <w:snapToGrid w:val="0"/>
        <w:spacing w:line="426" w:lineRule="exact"/>
        <w:ind w:left="364" w:hanging="362" w:hangingChars="171"/>
        <w:jc w:val="left"/>
        <w:rPr>
          <w:rFonts w:ascii="宋体" w:hAnsi="宋体" w:cs="宋体"/>
          <w:color w:val="auto"/>
          <w:kern w:val="0"/>
          <w:szCs w:val="21"/>
          <w:highlight w:val="none"/>
        </w:rPr>
      </w:pPr>
      <w:r>
        <w:rPr>
          <w:rFonts w:hint="eastAsia" w:ascii="宋体" w:hAnsi="宋体" w:cs="宋体"/>
          <w:color w:val="auto"/>
          <w:kern w:val="0"/>
          <w:szCs w:val="21"/>
          <w:highlight w:val="none"/>
        </w:rPr>
        <w:t>4.1乙方应保证所交付的“系统”或其任何一部分均不会侵犯任何第三方的知识产权，倘若发生</w:t>
      </w:r>
    </w:p>
    <w:p>
      <w:pPr>
        <w:snapToGrid w:val="0"/>
        <w:spacing w:line="426" w:lineRule="exact"/>
        <w:ind w:left="364" w:hanging="362" w:hangingChars="171"/>
        <w:jc w:val="left"/>
        <w:rPr>
          <w:rFonts w:ascii="宋体" w:hAnsi="宋体" w:cs="宋体"/>
          <w:color w:val="auto"/>
          <w:kern w:val="0"/>
          <w:szCs w:val="21"/>
          <w:highlight w:val="none"/>
        </w:rPr>
      </w:pPr>
      <w:r>
        <w:rPr>
          <w:rFonts w:hint="eastAsia" w:ascii="宋体" w:hAnsi="宋体" w:cs="宋体"/>
          <w:color w:val="auto"/>
          <w:kern w:val="0"/>
          <w:szCs w:val="21"/>
          <w:highlight w:val="none"/>
        </w:rPr>
        <w:t>有关的诉讼，完全由乙方应诉并承担全部法律责任和相关费用。</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4.2本项目所有权知识产权等归甲方所有，否则甲方有权追究乙方的法律责任。</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五、转包或分包</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5.1本项目不允许转包，当分包金额占到合同金额的100%时视为转包；</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5.2除非得到甲方的书面同意，乙方不得将本合同范围的货物全部或部分分包给他人供应。</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六、工期</w:t>
      </w:r>
    </w:p>
    <w:p>
      <w:pPr>
        <w:snapToGrid w:val="0"/>
        <w:spacing w:line="426"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合同签订后30日历天内完成设备安装，试运行并在2024年5月</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日前通过验收。</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七、付款方式</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合同生效并具备实施条件后7个工作日内，采购人向中标人支付合同总额的40%作为预付款（中标人于合同签订前书面承诺放弃预付款或降低预付款支付比例的，可不适用本条款，具体支付方式由双方在合同签订中自行约定）；</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2）项目完成安装、调试、改造、测试、试运行并通过竣工验收后</w:t>
      </w:r>
      <w:r>
        <w:rPr>
          <w:rFonts w:ascii="宋体" w:hAnsi="宋体" w:cs="宋体"/>
          <w:color w:val="auto"/>
          <w:szCs w:val="21"/>
          <w:highlight w:val="none"/>
        </w:rPr>
        <w:t>支付</w:t>
      </w:r>
      <w:r>
        <w:rPr>
          <w:rFonts w:hint="eastAsia" w:ascii="宋体" w:hAnsi="宋体" w:cs="宋体"/>
          <w:color w:val="auto"/>
          <w:szCs w:val="21"/>
          <w:highlight w:val="none"/>
        </w:rPr>
        <w:t>剩余</w:t>
      </w:r>
      <w:r>
        <w:rPr>
          <w:rFonts w:ascii="宋体" w:hAnsi="宋体" w:cs="宋体"/>
          <w:color w:val="auto"/>
          <w:szCs w:val="21"/>
          <w:highlight w:val="none"/>
        </w:rPr>
        <w:t>合同总价的</w:t>
      </w:r>
      <w:r>
        <w:rPr>
          <w:rFonts w:hint="eastAsia" w:ascii="宋体" w:hAnsi="宋体" w:cs="宋体"/>
          <w:color w:val="auto"/>
          <w:szCs w:val="21"/>
          <w:highlight w:val="none"/>
          <w:lang w:val="en-US" w:eastAsia="zh-CN"/>
        </w:rPr>
        <w:t>60</w:t>
      </w:r>
      <w:r>
        <w:rPr>
          <w:rFonts w:ascii="宋体" w:hAnsi="宋体" w:cs="宋体"/>
          <w:color w:val="auto"/>
          <w:szCs w:val="21"/>
          <w:highlight w:val="none"/>
        </w:rPr>
        <w:t>%</w:t>
      </w:r>
      <w:r>
        <w:rPr>
          <w:rFonts w:hint="eastAsia" w:ascii="宋体" w:hAnsi="宋体" w:cs="宋体"/>
          <w:color w:val="auto"/>
          <w:szCs w:val="21"/>
          <w:highlight w:val="none"/>
        </w:rPr>
        <w:t>。</w:t>
      </w:r>
    </w:p>
    <w:p>
      <w:pPr>
        <w:snapToGrid w:val="0"/>
        <w:spacing w:line="426" w:lineRule="exact"/>
        <w:jc w:val="left"/>
        <w:rPr>
          <w:rFonts w:ascii="宋体" w:hAnsi="宋体" w:cs="宋体"/>
          <w:color w:val="auto"/>
          <w:szCs w:val="21"/>
          <w:highlight w:val="none"/>
        </w:rPr>
      </w:pPr>
      <w:r>
        <w:rPr>
          <w:rFonts w:hint="eastAsia" w:ascii="宋体" w:hAnsi="宋体" w:cs="宋体"/>
          <w:color w:val="auto"/>
          <w:szCs w:val="21"/>
          <w:highlight w:val="none"/>
        </w:rPr>
        <w:t>注：约定的支付时间以政府财政性资金支付要求为准，如因财政等原因导致支付延迟，采购人不承担相应责任。每次合同款支付前中标人必须先向采购人提供该次应付款金额100%的正规税务发票。</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八、税费</w:t>
      </w:r>
    </w:p>
    <w:p>
      <w:pPr>
        <w:snapToGrid w:val="0"/>
        <w:spacing w:line="426" w:lineRule="exact"/>
        <w:ind w:left="364" w:hanging="362" w:hangingChars="171"/>
        <w:jc w:val="left"/>
        <w:rPr>
          <w:rFonts w:ascii="宋体" w:hAnsi="宋体" w:cs="宋体"/>
          <w:color w:val="auto"/>
          <w:kern w:val="0"/>
          <w:szCs w:val="21"/>
          <w:highlight w:val="none"/>
        </w:rPr>
      </w:pPr>
      <w:r>
        <w:rPr>
          <w:rFonts w:hint="eastAsia" w:ascii="宋体" w:hAnsi="宋体" w:cs="宋体"/>
          <w:color w:val="auto"/>
          <w:kern w:val="0"/>
          <w:szCs w:val="21"/>
          <w:highlight w:val="none"/>
        </w:rPr>
        <w:t>本合同执行中相关的一切税费均由乙方负担。</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九、质保期</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交付系统的质保期自验收合格之日起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p>
    <w:p>
      <w:pPr>
        <w:snapToGrid w:val="0"/>
        <w:spacing w:line="426" w:lineRule="exact"/>
        <w:jc w:val="left"/>
        <w:rPr>
          <w:rFonts w:ascii="宋体" w:hAnsi="宋体" w:cs="宋体"/>
          <w:color w:val="auto"/>
          <w:kern w:val="0"/>
          <w:szCs w:val="21"/>
          <w:highlight w:val="none"/>
        </w:rPr>
      </w:pPr>
      <w:r>
        <w:rPr>
          <w:rFonts w:hint="eastAsia" w:ascii="宋体" w:hAnsi="宋体" w:cs="宋体"/>
          <w:b/>
          <w:color w:val="auto"/>
          <w:kern w:val="0"/>
          <w:szCs w:val="21"/>
          <w:highlight w:val="none"/>
        </w:rPr>
        <w:t>注：</w:t>
      </w:r>
      <w:r>
        <w:rPr>
          <w:rFonts w:hint="eastAsia" w:ascii="宋体" w:hAnsi="宋体" w:cs="宋体"/>
          <w:color w:val="auto"/>
          <w:kern w:val="0"/>
          <w:szCs w:val="21"/>
          <w:highlight w:val="none"/>
        </w:rPr>
        <w:t>在质保期间，负责对设备（若设备出现质量问题，应及时更换或修复）和平台的对接、接入进行及时维护，服务范围至少包括运维支持、软件升级、扩容支持、性能调优、技术咨询、各种突发事件的应急策略、数据备份等。由于设备及其系统质量瑕疵造成的缺陷或影响使用的问题，乙方应无条件免费进行修复至验收标准。</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十、质量要求和售后要求</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10.1乙方应按采购文件规定的货物性能、技术要求、质量标准向甲方提供未经使用的全新产品。</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10.2乙方提供的货物在质保期内因货物本身的质量问题发生故障，乙方应负责免费更换。对达不到技术要求者，根据实际情况，经双方协商，可按以下办法处理：</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⑴更换：由乙方承担所发生的全部费用。</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⑵贬值处理：由甲乙双方合议定价。</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⑶退货处理：乙方应退还甲方支付的合同款，同时应承担该货物的直接费用（运输、保险、检验、货款利息及银行手续费等）。</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10.3如在使用过程中发生质量问题，乙方应在一小时内电话响应，两小时内到达甲方现场,电话24小时保持畅通。</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10.4投标人须拟派项目团队，确保本项目涉及的22所学校在英语听力考试期间设备的正常运行，以及能及时有效的排除故障，保证英语听力考试的顺利进行。</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上述的货物免费保修期为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年，因人为因素出现的故障不在免费保修范围内。超过保修期的机器设备，终生维修，维修时只收部件成本费。</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10.6质保期内，服务响应时间：承诺实行24小时电话服务，技术人员实行无节假日的7*24小时上门响应服务（根据用户需求进行安排）。对系统故障，用户可通过服务单位所提供热线电话取得技术支持服务。服务单位在接到用户故障申告电话后应于30分钟内响应，如故障未能在1小时内通过远程支持得到解决，服务单位应将根据用户要求派指定服务工程师以最快方式赶往用户现场，原则上应在2个小时内到达现场，提供不间断故障处理服务。故障分析时间：服务单位在系统恢复正常运行后，应对系统运行情况进行跟踪，并结合故障现场信息对故障产生原因进行分析，3日内提交故障分析报告及解决方案。质量保证期内出现质量问题,中标单位负责包修、包退、包换。</w:t>
      </w:r>
    </w:p>
    <w:p>
      <w:pPr>
        <w:spacing w:line="426" w:lineRule="exact"/>
        <w:rPr>
          <w:rFonts w:ascii="宋体" w:hAnsi="宋体" w:cs="宋体"/>
          <w:b/>
          <w:color w:val="auto"/>
          <w:szCs w:val="21"/>
          <w:highlight w:val="none"/>
        </w:rPr>
      </w:pPr>
      <w:r>
        <w:rPr>
          <w:rFonts w:hint="eastAsia" w:ascii="宋体" w:hAnsi="宋体" w:cs="宋体"/>
          <w:b/>
          <w:color w:val="auto"/>
          <w:szCs w:val="21"/>
          <w:highlight w:val="none"/>
        </w:rPr>
        <w:t>十一、网络和数据安全要求</w:t>
      </w:r>
    </w:p>
    <w:p>
      <w:pPr>
        <w:spacing w:line="426" w:lineRule="exact"/>
        <w:rPr>
          <w:rFonts w:ascii="宋体" w:hAnsi="宋体" w:cs="宋体"/>
          <w:color w:val="auto"/>
          <w:highlight w:val="none"/>
        </w:rPr>
      </w:pPr>
      <w:r>
        <w:rPr>
          <w:rFonts w:hint="eastAsia" w:ascii="宋体" w:hAnsi="宋体" w:cs="宋体"/>
          <w:bCs/>
          <w:color w:val="auto"/>
          <w:szCs w:val="21"/>
          <w:highlight w:val="none"/>
        </w:rPr>
        <w:t>本项目涉及大量的数据，且部分数据较为敏感，为保证网络和数据安全，</w:t>
      </w:r>
      <w:r>
        <w:rPr>
          <w:rFonts w:hint="eastAsia" w:ascii="宋体" w:hAnsi="宋体" w:cs="宋体"/>
          <w:color w:val="auto"/>
          <w:szCs w:val="21"/>
          <w:highlight w:val="none"/>
        </w:rPr>
        <w:t>乙方须</w:t>
      </w:r>
      <w:r>
        <w:rPr>
          <w:rFonts w:hint="eastAsia" w:ascii="宋体" w:hAnsi="宋体" w:cs="宋体"/>
          <w:color w:val="auto"/>
          <w:highlight w:val="none"/>
        </w:rPr>
        <w:t>无条件履行以下条款规定，若</w:t>
      </w:r>
      <w:r>
        <w:rPr>
          <w:rFonts w:hint="eastAsia" w:ascii="宋体" w:hAnsi="宋体" w:cs="宋体"/>
          <w:color w:val="auto"/>
          <w:szCs w:val="21"/>
          <w:highlight w:val="none"/>
        </w:rPr>
        <w:t>乙方</w:t>
      </w:r>
      <w:r>
        <w:rPr>
          <w:rFonts w:hint="eastAsia" w:ascii="宋体" w:hAnsi="宋体" w:cs="宋体"/>
          <w:color w:val="auto"/>
          <w:highlight w:val="none"/>
        </w:rPr>
        <w:t>无故违反，甲方有权终止合同，造成甲方损失的，甲方有权追究乙方赔偿责任。</w:t>
      </w:r>
    </w:p>
    <w:p>
      <w:pPr>
        <w:spacing w:line="426" w:lineRule="exact"/>
        <w:rPr>
          <w:rFonts w:ascii="宋体" w:hAnsi="宋体" w:cs="宋体"/>
          <w:color w:val="auto"/>
          <w:highlight w:val="none"/>
        </w:rPr>
      </w:pPr>
      <w:r>
        <w:rPr>
          <w:rFonts w:hint="eastAsia" w:ascii="宋体" w:hAnsi="宋体" w:cs="宋体"/>
          <w:color w:val="auto"/>
          <w:highlight w:val="none"/>
        </w:rPr>
        <w:t>11.1</w:t>
      </w:r>
      <w:r>
        <w:rPr>
          <w:rFonts w:hint="eastAsia" w:ascii="宋体" w:hAnsi="宋体" w:cs="宋体"/>
          <w:color w:val="auto"/>
          <w:szCs w:val="21"/>
          <w:highlight w:val="none"/>
        </w:rPr>
        <w:t>乙方</w:t>
      </w:r>
      <w:r>
        <w:rPr>
          <w:rFonts w:hint="eastAsia" w:ascii="宋体" w:hAnsi="宋体" w:cs="宋体"/>
          <w:color w:val="auto"/>
          <w:highlight w:val="none"/>
        </w:rPr>
        <w:t>应加强安全意识及措施，从管理、技术、制度等方面保障采购人的网络和数据安全。</w:t>
      </w:r>
    </w:p>
    <w:p>
      <w:pPr>
        <w:spacing w:line="426" w:lineRule="exact"/>
        <w:rPr>
          <w:rFonts w:ascii="宋体" w:hAnsi="宋体" w:cs="宋体"/>
          <w:color w:val="auto"/>
          <w:highlight w:val="none"/>
        </w:rPr>
      </w:pPr>
      <w:r>
        <w:rPr>
          <w:rFonts w:hint="eastAsia" w:ascii="宋体" w:hAnsi="宋体" w:cs="宋体"/>
          <w:color w:val="auto"/>
          <w:highlight w:val="none"/>
        </w:rPr>
        <w:t>11.2</w:t>
      </w:r>
      <w:r>
        <w:rPr>
          <w:rFonts w:hint="eastAsia" w:ascii="宋体" w:hAnsi="宋体" w:cs="宋体"/>
          <w:color w:val="auto"/>
          <w:szCs w:val="21"/>
          <w:highlight w:val="none"/>
        </w:rPr>
        <w:t>乙方</w:t>
      </w:r>
      <w:r>
        <w:rPr>
          <w:rFonts w:hint="eastAsia" w:ascii="宋体" w:hAnsi="宋体" w:cs="宋体"/>
          <w:color w:val="auto"/>
          <w:highlight w:val="none"/>
        </w:rPr>
        <w:t>在未经甲方书面许可的前提下，不得向任何单位和个人泄露采购人的任何资料信息，不得将相关保密信息通过存储介质、网络等途径，传播至甲方不可控制区域。</w:t>
      </w:r>
    </w:p>
    <w:p>
      <w:pPr>
        <w:spacing w:line="426" w:lineRule="exact"/>
        <w:rPr>
          <w:rFonts w:ascii="宋体" w:hAnsi="宋体" w:cs="宋体"/>
          <w:color w:val="auto"/>
          <w:highlight w:val="none"/>
        </w:rPr>
      </w:pPr>
      <w:r>
        <w:rPr>
          <w:rFonts w:hint="eastAsia" w:ascii="宋体" w:hAnsi="宋体" w:cs="宋体"/>
          <w:color w:val="auto"/>
          <w:highlight w:val="none"/>
        </w:rPr>
        <w:t>11.3乙方不得利用甲方网络或相关业务系统平台从事危害国家安全、泄露国家机密等违法犯罪活动，不得侵犯国家的、社会的、集体的和任何第三方的合法权益。</w:t>
      </w:r>
    </w:p>
    <w:p>
      <w:pPr>
        <w:spacing w:line="426" w:lineRule="exact"/>
        <w:rPr>
          <w:rFonts w:ascii="宋体" w:hAnsi="宋体" w:cs="宋体"/>
          <w:color w:val="auto"/>
          <w:highlight w:val="none"/>
        </w:rPr>
      </w:pPr>
      <w:r>
        <w:rPr>
          <w:rFonts w:hint="eastAsia" w:ascii="宋体" w:hAnsi="宋体" w:cs="宋体"/>
          <w:color w:val="auto"/>
          <w:highlight w:val="none"/>
        </w:rPr>
        <w:t>11.4</w:t>
      </w:r>
      <w:r>
        <w:rPr>
          <w:rFonts w:hint="eastAsia" w:ascii="宋体" w:hAnsi="宋体" w:cs="宋体"/>
          <w:color w:val="auto"/>
          <w:szCs w:val="21"/>
          <w:highlight w:val="none"/>
        </w:rPr>
        <w:t>乙方</w:t>
      </w:r>
      <w:r>
        <w:rPr>
          <w:rFonts w:hint="eastAsia" w:ascii="宋体" w:hAnsi="宋体" w:cs="宋体"/>
          <w:color w:val="auto"/>
          <w:highlight w:val="none"/>
        </w:rPr>
        <w:t>的网络操作行为均需严格遵守国家相关法律法规，并建立有效的网络信息安全管理制度和技术保障措施，负责自身的网络信息安全，设立信息安全责任人和信息安全审查员，并接受相关政府主管部门的管理、监督和检查。</w:t>
      </w:r>
    </w:p>
    <w:p>
      <w:pPr>
        <w:spacing w:line="426" w:lineRule="exact"/>
        <w:rPr>
          <w:rFonts w:ascii="宋体" w:hAnsi="宋体" w:cs="宋体"/>
          <w:color w:val="auto"/>
          <w:highlight w:val="none"/>
        </w:rPr>
      </w:pPr>
      <w:r>
        <w:rPr>
          <w:rFonts w:hint="eastAsia" w:ascii="宋体" w:hAnsi="宋体" w:cs="宋体"/>
          <w:color w:val="auto"/>
          <w:highlight w:val="none"/>
        </w:rPr>
        <w:t>11.5乙方应建立网络安全、数据安全保护的管理制度和技术保障措施，负责项目实施范围所涉及的各项网络安全、数据安全的管理和维护。且满足《信息安全技术网络安全等级保护基本要求》相关标准，对不满足要求的情况提出整改要求，乙方应按要求及时完成整改。</w:t>
      </w:r>
    </w:p>
    <w:p>
      <w:pPr>
        <w:spacing w:line="426" w:lineRule="exact"/>
        <w:rPr>
          <w:rFonts w:ascii="宋体" w:hAnsi="宋体" w:cs="宋体"/>
          <w:color w:val="auto"/>
          <w:highlight w:val="none"/>
        </w:rPr>
      </w:pPr>
      <w:r>
        <w:rPr>
          <w:rFonts w:hint="eastAsia" w:ascii="宋体" w:hAnsi="宋体" w:cs="宋体"/>
          <w:color w:val="auto"/>
          <w:highlight w:val="none"/>
        </w:rPr>
        <w:t>11.6乙方需配合接受政府信息安全主管部门的监督和检查，如实提供安全防护相关的信息、资料及数据文件，积极配合调查网络违法犯罪行为。</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十二、验收</w:t>
      </w:r>
    </w:p>
    <w:p>
      <w:pPr>
        <w:adjustRightInd w:val="0"/>
        <w:snapToGrid w:val="0"/>
        <w:spacing w:line="426" w:lineRule="exact"/>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甲方根据本项目的特点，按照《浙江省政府采购合同暂行办法》(浙财采监[2017]11号)及关于印发《余姚市政府采购履约验收管理办法》（余财行[2022]85号）的规定组织验收。</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具体验收办法如下：</w:t>
      </w:r>
    </w:p>
    <w:p>
      <w:pPr>
        <w:spacing w:line="426" w:lineRule="exact"/>
        <w:ind w:firstLine="424" w:firstLineChars="200"/>
        <w:rPr>
          <w:rFonts w:ascii="宋体" w:hAnsi="宋体" w:cs="宋体"/>
          <w:b/>
          <w:color w:val="auto"/>
          <w:highlight w:val="none"/>
        </w:rPr>
      </w:pPr>
      <w:r>
        <w:rPr>
          <w:rFonts w:hint="eastAsia" w:ascii="宋体" w:hAnsi="宋体" w:cs="宋体"/>
          <w:b/>
          <w:color w:val="auto"/>
          <w:highlight w:val="none"/>
        </w:rPr>
        <w:t>12.1验收申请：</w:t>
      </w:r>
    </w:p>
    <w:p>
      <w:pPr>
        <w:spacing w:line="426"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设备安装调试完毕，平台对接、接入及调试完成，</w:t>
      </w:r>
      <w:r>
        <w:rPr>
          <w:rFonts w:hint="eastAsia" w:ascii="宋体" w:hAnsi="宋体" w:cs="宋体"/>
          <w:color w:val="auto"/>
          <w:highlight w:val="none"/>
        </w:rPr>
        <w:t>并经确认系统运行正常（即需求功能完全实现）且稳定，乙方可在提供完整文档资料的基础上提出竣工验收申请，甲方在接到乙方验收申请后组织验收。相关费用由乙方承担。</w:t>
      </w:r>
    </w:p>
    <w:p>
      <w:pPr>
        <w:widowControl/>
        <w:spacing w:line="426" w:lineRule="exact"/>
        <w:ind w:firstLine="424" w:firstLineChars="200"/>
        <w:rPr>
          <w:rFonts w:ascii="宋体" w:hAnsi="宋体" w:cs="宋体"/>
          <w:b/>
          <w:color w:val="auto"/>
          <w:highlight w:val="none"/>
        </w:rPr>
      </w:pPr>
      <w:r>
        <w:rPr>
          <w:rFonts w:hint="eastAsia" w:ascii="宋体" w:hAnsi="宋体" w:cs="宋体"/>
          <w:b/>
          <w:color w:val="auto"/>
          <w:highlight w:val="none"/>
        </w:rPr>
        <w:t>12.2验收标准：</w:t>
      </w:r>
    </w:p>
    <w:p>
      <w:pPr>
        <w:spacing w:line="426" w:lineRule="exact"/>
        <w:ind w:firstLine="424" w:firstLineChars="200"/>
        <w:jc w:val="left"/>
        <w:rPr>
          <w:rFonts w:ascii="宋体" w:hAnsi="宋体" w:cs="宋体"/>
          <w:color w:val="auto"/>
          <w:szCs w:val="21"/>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1 \* GB3 </w:instrText>
      </w:r>
      <w:r>
        <w:rPr>
          <w:rFonts w:hint="eastAsia" w:ascii="宋体" w:hAnsi="宋体" w:cs="宋体"/>
          <w:color w:val="auto"/>
          <w:highlight w:val="none"/>
        </w:rPr>
        <w:fldChar w:fldCharType="separate"/>
      </w:r>
      <w:r>
        <w:rPr>
          <w:rFonts w:hint="eastAsia" w:ascii="宋体" w:hAnsi="宋体" w:cs="宋体"/>
          <w:color w:val="auto"/>
          <w:highlight w:val="none"/>
        </w:rPr>
        <w:t>①</w:t>
      </w:r>
      <w:r>
        <w:rPr>
          <w:rFonts w:hint="eastAsia" w:ascii="宋体" w:hAnsi="宋体" w:cs="宋体"/>
          <w:color w:val="auto"/>
          <w:highlight w:val="none"/>
        </w:rPr>
        <w:fldChar w:fldCharType="end"/>
      </w:r>
      <w:r>
        <w:rPr>
          <w:rFonts w:hint="eastAsia" w:ascii="宋体" w:hAnsi="宋体" w:cs="宋体"/>
          <w:color w:val="auto"/>
          <w:highlight w:val="none"/>
        </w:rPr>
        <w:t>设备技术参数符合招标及投标响应的要求，系统各项功能可正常稳定运行，满足</w:t>
      </w:r>
      <w:r>
        <w:rPr>
          <w:rFonts w:hint="eastAsia" w:ascii="宋体" w:hAnsi="宋体" w:cs="宋体"/>
          <w:color w:val="auto"/>
          <w:szCs w:val="21"/>
          <w:highlight w:val="none"/>
        </w:rPr>
        <w:t>平台的对接、接入及调试要求。</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2 \* GB3 </w:instrText>
      </w:r>
      <w:r>
        <w:rPr>
          <w:rFonts w:hint="eastAsia" w:ascii="宋体" w:hAnsi="宋体" w:cs="宋体"/>
          <w:color w:val="auto"/>
          <w:highlight w:val="none"/>
        </w:rPr>
        <w:fldChar w:fldCharType="separate"/>
      </w:r>
      <w:r>
        <w:rPr>
          <w:rFonts w:hint="eastAsia" w:ascii="宋体" w:hAnsi="宋体" w:cs="宋体"/>
          <w:color w:val="auto"/>
          <w:highlight w:val="none"/>
        </w:rPr>
        <w:t>②</w:t>
      </w:r>
      <w:r>
        <w:rPr>
          <w:rFonts w:hint="eastAsia" w:ascii="宋体" w:hAnsi="宋体" w:cs="宋体"/>
          <w:color w:val="auto"/>
          <w:highlight w:val="none"/>
        </w:rPr>
        <w:fldChar w:fldCharType="end"/>
      </w:r>
      <w:r>
        <w:rPr>
          <w:rFonts w:hint="eastAsia" w:ascii="宋体" w:hAnsi="宋体" w:cs="宋体"/>
          <w:color w:val="auto"/>
          <w:highlight w:val="none"/>
        </w:rPr>
        <w:t>验收以实测为主、主观评价为辅；</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3 \* GB3 </w:instrText>
      </w:r>
      <w:r>
        <w:rPr>
          <w:rFonts w:hint="eastAsia" w:ascii="宋体" w:hAnsi="宋体" w:cs="宋体"/>
          <w:color w:val="auto"/>
          <w:highlight w:val="none"/>
        </w:rPr>
        <w:fldChar w:fldCharType="separate"/>
      </w:r>
      <w:r>
        <w:rPr>
          <w:rFonts w:hint="eastAsia" w:ascii="宋体" w:hAnsi="宋体" w:cs="宋体"/>
          <w:color w:val="auto"/>
          <w:highlight w:val="none"/>
        </w:rPr>
        <w:t>③</w:t>
      </w:r>
      <w:r>
        <w:rPr>
          <w:rFonts w:hint="eastAsia" w:ascii="宋体" w:hAnsi="宋体" w:cs="宋体"/>
          <w:color w:val="auto"/>
          <w:highlight w:val="none"/>
        </w:rPr>
        <w:fldChar w:fldCharType="end"/>
      </w:r>
      <w:r>
        <w:rPr>
          <w:rFonts w:hint="eastAsia" w:ascii="宋体" w:hAnsi="宋体" w:cs="宋体"/>
          <w:color w:val="auto"/>
          <w:highlight w:val="none"/>
        </w:rPr>
        <w:t>满足合同、招标文件、投标文件等对乙方有约束力的文件的相关要求；</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4 \* GB3 </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rPr>
        <w:t>达到《余姚市信息化项目建设管理办法》（余政办发2022[77]号）关于竣工验收的有关管理要求；</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5 \* GB3 </w:instrText>
      </w:r>
      <w:r>
        <w:rPr>
          <w:rFonts w:hint="eastAsia" w:ascii="宋体" w:hAnsi="宋体" w:cs="宋体"/>
          <w:color w:val="auto"/>
          <w:highlight w:val="none"/>
        </w:rPr>
        <w:fldChar w:fldCharType="separate"/>
      </w:r>
      <w:r>
        <w:rPr>
          <w:rFonts w:hint="eastAsia" w:ascii="宋体" w:hAnsi="宋体" w:cs="宋体"/>
          <w:color w:val="auto"/>
          <w:highlight w:val="none"/>
        </w:rPr>
        <w:t>⑤</w:t>
      </w:r>
      <w:r>
        <w:rPr>
          <w:rFonts w:hint="eastAsia" w:ascii="宋体" w:hAnsi="宋体" w:cs="宋体"/>
          <w:color w:val="auto"/>
          <w:highlight w:val="none"/>
        </w:rPr>
        <w:fldChar w:fldCharType="end"/>
      </w:r>
      <w:r>
        <w:rPr>
          <w:rFonts w:hint="eastAsia" w:ascii="宋体" w:hAnsi="宋体" w:cs="宋体"/>
          <w:color w:val="auto"/>
          <w:highlight w:val="none"/>
        </w:rPr>
        <w:t>项目得到最终使用部门的书面认可及确认；</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6 \* GB3 </w:instrText>
      </w:r>
      <w:r>
        <w:rPr>
          <w:rFonts w:hint="eastAsia" w:ascii="宋体" w:hAnsi="宋体" w:cs="宋体"/>
          <w:color w:val="auto"/>
          <w:highlight w:val="none"/>
        </w:rPr>
        <w:fldChar w:fldCharType="separate"/>
      </w:r>
      <w:r>
        <w:rPr>
          <w:rFonts w:hint="eastAsia" w:ascii="宋体" w:hAnsi="宋体" w:cs="宋体"/>
          <w:color w:val="auto"/>
          <w:highlight w:val="none"/>
        </w:rPr>
        <w:t>⑥</w:t>
      </w:r>
      <w:r>
        <w:rPr>
          <w:rFonts w:hint="eastAsia" w:ascii="宋体" w:hAnsi="宋体" w:cs="宋体"/>
          <w:color w:val="auto"/>
          <w:highlight w:val="none"/>
        </w:rPr>
        <w:fldChar w:fldCharType="end"/>
      </w:r>
      <w:r>
        <w:rPr>
          <w:rFonts w:hint="eastAsia" w:ascii="宋体" w:hAnsi="宋体" w:cs="宋体"/>
          <w:color w:val="auto"/>
          <w:highlight w:val="none"/>
        </w:rPr>
        <w:t>项目验收材料齐全，符合验收要求；项目按照立项批复、招标文件和合同约定完成了建设内容；项目经过测试和评估，满足实际需求，达到建设要求。</w:t>
      </w:r>
    </w:p>
    <w:p>
      <w:pPr>
        <w:spacing w:line="426" w:lineRule="exact"/>
        <w:ind w:firstLine="416" w:firstLineChars="200"/>
        <w:rPr>
          <w:rFonts w:ascii="宋体" w:hAnsi="宋体" w:cs="宋体"/>
          <w:color w:val="auto"/>
          <w:spacing w:val="-2"/>
          <w:highlight w:val="none"/>
        </w:rPr>
      </w:pPr>
      <w:r>
        <w:rPr>
          <w:rFonts w:hint="eastAsia" w:ascii="宋体" w:hAnsi="宋体" w:cs="宋体"/>
          <w:b/>
          <w:color w:val="auto"/>
          <w:spacing w:val="-2"/>
          <w:highlight w:val="none"/>
        </w:rPr>
        <w:t>注：</w:t>
      </w:r>
      <w:r>
        <w:rPr>
          <w:rFonts w:hint="eastAsia" w:ascii="宋体" w:hAnsi="宋体" w:cs="宋体"/>
          <w:color w:val="auto"/>
          <w:spacing w:val="-2"/>
          <w:highlight w:val="none"/>
        </w:rPr>
        <w:t>中标供应商须确保一次性通过项目验收，否则按5万元/次进行扣款，在支付时直接扣除。</w:t>
      </w:r>
    </w:p>
    <w:p>
      <w:pPr>
        <w:widowControl/>
        <w:spacing w:line="426" w:lineRule="exact"/>
        <w:ind w:firstLine="424" w:firstLineChars="200"/>
        <w:rPr>
          <w:rFonts w:ascii="宋体" w:hAnsi="宋体" w:cs="宋体"/>
          <w:b/>
          <w:color w:val="auto"/>
          <w:highlight w:val="none"/>
        </w:rPr>
      </w:pPr>
      <w:r>
        <w:rPr>
          <w:rFonts w:hint="eastAsia" w:ascii="宋体" w:hAnsi="宋体" w:cs="宋体"/>
          <w:b/>
          <w:color w:val="auto"/>
          <w:highlight w:val="none"/>
        </w:rPr>
        <w:t>12.3交付成果要求：</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t>中标人在项目实施开始和结束时应向用户提供下述技术文档：</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t>技术文件：需求（功能）的设计、实现，设备的安装、使用，及测试的技术文件。</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t>测试文档：提供针对该项目特点的测试方案，并提供相应的测试用例、测试报告。</w:t>
      </w:r>
    </w:p>
    <w:p>
      <w:pPr>
        <w:spacing w:line="426" w:lineRule="exact"/>
        <w:ind w:firstLine="424" w:firstLineChars="200"/>
        <w:rPr>
          <w:rFonts w:ascii="宋体" w:hAnsi="宋体" w:cs="宋体"/>
          <w:color w:val="auto"/>
          <w:highlight w:val="none"/>
        </w:rPr>
      </w:pPr>
      <w:r>
        <w:rPr>
          <w:rFonts w:hint="eastAsia" w:ascii="宋体" w:hAnsi="宋体" w:cs="宋体"/>
          <w:color w:val="auto"/>
          <w:highlight w:val="none"/>
        </w:rPr>
        <w:t>验收文档：验收时收集各项验收数据，汇总成册，并对所集成系统进行综合评估。</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十三、违约责任</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13.1 甲方无正当理由拒收货物的，甲方向乙方偿付合同金额10%的违约金。</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13.2 甲方无故逾期验收或无故（财政原因除外）逾期办理款项支付手续的，甲方应按逾期付款总额每日万分之五向乙方支付违约金。</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13.3合同签订后，乙方明确表示或者以自己的行为表示不履行合同约定的，甲方有权单方面终止或解除合同并不给乙方任何补偿，乙方承担全部违约责任及相应的法律责任。</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13.4非甲方原因，乙方逾期交付的，乙方应按5000元/天向甲方支付违约金，由甲方从待付款项中扣除。逾期超过合同约定时间5个工作日不能完成交付的，甲方有权单方面终止或解除合同并不给乙方任何补偿，乙方承担全部违约责任及相应的法律责任。</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13.5乙方在合同执行期间迟延履行合同约定，经甲方催告后在合理期限内仍未履行合同约定的，甲方可单方面终止或解除合同并不给乙方任何补偿，乙方承担全部违约责任及相应的法律责任。</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13.6乙方所交付系统的系统功能、技术要求、质量不符合合同规定的，甲方有权拒收，乙方愿意整改但逾期交付的，按乙方逾期交付处理。乙方拒绝整改的，甲方有权单方面终止或解除合同并不给乙方任何补偿，乙方承担全部违约责任及相应的法律责任。</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13.7乙方因逾期交付或因其他违约行为导致甲方单方面终止或解除合同的，乙方须向甲方支付合同金额10%的违约金（不包含项目验收不通过的扣款），且甲方不给乙方任何补偿。给甲方造成的损失超过违约金的，甲方有权依法追究乙方的赔偿责任（</w:t>
      </w:r>
      <w:r>
        <w:rPr>
          <w:rFonts w:hint="eastAsia" w:ascii="宋体" w:hAnsi="宋体" w:cs="宋体"/>
          <w:b/>
          <w:color w:val="auto"/>
          <w:kern w:val="0"/>
          <w:szCs w:val="21"/>
          <w:highlight w:val="none"/>
        </w:rPr>
        <w:t>注：</w:t>
      </w:r>
      <w:r>
        <w:rPr>
          <w:rFonts w:hint="eastAsia" w:ascii="宋体" w:hAnsi="宋体" w:cs="宋体"/>
          <w:color w:val="auto"/>
          <w:kern w:val="0"/>
          <w:szCs w:val="21"/>
          <w:highlight w:val="none"/>
        </w:rPr>
        <w:t xml:space="preserve">若存在剩余预付款，乙方必须无条件退还本项目余下的预付款，否则甲方将追究其法律责任）。 </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13.8乙方未履行质保期内应履行的义务的，乙方应向甲方支付结算金额百分之五的违约金。且甲方有权委托第三方承担质保期内应由乙方履行的义务，相关修复费用由乙方承担，且不免除乙方应承担的相关责任。乙方不支付违约金或相关修复费用的，甲方有权追究其法律责任。</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十四、不可抗力事件处理：</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14.1在合同有效期内，任何一方因不可抗力事件导致不能履行合同，则合同履行期可延长，其延长期与不可抗力影响期相同。</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14.2 不可抗力事件发生后，应立即通知对方，并寄送有关权威机构出具的证明。</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14.3 不可抗力事件延续120天以上，双方应通过友好协商，确定是否继续履行合同。</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十五、特别约定：</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本项目通过政府采购方式产生，合同双方应遵守《中华人民共和国政府采购法》、《中华人民共和国政府采购法实施条例》、</w:t>
      </w:r>
      <w:r>
        <w:rPr>
          <w:rFonts w:hint="eastAsia"/>
          <w:color w:val="auto"/>
          <w:szCs w:val="21"/>
          <w:highlight w:val="none"/>
        </w:rPr>
        <w:t>《中华人民共和国民法典》</w:t>
      </w:r>
      <w:r>
        <w:rPr>
          <w:rFonts w:hint="eastAsia" w:ascii="宋体" w:hAnsi="宋体" w:cs="宋体"/>
          <w:color w:val="auto"/>
          <w:kern w:val="0"/>
          <w:szCs w:val="21"/>
          <w:highlight w:val="none"/>
        </w:rPr>
        <w:t>等政府采购法律、法规。当出现政府采购相关法律、法规规定的中止或者终止履行合同情形，双方应当严格执行。</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十六、争议解决办法：</w:t>
      </w:r>
    </w:p>
    <w:p>
      <w:pPr>
        <w:snapToGrid w:val="0"/>
        <w:spacing w:line="42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双方在执行合同中所发生的一切争议，应通过协商解决。如协商不成，可向甲方所在地法院起诉。</w:t>
      </w:r>
    </w:p>
    <w:p>
      <w:pPr>
        <w:snapToGrid w:val="0"/>
        <w:spacing w:line="426"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十七、合同生效及其它：</w:t>
      </w:r>
    </w:p>
    <w:p>
      <w:pPr>
        <w:spacing w:line="426" w:lineRule="exact"/>
        <w:rPr>
          <w:rFonts w:ascii="宋体" w:hAnsi="宋体" w:cs="宋体"/>
          <w:color w:val="auto"/>
          <w:kern w:val="0"/>
          <w:szCs w:val="21"/>
          <w:highlight w:val="none"/>
        </w:rPr>
      </w:pPr>
      <w:r>
        <w:rPr>
          <w:rFonts w:hint="eastAsia" w:ascii="宋体" w:hAnsi="宋体" w:cs="宋体"/>
          <w:color w:val="auto"/>
          <w:kern w:val="0"/>
          <w:szCs w:val="21"/>
          <w:highlight w:val="none"/>
        </w:rPr>
        <w:t>17.1招标文件、投标文件及评标过程中的澄清、修改均为合同的有效组成部分。</w:t>
      </w:r>
    </w:p>
    <w:p>
      <w:pPr>
        <w:spacing w:line="426" w:lineRule="exact"/>
        <w:rPr>
          <w:rFonts w:ascii="宋体" w:hAnsi="宋体" w:cs="宋体"/>
          <w:color w:val="auto"/>
          <w:kern w:val="0"/>
          <w:szCs w:val="21"/>
          <w:highlight w:val="none"/>
        </w:rPr>
      </w:pPr>
      <w:r>
        <w:rPr>
          <w:rFonts w:hint="eastAsia" w:ascii="宋体" w:hAnsi="宋体" w:cs="宋体"/>
          <w:color w:val="auto"/>
          <w:kern w:val="0"/>
          <w:szCs w:val="21"/>
          <w:highlight w:val="none"/>
        </w:rPr>
        <w:t>17.2合同经双方法定代表人（或单位负责人或经营者）或授权代表签字并加盖单位公章后生效。</w:t>
      </w:r>
    </w:p>
    <w:p>
      <w:pPr>
        <w:spacing w:line="426" w:lineRule="exact"/>
        <w:rPr>
          <w:rFonts w:ascii="宋体" w:hAnsi="宋体" w:cs="宋体"/>
          <w:color w:val="auto"/>
          <w:kern w:val="0"/>
          <w:szCs w:val="21"/>
          <w:highlight w:val="none"/>
        </w:rPr>
      </w:pPr>
      <w:r>
        <w:rPr>
          <w:rFonts w:hint="eastAsia" w:ascii="宋体" w:hAnsi="宋体" w:cs="宋体"/>
          <w:color w:val="auto"/>
          <w:kern w:val="0"/>
          <w:szCs w:val="21"/>
          <w:highlight w:val="none"/>
        </w:rPr>
        <w:t>17.3合同执行中涉及采购资金追加的，须按照相关规定办理。</w:t>
      </w:r>
    </w:p>
    <w:p>
      <w:pPr>
        <w:spacing w:line="426" w:lineRule="exact"/>
        <w:rPr>
          <w:rFonts w:ascii="宋体" w:hAnsi="宋体" w:cs="宋体"/>
          <w:color w:val="auto"/>
          <w:kern w:val="0"/>
          <w:szCs w:val="21"/>
          <w:highlight w:val="none"/>
        </w:rPr>
      </w:pPr>
      <w:r>
        <w:rPr>
          <w:rFonts w:hint="eastAsia" w:ascii="宋体" w:hAnsi="宋体" w:cs="宋体"/>
          <w:color w:val="auto"/>
          <w:kern w:val="0"/>
          <w:szCs w:val="21"/>
          <w:highlight w:val="none"/>
        </w:rPr>
        <w:t>17.4合同变更应符合</w:t>
      </w:r>
      <w:r>
        <w:rPr>
          <w:rFonts w:hint="eastAsia" w:ascii="宋体" w:hAnsi="宋体" w:cs="宋体"/>
          <w:snapToGrid w:val="0"/>
          <w:color w:val="auto"/>
          <w:szCs w:val="21"/>
          <w:highlight w:val="none"/>
        </w:rPr>
        <w:t>《浙江省政府采购合同暂行办法》(浙财采监[2017]11号)文件的规定。</w:t>
      </w:r>
    </w:p>
    <w:p>
      <w:pPr>
        <w:spacing w:line="426" w:lineRule="exact"/>
        <w:rPr>
          <w:rFonts w:ascii="宋体" w:hAnsi="宋体" w:cs="宋体"/>
          <w:color w:val="auto"/>
          <w:kern w:val="0"/>
          <w:szCs w:val="21"/>
          <w:highlight w:val="none"/>
        </w:rPr>
      </w:pPr>
      <w:r>
        <w:rPr>
          <w:rFonts w:hint="eastAsia" w:ascii="宋体" w:hAnsi="宋体" w:cs="宋体"/>
          <w:color w:val="auto"/>
          <w:kern w:val="0"/>
          <w:szCs w:val="21"/>
          <w:highlight w:val="none"/>
        </w:rPr>
        <w:t>17.5本合同未尽事宜，遵照《中华人民共和国民法典》有关条文执行。</w:t>
      </w:r>
    </w:p>
    <w:p>
      <w:pPr>
        <w:spacing w:line="426" w:lineRule="exact"/>
        <w:rPr>
          <w:rFonts w:ascii="宋体" w:hAnsi="宋体" w:cs="宋体"/>
          <w:color w:val="auto"/>
          <w:kern w:val="0"/>
          <w:szCs w:val="21"/>
          <w:highlight w:val="none"/>
        </w:rPr>
      </w:pPr>
      <w:r>
        <w:rPr>
          <w:rFonts w:hint="eastAsia" w:ascii="宋体" w:hAnsi="宋体" w:cs="宋体"/>
          <w:color w:val="auto"/>
          <w:kern w:val="0"/>
          <w:szCs w:val="21"/>
          <w:highlight w:val="none"/>
        </w:rPr>
        <w:t>17.6 本合同一式陆份，具有同等法律效力，甲乙双方各执叁份。</w:t>
      </w:r>
    </w:p>
    <w:p>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（以下无正文）</w:t>
      </w:r>
    </w:p>
    <w:p>
      <w:pPr>
        <w:spacing w:line="60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pPr>
        <w:tabs>
          <w:tab w:val="left" w:pos="2310"/>
        </w:tabs>
        <w:spacing w:line="60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 xml:space="preserve">单位负责人                                   法定代表人（或负责人或经营者）                 </w:t>
      </w:r>
    </w:p>
    <w:p>
      <w:pPr>
        <w:snapToGrid w:val="0"/>
        <w:spacing w:line="72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 xml:space="preserve">或委托代理人  </w:t>
      </w:r>
      <w:r>
        <w:rPr>
          <w:rFonts w:hint="eastAsia" w:ascii="宋体" w:hAnsi="宋体" w:cs="宋体"/>
          <w:color w:val="auto"/>
          <w:position w:val="30"/>
          <w:szCs w:val="21"/>
          <w:highlight w:val="none"/>
        </w:rPr>
        <w:t>（签字）：</w:t>
      </w:r>
      <w:r>
        <w:rPr>
          <w:rFonts w:hint="eastAsia" w:ascii="宋体" w:hAnsi="宋体" w:cs="宋体"/>
          <w:color w:val="auto"/>
          <w:szCs w:val="21"/>
          <w:highlight w:val="none"/>
        </w:rPr>
        <w:t xml:space="preserve">                     或委托代理人          </w:t>
      </w:r>
      <w:r>
        <w:rPr>
          <w:rFonts w:hint="eastAsia" w:ascii="宋体" w:hAnsi="宋体" w:cs="宋体"/>
          <w:color w:val="auto"/>
          <w:position w:val="30"/>
          <w:szCs w:val="21"/>
          <w:highlight w:val="none"/>
        </w:rPr>
        <w:t xml:space="preserve">（签字）：     </w:t>
      </w:r>
    </w:p>
    <w:p>
      <w:pPr>
        <w:spacing w:line="54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 xml:space="preserve">电  话：                                     电  话：                   </w:t>
      </w:r>
    </w:p>
    <w:p>
      <w:pPr>
        <w:spacing w:line="54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54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账  号：                                     账  号：</w:t>
      </w:r>
    </w:p>
    <w:p>
      <w:pPr>
        <w:spacing w:line="54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单位地址：                                   单位地址：</w:t>
      </w:r>
    </w:p>
    <w:p>
      <w:pPr>
        <w:spacing w:line="540" w:lineRule="exact"/>
        <w:ind w:firstLine="106" w:firstLineChars="50"/>
        <w:rPr>
          <w:rFonts w:ascii="宋体" w:hAnsi="宋体" w:cs="宋体"/>
          <w:color w:val="auto"/>
          <w:szCs w:val="21"/>
          <w:highlight w:val="none"/>
        </w:rPr>
      </w:pPr>
      <w:r>
        <w:rPr>
          <w:rFonts w:hint="eastAsia" w:ascii="宋体" w:hAnsi="宋体" w:cs="宋体"/>
          <w:color w:val="auto"/>
          <w:szCs w:val="21"/>
          <w:highlight w:val="none"/>
        </w:rPr>
        <w:t>签订地点：                                   签订时间：   年    月    日</w:t>
      </w:r>
    </w:p>
    <w:p>
      <w:pPr>
        <w:widowControl/>
        <w:spacing w:line="400" w:lineRule="exact"/>
        <w:jc w:val="center"/>
        <w:rPr>
          <w:rFonts w:ascii="宋体" w:hAnsi="宋体" w:cs="宋体"/>
          <w:b/>
          <w:color w:val="auto"/>
          <w:sz w:val="28"/>
          <w:szCs w:val="28"/>
          <w:highlight w:val="none"/>
        </w:rPr>
      </w:pPr>
    </w:p>
    <w:p>
      <w:pPr>
        <w:widowControl/>
        <w:spacing w:line="400" w:lineRule="exact"/>
        <w:jc w:val="center"/>
        <w:rPr>
          <w:rFonts w:ascii="宋体" w:hAnsi="宋体" w:cs="宋体"/>
          <w:b/>
          <w:color w:val="auto"/>
          <w:sz w:val="28"/>
          <w:szCs w:val="28"/>
          <w:highlight w:val="none"/>
        </w:rPr>
      </w:pPr>
    </w:p>
    <w:p>
      <w:pPr>
        <w:rPr>
          <w:color w:val="auto"/>
          <w:highlight w:val="none"/>
        </w:rPr>
      </w:pPr>
    </w:p>
    <w:p>
      <w:pPr>
        <w:rPr>
          <w:color w:val="auto"/>
          <w:highlight w:val="none"/>
        </w:rPr>
      </w:pPr>
    </w:p>
    <w:p>
      <w:pPr>
        <w:rPr>
          <w:color w:val="auto"/>
          <w:highlight w:val="none"/>
        </w:rPr>
      </w:pPr>
    </w:p>
    <w:bookmarkEnd w:id="75"/>
    <w:bookmarkEnd w:id="76"/>
    <w:p>
      <w:pPr>
        <w:pStyle w:val="2"/>
        <w:spacing w:beforeLines="0" w:afterLines="0" w:line="360" w:lineRule="auto"/>
        <w:ind w:firstLine="644" w:firstLineChars="200"/>
        <w:rPr>
          <w:rFonts w:ascii="宋体" w:hAnsi="宋体" w:cs="宋体"/>
          <w:color w:val="auto"/>
          <w:sz w:val="32"/>
          <w:szCs w:val="32"/>
          <w:highlight w:val="none"/>
        </w:rPr>
      </w:pPr>
      <w:bookmarkStart w:id="81" w:name="_Toc520902407"/>
      <w:bookmarkStart w:id="82" w:name="_Toc316649303"/>
      <w:r>
        <w:rPr>
          <w:rFonts w:hint="eastAsia" w:ascii="宋体" w:hAnsi="宋体" w:cs="宋体"/>
          <w:color w:val="auto"/>
          <w:sz w:val="32"/>
          <w:szCs w:val="32"/>
          <w:highlight w:val="none"/>
        </w:rPr>
        <w:t>第七部分 附件（投标文件格式）</w:t>
      </w:r>
      <w:bookmarkEnd w:id="81"/>
      <w:bookmarkEnd w:id="82"/>
    </w:p>
    <w:p>
      <w:pPr>
        <w:pStyle w:val="3"/>
        <w:spacing w:line="380" w:lineRule="exact"/>
        <w:rPr>
          <w:rFonts w:ascii="宋体" w:hAnsi="宋体" w:cs="宋体"/>
          <w:color w:val="auto"/>
          <w:highlight w:val="none"/>
        </w:rPr>
      </w:pPr>
      <w:r>
        <w:rPr>
          <w:rFonts w:hint="eastAsia" w:ascii="宋体" w:hAnsi="宋体" w:cs="宋体"/>
          <w:color w:val="auto"/>
          <w:szCs w:val="21"/>
          <w:highlight w:val="none"/>
        </w:rPr>
        <w:t>商务技术文件</w:t>
      </w:r>
    </w:p>
    <w:p>
      <w:pPr>
        <w:snapToGrid w:val="0"/>
        <w:spacing w:before="146" w:beforeLines="50" w:after="50"/>
        <w:ind w:firstLine="3710" w:firstLineChars="1750"/>
        <w:rPr>
          <w:rFonts w:ascii="宋体" w:hAnsi="宋体" w:cs="宋体"/>
          <w:color w:val="auto"/>
          <w:szCs w:val="21"/>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封面</w:t>
      </w:r>
    </w:p>
    <w:p>
      <w:pPr>
        <w:spacing w:line="360" w:lineRule="auto"/>
        <w:ind w:firstLine="560"/>
        <w:jc w:val="right"/>
        <w:rPr>
          <w:rFonts w:ascii="宋体" w:hAnsi="宋体" w:cs="宋体"/>
          <w:color w:val="auto"/>
          <w:sz w:val="28"/>
          <w:highlight w:val="none"/>
        </w:rPr>
      </w:pPr>
    </w:p>
    <w:p>
      <w:pPr>
        <w:spacing w:line="360" w:lineRule="auto"/>
        <w:ind w:firstLine="1288" w:firstLineChars="400"/>
        <w:rPr>
          <w:rFonts w:ascii="宋体" w:hAnsi="宋体" w:cs="宋体"/>
          <w:color w:val="auto"/>
          <w:sz w:val="32"/>
          <w:highlight w:val="none"/>
        </w:rPr>
      </w:pPr>
    </w:p>
    <w:p>
      <w:pPr>
        <w:spacing w:line="360" w:lineRule="auto"/>
        <w:jc w:val="center"/>
        <w:rPr>
          <w:rFonts w:ascii="宋体" w:hAnsi="宋体" w:cs="宋体"/>
          <w:color w:val="auto"/>
          <w:sz w:val="28"/>
          <w:highlight w:val="none"/>
          <w:u w:val="single"/>
        </w:rPr>
      </w:pPr>
      <w:r>
        <w:rPr>
          <w:rFonts w:hint="eastAsia" w:ascii="宋体" w:hAnsi="宋体" w:cs="宋体"/>
          <w:color w:val="auto"/>
          <w:sz w:val="28"/>
          <w:highlight w:val="none"/>
          <w:u w:val="single"/>
        </w:rPr>
        <w:t>_______________________________________________</w:t>
      </w:r>
      <w:r>
        <w:rPr>
          <w:rFonts w:hint="eastAsia" w:ascii="宋体" w:hAnsi="宋体" w:cs="宋体"/>
          <w:color w:val="auto"/>
          <w:sz w:val="28"/>
          <w:highlight w:val="none"/>
        </w:rPr>
        <w:t>项目</w:t>
      </w:r>
    </w:p>
    <w:p>
      <w:pPr>
        <w:spacing w:line="360" w:lineRule="auto"/>
        <w:ind w:firstLine="1288" w:firstLineChars="400"/>
        <w:rPr>
          <w:rFonts w:ascii="宋体" w:hAnsi="宋体" w:cs="宋体"/>
          <w:color w:val="auto"/>
          <w:sz w:val="32"/>
          <w:highlight w:val="none"/>
        </w:rPr>
      </w:pPr>
    </w:p>
    <w:p>
      <w:pPr>
        <w:spacing w:line="360" w:lineRule="auto"/>
        <w:ind w:firstLine="1288" w:firstLineChars="400"/>
        <w:rPr>
          <w:rFonts w:ascii="宋体" w:hAnsi="宋体" w:cs="宋体"/>
          <w:color w:val="auto"/>
          <w:sz w:val="32"/>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投 标 文 件</w:t>
      </w:r>
    </w:p>
    <w:p>
      <w:pPr>
        <w:spacing w:line="360" w:lineRule="auto"/>
        <w:ind w:firstLine="1692" w:firstLineChars="600"/>
        <w:rPr>
          <w:rFonts w:ascii="宋体" w:hAnsi="宋体" w:cs="宋体"/>
          <w:color w:val="auto"/>
          <w:sz w:val="28"/>
          <w:highlight w:val="none"/>
        </w:rPr>
      </w:pPr>
    </w:p>
    <w:p>
      <w:pPr>
        <w:spacing w:line="360" w:lineRule="auto"/>
        <w:ind w:firstLine="1692" w:firstLineChars="600"/>
        <w:rPr>
          <w:rFonts w:ascii="宋体" w:hAnsi="宋体" w:cs="宋体"/>
          <w:color w:val="auto"/>
          <w:sz w:val="28"/>
          <w:highlight w:val="none"/>
          <w:u w:val="single"/>
        </w:rPr>
      </w:pPr>
      <w:r>
        <w:rPr>
          <w:rFonts w:hint="eastAsia" w:ascii="宋体" w:hAnsi="宋体" w:cs="宋体"/>
          <w:color w:val="auto"/>
          <w:sz w:val="28"/>
          <w:highlight w:val="none"/>
        </w:rPr>
        <w:t>招标编号：</w:t>
      </w:r>
      <w:r>
        <w:rPr>
          <w:rFonts w:hint="eastAsia" w:ascii="宋体" w:hAnsi="宋体" w:cs="宋体"/>
          <w:color w:val="auto"/>
          <w:sz w:val="28"/>
          <w:highlight w:val="none"/>
          <w:u w:val="single"/>
        </w:rPr>
        <w:t>_______________</w:t>
      </w:r>
    </w:p>
    <w:p>
      <w:pPr>
        <w:spacing w:line="360" w:lineRule="auto"/>
        <w:ind w:firstLine="1692" w:firstLineChars="600"/>
        <w:rPr>
          <w:rFonts w:ascii="宋体" w:hAnsi="宋体" w:cs="宋体"/>
          <w:color w:val="auto"/>
          <w:sz w:val="28"/>
          <w:highlight w:val="none"/>
          <w:u w:val="single"/>
        </w:rPr>
      </w:pPr>
      <w:r>
        <w:rPr>
          <w:rFonts w:hint="eastAsia" w:ascii="宋体" w:hAnsi="宋体" w:cs="宋体"/>
          <w:color w:val="auto"/>
          <w:sz w:val="28"/>
          <w:highlight w:val="none"/>
        </w:rPr>
        <w:t>标项：</w:t>
      </w:r>
      <w:r>
        <w:rPr>
          <w:rFonts w:hint="eastAsia" w:ascii="宋体" w:hAnsi="宋体" w:cs="宋体"/>
          <w:color w:val="auto"/>
          <w:sz w:val="28"/>
          <w:highlight w:val="none"/>
          <w:u w:val="single"/>
        </w:rPr>
        <w:t>______________</w:t>
      </w:r>
    </w:p>
    <w:p>
      <w:pPr>
        <w:spacing w:line="360" w:lineRule="auto"/>
        <w:rPr>
          <w:rFonts w:ascii="宋体" w:hAnsi="宋体" w:cs="宋体"/>
          <w:color w:val="auto"/>
          <w:sz w:val="28"/>
          <w:szCs w:val="28"/>
          <w:highlight w:val="none"/>
          <w:u w:val="singl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720" w:lineRule="auto"/>
        <w:rPr>
          <w:rFonts w:ascii="宋体" w:hAnsi="宋体" w:cs="宋体"/>
          <w:b/>
          <w:color w:val="auto"/>
          <w:sz w:val="28"/>
          <w:highlight w:val="none"/>
          <w:u w:val="single"/>
        </w:rPr>
      </w:pPr>
      <w:r>
        <w:rPr>
          <w:rFonts w:hint="eastAsia" w:ascii="宋体" w:hAnsi="宋体" w:cs="宋体"/>
          <w:color w:val="auto"/>
          <w:sz w:val="28"/>
          <w:highlight w:val="none"/>
        </w:rPr>
        <w:t>投标文件名称：</w:t>
      </w:r>
      <w:r>
        <w:rPr>
          <w:rFonts w:hint="eastAsia" w:ascii="宋体" w:hAnsi="宋体" w:cs="宋体"/>
          <w:b/>
          <w:color w:val="auto"/>
          <w:sz w:val="28"/>
          <w:highlight w:val="none"/>
          <w:u w:val="single"/>
        </w:rPr>
        <w:t xml:space="preserve">           商务技术文件                      </w:t>
      </w:r>
    </w:p>
    <w:p>
      <w:pPr>
        <w:spacing w:line="720" w:lineRule="auto"/>
        <w:rPr>
          <w:rFonts w:ascii="宋体" w:hAnsi="宋体" w:cs="宋体"/>
          <w:b/>
          <w:color w:val="auto"/>
          <w:sz w:val="28"/>
          <w:highlight w:val="none"/>
        </w:rPr>
      </w:pPr>
      <w:r>
        <w:rPr>
          <w:rFonts w:hint="eastAsia" w:ascii="宋体" w:hAnsi="宋体" w:cs="宋体"/>
          <w:color w:val="auto"/>
          <w:sz w:val="28"/>
          <w:highlight w:val="none"/>
        </w:rPr>
        <w:t>投标人：</w:t>
      </w:r>
      <w:r>
        <w:rPr>
          <w:rFonts w:hint="eastAsia" w:ascii="宋体" w:hAnsi="宋体" w:cs="宋体"/>
          <w:color w:val="auto"/>
          <w:sz w:val="28"/>
          <w:highlight w:val="none"/>
          <w:u w:val="single"/>
        </w:rPr>
        <w:t xml:space="preserve">                                             （盖章） </w:t>
      </w:r>
    </w:p>
    <w:p>
      <w:pPr>
        <w:pStyle w:val="18"/>
        <w:spacing w:line="720" w:lineRule="auto"/>
        <w:ind w:firstLine="0"/>
        <w:jc w:val="center"/>
        <w:rPr>
          <w:rFonts w:ascii="宋体" w:hAnsi="宋体" w:cs="宋体"/>
          <w:bCs/>
          <w:color w:val="auto"/>
          <w:sz w:val="24"/>
          <w:szCs w:val="24"/>
          <w:highlight w:val="none"/>
        </w:rPr>
      </w:pPr>
      <w:r>
        <w:rPr>
          <w:rFonts w:hint="eastAsia" w:ascii="宋体" w:hAnsi="宋体" w:cs="宋体"/>
          <w:color w:val="auto"/>
          <w:sz w:val="28"/>
          <w:highlight w:val="none"/>
        </w:rPr>
        <w:t>日    期：</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年</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月</w:t>
      </w:r>
      <w:r>
        <w:rPr>
          <w:rFonts w:hint="eastAsia" w:ascii="宋体" w:hAnsi="宋体" w:cs="宋体"/>
          <w:color w:val="auto"/>
          <w:sz w:val="28"/>
          <w:highlight w:val="none"/>
          <w:u w:val="single"/>
        </w:rPr>
        <w:t xml:space="preserve">       </w:t>
      </w:r>
      <w:r>
        <w:rPr>
          <w:rFonts w:hint="eastAsia" w:ascii="宋体" w:hAnsi="宋体" w:cs="宋体"/>
          <w:b/>
          <w:color w:val="auto"/>
          <w:sz w:val="28"/>
          <w:highlight w:val="none"/>
          <w:u w:val="single"/>
        </w:rPr>
        <w:t xml:space="preserve">   </w:t>
      </w:r>
      <w:r>
        <w:rPr>
          <w:rFonts w:hint="eastAsia" w:ascii="宋体" w:hAnsi="宋体" w:cs="宋体"/>
          <w:color w:val="auto"/>
          <w:sz w:val="28"/>
          <w:highlight w:val="none"/>
        </w:rPr>
        <w:t>日</w:t>
      </w:r>
    </w:p>
    <w:p>
      <w:pPr>
        <w:rPr>
          <w:color w:val="auto"/>
          <w:highlight w:val="none"/>
        </w:rPr>
      </w:pPr>
    </w:p>
    <w:p>
      <w:pPr>
        <w:rPr>
          <w:rFonts w:ascii="宋体" w:hAnsi="宋体" w:cs="宋体"/>
          <w:color w:val="auto"/>
          <w:sz w:val="24"/>
          <w:szCs w:val="24"/>
          <w:highlight w:val="none"/>
        </w:rPr>
      </w:pP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1．商务技术文件，含：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(1)投标函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(2)单位负责人授权书或单位负责人身份证明；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(3)投标单位情况一览表（若联合体投标的，联合体各方均须提供）；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(4)技术条款偏离表；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(6)第五部分“评标办法”中“评分标准”要求提供的资料（如有需提供）；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以上条款请按本招标文件第七部分“附件（投标文件格式）”编制。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cs="宋体"/>
          <w:color w:val="auto"/>
          <w:sz w:val="24"/>
          <w:szCs w:val="24"/>
          <w:highlight w:val="none"/>
        </w:rPr>
      </w:pPr>
    </w:p>
    <w:p>
      <w:pPr>
        <w:snapToGrid w:val="0"/>
        <w:spacing w:line="360" w:lineRule="auto"/>
        <w:ind w:left="-23" w:leftChars="-11" w:right="-216" w:rightChars="-102" w:firstLine="24" w:firstLineChars="10"/>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napToGrid w:val="0"/>
        <w:spacing w:line="360" w:lineRule="auto"/>
        <w:ind w:left="-23" w:leftChars="-11" w:right="-216" w:rightChars="-102" w:firstLine="24" w:firstLineChars="10"/>
        <w:jc w:val="center"/>
        <w:rPr>
          <w:rFonts w:ascii="宋体" w:hAnsi="宋体" w:cs="宋体"/>
          <w:b/>
          <w:color w:val="auto"/>
          <w:sz w:val="24"/>
          <w:szCs w:val="24"/>
          <w:highlight w:val="none"/>
        </w:rPr>
      </w:pPr>
      <w:r>
        <w:rPr>
          <w:rFonts w:hint="eastAsia" w:ascii="宋体" w:hAnsi="宋体" w:cs="宋体"/>
          <w:b/>
          <w:color w:val="auto"/>
          <w:sz w:val="24"/>
          <w:szCs w:val="24"/>
          <w:highlight w:val="none"/>
        </w:rPr>
        <w:t>（一）投 标 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（采购人、采购代理机构）               </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我方确认收到贵方关于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的招标文件（项目编号：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），法定代表人（或《单位负责人授权书》中的授权代表）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作为我方代表，在此声明并同意：</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1.愿意遵守招标文件的各项规定，自愿参加投标，并已清楚招标文件的要求及有关文件规定，并严格按照招标文件的规定履行全部责任和义务。</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2.同意本投标文件的投标有效期从提交投标文件的截止之日起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日历天内有效。如果我方的投标被接受，则直至合同生效时止，本投标始终有效并不撤回已提交的投标文件。</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3.我方已详细审查并理解全部招标文件，包括修改文件（如有）以及全部参考资料和有关附件，已经了解我方对于采购文件、采购过程、采购结果有依法进行询问、质疑、投诉的权利及进行询问、质疑、投诉的相关渠道、要求。我们同意放弃对招标文件提出不明或误解的一切权力。</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4.我方同意提供采购人或采购代理机构与评标委员会要求的有关投标的一切数据或资料。</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5.我们理解采购人或采购代理机构与评标委员会并无义务必须接受最低报价的投标或其它任何投标。</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6.如果我方未对招标文件全部要求作出实质性响应，则完全同意并接受按无效投标处理。</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7.我方证明提交的一切文件，无论是原件还是复印件均为准确、真实、有效、完整的，绝无任何虚假、伪造或者夸大。我们在此郑重承诺：在本次招标采购活动中，如有违法、违规、弄虚作假行为，所造成的损失、不良后果及法律责任，一律由我方承担。</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8.如果我们提供的声明或承诺不真实，则完全同意认定为我方提供虚假材料，并同意作相应处理。</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9.如我方中标，承诺按照招标文件规定的金额、时间和方式支付采购代理服务费。因我方违约致使采购代理机构采取诉讼或仲裁等方式实现债权，为此支付的律师费、差旅费、执行费、评估费及其他实现债权的一切费用由我方承担。</w:t>
      </w:r>
    </w:p>
    <w:p>
      <w:pPr>
        <w:snapToGrid w:val="0"/>
        <w:spacing w:before="50" w:after="50" w:line="360" w:lineRule="auto"/>
        <w:ind w:left="-23" w:leftChars="-11" w:right="-216" w:rightChars="-102" w:firstLine="451" w:firstLineChars="213"/>
        <w:jc w:val="left"/>
        <w:rPr>
          <w:rFonts w:ascii="宋体" w:hAnsi="宋体" w:cs="宋体"/>
          <w:color w:val="auto"/>
          <w:szCs w:val="21"/>
          <w:highlight w:val="none"/>
        </w:rPr>
      </w:pPr>
      <w:r>
        <w:rPr>
          <w:rFonts w:hint="eastAsia" w:ascii="宋体" w:hAnsi="宋体" w:cs="宋体"/>
          <w:color w:val="auto"/>
          <w:szCs w:val="21"/>
          <w:highlight w:val="none"/>
        </w:rPr>
        <w:t>10.所有有关本次投标的函电请寄：</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电子邮箱：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_填写全称并加盖公章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法定代表人或授权代表签名：</w:t>
      </w:r>
      <w:r>
        <w:rPr>
          <w:rFonts w:hint="eastAsia" w:ascii="宋体" w:hAnsi="宋体" w:cs="宋体"/>
          <w:color w:val="auto"/>
          <w:szCs w:val="21"/>
          <w:highlight w:val="none"/>
          <w:u w:val="single"/>
        </w:rPr>
        <w:t xml:space="preserve"> ________________</w:t>
      </w:r>
      <w:r>
        <w:rPr>
          <w:rFonts w:hint="eastAsia" w:ascii="宋体" w:hAnsi="宋体" w:cs="宋体"/>
          <w:color w:val="auto"/>
          <w:szCs w:val="21"/>
          <w:highlight w:val="none"/>
        </w:rPr>
        <w:t>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  期：</w:t>
      </w:r>
    </w:p>
    <w:p>
      <w:pPr>
        <w:rPr>
          <w:color w:val="auto"/>
          <w:highlight w:val="none"/>
        </w:rPr>
      </w:pPr>
    </w:p>
    <w:p>
      <w:pPr>
        <w:rPr>
          <w:rFonts w:ascii="宋体" w:hAnsi="宋体" w:cs="宋体"/>
          <w:color w:val="auto"/>
          <w:sz w:val="24"/>
          <w:szCs w:val="24"/>
          <w:highlight w:val="none"/>
        </w:rPr>
      </w:pPr>
    </w:p>
    <w:p>
      <w:pPr>
        <w:pStyle w:val="3"/>
        <w:spacing w:line="380" w:lineRule="exact"/>
        <w:rPr>
          <w:rFonts w:ascii="宋体" w:hAnsi="宋体" w:cs="宋体"/>
          <w:bCs w:val="0"/>
          <w:color w:val="auto"/>
          <w:sz w:val="24"/>
          <w:szCs w:val="24"/>
          <w:highlight w:val="none"/>
        </w:rPr>
      </w:pPr>
      <w:r>
        <w:rPr>
          <w:rFonts w:hint="eastAsia" w:ascii="宋体" w:hAnsi="宋体" w:cs="宋体"/>
          <w:bCs w:val="0"/>
          <w:color w:val="auto"/>
          <w:sz w:val="24"/>
          <w:szCs w:val="24"/>
          <w:highlight w:val="none"/>
        </w:rPr>
        <w:t>（二）单位负责人授权书</w:t>
      </w:r>
    </w:p>
    <w:p>
      <w:pPr>
        <w:pStyle w:val="18"/>
        <w:ind w:firstLine="0"/>
        <w:jc w:val="center"/>
        <w:rPr>
          <w:rFonts w:ascii="宋体" w:hAnsi="宋体" w:cs="宋体"/>
          <w:color w:val="auto"/>
          <w:highlight w:val="none"/>
        </w:rPr>
      </w:pPr>
      <w:r>
        <w:rPr>
          <w:rFonts w:hint="eastAsia" w:ascii="宋体" w:hAnsi="宋体" w:cs="宋体"/>
          <w:bCs/>
          <w:color w:val="auto"/>
          <w:sz w:val="24"/>
          <w:highlight w:val="none"/>
        </w:rPr>
        <w:t>（单位负责人来投标的，此表不用）</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致 （</w:t>
      </w:r>
      <w:r>
        <w:rPr>
          <w:rFonts w:hint="eastAsia" w:ascii="宋体" w:hAnsi="宋体" w:cs="宋体"/>
          <w:i/>
          <w:color w:val="auto"/>
          <w:sz w:val="21"/>
          <w:szCs w:val="21"/>
          <w:highlight w:val="none"/>
          <w:u w:val="single"/>
        </w:rPr>
        <w:t>采购代理机构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18"/>
        <w:ind w:firstLine="0"/>
        <w:rPr>
          <w:rFonts w:ascii="宋体" w:hAnsi="宋体" w:cs="宋体"/>
          <w:color w:val="auto"/>
          <w:sz w:val="21"/>
          <w:szCs w:val="21"/>
          <w:highlight w:val="none"/>
        </w:rPr>
      </w:pP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i/>
          <w:color w:val="auto"/>
          <w:sz w:val="21"/>
          <w:szCs w:val="21"/>
          <w:highlight w:val="none"/>
          <w:u w:val="single"/>
        </w:rPr>
        <w:t>投标人全称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单位负责人</w:t>
      </w:r>
      <w:r>
        <w:rPr>
          <w:rFonts w:hint="eastAsia" w:ascii="宋体" w:hAnsi="宋体" w:cs="宋体"/>
          <w:color w:val="auto"/>
          <w:sz w:val="21"/>
          <w:szCs w:val="21"/>
          <w:highlight w:val="none"/>
          <w:u w:val="single"/>
        </w:rPr>
        <w:t xml:space="preserve">  </w:t>
      </w:r>
      <w:r>
        <w:rPr>
          <w:rFonts w:hint="eastAsia" w:ascii="宋体" w:hAnsi="宋体" w:cs="宋体"/>
          <w:i/>
          <w:color w:val="auto"/>
          <w:sz w:val="21"/>
          <w:szCs w:val="21"/>
          <w:highlight w:val="none"/>
          <w:u w:val="single"/>
        </w:rPr>
        <w:t>（姓名、职务）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 xml:space="preserve">   （</w:t>
      </w:r>
      <w:r>
        <w:rPr>
          <w:rFonts w:hint="eastAsia" w:ascii="宋体" w:hAnsi="宋体" w:cs="宋体"/>
          <w:i/>
          <w:color w:val="auto"/>
          <w:sz w:val="21"/>
          <w:szCs w:val="21"/>
          <w:highlight w:val="none"/>
          <w:u w:val="single"/>
        </w:rPr>
        <w:t>被授权代表姓名、职务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为本公司合法代理人，参加贵采购代理机构组织的</w:t>
      </w:r>
      <w:r>
        <w:rPr>
          <w:rFonts w:hint="eastAsia" w:ascii="宋体" w:hAnsi="宋体" w:cs="宋体"/>
          <w:color w:val="auto"/>
          <w:sz w:val="21"/>
          <w:szCs w:val="21"/>
          <w:highlight w:val="none"/>
          <w:u w:val="single"/>
        </w:rPr>
        <w:t xml:space="preserve">   </w:t>
      </w:r>
      <w:r>
        <w:rPr>
          <w:rFonts w:hint="eastAsia" w:ascii="宋体" w:hAnsi="宋体" w:cs="宋体"/>
          <w:i/>
          <w:color w:val="auto"/>
          <w:sz w:val="21"/>
          <w:szCs w:val="21"/>
          <w:highlight w:val="none"/>
          <w:u w:val="single"/>
        </w:rPr>
        <w:t>（招标编号）</w:t>
      </w:r>
      <w:r>
        <w:rPr>
          <w:rFonts w:hint="eastAsia" w:ascii="宋体" w:hAnsi="宋体" w:cs="宋体"/>
          <w:color w:val="auto"/>
          <w:sz w:val="21"/>
          <w:szCs w:val="21"/>
          <w:highlight w:val="none"/>
          <w:u w:val="single"/>
        </w:rPr>
        <w:t xml:space="preserve"> (</w:t>
      </w:r>
      <w:r>
        <w:rPr>
          <w:rFonts w:hint="eastAsia" w:ascii="宋体" w:hAnsi="宋体" w:cs="宋体"/>
          <w:i/>
          <w:color w:val="auto"/>
          <w:sz w:val="21"/>
          <w:szCs w:val="21"/>
          <w:highlight w:val="none"/>
          <w:u w:val="singl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项目的招标投标活动，代表本公司处理招标投标活动中的一切事宜。</w:t>
      </w:r>
    </w:p>
    <w:p>
      <w:pPr>
        <w:pStyle w:val="18"/>
        <w:ind w:firstLine="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pPr>
        <w:pStyle w:val="18"/>
        <w:ind w:firstLine="0"/>
        <w:rPr>
          <w:rFonts w:ascii="宋体" w:hAnsi="宋体" w:cs="宋体"/>
          <w:color w:val="auto"/>
          <w:sz w:val="21"/>
          <w:szCs w:val="21"/>
          <w:highlight w:val="none"/>
        </w:rPr>
      </w:pP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单位负责人（签字或印章）：</w:t>
      </w:r>
    </w:p>
    <w:p>
      <w:pPr>
        <w:pStyle w:val="18"/>
        <w:ind w:firstLine="0"/>
        <w:rPr>
          <w:rFonts w:ascii="宋体" w:hAnsi="宋体" w:cs="宋体"/>
          <w:color w:val="auto"/>
          <w:sz w:val="21"/>
          <w:szCs w:val="21"/>
          <w:highlight w:val="none"/>
        </w:rPr>
      </w:pP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投标人单位全称（公章）：</w:t>
      </w:r>
    </w:p>
    <w:p>
      <w:pPr>
        <w:pStyle w:val="18"/>
        <w:ind w:firstLine="0"/>
        <w:rPr>
          <w:rFonts w:ascii="宋体" w:hAnsi="宋体" w:cs="宋体"/>
          <w:color w:val="auto"/>
          <w:sz w:val="21"/>
          <w:szCs w:val="21"/>
          <w:highlight w:val="none"/>
        </w:rPr>
      </w:pP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附：</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被授权代表姓名：（印刷体）</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职          务：</w:t>
      </w:r>
    </w:p>
    <w:p>
      <w:pPr>
        <w:pStyle w:val="18"/>
        <w:ind w:firstLine="235"/>
        <w:rPr>
          <w:rFonts w:ascii="宋体" w:hAnsi="宋体" w:cs="宋体"/>
          <w:color w:val="auto"/>
          <w:sz w:val="21"/>
          <w:szCs w:val="21"/>
          <w:highlight w:val="none"/>
        </w:rPr>
      </w:pPr>
      <w:r>
        <w:rPr>
          <w:rFonts w:hint="eastAsia" w:ascii="宋体" w:hAnsi="宋体" w:cs="宋体"/>
          <w:color w:val="auto"/>
          <w:sz w:val="21"/>
          <w:szCs w:val="21"/>
          <w:highlight w:val="none"/>
        </w:rPr>
        <w:t>被授权代表签字：</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详细通讯地址：</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邮 政 编  码：</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传        真：</w:t>
      </w:r>
    </w:p>
    <w:p>
      <w:pPr>
        <w:pStyle w:val="18"/>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  电        话：</w:t>
      </w:r>
    </w:p>
    <w:p>
      <w:pPr>
        <w:ind w:firstLine="206" w:firstLineChars="98"/>
        <w:rPr>
          <w:rFonts w:ascii="宋体" w:hAnsi="宋体" w:cs="宋体"/>
          <w:b/>
          <w:color w:val="auto"/>
          <w:szCs w:val="21"/>
          <w:highlight w:val="none"/>
        </w:rPr>
      </w:pPr>
      <w:r>
        <w:rPr>
          <w:rFonts w:hint="eastAsia" w:ascii="宋体" w:hAnsi="宋体" w:cs="宋体"/>
          <w:b/>
          <w:color w:val="auto"/>
          <w:szCs w:val="21"/>
          <w:highlight w:val="none"/>
        </w:rPr>
        <w:t>附：单位负责人及被授权人身份证复印件</w:t>
      </w:r>
    </w:p>
    <w:p>
      <w:pPr>
        <w:widowControl/>
        <w:jc w:val="left"/>
        <w:rPr>
          <w:rFonts w:ascii="宋体" w:hAnsi="宋体" w:cs="宋体"/>
          <w:b/>
          <w:color w:val="auto"/>
          <w:szCs w:val="21"/>
          <w:highlight w:val="none"/>
        </w:rPr>
      </w:pPr>
      <w:r>
        <w:rPr>
          <w:rFonts w:hint="eastAsia" w:ascii="宋体" w:hAnsi="宋体" w:cs="宋体"/>
          <w:b/>
          <w:color w:val="auto"/>
          <w:szCs w:val="21"/>
          <w:highlight w:val="none"/>
        </w:rPr>
        <w:br w:type="page"/>
      </w:r>
    </w:p>
    <w:p>
      <w:pPr>
        <w:pStyle w:val="3"/>
        <w:spacing w:line="380" w:lineRule="exact"/>
        <w:rPr>
          <w:rFonts w:ascii="宋体" w:hAnsi="宋体" w:cs="宋体"/>
          <w:bCs w:val="0"/>
          <w:color w:val="auto"/>
          <w:sz w:val="24"/>
          <w:szCs w:val="24"/>
          <w:highlight w:val="none"/>
        </w:rPr>
      </w:pPr>
      <w:r>
        <w:rPr>
          <w:rFonts w:hint="eastAsia" w:ascii="宋体" w:hAnsi="宋体" w:cs="宋体"/>
          <w:bCs w:val="0"/>
          <w:color w:val="auto"/>
          <w:sz w:val="24"/>
          <w:szCs w:val="24"/>
          <w:highlight w:val="none"/>
        </w:rPr>
        <w:t>单位负责人身份证明</w:t>
      </w:r>
    </w:p>
    <w:p>
      <w:pPr>
        <w:pStyle w:val="18"/>
        <w:ind w:firstLine="0"/>
        <w:jc w:val="center"/>
        <w:rPr>
          <w:rFonts w:ascii="宋体" w:hAnsi="宋体" w:cs="宋体"/>
          <w:bCs/>
          <w:color w:val="auto"/>
          <w:sz w:val="24"/>
          <w:highlight w:val="none"/>
        </w:rPr>
      </w:pPr>
      <w:r>
        <w:rPr>
          <w:rFonts w:hint="eastAsia" w:ascii="宋体" w:hAnsi="宋体" w:cs="宋体"/>
          <w:bCs/>
          <w:color w:val="auto"/>
          <w:sz w:val="24"/>
          <w:highlight w:val="none"/>
        </w:rPr>
        <w:t>（单位负责人不来投标的，此表不用）</w:t>
      </w:r>
    </w:p>
    <w:p>
      <w:pPr>
        <w:spacing w:line="480" w:lineRule="auto"/>
        <w:ind w:firstLine="424" w:firstLineChars="200"/>
        <w:rPr>
          <w:rFonts w:ascii="宋体" w:hAnsi="宋体" w:cs="宋体"/>
          <w:color w:val="auto"/>
          <w:szCs w:val="21"/>
          <w:highlight w:val="none"/>
        </w:rPr>
      </w:pP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spacing w:line="480" w:lineRule="auto"/>
        <w:ind w:firstLine="424"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8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（投标人名称）的法定代表人（或单位负责人）。</w:t>
      </w:r>
    </w:p>
    <w:p>
      <w:pPr>
        <w:spacing w:line="480" w:lineRule="auto"/>
        <w:ind w:firstLine="848"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4" w:firstLineChars="200"/>
        <w:rPr>
          <w:rFonts w:ascii="宋体" w:hAnsi="宋体" w:cs="宋体"/>
          <w:color w:val="auto"/>
          <w:szCs w:val="21"/>
          <w:highlight w:val="none"/>
        </w:rPr>
      </w:pPr>
    </w:p>
    <w:p>
      <w:pPr>
        <w:spacing w:line="360" w:lineRule="auto"/>
        <w:ind w:firstLine="424" w:firstLineChars="200"/>
        <w:rPr>
          <w:rFonts w:ascii="宋体" w:hAnsi="宋体" w:cs="宋体"/>
          <w:color w:val="auto"/>
          <w:szCs w:val="21"/>
          <w:highlight w:val="none"/>
        </w:rPr>
      </w:pP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558" w:firstLineChars="2150"/>
        <w:rPr>
          <w:rFonts w:ascii="宋体" w:hAnsi="宋体" w:cs="宋体"/>
          <w:color w:val="auto"/>
          <w:szCs w:val="21"/>
          <w:highlight w:val="none"/>
          <w:u w:val="single"/>
        </w:rPr>
      </w:pPr>
    </w:p>
    <w:p>
      <w:pPr>
        <w:spacing w:line="360" w:lineRule="auto"/>
        <w:ind w:firstLine="3710"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宋体" w:cs="宋体"/>
          <w:color w:val="auto"/>
          <w:sz w:val="24"/>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附单位负责人身份证复印件（正反面）：</w:t>
      </w:r>
    </w:p>
    <w:p>
      <w:pPr>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bookmarkStart w:id="83" w:name="_Toc520902412"/>
    </w:p>
    <w:p>
      <w:pPr>
        <w:rPr>
          <w:color w:val="auto"/>
          <w:highlight w:val="none"/>
        </w:rPr>
      </w:pPr>
    </w:p>
    <w:p>
      <w:pPr>
        <w:rPr>
          <w:color w:val="auto"/>
          <w:highlight w:val="none"/>
        </w:rPr>
      </w:pPr>
      <w:r>
        <w:rPr>
          <w:color w:val="auto"/>
          <w:highlight w:val="none"/>
        </w:rPr>
        <w:br w:type="page"/>
      </w:r>
    </w:p>
    <w:p>
      <w:pPr>
        <w:pStyle w:val="3"/>
        <w:spacing w:line="380" w:lineRule="exact"/>
        <w:rPr>
          <w:rFonts w:ascii="宋体" w:hAnsi="宋体" w:cs="宋体"/>
          <w:bCs w:val="0"/>
          <w:color w:val="auto"/>
          <w:sz w:val="24"/>
          <w:szCs w:val="24"/>
          <w:highlight w:val="none"/>
        </w:rPr>
      </w:pPr>
      <w:r>
        <w:rPr>
          <w:rFonts w:hint="eastAsia" w:ascii="宋体" w:hAnsi="宋体" w:cs="宋体"/>
          <w:bCs w:val="0"/>
          <w:color w:val="auto"/>
          <w:sz w:val="24"/>
          <w:szCs w:val="24"/>
          <w:highlight w:val="none"/>
        </w:rPr>
        <w:t>（三）</w:t>
      </w:r>
      <w:bookmarkEnd w:id="83"/>
      <w:r>
        <w:rPr>
          <w:rFonts w:hint="eastAsia" w:ascii="宋体" w:hAnsi="宋体" w:cs="宋体"/>
          <w:bCs w:val="0"/>
          <w:color w:val="auto"/>
          <w:sz w:val="24"/>
          <w:szCs w:val="24"/>
          <w:highlight w:val="none"/>
        </w:rPr>
        <w:t>投标单位情况一览表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投标人名称</w:t>
            </w:r>
          </w:p>
        </w:tc>
        <w:tc>
          <w:tcPr>
            <w:tcW w:w="7149" w:type="dxa"/>
            <w:gridSpan w:val="8"/>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注册地址</w:t>
            </w:r>
          </w:p>
        </w:tc>
        <w:tc>
          <w:tcPr>
            <w:tcW w:w="3347" w:type="dxa"/>
            <w:gridSpan w:val="3"/>
            <w:vAlign w:val="center"/>
          </w:tcPr>
          <w:p>
            <w:pPr>
              <w:pStyle w:val="87"/>
              <w:jc w:val="center"/>
              <w:rPr>
                <w:rFonts w:cs="宋体"/>
                <w:color w:val="auto"/>
                <w:sz w:val="24"/>
                <w:szCs w:val="24"/>
                <w:highlight w:val="none"/>
                <w:lang w:val="en-US"/>
              </w:rPr>
            </w:pPr>
          </w:p>
        </w:tc>
        <w:tc>
          <w:tcPr>
            <w:tcW w:w="1268" w:type="dxa"/>
            <w:gridSpan w:val="2"/>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邮政编码</w:t>
            </w:r>
          </w:p>
        </w:tc>
        <w:tc>
          <w:tcPr>
            <w:tcW w:w="2534" w:type="dxa"/>
            <w:gridSpan w:val="3"/>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联系方式</w:t>
            </w:r>
          </w:p>
        </w:tc>
        <w:tc>
          <w:tcPr>
            <w:tcW w:w="85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联系人</w:t>
            </w:r>
          </w:p>
        </w:tc>
        <w:tc>
          <w:tcPr>
            <w:tcW w:w="2496" w:type="dxa"/>
            <w:gridSpan w:val="2"/>
            <w:vAlign w:val="center"/>
          </w:tcPr>
          <w:p>
            <w:pPr>
              <w:pStyle w:val="87"/>
              <w:jc w:val="center"/>
              <w:rPr>
                <w:rFonts w:cs="宋体"/>
                <w:color w:val="auto"/>
                <w:sz w:val="24"/>
                <w:szCs w:val="24"/>
                <w:highlight w:val="none"/>
                <w:lang w:val="en-US"/>
              </w:rPr>
            </w:pPr>
          </w:p>
        </w:tc>
        <w:tc>
          <w:tcPr>
            <w:tcW w:w="1268" w:type="dxa"/>
            <w:gridSpan w:val="2"/>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电话</w:t>
            </w:r>
          </w:p>
        </w:tc>
        <w:tc>
          <w:tcPr>
            <w:tcW w:w="2534" w:type="dxa"/>
            <w:gridSpan w:val="3"/>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87"/>
              <w:jc w:val="center"/>
              <w:rPr>
                <w:rFonts w:cs="宋体"/>
                <w:color w:val="auto"/>
                <w:sz w:val="24"/>
                <w:szCs w:val="24"/>
                <w:highlight w:val="none"/>
                <w:lang w:val="en-US"/>
              </w:rPr>
            </w:pPr>
          </w:p>
        </w:tc>
        <w:tc>
          <w:tcPr>
            <w:tcW w:w="85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传真</w:t>
            </w:r>
          </w:p>
        </w:tc>
        <w:tc>
          <w:tcPr>
            <w:tcW w:w="2496" w:type="dxa"/>
            <w:gridSpan w:val="2"/>
            <w:vAlign w:val="center"/>
          </w:tcPr>
          <w:p>
            <w:pPr>
              <w:pStyle w:val="87"/>
              <w:jc w:val="center"/>
              <w:rPr>
                <w:rFonts w:cs="宋体"/>
                <w:color w:val="auto"/>
                <w:sz w:val="24"/>
                <w:szCs w:val="24"/>
                <w:highlight w:val="none"/>
                <w:lang w:val="en-US"/>
              </w:rPr>
            </w:pPr>
          </w:p>
        </w:tc>
        <w:tc>
          <w:tcPr>
            <w:tcW w:w="1268" w:type="dxa"/>
            <w:gridSpan w:val="2"/>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电子邮址</w:t>
            </w:r>
          </w:p>
        </w:tc>
        <w:tc>
          <w:tcPr>
            <w:tcW w:w="2534" w:type="dxa"/>
            <w:gridSpan w:val="3"/>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法定代表人</w:t>
            </w:r>
          </w:p>
        </w:tc>
        <w:tc>
          <w:tcPr>
            <w:tcW w:w="85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姓名</w:t>
            </w:r>
          </w:p>
        </w:tc>
        <w:tc>
          <w:tcPr>
            <w:tcW w:w="1276" w:type="dxa"/>
            <w:vAlign w:val="center"/>
          </w:tcPr>
          <w:p>
            <w:pPr>
              <w:pStyle w:val="87"/>
              <w:jc w:val="center"/>
              <w:rPr>
                <w:rFonts w:cs="宋体"/>
                <w:color w:val="auto"/>
                <w:sz w:val="24"/>
                <w:szCs w:val="24"/>
                <w:highlight w:val="none"/>
                <w:lang w:val="en-US"/>
              </w:rPr>
            </w:pPr>
          </w:p>
        </w:tc>
        <w:tc>
          <w:tcPr>
            <w:tcW w:w="1220"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技术职称</w:t>
            </w:r>
          </w:p>
        </w:tc>
        <w:tc>
          <w:tcPr>
            <w:tcW w:w="1268" w:type="dxa"/>
            <w:gridSpan w:val="2"/>
            <w:vAlign w:val="center"/>
          </w:tcPr>
          <w:p>
            <w:pPr>
              <w:pStyle w:val="87"/>
              <w:jc w:val="center"/>
              <w:rPr>
                <w:rFonts w:cs="宋体"/>
                <w:color w:val="auto"/>
                <w:sz w:val="24"/>
                <w:szCs w:val="24"/>
                <w:highlight w:val="none"/>
                <w:lang w:val="en-US"/>
              </w:rPr>
            </w:pPr>
          </w:p>
        </w:tc>
        <w:tc>
          <w:tcPr>
            <w:tcW w:w="794"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电话</w:t>
            </w:r>
          </w:p>
        </w:tc>
        <w:tc>
          <w:tcPr>
            <w:tcW w:w="1740" w:type="dxa"/>
            <w:gridSpan w:val="2"/>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技术负责人</w:t>
            </w:r>
          </w:p>
        </w:tc>
        <w:tc>
          <w:tcPr>
            <w:tcW w:w="85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姓名</w:t>
            </w:r>
          </w:p>
        </w:tc>
        <w:tc>
          <w:tcPr>
            <w:tcW w:w="1276" w:type="dxa"/>
            <w:vAlign w:val="center"/>
          </w:tcPr>
          <w:p>
            <w:pPr>
              <w:pStyle w:val="87"/>
              <w:jc w:val="center"/>
              <w:rPr>
                <w:rFonts w:cs="宋体"/>
                <w:color w:val="auto"/>
                <w:sz w:val="24"/>
                <w:szCs w:val="24"/>
                <w:highlight w:val="none"/>
                <w:lang w:val="en-US"/>
              </w:rPr>
            </w:pPr>
          </w:p>
        </w:tc>
        <w:tc>
          <w:tcPr>
            <w:tcW w:w="1220"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技术职称</w:t>
            </w:r>
          </w:p>
        </w:tc>
        <w:tc>
          <w:tcPr>
            <w:tcW w:w="1268" w:type="dxa"/>
            <w:gridSpan w:val="2"/>
            <w:vAlign w:val="center"/>
          </w:tcPr>
          <w:p>
            <w:pPr>
              <w:pStyle w:val="87"/>
              <w:jc w:val="center"/>
              <w:rPr>
                <w:rFonts w:cs="宋体"/>
                <w:color w:val="auto"/>
                <w:sz w:val="24"/>
                <w:szCs w:val="24"/>
                <w:highlight w:val="none"/>
                <w:lang w:val="en-US"/>
              </w:rPr>
            </w:pPr>
          </w:p>
        </w:tc>
        <w:tc>
          <w:tcPr>
            <w:tcW w:w="794"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电话</w:t>
            </w:r>
          </w:p>
        </w:tc>
        <w:tc>
          <w:tcPr>
            <w:tcW w:w="1740" w:type="dxa"/>
            <w:gridSpan w:val="2"/>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成立时间</w:t>
            </w:r>
          </w:p>
        </w:tc>
        <w:tc>
          <w:tcPr>
            <w:tcW w:w="3347" w:type="dxa"/>
            <w:gridSpan w:val="3"/>
            <w:vAlign w:val="center"/>
          </w:tcPr>
          <w:p>
            <w:pPr>
              <w:pStyle w:val="87"/>
              <w:jc w:val="center"/>
              <w:rPr>
                <w:rFonts w:cs="宋体"/>
                <w:color w:val="auto"/>
                <w:sz w:val="24"/>
                <w:szCs w:val="24"/>
                <w:highlight w:val="none"/>
                <w:lang w:val="en-US"/>
              </w:rPr>
            </w:pPr>
          </w:p>
        </w:tc>
        <w:tc>
          <w:tcPr>
            <w:tcW w:w="3802" w:type="dxa"/>
            <w:gridSpan w:val="5"/>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061" w:type="dxa"/>
            <w:vMerge w:val="restart"/>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资质资格与业务范围</w:t>
            </w:r>
          </w:p>
        </w:tc>
        <w:tc>
          <w:tcPr>
            <w:tcW w:w="3347" w:type="dxa"/>
            <w:gridSpan w:val="3"/>
            <w:vMerge w:val="restart"/>
            <w:vAlign w:val="center"/>
          </w:tcPr>
          <w:p>
            <w:pPr>
              <w:pStyle w:val="87"/>
              <w:jc w:val="center"/>
              <w:rPr>
                <w:rFonts w:cs="宋体"/>
                <w:color w:val="auto"/>
                <w:sz w:val="24"/>
                <w:szCs w:val="24"/>
                <w:highlight w:val="none"/>
                <w:lang w:val="en-US"/>
              </w:rPr>
            </w:pPr>
          </w:p>
        </w:tc>
        <w:tc>
          <w:tcPr>
            <w:tcW w:w="892" w:type="dxa"/>
            <w:vMerge w:val="restart"/>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其中</w:t>
            </w:r>
          </w:p>
        </w:tc>
        <w:tc>
          <w:tcPr>
            <w:tcW w:w="1715" w:type="dxa"/>
            <w:gridSpan w:val="3"/>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高级职称</w:t>
            </w:r>
          </w:p>
        </w:tc>
        <w:tc>
          <w:tcPr>
            <w:tcW w:w="1195" w:type="dxa"/>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61" w:type="dxa"/>
            <w:vMerge w:val="continue"/>
            <w:vAlign w:val="center"/>
          </w:tcPr>
          <w:p>
            <w:pPr>
              <w:pStyle w:val="87"/>
              <w:jc w:val="center"/>
              <w:rPr>
                <w:rFonts w:cs="宋体"/>
                <w:color w:val="auto"/>
                <w:sz w:val="24"/>
                <w:szCs w:val="24"/>
                <w:highlight w:val="none"/>
                <w:lang w:val="en-US"/>
              </w:rPr>
            </w:pPr>
          </w:p>
        </w:tc>
        <w:tc>
          <w:tcPr>
            <w:tcW w:w="3347" w:type="dxa"/>
            <w:gridSpan w:val="3"/>
            <w:vMerge w:val="continue"/>
            <w:vAlign w:val="center"/>
          </w:tcPr>
          <w:p>
            <w:pPr>
              <w:pStyle w:val="87"/>
              <w:jc w:val="center"/>
              <w:rPr>
                <w:rFonts w:cs="宋体"/>
                <w:color w:val="auto"/>
                <w:sz w:val="24"/>
                <w:szCs w:val="24"/>
                <w:highlight w:val="none"/>
                <w:lang w:val="en-US"/>
              </w:rPr>
            </w:pPr>
          </w:p>
        </w:tc>
        <w:tc>
          <w:tcPr>
            <w:tcW w:w="892" w:type="dxa"/>
            <w:vMerge w:val="continue"/>
            <w:vAlign w:val="center"/>
          </w:tcPr>
          <w:p>
            <w:pPr>
              <w:pStyle w:val="87"/>
              <w:jc w:val="center"/>
              <w:rPr>
                <w:rFonts w:cs="宋体"/>
                <w:color w:val="auto"/>
                <w:sz w:val="24"/>
                <w:szCs w:val="24"/>
                <w:highlight w:val="none"/>
                <w:lang w:val="en-US"/>
              </w:rPr>
            </w:pPr>
          </w:p>
        </w:tc>
        <w:tc>
          <w:tcPr>
            <w:tcW w:w="1715" w:type="dxa"/>
            <w:gridSpan w:val="3"/>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中级职称</w:t>
            </w:r>
          </w:p>
        </w:tc>
        <w:tc>
          <w:tcPr>
            <w:tcW w:w="1195" w:type="dxa"/>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营业执照号</w:t>
            </w:r>
          </w:p>
        </w:tc>
        <w:tc>
          <w:tcPr>
            <w:tcW w:w="3347" w:type="dxa"/>
            <w:gridSpan w:val="3"/>
            <w:vAlign w:val="center"/>
          </w:tcPr>
          <w:p>
            <w:pPr>
              <w:pStyle w:val="87"/>
              <w:jc w:val="center"/>
              <w:rPr>
                <w:rFonts w:cs="宋体"/>
                <w:color w:val="auto"/>
                <w:sz w:val="24"/>
                <w:szCs w:val="24"/>
                <w:highlight w:val="none"/>
                <w:lang w:val="en-US"/>
              </w:rPr>
            </w:pPr>
          </w:p>
        </w:tc>
        <w:tc>
          <w:tcPr>
            <w:tcW w:w="892" w:type="dxa"/>
            <w:vMerge w:val="continue"/>
            <w:vAlign w:val="center"/>
          </w:tcPr>
          <w:p>
            <w:pPr>
              <w:pStyle w:val="87"/>
              <w:jc w:val="center"/>
              <w:rPr>
                <w:rFonts w:cs="宋体"/>
                <w:color w:val="auto"/>
                <w:sz w:val="24"/>
                <w:szCs w:val="24"/>
                <w:highlight w:val="none"/>
                <w:lang w:val="en-US"/>
              </w:rPr>
            </w:pPr>
          </w:p>
        </w:tc>
        <w:tc>
          <w:tcPr>
            <w:tcW w:w="1715" w:type="dxa"/>
            <w:gridSpan w:val="3"/>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各类注册人员</w:t>
            </w:r>
          </w:p>
        </w:tc>
        <w:tc>
          <w:tcPr>
            <w:tcW w:w="1195" w:type="dxa"/>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注册资金</w:t>
            </w:r>
          </w:p>
        </w:tc>
        <w:tc>
          <w:tcPr>
            <w:tcW w:w="7149" w:type="dxa"/>
            <w:gridSpan w:val="8"/>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基本账户开户银行</w:t>
            </w:r>
          </w:p>
        </w:tc>
        <w:tc>
          <w:tcPr>
            <w:tcW w:w="7149" w:type="dxa"/>
            <w:gridSpan w:val="8"/>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基本账户账号</w:t>
            </w:r>
          </w:p>
        </w:tc>
        <w:tc>
          <w:tcPr>
            <w:tcW w:w="7149" w:type="dxa"/>
            <w:gridSpan w:val="8"/>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经营范围</w:t>
            </w:r>
          </w:p>
        </w:tc>
        <w:tc>
          <w:tcPr>
            <w:tcW w:w="7149" w:type="dxa"/>
            <w:gridSpan w:val="8"/>
            <w:vAlign w:val="center"/>
          </w:tcPr>
          <w:p>
            <w:pPr>
              <w:pStyle w:val="87"/>
              <w:jc w:val="center"/>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87"/>
              <w:jc w:val="center"/>
              <w:rPr>
                <w:rFonts w:cs="宋体"/>
                <w:color w:val="auto"/>
                <w:sz w:val="24"/>
                <w:szCs w:val="24"/>
                <w:highlight w:val="none"/>
                <w:lang w:val="en-US"/>
              </w:rPr>
            </w:pPr>
            <w:r>
              <w:rPr>
                <w:rFonts w:hint="eastAsia" w:cs="宋体"/>
                <w:color w:val="auto"/>
                <w:sz w:val="24"/>
                <w:szCs w:val="24"/>
                <w:highlight w:val="none"/>
                <w:lang w:val="en-US"/>
              </w:rPr>
              <w:t>备注</w:t>
            </w:r>
          </w:p>
        </w:tc>
        <w:tc>
          <w:tcPr>
            <w:tcW w:w="7149" w:type="dxa"/>
            <w:gridSpan w:val="8"/>
            <w:vAlign w:val="center"/>
          </w:tcPr>
          <w:p>
            <w:pPr>
              <w:pStyle w:val="87"/>
              <w:jc w:val="center"/>
              <w:rPr>
                <w:rFonts w:cs="宋体"/>
                <w:color w:val="auto"/>
                <w:sz w:val="24"/>
                <w:szCs w:val="24"/>
                <w:highlight w:val="none"/>
                <w:lang w:val="en-US"/>
              </w:rPr>
            </w:pPr>
          </w:p>
        </w:tc>
      </w:tr>
    </w:tbl>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投标人（公章）：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投标人代表（签字或印章）：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日期：</w:t>
      </w:r>
    </w:p>
    <w:p>
      <w:pPr>
        <w:rPr>
          <w:rFonts w:ascii="宋体" w:hAnsi="宋体" w:cs="宋体"/>
          <w:b/>
          <w:bCs/>
          <w:color w:val="auto"/>
          <w:highlight w:val="none"/>
        </w:rPr>
      </w:pPr>
      <w:r>
        <w:rPr>
          <w:rFonts w:hint="eastAsia" w:ascii="宋体" w:hAnsi="宋体" w:cs="宋体"/>
          <w:b/>
          <w:bCs/>
          <w:color w:val="auto"/>
          <w:szCs w:val="21"/>
          <w:highlight w:val="none"/>
        </w:rPr>
        <w:t>注：（若联合体投标的，联合体各方均须提供）</w:t>
      </w:r>
    </w:p>
    <w:p>
      <w:pPr>
        <w:pStyle w:val="3"/>
        <w:spacing w:line="380" w:lineRule="exact"/>
        <w:rPr>
          <w:rFonts w:ascii="宋体" w:hAnsi="宋体" w:cs="宋体"/>
          <w:color w:val="auto"/>
          <w:sz w:val="24"/>
          <w:szCs w:val="24"/>
          <w:highlight w:val="none"/>
        </w:rPr>
      </w:pPr>
      <w:bookmarkStart w:id="84" w:name="_Toc481153681"/>
      <w:bookmarkStart w:id="85" w:name="_Toc520902414"/>
      <w:bookmarkStart w:id="86" w:name="_Toc316649308"/>
      <w:bookmarkStart w:id="87" w:name="_Toc502819359"/>
      <w:bookmarkStart w:id="88" w:name="_Toc497935752"/>
      <w:r>
        <w:rPr>
          <w:rFonts w:hint="eastAsia" w:ascii="宋体" w:hAnsi="宋体" w:cs="宋体"/>
          <w:color w:val="auto"/>
          <w:sz w:val="24"/>
          <w:szCs w:val="24"/>
          <w:highlight w:val="none"/>
        </w:rPr>
        <w:t>（四）技术条款偏离表</w:t>
      </w:r>
      <w:bookmarkEnd w:id="84"/>
      <w:bookmarkEnd w:id="85"/>
      <w:bookmarkEnd w:id="86"/>
      <w:bookmarkEnd w:id="87"/>
      <w:bookmarkEnd w:id="88"/>
    </w:p>
    <w:p>
      <w:pPr>
        <w:spacing w:line="380" w:lineRule="exact"/>
        <w:rPr>
          <w:rFonts w:ascii="宋体" w:hAnsi="宋体" w:cs="宋体"/>
          <w:color w:val="auto"/>
          <w:szCs w:val="21"/>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3360"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招标文件技术要求</w:t>
            </w:r>
          </w:p>
        </w:tc>
        <w:tc>
          <w:tcPr>
            <w:tcW w:w="2908"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投标文件对应规格</w:t>
            </w:r>
          </w:p>
        </w:tc>
        <w:tc>
          <w:tcPr>
            <w:tcW w:w="1578"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宋体" w:hAnsi="宋体" w:cs="宋体"/>
                <w:color w:val="auto"/>
                <w:sz w:val="22"/>
                <w:szCs w:val="22"/>
                <w:highlight w:val="none"/>
              </w:rPr>
            </w:pPr>
          </w:p>
        </w:tc>
        <w:tc>
          <w:tcPr>
            <w:tcW w:w="3360" w:type="dxa"/>
            <w:vAlign w:val="center"/>
          </w:tcPr>
          <w:p>
            <w:pPr>
              <w:spacing w:line="380" w:lineRule="exact"/>
              <w:jc w:val="center"/>
              <w:rPr>
                <w:rFonts w:ascii="宋体" w:hAnsi="宋体" w:cs="宋体"/>
                <w:color w:val="auto"/>
                <w:sz w:val="22"/>
                <w:szCs w:val="22"/>
                <w:highlight w:val="none"/>
              </w:rPr>
            </w:pPr>
          </w:p>
        </w:tc>
        <w:tc>
          <w:tcPr>
            <w:tcW w:w="2908" w:type="dxa"/>
            <w:vAlign w:val="center"/>
          </w:tcPr>
          <w:p>
            <w:pPr>
              <w:spacing w:line="380" w:lineRule="exact"/>
              <w:jc w:val="center"/>
              <w:rPr>
                <w:rFonts w:ascii="宋体" w:hAnsi="宋体" w:cs="宋体"/>
                <w:color w:val="auto"/>
                <w:sz w:val="22"/>
                <w:szCs w:val="22"/>
                <w:highlight w:val="none"/>
              </w:rPr>
            </w:pPr>
          </w:p>
        </w:tc>
        <w:tc>
          <w:tcPr>
            <w:tcW w:w="1578"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宋体" w:hAnsi="宋体" w:cs="宋体"/>
                <w:color w:val="auto"/>
                <w:sz w:val="22"/>
                <w:szCs w:val="22"/>
                <w:highlight w:val="none"/>
              </w:rPr>
            </w:pPr>
          </w:p>
        </w:tc>
        <w:tc>
          <w:tcPr>
            <w:tcW w:w="3360" w:type="dxa"/>
            <w:vAlign w:val="center"/>
          </w:tcPr>
          <w:p>
            <w:pPr>
              <w:spacing w:line="380" w:lineRule="exact"/>
              <w:jc w:val="center"/>
              <w:rPr>
                <w:rFonts w:ascii="宋体" w:hAnsi="宋体" w:cs="宋体"/>
                <w:color w:val="auto"/>
                <w:sz w:val="22"/>
                <w:szCs w:val="22"/>
                <w:highlight w:val="none"/>
              </w:rPr>
            </w:pPr>
          </w:p>
        </w:tc>
        <w:tc>
          <w:tcPr>
            <w:tcW w:w="2908" w:type="dxa"/>
            <w:vAlign w:val="center"/>
          </w:tcPr>
          <w:p>
            <w:pPr>
              <w:spacing w:line="380" w:lineRule="exact"/>
              <w:jc w:val="center"/>
              <w:rPr>
                <w:rFonts w:ascii="宋体" w:hAnsi="宋体" w:cs="宋体"/>
                <w:color w:val="auto"/>
                <w:sz w:val="22"/>
                <w:szCs w:val="22"/>
                <w:highlight w:val="none"/>
              </w:rPr>
            </w:pPr>
          </w:p>
        </w:tc>
        <w:tc>
          <w:tcPr>
            <w:tcW w:w="1578"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宋体" w:hAnsi="宋体" w:cs="宋体"/>
                <w:color w:val="auto"/>
                <w:sz w:val="22"/>
                <w:szCs w:val="22"/>
                <w:highlight w:val="none"/>
              </w:rPr>
            </w:pPr>
          </w:p>
        </w:tc>
        <w:tc>
          <w:tcPr>
            <w:tcW w:w="3360" w:type="dxa"/>
            <w:vAlign w:val="center"/>
          </w:tcPr>
          <w:p>
            <w:pPr>
              <w:spacing w:line="380" w:lineRule="exact"/>
              <w:jc w:val="center"/>
              <w:rPr>
                <w:rFonts w:ascii="宋体" w:hAnsi="宋体" w:cs="宋体"/>
                <w:color w:val="auto"/>
                <w:sz w:val="22"/>
                <w:szCs w:val="22"/>
                <w:highlight w:val="none"/>
              </w:rPr>
            </w:pPr>
          </w:p>
        </w:tc>
        <w:tc>
          <w:tcPr>
            <w:tcW w:w="2908" w:type="dxa"/>
            <w:vAlign w:val="center"/>
          </w:tcPr>
          <w:p>
            <w:pPr>
              <w:spacing w:line="380" w:lineRule="exact"/>
              <w:jc w:val="center"/>
              <w:rPr>
                <w:rFonts w:ascii="宋体" w:hAnsi="宋体" w:cs="宋体"/>
                <w:color w:val="auto"/>
                <w:sz w:val="22"/>
                <w:szCs w:val="22"/>
                <w:highlight w:val="none"/>
              </w:rPr>
            </w:pPr>
          </w:p>
        </w:tc>
        <w:tc>
          <w:tcPr>
            <w:tcW w:w="1578" w:type="dxa"/>
            <w:vAlign w:val="center"/>
          </w:tcPr>
          <w:p>
            <w:pPr>
              <w:spacing w:line="380" w:lineRule="exact"/>
              <w:jc w:val="center"/>
              <w:rPr>
                <w:rFonts w:ascii="宋体" w:hAnsi="宋体" w:cs="宋体"/>
                <w:color w:val="auto"/>
                <w:sz w:val="22"/>
                <w:szCs w:val="22"/>
                <w:highlight w:val="none"/>
              </w:rPr>
            </w:pPr>
          </w:p>
        </w:tc>
      </w:tr>
    </w:tbl>
    <w:p>
      <w:pPr>
        <w:spacing w:line="400" w:lineRule="exact"/>
        <w:rPr>
          <w:rFonts w:ascii="宋体" w:hAnsi="宋体" w:cs="宋体"/>
          <w:color w:val="auto"/>
          <w:szCs w:val="21"/>
          <w:highlight w:val="none"/>
        </w:rPr>
      </w:pPr>
      <w:r>
        <w:rPr>
          <w:rFonts w:hint="eastAsia" w:ascii="宋体" w:hAnsi="宋体" w:cs="宋体"/>
          <w:color w:val="auto"/>
          <w:szCs w:val="21"/>
          <w:highlight w:val="none"/>
        </w:rPr>
        <w:t>注：1.须与招标文件第二部分“招标项目需求”中“技术要求”逐项比较填写。</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36"/>
        <w:ind w:firstLine="405"/>
        <w:rPr>
          <w:rFonts w:ascii="宋体" w:hAnsi="宋体" w:cs="宋体"/>
          <w:color w:val="auto"/>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投标人（公章）：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投标人代表（签字或印章）：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日期：</w:t>
      </w:r>
    </w:p>
    <w:p>
      <w:pPr>
        <w:spacing w:line="380" w:lineRule="exact"/>
        <w:rPr>
          <w:rFonts w:ascii="宋体" w:hAnsi="宋体" w:cs="宋体"/>
          <w:color w:val="auto"/>
          <w:sz w:val="24"/>
          <w:highlight w:val="none"/>
        </w:rPr>
      </w:pPr>
    </w:p>
    <w:p>
      <w:pPr>
        <w:rPr>
          <w:color w:val="auto"/>
          <w:highlight w:val="none"/>
        </w:rPr>
      </w:pPr>
      <w:bookmarkStart w:id="89" w:name="_Toc520902415"/>
      <w:bookmarkStart w:id="90" w:name="_Toc316649309"/>
      <w:bookmarkStart w:id="91" w:name="_Toc497935753"/>
      <w:bookmarkStart w:id="92" w:name="_Toc481153682"/>
      <w:bookmarkStart w:id="93" w:name="_Toc502819360"/>
      <w:r>
        <w:rPr>
          <w:rFonts w:hint="eastAsia"/>
          <w:color w:val="auto"/>
          <w:highlight w:val="none"/>
        </w:rPr>
        <w:br w:type="page"/>
      </w:r>
    </w:p>
    <w:p>
      <w:pPr>
        <w:pStyle w:val="3"/>
        <w:spacing w:line="380" w:lineRule="exact"/>
        <w:rPr>
          <w:rFonts w:ascii="宋体" w:hAnsi="宋体" w:cs="宋体"/>
          <w:color w:val="auto"/>
          <w:sz w:val="22"/>
          <w:szCs w:val="22"/>
          <w:highlight w:val="none"/>
        </w:rPr>
      </w:pPr>
      <w:r>
        <w:rPr>
          <w:rFonts w:hint="eastAsia" w:ascii="宋体" w:hAnsi="宋体" w:cs="宋体"/>
          <w:color w:val="auto"/>
          <w:sz w:val="24"/>
          <w:szCs w:val="24"/>
          <w:highlight w:val="none"/>
        </w:rPr>
        <w:t>（五）商务条款偏离表</w:t>
      </w:r>
      <w:bookmarkEnd w:id="89"/>
      <w:bookmarkEnd w:id="90"/>
      <w:bookmarkEnd w:id="91"/>
      <w:bookmarkEnd w:id="92"/>
      <w:bookmarkEnd w:id="93"/>
    </w:p>
    <w:p>
      <w:pPr>
        <w:spacing w:line="380" w:lineRule="exact"/>
        <w:rPr>
          <w:rFonts w:ascii="宋体" w:hAnsi="宋体" w:cs="宋体"/>
          <w:color w:val="auto"/>
          <w:sz w:val="24"/>
          <w:highlight w:val="none"/>
        </w:rPr>
      </w:pP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3418"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招标文件的商务条款</w:t>
            </w:r>
          </w:p>
        </w:tc>
        <w:tc>
          <w:tcPr>
            <w:tcW w:w="2891"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投标文件的商务条款</w:t>
            </w:r>
          </w:p>
        </w:tc>
        <w:tc>
          <w:tcPr>
            <w:tcW w:w="1618"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宋体" w:hAnsi="宋体" w:cs="宋体"/>
                <w:color w:val="auto"/>
                <w:sz w:val="22"/>
                <w:szCs w:val="22"/>
                <w:highlight w:val="none"/>
              </w:rPr>
            </w:pPr>
          </w:p>
        </w:tc>
        <w:tc>
          <w:tcPr>
            <w:tcW w:w="3418" w:type="dxa"/>
            <w:vAlign w:val="center"/>
          </w:tcPr>
          <w:p>
            <w:pPr>
              <w:spacing w:line="380" w:lineRule="exact"/>
              <w:jc w:val="center"/>
              <w:rPr>
                <w:rFonts w:ascii="宋体" w:hAnsi="宋体" w:cs="宋体"/>
                <w:color w:val="auto"/>
                <w:sz w:val="22"/>
                <w:szCs w:val="22"/>
                <w:highlight w:val="none"/>
              </w:rPr>
            </w:pPr>
          </w:p>
        </w:tc>
        <w:tc>
          <w:tcPr>
            <w:tcW w:w="2891" w:type="dxa"/>
            <w:vAlign w:val="center"/>
          </w:tcPr>
          <w:p>
            <w:pPr>
              <w:spacing w:line="380" w:lineRule="exact"/>
              <w:jc w:val="center"/>
              <w:rPr>
                <w:rFonts w:ascii="宋体" w:hAnsi="宋体" w:cs="宋体"/>
                <w:color w:val="auto"/>
                <w:sz w:val="22"/>
                <w:szCs w:val="22"/>
                <w:highlight w:val="none"/>
              </w:rPr>
            </w:pPr>
          </w:p>
        </w:tc>
        <w:tc>
          <w:tcPr>
            <w:tcW w:w="1618"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宋体" w:hAnsi="宋体" w:cs="宋体"/>
                <w:color w:val="auto"/>
                <w:sz w:val="22"/>
                <w:szCs w:val="22"/>
                <w:highlight w:val="none"/>
              </w:rPr>
            </w:pPr>
          </w:p>
        </w:tc>
        <w:tc>
          <w:tcPr>
            <w:tcW w:w="3418" w:type="dxa"/>
            <w:vAlign w:val="center"/>
          </w:tcPr>
          <w:p>
            <w:pPr>
              <w:spacing w:line="380" w:lineRule="exact"/>
              <w:jc w:val="center"/>
              <w:rPr>
                <w:rFonts w:ascii="宋体" w:hAnsi="宋体" w:cs="宋体"/>
                <w:color w:val="auto"/>
                <w:sz w:val="22"/>
                <w:szCs w:val="22"/>
                <w:highlight w:val="none"/>
              </w:rPr>
            </w:pPr>
          </w:p>
        </w:tc>
        <w:tc>
          <w:tcPr>
            <w:tcW w:w="2891" w:type="dxa"/>
            <w:vAlign w:val="center"/>
          </w:tcPr>
          <w:p>
            <w:pPr>
              <w:spacing w:line="380" w:lineRule="exact"/>
              <w:jc w:val="center"/>
              <w:rPr>
                <w:rFonts w:ascii="宋体" w:hAnsi="宋体" w:cs="宋体"/>
                <w:color w:val="auto"/>
                <w:sz w:val="22"/>
                <w:szCs w:val="22"/>
                <w:highlight w:val="none"/>
              </w:rPr>
            </w:pPr>
          </w:p>
        </w:tc>
        <w:tc>
          <w:tcPr>
            <w:tcW w:w="1618"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宋体" w:hAnsi="宋体" w:cs="宋体"/>
                <w:color w:val="auto"/>
                <w:sz w:val="22"/>
                <w:szCs w:val="22"/>
                <w:highlight w:val="none"/>
              </w:rPr>
            </w:pPr>
          </w:p>
        </w:tc>
        <w:tc>
          <w:tcPr>
            <w:tcW w:w="3418" w:type="dxa"/>
            <w:vAlign w:val="center"/>
          </w:tcPr>
          <w:p>
            <w:pPr>
              <w:spacing w:line="380" w:lineRule="exact"/>
              <w:jc w:val="center"/>
              <w:rPr>
                <w:rFonts w:ascii="宋体" w:hAnsi="宋体" w:cs="宋体"/>
                <w:color w:val="auto"/>
                <w:sz w:val="22"/>
                <w:szCs w:val="22"/>
                <w:highlight w:val="none"/>
              </w:rPr>
            </w:pPr>
          </w:p>
        </w:tc>
        <w:tc>
          <w:tcPr>
            <w:tcW w:w="2891" w:type="dxa"/>
            <w:vAlign w:val="center"/>
          </w:tcPr>
          <w:p>
            <w:pPr>
              <w:spacing w:line="380" w:lineRule="exact"/>
              <w:jc w:val="center"/>
              <w:rPr>
                <w:rFonts w:ascii="宋体" w:hAnsi="宋体" w:cs="宋体"/>
                <w:color w:val="auto"/>
                <w:sz w:val="22"/>
                <w:szCs w:val="22"/>
                <w:highlight w:val="none"/>
              </w:rPr>
            </w:pPr>
          </w:p>
        </w:tc>
        <w:tc>
          <w:tcPr>
            <w:tcW w:w="1618" w:type="dxa"/>
            <w:vAlign w:val="center"/>
          </w:tcPr>
          <w:p>
            <w:pPr>
              <w:spacing w:line="380" w:lineRule="exact"/>
              <w:jc w:val="center"/>
              <w:rPr>
                <w:rFonts w:ascii="宋体" w:hAnsi="宋体" w:cs="宋体"/>
                <w:color w:val="auto"/>
                <w:sz w:val="22"/>
                <w:szCs w:val="22"/>
                <w:highlight w:val="none"/>
              </w:rPr>
            </w:pPr>
          </w:p>
        </w:tc>
      </w:tr>
    </w:tbl>
    <w:p>
      <w:pPr>
        <w:spacing w:line="400" w:lineRule="exact"/>
        <w:rPr>
          <w:rFonts w:ascii="宋体" w:hAnsi="宋体" w:cs="宋体"/>
          <w:color w:val="auto"/>
          <w:szCs w:val="21"/>
          <w:highlight w:val="none"/>
        </w:rPr>
      </w:pPr>
      <w:r>
        <w:rPr>
          <w:rFonts w:hint="eastAsia" w:ascii="宋体" w:hAnsi="宋体" w:cs="宋体"/>
          <w:color w:val="auto"/>
          <w:szCs w:val="21"/>
          <w:highlight w:val="none"/>
        </w:rPr>
        <w:t>注：1.须与招标文件第二部分“招标项目需求”中“商务要求”逐项比较填写。</w:t>
      </w:r>
    </w:p>
    <w:p>
      <w:pPr>
        <w:spacing w:line="380" w:lineRule="exact"/>
        <w:rPr>
          <w:rFonts w:ascii="宋体" w:hAnsi="宋体" w:cs="宋体"/>
          <w:color w:val="auto"/>
          <w:sz w:val="22"/>
          <w:szCs w:val="22"/>
          <w:highlight w:val="none"/>
        </w:rPr>
      </w:pPr>
      <w:r>
        <w:rPr>
          <w:rFonts w:hint="eastAsia" w:ascii="宋体" w:hAnsi="宋体" w:cs="宋体"/>
          <w:color w:val="auto"/>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36"/>
        <w:ind w:firstLine="405"/>
        <w:rPr>
          <w:rFonts w:ascii="宋体" w:hAnsi="宋体" w:cs="宋体"/>
          <w:color w:val="auto"/>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投标人（公章）：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投标人代表（签字或印章）：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日期：</w:t>
      </w:r>
    </w:p>
    <w:p>
      <w:pPr>
        <w:spacing w:line="380" w:lineRule="exact"/>
        <w:rPr>
          <w:rFonts w:ascii="宋体" w:hAnsi="宋体" w:cs="宋体"/>
          <w:color w:val="auto"/>
          <w:sz w:val="24"/>
          <w:highlight w:val="none"/>
          <w:u w:val="single"/>
        </w:rPr>
      </w:pPr>
    </w:p>
    <w:p>
      <w:pPr>
        <w:spacing w:line="380" w:lineRule="exact"/>
        <w:rPr>
          <w:rFonts w:ascii="宋体" w:hAnsi="宋体" w:cs="宋体"/>
          <w:color w:val="auto"/>
          <w:sz w:val="24"/>
          <w:highlight w:val="none"/>
          <w:u w:val="single"/>
        </w:rPr>
      </w:pPr>
    </w:p>
    <w:p>
      <w:pPr>
        <w:spacing w:line="380" w:lineRule="exact"/>
        <w:rPr>
          <w:rFonts w:ascii="宋体" w:hAnsi="宋体" w:cs="宋体"/>
          <w:color w:val="auto"/>
          <w:sz w:val="24"/>
          <w:highlight w:val="none"/>
          <w:u w:val="singl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color w:val="auto"/>
          <w:highlight w:val="none"/>
        </w:rPr>
      </w:pPr>
      <w:bookmarkStart w:id="94" w:name="_Toc520902416"/>
      <w:r>
        <w:rPr>
          <w:rFonts w:hint="eastAsia"/>
          <w:color w:val="auto"/>
          <w:highlight w:val="none"/>
        </w:rPr>
        <w:br w:type="page"/>
      </w:r>
    </w:p>
    <w:bookmarkEnd w:id="94"/>
    <w:p>
      <w:pPr>
        <w:pStyle w:val="3"/>
        <w:numPr>
          <w:ilvl w:val="0"/>
          <w:numId w:val="10"/>
        </w:num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第五部分“评标办法”中“评分标准”要求提供的资料（如有需提供）</w:t>
      </w:r>
    </w:p>
    <w:p>
      <w:pPr>
        <w:rPr>
          <w:rFonts w:ascii="宋体" w:hAnsi="宋体" w:cs="宋体"/>
          <w:color w:val="auto"/>
          <w:highlight w:val="none"/>
        </w:rPr>
      </w:pPr>
    </w:p>
    <w:p>
      <w:pPr>
        <w:jc w:val="center"/>
        <w:rPr>
          <w:rFonts w:ascii="宋体" w:hAnsi="宋体" w:cs="宋体"/>
          <w:b/>
          <w:color w:val="auto"/>
          <w:sz w:val="24"/>
          <w:szCs w:val="24"/>
          <w:highlight w:val="none"/>
        </w:rPr>
      </w:pPr>
    </w:p>
    <w:p>
      <w:pPr>
        <w:pStyle w:val="93"/>
        <w:ind w:firstLine="968" w:firstLineChars="400"/>
        <w:rPr>
          <w:rFonts w:cs="宋体"/>
          <w:color w:val="auto"/>
          <w:highlight w:val="none"/>
        </w:rPr>
      </w:pPr>
      <w:r>
        <w:rPr>
          <w:rFonts w:hint="eastAsia" w:cs="宋体"/>
          <w:color w:val="auto"/>
          <w:highlight w:val="none"/>
        </w:rPr>
        <w:t>主要内容详见第五部分的评分标准中内容。</w:t>
      </w:r>
    </w:p>
    <w:p>
      <w:pPr>
        <w:spacing w:line="360" w:lineRule="auto"/>
        <w:jc w:val="center"/>
        <w:rPr>
          <w:rFonts w:ascii="Arial" w:hAnsi="Arial" w:cs="Arial"/>
          <w:b/>
          <w:color w:val="auto"/>
          <w:spacing w:val="-4"/>
          <w:sz w:val="32"/>
          <w:szCs w:val="32"/>
          <w:highlight w:val="none"/>
        </w:rPr>
      </w:pPr>
      <w:r>
        <w:rPr>
          <w:rFonts w:ascii="Arial" w:hAnsi="Arial" w:cs="Arial"/>
          <w:b/>
          <w:color w:val="auto"/>
          <w:spacing w:val="-4"/>
          <w:sz w:val="32"/>
          <w:szCs w:val="32"/>
          <w:highlight w:val="none"/>
        </w:rPr>
        <w:br w:type="page"/>
      </w:r>
      <w:r>
        <w:rPr>
          <w:rFonts w:ascii="Arial" w:hAnsi="Arial" w:cs="Arial"/>
          <w:b/>
          <w:color w:val="auto"/>
          <w:spacing w:val="-4"/>
          <w:sz w:val="32"/>
          <w:szCs w:val="32"/>
          <w:highlight w:val="none"/>
        </w:rPr>
        <w:t>供应商技术商务分自评表</w:t>
      </w:r>
    </w:p>
    <w:tbl>
      <w:tblPr>
        <w:tblStyle w:val="37"/>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70"/>
        <w:gridCol w:w="4536"/>
        <w:gridCol w:w="127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6" w:type="dxa"/>
            <w:vAlign w:val="center"/>
          </w:tcPr>
          <w:p>
            <w:pPr>
              <w:pStyle w:val="16"/>
              <w:spacing w:line="2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序号</w:t>
            </w:r>
          </w:p>
        </w:tc>
        <w:tc>
          <w:tcPr>
            <w:tcW w:w="1570" w:type="dxa"/>
            <w:vAlign w:val="center"/>
          </w:tcPr>
          <w:p>
            <w:pPr>
              <w:pStyle w:val="16"/>
              <w:spacing w:line="260" w:lineRule="exact"/>
              <w:jc w:val="center"/>
              <w:rPr>
                <w:rFonts w:ascii="宋体" w:hAnsi="宋体" w:cs="Arial"/>
                <w:color w:val="auto"/>
                <w:sz w:val="22"/>
                <w:szCs w:val="22"/>
                <w:highlight w:val="none"/>
              </w:rPr>
            </w:pPr>
            <w:r>
              <w:rPr>
                <w:rFonts w:ascii="宋体" w:hAnsi="宋体" w:cs="Arial"/>
                <w:color w:val="auto"/>
                <w:sz w:val="22"/>
                <w:szCs w:val="22"/>
                <w:highlight w:val="none"/>
              </w:rPr>
              <w:t>评分</w:t>
            </w:r>
            <w:r>
              <w:rPr>
                <w:rFonts w:hint="eastAsia" w:ascii="宋体" w:hAnsi="宋体" w:cs="Arial"/>
                <w:color w:val="auto"/>
                <w:sz w:val="22"/>
                <w:szCs w:val="22"/>
                <w:highlight w:val="none"/>
              </w:rPr>
              <w:t>项目</w:t>
            </w:r>
          </w:p>
        </w:tc>
        <w:tc>
          <w:tcPr>
            <w:tcW w:w="4536" w:type="dxa"/>
            <w:vAlign w:val="center"/>
          </w:tcPr>
          <w:p>
            <w:pPr>
              <w:pStyle w:val="16"/>
              <w:spacing w:line="260" w:lineRule="exact"/>
              <w:jc w:val="center"/>
              <w:rPr>
                <w:rFonts w:ascii="宋体" w:hAnsi="宋体" w:cs="Arial"/>
                <w:color w:val="auto"/>
                <w:sz w:val="22"/>
                <w:szCs w:val="22"/>
                <w:highlight w:val="none"/>
              </w:rPr>
            </w:pPr>
            <w:r>
              <w:rPr>
                <w:rFonts w:ascii="宋体" w:hAnsi="宋体" w:cs="Arial"/>
                <w:color w:val="auto"/>
                <w:sz w:val="22"/>
                <w:szCs w:val="22"/>
                <w:highlight w:val="none"/>
              </w:rPr>
              <w:t>评分标准</w:t>
            </w:r>
          </w:p>
        </w:tc>
        <w:tc>
          <w:tcPr>
            <w:tcW w:w="1276" w:type="dxa"/>
            <w:vAlign w:val="center"/>
          </w:tcPr>
          <w:p>
            <w:pPr>
              <w:pStyle w:val="16"/>
              <w:spacing w:line="2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分值</w:t>
            </w:r>
          </w:p>
        </w:tc>
        <w:tc>
          <w:tcPr>
            <w:tcW w:w="1276" w:type="dxa"/>
            <w:vAlign w:val="center"/>
          </w:tcPr>
          <w:p>
            <w:pPr>
              <w:pStyle w:val="16"/>
              <w:spacing w:line="260" w:lineRule="exact"/>
              <w:jc w:val="center"/>
              <w:rPr>
                <w:rFonts w:ascii="宋体" w:hAnsi="宋体" w:cs="Arial"/>
                <w:color w:val="auto"/>
                <w:sz w:val="22"/>
                <w:szCs w:val="22"/>
                <w:highlight w:val="none"/>
              </w:rPr>
            </w:pPr>
            <w:r>
              <w:rPr>
                <w:rFonts w:hint="eastAsia" w:ascii="宋体" w:hAnsi="宋体" w:cs="Arial"/>
                <w:color w:val="auto"/>
                <w:sz w:val="22"/>
                <w:szCs w:val="22"/>
                <w:highlight w:val="none"/>
              </w:rPr>
              <w:t>自评分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pStyle w:val="16"/>
              <w:spacing w:line="320" w:lineRule="exact"/>
              <w:ind w:firstLine="440"/>
              <w:jc w:val="center"/>
              <w:rPr>
                <w:rFonts w:ascii="宋体" w:hAnsi="宋体" w:cs="Arial"/>
                <w:color w:val="auto"/>
                <w:sz w:val="22"/>
                <w:szCs w:val="22"/>
                <w:highlight w:val="none"/>
              </w:rPr>
            </w:pPr>
          </w:p>
        </w:tc>
        <w:tc>
          <w:tcPr>
            <w:tcW w:w="1570" w:type="dxa"/>
            <w:vAlign w:val="center"/>
          </w:tcPr>
          <w:p>
            <w:pPr>
              <w:pStyle w:val="16"/>
              <w:spacing w:line="320" w:lineRule="exact"/>
              <w:ind w:firstLine="440"/>
              <w:jc w:val="center"/>
              <w:rPr>
                <w:rFonts w:ascii="宋体" w:hAnsi="宋体" w:cs="Arial"/>
                <w:color w:val="auto"/>
                <w:sz w:val="22"/>
                <w:szCs w:val="22"/>
                <w:highlight w:val="none"/>
              </w:rPr>
            </w:pPr>
          </w:p>
        </w:tc>
        <w:tc>
          <w:tcPr>
            <w:tcW w:w="4536" w:type="dxa"/>
            <w:vAlign w:val="center"/>
          </w:tcPr>
          <w:p>
            <w:pPr>
              <w:pStyle w:val="16"/>
              <w:spacing w:line="320" w:lineRule="exact"/>
              <w:ind w:firstLine="442"/>
              <w:jc w:val="left"/>
              <w:rPr>
                <w:rFonts w:ascii="宋体" w:hAnsi="宋体" w:cs="Arial"/>
                <w:b/>
                <w:color w:val="auto"/>
                <w:sz w:val="22"/>
                <w:szCs w:val="22"/>
                <w:highlight w:val="none"/>
              </w:rPr>
            </w:pPr>
          </w:p>
        </w:tc>
        <w:tc>
          <w:tcPr>
            <w:tcW w:w="1276" w:type="dxa"/>
            <w:vAlign w:val="center"/>
          </w:tcPr>
          <w:p>
            <w:pPr>
              <w:pStyle w:val="16"/>
              <w:spacing w:line="32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32" w:type="dxa"/>
            <w:gridSpan w:val="3"/>
            <w:vAlign w:val="center"/>
          </w:tcPr>
          <w:p>
            <w:pPr>
              <w:spacing w:line="260" w:lineRule="exact"/>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1276" w:type="dxa"/>
            <w:vAlign w:val="center"/>
          </w:tcPr>
          <w:p>
            <w:pPr>
              <w:pStyle w:val="16"/>
              <w:spacing w:line="260" w:lineRule="exact"/>
              <w:ind w:firstLine="440"/>
              <w:jc w:val="center"/>
              <w:rPr>
                <w:rFonts w:ascii="宋体" w:hAnsi="宋体" w:cs="Arial"/>
                <w:color w:val="auto"/>
                <w:sz w:val="22"/>
                <w:szCs w:val="22"/>
                <w:highlight w:val="none"/>
              </w:rPr>
            </w:pPr>
          </w:p>
        </w:tc>
        <w:tc>
          <w:tcPr>
            <w:tcW w:w="1276" w:type="dxa"/>
          </w:tcPr>
          <w:p>
            <w:pPr>
              <w:pStyle w:val="16"/>
              <w:spacing w:line="260" w:lineRule="exact"/>
              <w:ind w:firstLine="440"/>
              <w:jc w:val="center"/>
              <w:rPr>
                <w:rFonts w:ascii="宋体" w:hAnsi="宋体" w:cs="Arial"/>
                <w:color w:val="auto"/>
                <w:sz w:val="22"/>
                <w:szCs w:val="22"/>
                <w:highlight w:val="none"/>
              </w:rPr>
            </w:pPr>
          </w:p>
        </w:tc>
      </w:tr>
    </w:tbl>
    <w:p>
      <w:pPr>
        <w:widowControl/>
        <w:adjustRightInd w:val="0"/>
        <w:jc w:val="left"/>
        <w:rPr>
          <w:rFonts w:ascii="Arial" w:hAnsi="Arial" w:cs="Arial"/>
          <w:color w:val="auto"/>
          <w:sz w:val="22"/>
          <w:szCs w:val="22"/>
          <w:highlight w:val="none"/>
        </w:rPr>
      </w:pPr>
    </w:p>
    <w:p>
      <w:pPr>
        <w:widowControl/>
        <w:adjustRightInd w:val="0"/>
        <w:spacing w:line="360" w:lineRule="auto"/>
        <w:jc w:val="left"/>
        <w:rPr>
          <w:color w:val="auto"/>
          <w:highlight w:val="none"/>
        </w:rPr>
      </w:pPr>
      <w:r>
        <w:rPr>
          <w:rFonts w:hint="eastAsia"/>
          <w:color w:val="auto"/>
          <w:highlight w:val="none"/>
        </w:rPr>
        <w:t>注：上表评标项目、评分标准、分值，供应商可对应招标文件中的评标办法，并提供相应资料。</w:t>
      </w:r>
    </w:p>
    <w:p>
      <w:pPr>
        <w:widowControl/>
        <w:adjustRightInd w:val="0"/>
        <w:spacing w:line="360" w:lineRule="auto"/>
        <w:jc w:val="left"/>
        <w:rPr>
          <w:color w:val="auto"/>
          <w:highlight w:val="none"/>
        </w:rPr>
      </w:pPr>
    </w:p>
    <w:p>
      <w:pPr>
        <w:widowControl/>
        <w:adjustRightInd w:val="0"/>
        <w:spacing w:line="360" w:lineRule="auto"/>
        <w:jc w:val="left"/>
        <w:rPr>
          <w:color w:val="auto"/>
          <w:highlight w:val="none"/>
        </w:rPr>
      </w:pPr>
    </w:p>
    <w:p>
      <w:pPr>
        <w:widowControl/>
        <w:adjustRightInd w:val="0"/>
        <w:spacing w:line="360" w:lineRule="auto"/>
        <w:jc w:val="left"/>
        <w:rPr>
          <w:color w:val="auto"/>
          <w:highlight w:val="none"/>
        </w:rPr>
      </w:pPr>
      <w:r>
        <w:rPr>
          <w:color w:val="auto"/>
          <w:highlight w:val="none"/>
        </w:rPr>
        <w:t>供应商（盖章）：</w:t>
      </w:r>
    </w:p>
    <w:p>
      <w:pPr>
        <w:widowControl/>
        <w:adjustRightInd w:val="0"/>
        <w:spacing w:line="360" w:lineRule="auto"/>
        <w:jc w:val="left"/>
        <w:rPr>
          <w:color w:val="auto"/>
          <w:highlight w:val="none"/>
        </w:rPr>
      </w:pPr>
      <w:r>
        <w:rPr>
          <w:color w:val="auto"/>
          <w:highlight w:val="none"/>
        </w:rPr>
        <w:t>法定代表人或授权代表(签字或盖章)：</w:t>
      </w:r>
    </w:p>
    <w:p>
      <w:pPr>
        <w:widowControl/>
        <w:adjustRightInd w:val="0"/>
        <w:spacing w:line="360" w:lineRule="auto"/>
        <w:jc w:val="left"/>
        <w:rPr>
          <w:color w:val="auto"/>
          <w:highlight w:val="none"/>
        </w:rPr>
      </w:pPr>
      <w:r>
        <w:rPr>
          <w:color w:val="auto"/>
          <w:highlight w:val="none"/>
        </w:rPr>
        <w:t>日  期：</w:t>
      </w:r>
    </w:p>
    <w:p>
      <w:pPr>
        <w:rPr>
          <w:color w:val="auto"/>
          <w:highlight w:val="none"/>
        </w:rPr>
      </w:pPr>
    </w:p>
    <w:p>
      <w:pPr>
        <w:rPr>
          <w:color w:val="auto"/>
          <w:highlight w:val="none"/>
        </w:rPr>
      </w:pPr>
    </w:p>
    <w:p>
      <w:pPr>
        <w:rPr>
          <w:rFonts w:ascii="宋体" w:hAnsi="宋体" w:cs="宋体"/>
          <w:bCs/>
          <w:color w:val="auto"/>
          <w:szCs w:val="24"/>
          <w:highlight w:val="none"/>
        </w:rPr>
      </w:pPr>
      <w:r>
        <w:rPr>
          <w:color w:val="auto"/>
          <w:highlight w:val="none"/>
        </w:rPr>
        <w:br w:type="page"/>
      </w:r>
      <w:r>
        <w:rPr>
          <w:rFonts w:ascii="宋体" w:hAnsi="宋体" w:cs="宋体"/>
          <w:b/>
          <w:color w:val="auto"/>
          <w:szCs w:val="24"/>
          <w:highlight w:val="none"/>
        </w:rPr>
        <w:t>1</w:t>
      </w:r>
      <w:r>
        <w:rPr>
          <w:rFonts w:hint="eastAsia" w:ascii="宋体" w:hAnsi="宋体" w:cs="宋体"/>
          <w:b/>
          <w:color w:val="auto"/>
          <w:szCs w:val="24"/>
          <w:highlight w:val="none"/>
        </w:rPr>
        <w:t>.1拟委任的项目组成员汇总表</w:t>
      </w:r>
    </w:p>
    <w:p>
      <w:pPr>
        <w:widowControl/>
        <w:jc w:val="center"/>
        <w:rPr>
          <w:rFonts w:ascii="宋体" w:hAnsi="宋体" w:cs="宋体"/>
          <w:bCs/>
          <w:color w:val="auto"/>
          <w:sz w:val="24"/>
          <w:szCs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姓名</w:t>
            </w:r>
          </w:p>
        </w:tc>
        <w:tc>
          <w:tcPr>
            <w:tcW w:w="997"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年龄</w:t>
            </w:r>
          </w:p>
        </w:tc>
        <w:tc>
          <w:tcPr>
            <w:tcW w:w="1545"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拟在本项目中担任的职务</w:t>
            </w:r>
          </w:p>
        </w:tc>
        <w:tc>
          <w:tcPr>
            <w:tcW w:w="831"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职称</w:t>
            </w:r>
          </w:p>
        </w:tc>
        <w:tc>
          <w:tcPr>
            <w:tcW w:w="1270"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执业资格</w:t>
            </w:r>
          </w:p>
        </w:tc>
        <w:tc>
          <w:tcPr>
            <w:tcW w:w="955"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工作年限</w:t>
            </w:r>
          </w:p>
        </w:tc>
        <w:tc>
          <w:tcPr>
            <w:tcW w:w="1731" w:type="dxa"/>
          </w:tcPr>
          <w:p>
            <w:pPr>
              <w:pStyle w:val="87"/>
              <w:spacing w:line="360" w:lineRule="auto"/>
              <w:rPr>
                <w:rFonts w:cs="宋体"/>
                <w:color w:val="auto"/>
                <w:sz w:val="24"/>
                <w:szCs w:val="24"/>
                <w:highlight w:val="none"/>
                <w:lang w:val="en-US"/>
              </w:rPr>
            </w:pPr>
            <w:r>
              <w:rPr>
                <w:rFonts w:hint="eastAsia" w:cs="宋体"/>
                <w:color w:val="auto"/>
                <w:sz w:val="24"/>
                <w:szCs w:val="24"/>
                <w:highlight w:val="none"/>
                <w:lang w:val="en-US"/>
              </w:rPr>
              <w:t>类似项目经验年限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87"/>
              <w:spacing w:line="360" w:lineRule="auto"/>
              <w:rPr>
                <w:rFonts w:cs="宋体"/>
                <w:color w:val="auto"/>
                <w:sz w:val="24"/>
                <w:szCs w:val="24"/>
                <w:highlight w:val="none"/>
                <w:lang w:val="en-US"/>
              </w:rPr>
            </w:pPr>
          </w:p>
        </w:tc>
        <w:tc>
          <w:tcPr>
            <w:tcW w:w="997" w:type="dxa"/>
          </w:tcPr>
          <w:p>
            <w:pPr>
              <w:pStyle w:val="87"/>
              <w:spacing w:line="360" w:lineRule="auto"/>
              <w:rPr>
                <w:rFonts w:cs="宋体"/>
                <w:color w:val="auto"/>
                <w:sz w:val="24"/>
                <w:szCs w:val="24"/>
                <w:highlight w:val="none"/>
                <w:lang w:val="en-US"/>
              </w:rPr>
            </w:pPr>
          </w:p>
        </w:tc>
        <w:tc>
          <w:tcPr>
            <w:tcW w:w="1545" w:type="dxa"/>
          </w:tcPr>
          <w:p>
            <w:pPr>
              <w:pStyle w:val="87"/>
              <w:spacing w:line="360" w:lineRule="auto"/>
              <w:rPr>
                <w:rFonts w:cs="宋体"/>
                <w:color w:val="auto"/>
                <w:sz w:val="24"/>
                <w:szCs w:val="24"/>
                <w:highlight w:val="none"/>
                <w:lang w:val="en-US"/>
              </w:rPr>
            </w:pPr>
          </w:p>
        </w:tc>
        <w:tc>
          <w:tcPr>
            <w:tcW w:w="831" w:type="dxa"/>
          </w:tcPr>
          <w:p>
            <w:pPr>
              <w:pStyle w:val="87"/>
              <w:spacing w:line="360" w:lineRule="auto"/>
              <w:rPr>
                <w:rFonts w:cs="宋体"/>
                <w:color w:val="auto"/>
                <w:sz w:val="24"/>
                <w:szCs w:val="24"/>
                <w:highlight w:val="none"/>
                <w:lang w:val="en-US"/>
              </w:rPr>
            </w:pPr>
          </w:p>
        </w:tc>
        <w:tc>
          <w:tcPr>
            <w:tcW w:w="1270" w:type="dxa"/>
          </w:tcPr>
          <w:p>
            <w:pPr>
              <w:pStyle w:val="87"/>
              <w:spacing w:line="360" w:lineRule="auto"/>
              <w:rPr>
                <w:rFonts w:cs="宋体"/>
                <w:color w:val="auto"/>
                <w:sz w:val="24"/>
                <w:szCs w:val="24"/>
                <w:highlight w:val="none"/>
                <w:lang w:val="en-US"/>
              </w:rPr>
            </w:pPr>
          </w:p>
        </w:tc>
        <w:tc>
          <w:tcPr>
            <w:tcW w:w="955" w:type="dxa"/>
          </w:tcPr>
          <w:p>
            <w:pPr>
              <w:pStyle w:val="87"/>
              <w:spacing w:line="360" w:lineRule="auto"/>
              <w:rPr>
                <w:rFonts w:cs="宋体"/>
                <w:color w:val="auto"/>
                <w:sz w:val="24"/>
                <w:szCs w:val="24"/>
                <w:highlight w:val="none"/>
                <w:lang w:val="en-US"/>
              </w:rPr>
            </w:pPr>
          </w:p>
        </w:tc>
        <w:tc>
          <w:tcPr>
            <w:tcW w:w="1731" w:type="dxa"/>
          </w:tcPr>
          <w:p>
            <w:pPr>
              <w:pStyle w:val="87"/>
              <w:spacing w:line="360" w:lineRule="auto"/>
              <w:rPr>
                <w:rFonts w:cs="宋体"/>
                <w:color w:val="auto"/>
                <w:sz w:val="24"/>
                <w:szCs w:val="24"/>
                <w:highlight w:val="none"/>
                <w:lang w:val="en-US"/>
              </w:rPr>
            </w:pPr>
          </w:p>
        </w:tc>
      </w:tr>
    </w:tbl>
    <w:p>
      <w:pPr>
        <w:spacing w:after="146" w:afterLines="50"/>
        <w:jc w:val="left"/>
        <w:rPr>
          <w:rFonts w:ascii="宋体" w:hAnsi="宋体" w:cs="宋体"/>
          <w:color w:val="auto"/>
          <w:szCs w:val="21"/>
          <w:highlight w:val="none"/>
        </w:rPr>
      </w:pPr>
    </w:p>
    <w:p>
      <w:pPr>
        <w:spacing w:after="146" w:afterLines="50"/>
        <w:jc w:val="left"/>
        <w:rPr>
          <w:rFonts w:ascii="宋体" w:hAnsi="宋体" w:cs="宋体"/>
          <w:color w:val="auto"/>
          <w:szCs w:val="21"/>
          <w:highlight w:val="none"/>
        </w:rPr>
      </w:pPr>
      <w:r>
        <w:rPr>
          <w:rFonts w:hint="eastAsia" w:ascii="宋体" w:hAnsi="宋体" w:cs="宋体"/>
          <w:color w:val="auto"/>
          <w:szCs w:val="21"/>
          <w:highlight w:val="none"/>
        </w:rPr>
        <w:t>注：附团队成员的有效期内相关证书复印件并加盖公章、提供投标截止日前半年内任意一个月的社保缴费证明复印件并加盖公章或提供团队成员均为投标人本单位人员的承诺函原件，否则不得分。</w:t>
      </w:r>
    </w:p>
    <w:p>
      <w:pPr>
        <w:pStyle w:val="48"/>
        <w:ind w:firstLine="425"/>
        <w:rPr>
          <w:color w:val="auto"/>
          <w:highlight w:val="none"/>
        </w:rPr>
      </w:pPr>
    </w:p>
    <w:p>
      <w:pPr>
        <w:spacing w:after="146" w:afterLines="50"/>
        <w:jc w:val="left"/>
        <w:rPr>
          <w:rFonts w:ascii="宋体" w:hAnsi="宋体" w:cs="宋体"/>
          <w:b/>
          <w:color w:val="auto"/>
          <w:sz w:val="23"/>
          <w:szCs w:val="23"/>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投标人（公章）：</w:t>
      </w:r>
    </w:p>
    <w:p>
      <w:pPr>
        <w:spacing w:line="38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投标人代表（签字或印章）：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日期：</w:t>
      </w:r>
    </w:p>
    <w:p>
      <w:pPr>
        <w:jc w:val="center"/>
        <w:rPr>
          <w:rFonts w:ascii="宋体" w:hAnsi="宋体"/>
          <w:b/>
          <w:color w:val="auto"/>
          <w:sz w:val="24"/>
          <w:highlight w:val="none"/>
        </w:rPr>
      </w:pPr>
      <w:r>
        <w:rPr>
          <w:rFonts w:ascii="宋体" w:hAnsi="宋体"/>
          <w:b/>
          <w:color w:val="auto"/>
          <w:sz w:val="24"/>
          <w:highlight w:val="none"/>
        </w:rPr>
        <w:br w:type="page"/>
      </w:r>
      <w:r>
        <w:rPr>
          <w:rFonts w:ascii="宋体" w:hAnsi="宋体"/>
          <w:b/>
          <w:color w:val="auto"/>
          <w:sz w:val="24"/>
          <w:highlight w:val="none"/>
        </w:rPr>
        <w:t>1.2</w:t>
      </w:r>
      <w:r>
        <w:rPr>
          <w:rFonts w:hint="eastAsia" w:ascii="宋体" w:hAnsi="宋体"/>
          <w:b/>
          <w:color w:val="auto"/>
          <w:sz w:val="24"/>
          <w:highlight w:val="none"/>
        </w:rPr>
        <w:t>投标人自</w:t>
      </w:r>
      <w:r>
        <w:rPr>
          <w:rFonts w:hint="eastAsia" w:ascii="宋体" w:hAnsi="宋体"/>
          <w:b/>
          <w:i/>
          <w:color w:val="auto"/>
          <w:sz w:val="24"/>
          <w:highlight w:val="none"/>
        </w:rPr>
        <w:t>20</w:t>
      </w:r>
      <w:r>
        <w:rPr>
          <w:rFonts w:ascii="宋体" w:hAnsi="宋体"/>
          <w:b/>
          <w:i/>
          <w:color w:val="auto"/>
          <w:sz w:val="24"/>
          <w:highlight w:val="none"/>
        </w:rPr>
        <w:t xml:space="preserve">  </w:t>
      </w:r>
      <w:r>
        <w:rPr>
          <w:rFonts w:hint="eastAsia" w:ascii="宋体" w:hAnsi="宋体"/>
          <w:b/>
          <w:i/>
          <w:color w:val="auto"/>
          <w:sz w:val="24"/>
          <w:highlight w:val="none"/>
        </w:rPr>
        <w:t>年1月1日</w:t>
      </w:r>
      <w:r>
        <w:rPr>
          <w:rFonts w:hint="eastAsia" w:ascii="宋体" w:hAnsi="宋体"/>
          <w:b/>
          <w:color w:val="auto"/>
          <w:sz w:val="24"/>
          <w:highlight w:val="none"/>
        </w:rPr>
        <w:t>以来</w:t>
      </w:r>
      <w:r>
        <w:rPr>
          <w:rFonts w:hint="eastAsia" w:ascii="宋体" w:hAnsi="宋体"/>
          <w:b/>
          <w:color w:val="auto"/>
          <w:sz w:val="24"/>
          <w:highlight w:val="none"/>
          <w:lang w:val="en-US" w:eastAsia="zh-CN"/>
        </w:rPr>
        <w:t>业绩</w:t>
      </w:r>
      <w:r>
        <w:rPr>
          <w:rFonts w:hint="eastAsia" w:ascii="宋体" w:hAnsi="宋体"/>
          <w:b/>
          <w:color w:val="auto"/>
          <w:sz w:val="24"/>
          <w:highlight w:val="none"/>
        </w:rPr>
        <w:t>汇总表</w:t>
      </w:r>
    </w:p>
    <w:tbl>
      <w:tblPr>
        <w:tblStyle w:val="3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87"/>
              <w:jc w:val="center"/>
              <w:rPr>
                <w:bCs w:val="0"/>
                <w:color w:val="auto"/>
                <w:sz w:val="24"/>
                <w:szCs w:val="24"/>
                <w:highlight w:val="none"/>
                <w:lang w:val="en-US"/>
              </w:rPr>
            </w:pPr>
            <w:r>
              <w:rPr>
                <w:rFonts w:hint="eastAsia"/>
                <w:bCs w:val="0"/>
                <w:color w:val="auto"/>
                <w:sz w:val="24"/>
                <w:szCs w:val="24"/>
                <w:highlight w:val="none"/>
                <w:lang w:val="en-US"/>
              </w:rPr>
              <w:t>项目序号</w:t>
            </w:r>
          </w:p>
        </w:tc>
        <w:tc>
          <w:tcPr>
            <w:tcW w:w="2268" w:type="dxa"/>
            <w:vAlign w:val="center"/>
          </w:tcPr>
          <w:p>
            <w:pPr>
              <w:pStyle w:val="87"/>
              <w:jc w:val="center"/>
              <w:rPr>
                <w:bCs w:val="0"/>
                <w:color w:val="auto"/>
                <w:sz w:val="24"/>
                <w:szCs w:val="24"/>
                <w:highlight w:val="none"/>
                <w:lang w:val="en-US"/>
              </w:rPr>
            </w:pPr>
            <w:r>
              <w:rPr>
                <w:rFonts w:hint="eastAsia"/>
                <w:bCs w:val="0"/>
                <w:color w:val="auto"/>
                <w:sz w:val="24"/>
                <w:szCs w:val="24"/>
                <w:highlight w:val="none"/>
                <w:lang w:val="en-US"/>
              </w:rPr>
              <w:t>项目名称</w:t>
            </w:r>
          </w:p>
        </w:tc>
        <w:tc>
          <w:tcPr>
            <w:tcW w:w="2268" w:type="dxa"/>
            <w:vAlign w:val="center"/>
          </w:tcPr>
          <w:p>
            <w:pPr>
              <w:pStyle w:val="87"/>
              <w:jc w:val="center"/>
              <w:rPr>
                <w:bCs w:val="0"/>
                <w:color w:val="auto"/>
                <w:sz w:val="24"/>
                <w:szCs w:val="24"/>
                <w:highlight w:val="none"/>
                <w:lang w:val="en-US"/>
              </w:rPr>
            </w:pPr>
            <w:r>
              <w:rPr>
                <w:rFonts w:hint="eastAsia"/>
                <w:bCs w:val="0"/>
                <w:color w:val="auto"/>
                <w:sz w:val="24"/>
                <w:szCs w:val="24"/>
                <w:highlight w:val="none"/>
                <w:lang w:val="en-US"/>
              </w:rPr>
              <w:t>委托人名称</w:t>
            </w:r>
          </w:p>
        </w:tc>
        <w:tc>
          <w:tcPr>
            <w:tcW w:w="2977" w:type="dxa"/>
            <w:vAlign w:val="center"/>
          </w:tcPr>
          <w:p>
            <w:pPr>
              <w:pStyle w:val="87"/>
              <w:jc w:val="center"/>
              <w:rPr>
                <w:bCs w:val="0"/>
                <w:color w:val="auto"/>
                <w:sz w:val="24"/>
                <w:szCs w:val="24"/>
                <w:highlight w:val="none"/>
                <w:lang w:val="en-US"/>
              </w:rPr>
            </w:pPr>
            <w:r>
              <w:rPr>
                <w:rFonts w:hint="eastAsia"/>
                <w:bCs w:val="0"/>
                <w:color w:val="auto"/>
                <w:sz w:val="24"/>
                <w:szCs w:val="24"/>
                <w:highlight w:val="none"/>
                <w:lang w:val="en-US"/>
              </w:rPr>
              <w:t>服务开始和完成日期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268" w:type="dxa"/>
            <w:vAlign w:val="center"/>
          </w:tcPr>
          <w:p>
            <w:pPr>
              <w:pStyle w:val="87"/>
              <w:jc w:val="center"/>
              <w:rPr>
                <w:bCs w:val="0"/>
                <w:color w:val="auto"/>
                <w:sz w:val="24"/>
                <w:szCs w:val="24"/>
                <w:highlight w:val="none"/>
                <w:lang w:val="en-US"/>
              </w:rPr>
            </w:pPr>
          </w:p>
        </w:tc>
        <w:tc>
          <w:tcPr>
            <w:tcW w:w="2977" w:type="dxa"/>
            <w:vAlign w:val="center"/>
          </w:tcPr>
          <w:p>
            <w:pPr>
              <w:pStyle w:val="87"/>
              <w:jc w:val="center"/>
              <w:rPr>
                <w:bCs w:val="0"/>
                <w:color w:val="auto"/>
                <w:sz w:val="24"/>
                <w:szCs w:val="24"/>
                <w:highlight w:val="none"/>
                <w:lang w:val="en-US"/>
              </w:rPr>
            </w:pPr>
          </w:p>
        </w:tc>
      </w:tr>
    </w:tbl>
    <w:p>
      <w:pPr>
        <w:spacing w:line="380" w:lineRule="exact"/>
        <w:rPr>
          <w:rFonts w:ascii="宋体" w:hAnsi="宋体"/>
          <w:color w:val="auto"/>
          <w:sz w:val="22"/>
          <w:szCs w:val="22"/>
          <w:highlight w:val="none"/>
        </w:rPr>
      </w:pPr>
      <w:r>
        <w:rPr>
          <w:rFonts w:hint="eastAsia" w:ascii="宋体" w:hAnsi="宋体"/>
          <w:color w:val="auto"/>
          <w:sz w:val="22"/>
          <w:szCs w:val="22"/>
          <w:highlight w:val="none"/>
        </w:rPr>
        <w:t>注：表后附中标通知书和合同</w:t>
      </w:r>
      <w:r>
        <w:rPr>
          <w:rFonts w:hint="eastAsia" w:ascii="宋体" w:hAnsi="宋体"/>
          <w:color w:val="auto"/>
          <w:sz w:val="22"/>
          <w:szCs w:val="22"/>
          <w:highlight w:val="none"/>
          <w:lang w:val="en-US" w:eastAsia="zh-CN"/>
        </w:rPr>
        <w:t>复印件加盖公章</w:t>
      </w:r>
      <w:r>
        <w:rPr>
          <w:rFonts w:hint="eastAsia" w:ascii="宋体" w:hAnsi="宋体"/>
          <w:color w:val="auto"/>
          <w:sz w:val="22"/>
          <w:szCs w:val="22"/>
          <w:highlight w:val="none"/>
        </w:rPr>
        <w:t>，时间以合同签订时间为准。</w:t>
      </w:r>
    </w:p>
    <w:p>
      <w:pPr>
        <w:pStyle w:val="36"/>
        <w:ind w:firstLine="405"/>
        <w:rPr>
          <w:color w:val="auto"/>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资格证明文件</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封面</w:t>
      </w:r>
    </w:p>
    <w:p>
      <w:pPr>
        <w:spacing w:line="360" w:lineRule="auto"/>
        <w:ind w:firstLine="560"/>
        <w:jc w:val="right"/>
        <w:rPr>
          <w:rFonts w:ascii="宋体" w:hAnsi="宋体" w:cs="宋体"/>
          <w:color w:val="auto"/>
          <w:sz w:val="28"/>
          <w:highlight w:val="none"/>
        </w:rPr>
      </w:pPr>
    </w:p>
    <w:p>
      <w:pPr>
        <w:spacing w:line="360" w:lineRule="auto"/>
        <w:ind w:firstLine="1288" w:firstLineChars="400"/>
        <w:rPr>
          <w:rFonts w:ascii="宋体" w:hAnsi="宋体" w:cs="宋体"/>
          <w:color w:val="auto"/>
          <w:sz w:val="32"/>
          <w:highlight w:val="none"/>
        </w:rPr>
      </w:pPr>
    </w:p>
    <w:p>
      <w:pPr>
        <w:spacing w:line="360" w:lineRule="auto"/>
        <w:jc w:val="center"/>
        <w:rPr>
          <w:rFonts w:ascii="宋体" w:hAnsi="宋体" w:cs="宋体"/>
          <w:color w:val="auto"/>
          <w:sz w:val="28"/>
          <w:highlight w:val="none"/>
          <w:u w:val="single"/>
        </w:rPr>
      </w:pPr>
      <w:r>
        <w:rPr>
          <w:rFonts w:hint="eastAsia" w:ascii="宋体" w:hAnsi="宋体" w:cs="宋体"/>
          <w:color w:val="auto"/>
          <w:sz w:val="28"/>
          <w:highlight w:val="none"/>
          <w:u w:val="single"/>
        </w:rPr>
        <w:t>________________________________________  ________</w:t>
      </w:r>
      <w:r>
        <w:rPr>
          <w:rFonts w:hint="eastAsia" w:ascii="宋体" w:hAnsi="宋体" w:cs="宋体"/>
          <w:color w:val="auto"/>
          <w:sz w:val="28"/>
          <w:highlight w:val="none"/>
        </w:rPr>
        <w:t>项目</w:t>
      </w:r>
    </w:p>
    <w:p>
      <w:pPr>
        <w:spacing w:line="360" w:lineRule="auto"/>
        <w:ind w:firstLine="1288" w:firstLineChars="400"/>
        <w:rPr>
          <w:rFonts w:ascii="宋体" w:hAnsi="宋体" w:cs="宋体"/>
          <w:color w:val="auto"/>
          <w:sz w:val="32"/>
          <w:highlight w:val="none"/>
        </w:rPr>
      </w:pPr>
    </w:p>
    <w:p>
      <w:pPr>
        <w:spacing w:line="360" w:lineRule="auto"/>
        <w:ind w:firstLine="1288" w:firstLineChars="400"/>
        <w:rPr>
          <w:rFonts w:ascii="宋体" w:hAnsi="宋体" w:cs="宋体"/>
          <w:color w:val="auto"/>
          <w:sz w:val="32"/>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投 标 文 件</w:t>
      </w:r>
    </w:p>
    <w:p>
      <w:pPr>
        <w:spacing w:line="360" w:lineRule="auto"/>
        <w:ind w:firstLine="1692" w:firstLineChars="600"/>
        <w:rPr>
          <w:rFonts w:ascii="宋体" w:hAnsi="宋体" w:cs="宋体"/>
          <w:color w:val="auto"/>
          <w:sz w:val="28"/>
          <w:highlight w:val="none"/>
        </w:rPr>
      </w:pPr>
    </w:p>
    <w:p>
      <w:pPr>
        <w:spacing w:line="360" w:lineRule="auto"/>
        <w:ind w:firstLine="1692" w:firstLineChars="600"/>
        <w:rPr>
          <w:rFonts w:ascii="宋体" w:hAnsi="宋体" w:cs="宋体"/>
          <w:color w:val="auto"/>
          <w:sz w:val="28"/>
          <w:highlight w:val="none"/>
          <w:u w:val="single"/>
        </w:rPr>
      </w:pPr>
      <w:r>
        <w:rPr>
          <w:rFonts w:hint="eastAsia" w:ascii="宋体" w:hAnsi="宋体" w:cs="宋体"/>
          <w:color w:val="auto"/>
          <w:sz w:val="28"/>
          <w:highlight w:val="none"/>
        </w:rPr>
        <w:t>招标编号：</w:t>
      </w:r>
      <w:r>
        <w:rPr>
          <w:rFonts w:hint="eastAsia" w:ascii="宋体" w:hAnsi="宋体" w:cs="宋体"/>
          <w:color w:val="auto"/>
          <w:sz w:val="28"/>
          <w:highlight w:val="none"/>
          <w:u w:val="single"/>
        </w:rPr>
        <w:t>______________</w:t>
      </w:r>
    </w:p>
    <w:p>
      <w:pPr>
        <w:spacing w:line="360" w:lineRule="auto"/>
        <w:ind w:firstLine="1692" w:firstLineChars="600"/>
        <w:rPr>
          <w:rFonts w:ascii="宋体" w:hAnsi="宋体" w:cs="宋体"/>
          <w:color w:val="auto"/>
          <w:sz w:val="28"/>
          <w:highlight w:val="none"/>
          <w:u w:val="single"/>
        </w:rPr>
      </w:pPr>
      <w:r>
        <w:rPr>
          <w:rFonts w:hint="eastAsia" w:ascii="宋体" w:hAnsi="宋体" w:cs="宋体"/>
          <w:color w:val="auto"/>
          <w:sz w:val="28"/>
          <w:highlight w:val="none"/>
        </w:rPr>
        <w:t>标项：</w:t>
      </w:r>
      <w:r>
        <w:rPr>
          <w:rFonts w:hint="eastAsia" w:ascii="宋体" w:hAnsi="宋体" w:cs="宋体"/>
          <w:color w:val="auto"/>
          <w:sz w:val="28"/>
          <w:highlight w:val="none"/>
          <w:u w:val="single"/>
        </w:rPr>
        <w:t>______________</w:t>
      </w:r>
    </w:p>
    <w:p>
      <w:pPr>
        <w:spacing w:line="360" w:lineRule="auto"/>
        <w:ind w:firstLine="1692" w:firstLineChars="600"/>
        <w:rPr>
          <w:rFonts w:ascii="宋体" w:hAnsi="宋体" w:cs="宋体"/>
          <w:color w:val="auto"/>
          <w:sz w:val="28"/>
          <w:szCs w:val="22"/>
          <w:highlight w:val="none"/>
          <w:u w:val="singl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720" w:lineRule="auto"/>
        <w:rPr>
          <w:rFonts w:ascii="宋体" w:hAnsi="宋体" w:cs="宋体"/>
          <w:b/>
          <w:color w:val="auto"/>
          <w:sz w:val="28"/>
          <w:highlight w:val="none"/>
          <w:u w:val="single"/>
        </w:rPr>
      </w:pPr>
      <w:r>
        <w:rPr>
          <w:rFonts w:hint="eastAsia" w:ascii="宋体" w:hAnsi="宋体" w:cs="宋体"/>
          <w:color w:val="auto"/>
          <w:sz w:val="28"/>
          <w:highlight w:val="none"/>
        </w:rPr>
        <w:t>投标文件名称：</w:t>
      </w:r>
      <w:r>
        <w:rPr>
          <w:rFonts w:hint="eastAsia" w:ascii="宋体" w:hAnsi="宋体" w:cs="宋体"/>
          <w:b/>
          <w:color w:val="auto"/>
          <w:sz w:val="28"/>
          <w:highlight w:val="none"/>
          <w:u w:val="single"/>
        </w:rPr>
        <w:t xml:space="preserve">           资格证明文件                      </w:t>
      </w:r>
    </w:p>
    <w:p>
      <w:pPr>
        <w:spacing w:line="720" w:lineRule="auto"/>
        <w:rPr>
          <w:rFonts w:ascii="宋体" w:hAnsi="宋体" w:cs="宋体"/>
          <w:b/>
          <w:color w:val="auto"/>
          <w:sz w:val="28"/>
          <w:highlight w:val="none"/>
        </w:rPr>
      </w:pPr>
      <w:r>
        <w:rPr>
          <w:rFonts w:hint="eastAsia" w:ascii="宋体" w:hAnsi="宋体" w:cs="宋体"/>
          <w:color w:val="auto"/>
          <w:sz w:val="28"/>
          <w:highlight w:val="none"/>
        </w:rPr>
        <w:t>投标人：</w:t>
      </w:r>
      <w:r>
        <w:rPr>
          <w:rFonts w:hint="eastAsia" w:ascii="宋体" w:hAnsi="宋体" w:cs="宋体"/>
          <w:color w:val="auto"/>
          <w:sz w:val="28"/>
          <w:highlight w:val="none"/>
          <w:u w:val="single"/>
        </w:rPr>
        <w:t xml:space="preserve">                                             （盖章） </w:t>
      </w:r>
    </w:p>
    <w:p>
      <w:pPr>
        <w:pStyle w:val="18"/>
        <w:spacing w:line="720" w:lineRule="auto"/>
        <w:ind w:firstLine="0"/>
        <w:rPr>
          <w:rFonts w:ascii="宋体" w:hAnsi="宋体" w:cs="宋体"/>
          <w:b/>
          <w:color w:val="auto"/>
          <w:sz w:val="28"/>
          <w:highlight w:val="none"/>
        </w:rPr>
      </w:pPr>
      <w:r>
        <w:rPr>
          <w:rFonts w:hint="eastAsia" w:ascii="宋体" w:hAnsi="宋体" w:cs="宋体"/>
          <w:color w:val="auto"/>
          <w:sz w:val="28"/>
          <w:highlight w:val="none"/>
        </w:rPr>
        <w:t>日    期：</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年</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月</w:t>
      </w:r>
      <w:r>
        <w:rPr>
          <w:rFonts w:hint="eastAsia" w:ascii="宋体" w:hAnsi="宋体" w:cs="宋体"/>
          <w:color w:val="auto"/>
          <w:sz w:val="28"/>
          <w:highlight w:val="none"/>
          <w:u w:val="single"/>
        </w:rPr>
        <w:t xml:space="preserve">           </w:t>
      </w:r>
      <w:r>
        <w:rPr>
          <w:rFonts w:hint="eastAsia" w:ascii="宋体" w:hAnsi="宋体" w:cs="宋体"/>
          <w:b/>
          <w:color w:val="auto"/>
          <w:sz w:val="28"/>
          <w:highlight w:val="none"/>
          <w:u w:val="single"/>
        </w:rPr>
        <w:t xml:space="preserve">   </w:t>
      </w:r>
      <w:r>
        <w:rPr>
          <w:rFonts w:hint="eastAsia" w:ascii="宋体" w:hAnsi="宋体" w:cs="宋体"/>
          <w:color w:val="auto"/>
          <w:sz w:val="28"/>
          <w:highlight w:val="none"/>
        </w:rPr>
        <w:t>日</w:t>
      </w: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资格证明文件，含：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(1)资格条件自查表；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(2)投标声明书</w:t>
      </w:r>
      <w:r>
        <w:rPr>
          <w:rFonts w:hint="eastAsia" w:ascii="宋体" w:hAnsi="宋体"/>
          <w:color w:val="auto"/>
          <w:szCs w:val="21"/>
          <w:highlight w:val="none"/>
        </w:rPr>
        <w:t>（</w:t>
      </w:r>
      <w:r>
        <w:rPr>
          <w:rFonts w:hint="eastAsia" w:ascii="宋体" w:hAnsi="宋体"/>
          <w:color w:val="auto"/>
          <w:szCs w:val="21"/>
          <w:highlight w:val="none"/>
          <w:lang w:eastAsia="zh-Hans"/>
        </w:rPr>
        <w:t>若</w:t>
      </w:r>
      <w:r>
        <w:rPr>
          <w:rFonts w:hint="eastAsia" w:ascii="宋体" w:hAnsi="宋体"/>
          <w:color w:val="auto"/>
          <w:szCs w:val="21"/>
          <w:highlight w:val="none"/>
        </w:rPr>
        <w:t>联合体投标的，联合体各方均须提供）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有效的“多证合一”的营业执照（未办理多证合一的提供营业执照、税务登记证、组织机构代码证）副本复印件。投标人如果有名称变更的，应提供由行政主管部门出具的变更证明文件（若联合体投标的，联合体各方均须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 关于资格的承诺函</w:t>
      </w:r>
      <w:r>
        <w:rPr>
          <w:rFonts w:hint="eastAsia" w:ascii="宋体" w:hAnsi="宋体"/>
          <w:color w:val="auto"/>
          <w:szCs w:val="21"/>
          <w:highlight w:val="none"/>
        </w:rPr>
        <w:t>（</w:t>
      </w:r>
      <w:r>
        <w:rPr>
          <w:rFonts w:hint="eastAsia" w:ascii="宋体" w:hAnsi="宋体"/>
          <w:color w:val="auto"/>
          <w:szCs w:val="21"/>
          <w:highlight w:val="none"/>
          <w:lang w:eastAsia="zh-Hans"/>
        </w:rPr>
        <w:t>若</w:t>
      </w:r>
      <w:r>
        <w:rPr>
          <w:rFonts w:hint="eastAsia" w:ascii="宋体" w:hAnsi="宋体"/>
          <w:color w:val="auto"/>
          <w:szCs w:val="21"/>
          <w:highlight w:val="none"/>
        </w:rPr>
        <w:t>联合体投标的，联合体各方均须提供）</w:t>
      </w:r>
      <w:r>
        <w:rPr>
          <w:rFonts w:hint="eastAsia" w:ascii="宋体" w:hAnsi="宋体" w:cs="宋体"/>
          <w:color w:val="auto"/>
          <w:szCs w:val="21"/>
          <w:highlight w:val="none"/>
        </w:rPr>
        <w:t>；</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(5)投标人的特定条件的证明文件（如有）；</w:t>
      </w:r>
    </w:p>
    <w:p>
      <w:pPr>
        <w:spacing w:line="360" w:lineRule="exact"/>
        <w:rPr>
          <w:rFonts w:ascii="宋体" w:hAnsi="宋体" w:cs="宋体"/>
          <w:color w:val="auto"/>
          <w:szCs w:val="22"/>
          <w:highlight w:val="none"/>
        </w:rPr>
      </w:pPr>
      <w:r>
        <w:rPr>
          <w:rFonts w:hint="eastAsia" w:ascii="宋体" w:hAnsi="宋体" w:cs="宋体"/>
          <w:color w:val="auto"/>
          <w:szCs w:val="22"/>
          <w:highlight w:val="none"/>
        </w:rPr>
        <w:t>(6)</w:t>
      </w:r>
      <w:r>
        <w:rPr>
          <w:rFonts w:hint="eastAsia" w:ascii="宋体" w:hAnsi="宋体" w:cs="宋体"/>
          <w:bCs/>
          <w:color w:val="auto"/>
          <w:szCs w:val="21"/>
          <w:highlight w:val="none"/>
        </w:rPr>
        <w:t>联合体协议书（如需联合体时提供）。</w:t>
      </w:r>
    </w:p>
    <w:p>
      <w:pPr>
        <w:spacing w:line="360" w:lineRule="auto"/>
        <w:rPr>
          <w:rFonts w:ascii="宋体" w:hAnsi="宋体" w:cs="宋体"/>
          <w:color w:val="auto"/>
          <w:szCs w:val="21"/>
          <w:highlight w:val="none"/>
        </w:rPr>
      </w:pPr>
    </w:p>
    <w:p>
      <w:pPr>
        <w:adjustRightInd w:val="0"/>
        <w:snapToGrid w:val="0"/>
        <w:spacing w:line="360" w:lineRule="auto"/>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p>
    <w:p>
      <w:pPr>
        <w:adjustRightInd w:val="0"/>
        <w:snapToGrid w:val="0"/>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（一）资格条件自查表</w:t>
      </w:r>
    </w:p>
    <w:p>
      <w:pPr>
        <w:adjustRightInd w:val="0"/>
        <w:snapToGrid w:val="0"/>
        <w:jc w:val="center"/>
        <w:rPr>
          <w:rFonts w:ascii="宋体" w:hAnsi="宋体" w:cs="宋体"/>
          <w:b/>
          <w:color w:val="auto"/>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7" w:hRule="atLeast"/>
          <w:jc w:val="center"/>
        </w:trPr>
        <w:tc>
          <w:tcPr>
            <w:tcW w:w="831" w:type="dxa"/>
            <w:vAlign w:val="center"/>
          </w:tcPr>
          <w:p>
            <w:pPr>
              <w:adjustRightInd w:val="0"/>
              <w:snapToGrid w:val="0"/>
              <w:jc w:val="center"/>
              <w:rPr>
                <w:rFonts w:ascii="宋体" w:hAnsi="宋体" w:cs="宋体"/>
                <w:color w:val="auto"/>
                <w:szCs w:val="21"/>
                <w:highlight w:val="none"/>
              </w:rPr>
            </w:pPr>
            <w:r>
              <w:rPr>
                <w:rStyle w:val="40"/>
                <w:rFonts w:hint="eastAsia" w:ascii="宋体" w:hAnsi="宋体" w:cs="宋体"/>
                <w:color w:val="auto"/>
                <w:szCs w:val="21"/>
                <w:highlight w:val="none"/>
              </w:rPr>
              <w:t>评审内容</w:t>
            </w:r>
          </w:p>
        </w:tc>
        <w:tc>
          <w:tcPr>
            <w:tcW w:w="4221" w:type="dxa"/>
            <w:vAlign w:val="center"/>
          </w:tcPr>
          <w:p>
            <w:pPr>
              <w:adjustRightInd w:val="0"/>
              <w:snapToGrid w:val="0"/>
              <w:jc w:val="center"/>
              <w:rPr>
                <w:rFonts w:ascii="宋体" w:hAnsi="宋体" w:cs="宋体"/>
                <w:color w:val="auto"/>
                <w:szCs w:val="21"/>
                <w:highlight w:val="none"/>
              </w:rPr>
            </w:pPr>
            <w:r>
              <w:rPr>
                <w:rStyle w:val="40"/>
                <w:rFonts w:hint="eastAsia" w:ascii="宋体" w:hAnsi="宋体" w:cs="宋体"/>
                <w:color w:val="auto"/>
                <w:szCs w:val="21"/>
                <w:highlight w:val="none"/>
              </w:rPr>
              <w:t>招标文件要求</w:t>
            </w:r>
          </w:p>
        </w:tc>
        <w:tc>
          <w:tcPr>
            <w:tcW w:w="1270" w:type="dxa"/>
            <w:vAlign w:val="center"/>
          </w:tcPr>
          <w:p>
            <w:pPr>
              <w:adjustRightInd w:val="0"/>
              <w:snapToGrid w:val="0"/>
              <w:jc w:val="center"/>
              <w:rPr>
                <w:rFonts w:ascii="宋体" w:hAnsi="宋体" w:cs="宋体"/>
                <w:color w:val="auto"/>
                <w:szCs w:val="21"/>
                <w:highlight w:val="none"/>
              </w:rPr>
            </w:pPr>
            <w:r>
              <w:rPr>
                <w:rStyle w:val="40"/>
                <w:rFonts w:hint="eastAsia" w:ascii="宋体" w:hAnsi="宋体" w:cs="宋体"/>
                <w:color w:val="auto"/>
                <w:szCs w:val="21"/>
                <w:highlight w:val="none"/>
              </w:rPr>
              <w:t>自查结论</w:t>
            </w:r>
          </w:p>
        </w:tc>
        <w:tc>
          <w:tcPr>
            <w:tcW w:w="2611" w:type="dxa"/>
            <w:vAlign w:val="center"/>
          </w:tcPr>
          <w:p>
            <w:pPr>
              <w:adjustRightInd w:val="0"/>
              <w:snapToGrid w:val="0"/>
              <w:jc w:val="center"/>
              <w:rPr>
                <w:rFonts w:ascii="宋体" w:hAnsi="宋体" w:cs="宋体"/>
                <w:color w:val="auto"/>
                <w:szCs w:val="21"/>
                <w:highlight w:val="none"/>
              </w:rPr>
            </w:pPr>
            <w:r>
              <w:rPr>
                <w:rStyle w:val="40"/>
                <w:rFonts w:hint="eastAsia" w:ascii="宋体" w:hAnsi="宋体" w:cs="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7" w:hRule="atLeast"/>
          <w:jc w:val="center"/>
        </w:trPr>
        <w:tc>
          <w:tcPr>
            <w:tcW w:w="831" w:type="dxa"/>
            <w:vMerge w:val="restart"/>
            <w:vAlign w:val="center"/>
          </w:tcPr>
          <w:p>
            <w:pPr>
              <w:pStyle w:val="122"/>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pPr>
              <w:pStyle w:val="122"/>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pPr>
              <w:pStyle w:val="122"/>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pPr>
              <w:pStyle w:val="122"/>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pPr>
              <w:pStyle w:val="122"/>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查</w:t>
            </w:r>
          </w:p>
        </w:tc>
        <w:tc>
          <w:tcPr>
            <w:tcW w:w="422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1.投标人具备《政府采购法》第二十二条所规定的条件：</w:t>
            </w:r>
          </w:p>
        </w:tc>
        <w:tc>
          <w:tcPr>
            <w:tcW w:w="1270" w:type="dxa"/>
            <w:vMerge w:val="restart"/>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61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9" w:hRule="atLeast"/>
          <w:jc w:val="center"/>
        </w:trPr>
        <w:tc>
          <w:tcPr>
            <w:tcW w:w="831" w:type="dxa"/>
            <w:vMerge w:val="continue"/>
            <w:vAlign w:val="center"/>
          </w:tcPr>
          <w:p>
            <w:pPr>
              <w:pStyle w:val="122"/>
              <w:adjustRightInd w:val="0"/>
              <w:snapToGrid w:val="0"/>
              <w:spacing w:before="0" w:beforeAutospacing="0" w:after="0" w:afterAutospacing="0"/>
              <w:jc w:val="center"/>
              <w:rPr>
                <w:rFonts w:cs="宋体"/>
                <w:b/>
                <w:color w:val="auto"/>
                <w:sz w:val="21"/>
                <w:szCs w:val="21"/>
                <w:highlight w:val="none"/>
              </w:rPr>
            </w:pPr>
          </w:p>
        </w:tc>
        <w:tc>
          <w:tcPr>
            <w:tcW w:w="4221" w:type="dxa"/>
            <w:vAlign w:val="center"/>
          </w:tcPr>
          <w:p>
            <w:pPr>
              <w:rPr>
                <w:rFonts w:ascii="宋体" w:hAnsi="宋体" w:cs="宋体"/>
                <w:color w:val="auto"/>
                <w:highlight w:val="none"/>
              </w:rPr>
            </w:pPr>
            <w:r>
              <w:rPr>
                <w:rFonts w:hint="eastAsia" w:ascii="宋体" w:hAnsi="宋体" w:cs="宋体"/>
                <w:color w:val="auto"/>
                <w:highlight w:val="none"/>
              </w:rPr>
              <w:t>1.1有效的“多证合一”的营业执照（未办理多证合一的提供营业执照、税务登记证、组织机构代码证）副本复印件。投标人如果有名称变更的，应提供由行政主管部门出具的变更证明文件；</w:t>
            </w:r>
          </w:p>
        </w:tc>
        <w:tc>
          <w:tcPr>
            <w:tcW w:w="1270" w:type="dxa"/>
            <w:vMerge w:val="continue"/>
            <w:vAlign w:val="center"/>
          </w:tcPr>
          <w:p>
            <w:pPr>
              <w:adjustRightInd w:val="0"/>
              <w:snapToGrid w:val="0"/>
              <w:rPr>
                <w:rFonts w:ascii="宋体" w:hAnsi="宋体" w:cs="宋体"/>
                <w:color w:val="auto"/>
                <w:szCs w:val="21"/>
                <w:highlight w:val="none"/>
              </w:rPr>
            </w:pPr>
          </w:p>
        </w:tc>
        <w:tc>
          <w:tcPr>
            <w:tcW w:w="261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9" w:hRule="atLeast"/>
          <w:jc w:val="center"/>
        </w:trPr>
        <w:tc>
          <w:tcPr>
            <w:tcW w:w="831" w:type="dxa"/>
            <w:vMerge w:val="continue"/>
            <w:vAlign w:val="center"/>
          </w:tcPr>
          <w:p>
            <w:pPr>
              <w:pStyle w:val="122"/>
              <w:adjustRightInd w:val="0"/>
              <w:snapToGrid w:val="0"/>
              <w:spacing w:before="0" w:beforeAutospacing="0" w:after="0" w:afterAutospacing="0"/>
              <w:jc w:val="center"/>
              <w:rPr>
                <w:rFonts w:cs="宋体"/>
                <w:b/>
                <w:color w:val="auto"/>
                <w:sz w:val="21"/>
                <w:szCs w:val="21"/>
                <w:highlight w:val="none"/>
              </w:rPr>
            </w:pPr>
          </w:p>
        </w:tc>
        <w:tc>
          <w:tcPr>
            <w:tcW w:w="422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1.2 </w:t>
            </w:r>
            <w:r>
              <w:rPr>
                <w:rFonts w:hint="eastAsia" w:ascii="宋体" w:hAnsi="宋体" w:cs="宋体"/>
                <w:color w:val="auto"/>
                <w:highlight w:val="none"/>
              </w:rPr>
              <w:t>关于资格的承诺函；</w:t>
            </w:r>
          </w:p>
        </w:tc>
        <w:tc>
          <w:tcPr>
            <w:tcW w:w="1270" w:type="dxa"/>
            <w:vMerge w:val="continue"/>
            <w:vAlign w:val="center"/>
          </w:tcPr>
          <w:p>
            <w:pPr>
              <w:adjustRightInd w:val="0"/>
              <w:snapToGrid w:val="0"/>
              <w:rPr>
                <w:rFonts w:ascii="宋体" w:hAnsi="宋体" w:cs="宋体"/>
                <w:color w:val="auto"/>
                <w:szCs w:val="21"/>
                <w:highlight w:val="none"/>
              </w:rPr>
            </w:pPr>
          </w:p>
        </w:tc>
        <w:tc>
          <w:tcPr>
            <w:tcW w:w="261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22"/>
              <w:adjustRightInd w:val="0"/>
              <w:snapToGrid w:val="0"/>
              <w:spacing w:before="0" w:beforeAutospacing="0" w:after="0" w:afterAutospacing="0"/>
              <w:jc w:val="center"/>
              <w:rPr>
                <w:rFonts w:cs="宋体"/>
                <w:color w:val="auto"/>
                <w:sz w:val="21"/>
                <w:szCs w:val="21"/>
                <w:highlight w:val="none"/>
              </w:rPr>
            </w:pPr>
          </w:p>
        </w:tc>
        <w:tc>
          <w:tcPr>
            <w:tcW w:w="4221" w:type="dxa"/>
            <w:vAlign w:val="center"/>
          </w:tcPr>
          <w:p>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tc>
        <w:tc>
          <w:tcPr>
            <w:tcW w:w="1270" w:type="dxa"/>
            <w:vAlign w:val="center"/>
          </w:tcPr>
          <w:p>
            <w:pPr>
              <w:adjustRightInd w:val="0"/>
              <w:snapToGrid w:val="0"/>
              <w:rPr>
                <w:rFonts w:ascii="宋体" w:hAnsi="宋体" w:cs="宋体"/>
                <w:color w:val="auto"/>
                <w:szCs w:val="21"/>
                <w:highlight w:val="none"/>
              </w:rPr>
            </w:pPr>
          </w:p>
        </w:tc>
        <w:tc>
          <w:tcPr>
            <w:tcW w:w="2611" w:type="dxa"/>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11" w:hRule="atLeast"/>
          <w:jc w:val="center"/>
        </w:trPr>
        <w:tc>
          <w:tcPr>
            <w:tcW w:w="831" w:type="dxa"/>
            <w:vMerge w:val="continue"/>
            <w:vAlign w:val="center"/>
          </w:tcPr>
          <w:p>
            <w:pPr>
              <w:pStyle w:val="122"/>
              <w:adjustRightInd w:val="0"/>
              <w:snapToGrid w:val="0"/>
              <w:spacing w:before="0" w:beforeAutospacing="0" w:after="0" w:afterAutospacing="0"/>
              <w:jc w:val="center"/>
              <w:rPr>
                <w:rFonts w:cs="宋体"/>
                <w:color w:val="auto"/>
                <w:sz w:val="21"/>
                <w:szCs w:val="21"/>
                <w:highlight w:val="none"/>
              </w:rPr>
            </w:pPr>
          </w:p>
        </w:tc>
        <w:tc>
          <w:tcPr>
            <w:tcW w:w="4221" w:type="dxa"/>
            <w:vAlign w:val="center"/>
          </w:tcPr>
          <w:p>
            <w:pPr>
              <w:adjustRightInd w:val="0"/>
              <w:snapToGrid w:val="0"/>
              <w:rPr>
                <w:rFonts w:ascii="宋体" w:hAnsi="宋体" w:cs="宋体"/>
                <w:color w:val="auto"/>
                <w:szCs w:val="21"/>
                <w:highlight w:val="none"/>
              </w:rPr>
            </w:pPr>
            <w:r>
              <w:rPr>
                <w:rFonts w:hint="eastAsia" w:ascii="宋体" w:hAnsi="宋体" w:cs="宋体"/>
                <w:color w:val="auto"/>
                <w:highlight w:val="none"/>
              </w:rPr>
              <w:t>3.落实政府采购政策需满足的资格要求：（如有）</w:t>
            </w:r>
          </w:p>
        </w:tc>
        <w:tc>
          <w:tcPr>
            <w:tcW w:w="127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61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7" w:hRule="atLeast"/>
          <w:jc w:val="center"/>
        </w:trPr>
        <w:tc>
          <w:tcPr>
            <w:tcW w:w="831" w:type="dxa"/>
            <w:vMerge w:val="continue"/>
            <w:vAlign w:val="center"/>
          </w:tcPr>
          <w:p>
            <w:pPr>
              <w:adjustRightInd w:val="0"/>
              <w:snapToGrid w:val="0"/>
              <w:rPr>
                <w:rFonts w:ascii="宋体" w:hAnsi="宋体" w:cs="宋体"/>
                <w:color w:val="auto"/>
                <w:szCs w:val="21"/>
                <w:highlight w:val="none"/>
              </w:rPr>
            </w:pPr>
          </w:p>
        </w:tc>
        <w:tc>
          <w:tcPr>
            <w:tcW w:w="422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4.本项目的特定资格要求：</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4.1本项目接受联合体投标。</w:t>
            </w:r>
          </w:p>
        </w:tc>
        <w:tc>
          <w:tcPr>
            <w:tcW w:w="127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611" w:type="dxa"/>
            <w:vAlign w:val="center"/>
          </w:tcPr>
          <w:p>
            <w:pPr>
              <w:adjustRightInd w:val="0"/>
              <w:snapToGrid w:val="0"/>
              <w:jc w:val="center"/>
              <w:rPr>
                <w:rFonts w:ascii="宋体" w:hAnsi="宋体" w:cs="宋体"/>
                <w:color w:val="auto"/>
                <w:szCs w:val="21"/>
                <w:highlight w:val="none"/>
              </w:rPr>
            </w:pPr>
          </w:p>
        </w:tc>
      </w:tr>
    </w:tbl>
    <w:p>
      <w:pPr>
        <w:pStyle w:val="18"/>
        <w:ind w:firstLine="0"/>
        <w:rPr>
          <w:rFonts w:ascii="宋体" w:hAnsi="宋体" w:cs="宋体"/>
          <w:b/>
          <w:color w:val="auto"/>
          <w:szCs w:val="21"/>
          <w:highlight w:val="none"/>
        </w:rPr>
      </w:pPr>
      <w:r>
        <w:rPr>
          <w:rFonts w:hint="eastAsia" w:ascii="宋体" w:hAnsi="宋体" w:cs="宋体"/>
          <w:b/>
          <w:color w:val="auto"/>
          <w:szCs w:val="21"/>
          <w:highlight w:val="none"/>
        </w:rPr>
        <w:t>备注：</w:t>
      </w:r>
    </w:p>
    <w:p>
      <w:pPr>
        <w:pStyle w:val="18"/>
        <w:ind w:firstLine="0"/>
        <w:rPr>
          <w:rFonts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cs="宋体"/>
          <w:b/>
          <w:color w:val="auto"/>
          <w:szCs w:val="21"/>
          <w:highlight w:val="none"/>
        </w:rPr>
        <w:t>投标人自查表将作为投标人有效性审查的重要内容之一，投标人必须严格按照其内容及序列要求在投标文件中对应如实提供，对资格证明文件的任何缺漏和不符合项将会直接导致投标无效！</w:t>
      </w:r>
    </w:p>
    <w:p>
      <w:pPr>
        <w:pStyle w:val="4"/>
        <w:spacing w:line="380" w:lineRule="exact"/>
        <w:rPr>
          <w:rFonts w:ascii="宋体" w:hAnsi="宋体" w:cs="宋体"/>
          <w:color w:val="auto"/>
          <w:sz w:val="28"/>
          <w:szCs w:val="28"/>
          <w:highlight w:val="none"/>
        </w:rPr>
      </w:pPr>
      <w:bookmarkStart w:id="95" w:name="_Toc502819365"/>
      <w:bookmarkStart w:id="96" w:name="_Toc497935758"/>
      <w:bookmarkStart w:id="97" w:name="_Toc520902430"/>
      <w:bookmarkStart w:id="98" w:name="_Toc481153685"/>
      <w:bookmarkStart w:id="99" w:name="_Toc316649312"/>
      <w:r>
        <w:rPr>
          <w:rFonts w:ascii="宋体" w:hAnsi="宋体" w:cs="宋体"/>
          <w:color w:val="auto"/>
          <w:sz w:val="28"/>
          <w:szCs w:val="28"/>
          <w:highlight w:val="none"/>
        </w:rPr>
        <w:br w:type="page"/>
      </w:r>
      <w:r>
        <w:rPr>
          <w:rFonts w:hint="eastAsia" w:ascii="宋体" w:hAnsi="宋体" w:cs="宋体"/>
          <w:color w:val="auto"/>
          <w:sz w:val="28"/>
          <w:szCs w:val="28"/>
          <w:highlight w:val="none"/>
        </w:rPr>
        <w:t>（二）投标声明书</w:t>
      </w:r>
      <w:bookmarkEnd w:id="95"/>
      <w:bookmarkEnd w:id="96"/>
      <w:bookmarkEnd w:id="97"/>
    </w:p>
    <w:p>
      <w:pPr>
        <w:rPr>
          <w:rFonts w:ascii="宋体" w:hAnsi="宋体" w:cs="宋体"/>
          <w:b/>
          <w:color w:val="auto"/>
          <w:highlight w:val="none"/>
        </w:rPr>
      </w:pPr>
    </w:p>
    <w:p>
      <w:pPr>
        <w:rPr>
          <w:rFonts w:ascii="宋体" w:hAnsi="宋体" w:cs="宋体"/>
          <w:b/>
          <w:color w:val="auto"/>
          <w:highlight w:val="none"/>
        </w:rPr>
      </w:pPr>
    </w:p>
    <w:p>
      <w:pPr>
        <w:rPr>
          <w:rFonts w:ascii="宋体" w:hAnsi="宋体" w:cs="宋体"/>
          <w:b/>
          <w:color w:val="auto"/>
          <w:szCs w:val="21"/>
          <w:highlight w:val="none"/>
        </w:rPr>
      </w:pPr>
      <w:r>
        <w:rPr>
          <w:rFonts w:hint="eastAsia" w:ascii="宋体" w:hAnsi="宋体" w:cs="宋体"/>
          <w:color w:val="auto"/>
          <w:szCs w:val="21"/>
          <w:highlight w:val="none"/>
          <w:u w:val="single"/>
        </w:rPr>
        <w:t>（</w:t>
      </w:r>
      <w:r>
        <w:rPr>
          <w:rFonts w:hint="eastAsia" w:ascii="宋体" w:hAnsi="宋体" w:cs="宋体"/>
          <w:i/>
          <w:color w:val="auto"/>
          <w:szCs w:val="21"/>
          <w:highlight w:val="none"/>
          <w:u w:val="single"/>
        </w:rPr>
        <w:t>采购代理机构</w:t>
      </w:r>
      <w:r>
        <w:rPr>
          <w:rFonts w:hint="eastAsia" w:ascii="宋体" w:hAnsi="宋体" w:cs="宋体"/>
          <w:color w:val="auto"/>
          <w:szCs w:val="21"/>
          <w:highlight w:val="none"/>
          <w:u w:val="single"/>
        </w:rPr>
        <w:t>）</w:t>
      </w:r>
      <w:r>
        <w:rPr>
          <w:rFonts w:hint="eastAsia" w:ascii="宋体" w:hAnsi="宋体" w:cs="宋体"/>
          <w:b/>
          <w:color w:val="auto"/>
          <w:szCs w:val="21"/>
          <w:highlight w:val="none"/>
        </w:rPr>
        <w:t>：</w:t>
      </w:r>
    </w:p>
    <w:p>
      <w:pPr>
        <w:snapToGrid w:val="0"/>
        <w:spacing w:before="146" w:beforeLines="50" w:line="360" w:lineRule="auto"/>
        <w:ind w:firstLine="428" w:firstLineChars="202"/>
        <w:rPr>
          <w:rFonts w:ascii="宋体" w:hAnsi="宋体" w:cs="宋体"/>
          <w:color w:val="auto"/>
          <w:szCs w:val="21"/>
          <w:highlight w:val="none"/>
        </w:rPr>
      </w:pPr>
      <w:r>
        <w:rPr>
          <w:rFonts w:hint="eastAsia" w:ascii="宋体" w:hAnsi="宋体" w:cs="宋体"/>
          <w:color w:val="auto"/>
          <w:szCs w:val="21"/>
          <w:highlight w:val="none"/>
        </w:rPr>
        <w:t>关于贵司年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日发布</w:t>
      </w:r>
      <w:r>
        <w:rPr>
          <w:rFonts w:hint="eastAsia" w:ascii="宋体" w:hAnsi="宋体" w:cs="宋体"/>
          <w:color w:val="auto"/>
          <w:kern w:val="28"/>
          <w:szCs w:val="21"/>
          <w:highlight w:val="none"/>
          <w:u w:val="single"/>
        </w:rPr>
        <w:t>XXXXXXXXXXXXXXXX</w:t>
      </w:r>
      <w:r>
        <w:rPr>
          <w:rFonts w:hint="eastAsia" w:ascii="宋体" w:hAnsi="宋体" w:cs="宋体"/>
          <w:color w:val="auto"/>
          <w:szCs w:val="21"/>
          <w:highlight w:val="none"/>
        </w:rPr>
        <w:t>项目（项目编号：　　　）的招标公告，本单位愿意参加投标，并声明：</w:t>
      </w:r>
    </w:p>
    <w:p>
      <w:pPr>
        <w:snapToGrid w:val="0"/>
        <w:spacing w:line="360" w:lineRule="auto"/>
        <w:ind w:firstLine="428" w:firstLineChars="202"/>
        <w:rPr>
          <w:rFonts w:ascii="宋体" w:hAnsi="宋体" w:cs="宋体"/>
          <w:color w:val="auto"/>
          <w:szCs w:val="21"/>
          <w:highlight w:val="none"/>
        </w:rPr>
      </w:pPr>
      <w:r>
        <w:rPr>
          <w:rFonts w:hint="eastAsia" w:ascii="宋体" w:hAnsi="宋体" w:cs="宋体"/>
          <w:color w:val="auto"/>
          <w:szCs w:val="21"/>
          <w:highlight w:val="none"/>
        </w:rPr>
        <w:t>我单位具备</w:t>
      </w:r>
      <w:r>
        <w:rPr>
          <w:rFonts w:hint="eastAsia" w:ascii="宋体" w:hAnsi="宋体" w:cs="宋体"/>
          <w:bCs/>
          <w:color w:val="auto"/>
          <w:szCs w:val="21"/>
          <w:highlight w:val="none"/>
        </w:rPr>
        <w:t>《中华人民共和国政府采购法》第二十二条资格条件，</w:t>
      </w:r>
      <w:r>
        <w:rPr>
          <w:rFonts w:hint="eastAsia" w:ascii="宋体" w:hAnsi="宋体" w:cs="宋体"/>
          <w:color w:val="auto"/>
          <w:szCs w:val="21"/>
          <w:highlight w:val="none"/>
        </w:rPr>
        <w:t>并已清楚招标文件的要求及有关文件规定。</w:t>
      </w:r>
    </w:p>
    <w:p>
      <w:pPr>
        <w:snapToGrid w:val="0"/>
        <w:spacing w:line="360" w:lineRule="auto"/>
        <w:ind w:firstLine="428" w:firstLineChars="202"/>
        <w:rPr>
          <w:rFonts w:ascii="宋体" w:hAnsi="宋体" w:cs="宋体"/>
          <w:color w:val="auto"/>
          <w:szCs w:val="21"/>
          <w:highlight w:val="none"/>
        </w:rPr>
      </w:pPr>
      <w:r>
        <w:rPr>
          <w:rFonts w:hint="eastAsia" w:ascii="宋体" w:hAnsi="宋体" w:cs="宋体"/>
          <w:color w:val="auto"/>
          <w:szCs w:val="21"/>
          <w:highlight w:val="none"/>
        </w:rPr>
        <w:t>我单位的单位负责人或单位负责人与所参投的本采购项目的其他投标人的单位负责人或单位负责人不为同一人且与其他投标人之间不存在直接控股、管理关系。</w:t>
      </w:r>
    </w:p>
    <w:p>
      <w:pPr>
        <w:widowControl/>
        <w:snapToGrid w:val="0"/>
        <w:spacing w:line="360" w:lineRule="auto"/>
        <w:ind w:firstLine="424" w:firstLineChars="200"/>
        <w:jc w:val="left"/>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pPr>
        <w:snapToGrid w:val="0"/>
        <w:spacing w:line="360" w:lineRule="auto"/>
        <w:ind w:firstLine="428" w:firstLineChars="202"/>
        <w:rPr>
          <w:rFonts w:ascii="宋体" w:hAnsi="宋体" w:cs="宋体"/>
          <w:color w:val="auto"/>
          <w:szCs w:val="21"/>
          <w:highlight w:val="none"/>
        </w:rPr>
      </w:pPr>
      <w:r>
        <w:rPr>
          <w:rFonts w:hint="eastAsia" w:ascii="宋体" w:hAnsi="宋体" w:cs="宋体"/>
          <w:color w:val="auto"/>
          <w:szCs w:val="21"/>
          <w:highlight w:val="none"/>
        </w:rPr>
        <w:t>我单位未被信用中国网站（www.creditchina.gov.cn）列入失信被执行人、重大税收违法件当事人名单，未被中国政府采购网（www.ccgp.gov.cn）列入政府采购严重违法失信行为记录名单。</w:t>
      </w:r>
    </w:p>
    <w:p>
      <w:pPr>
        <w:snapToGrid w:val="0"/>
        <w:spacing w:line="360" w:lineRule="auto"/>
        <w:ind w:firstLine="428" w:firstLineChars="202"/>
        <w:rPr>
          <w:rFonts w:ascii="宋体" w:hAnsi="宋体" w:cs="宋体"/>
          <w:color w:val="auto"/>
          <w:szCs w:val="21"/>
          <w:highlight w:val="none"/>
        </w:rPr>
      </w:pPr>
      <w:r>
        <w:rPr>
          <w:rFonts w:hint="eastAsia" w:ascii="宋体" w:hAnsi="宋体" w:cs="宋体"/>
          <w:color w:val="auto"/>
          <w:szCs w:val="21"/>
          <w:highlight w:val="none"/>
        </w:rPr>
        <w:t>本次招标采购活动中，如有违法、违规、弄虚作假行为，所造成的损失、不良后果及法律责任，一律由我单位承担。</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特此声明！</w:t>
      </w:r>
    </w:p>
    <w:p>
      <w:pPr>
        <w:adjustRightInd w:val="0"/>
        <w:snapToGrid w:val="0"/>
        <w:spacing w:line="360" w:lineRule="auto"/>
        <w:ind w:left="425"/>
        <w:rPr>
          <w:rFonts w:ascii="宋体" w:hAnsi="宋体" w:cs="宋体"/>
          <w:color w:val="auto"/>
          <w:spacing w:val="4"/>
          <w:szCs w:val="21"/>
          <w:highlight w:val="none"/>
        </w:rPr>
      </w:pPr>
    </w:p>
    <w:p>
      <w:pPr>
        <w:adjustRightInd w:val="0"/>
        <w:snapToGrid w:val="0"/>
        <w:spacing w:line="360" w:lineRule="auto"/>
        <w:ind w:left="425"/>
        <w:rPr>
          <w:rFonts w:ascii="宋体" w:hAnsi="宋体" w:cs="宋体"/>
          <w:color w:val="auto"/>
          <w:spacing w:val="4"/>
          <w:szCs w:val="21"/>
          <w:highlight w:val="none"/>
        </w:rPr>
      </w:pPr>
    </w:p>
    <w:p>
      <w:pPr>
        <w:adjustRightInd w:val="0"/>
        <w:snapToGrid w:val="0"/>
        <w:spacing w:line="360" w:lineRule="auto"/>
        <w:ind w:left="425"/>
        <w:rPr>
          <w:rFonts w:ascii="宋体" w:hAnsi="宋体" w:cs="宋体"/>
          <w:color w:val="auto"/>
          <w:spacing w:val="4"/>
          <w:szCs w:val="21"/>
          <w:highlight w:val="none"/>
        </w:rPr>
      </w:pPr>
    </w:p>
    <w:p>
      <w:pPr>
        <w:spacing w:line="480" w:lineRule="auto"/>
        <w:ind w:right="420" w:firstLine="3180" w:firstLineChars="1500"/>
        <w:rPr>
          <w:rFonts w:ascii="宋体" w:hAnsi="宋体" w:cs="宋体"/>
          <w:color w:val="auto"/>
          <w:szCs w:val="21"/>
          <w:highlight w:val="none"/>
        </w:rPr>
      </w:pPr>
      <w:r>
        <w:rPr>
          <w:rFonts w:hint="eastAsia" w:ascii="宋体" w:hAnsi="宋体" w:cs="宋体"/>
          <w:color w:val="auto"/>
          <w:szCs w:val="21"/>
          <w:highlight w:val="none"/>
        </w:rPr>
        <w:t>投标人（公章）：</w:t>
      </w:r>
    </w:p>
    <w:p>
      <w:pPr>
        <w:spacing w:line="480" w:lineRule="auto"/>
        <w:ind w:right="420" w:firstLine="3180" w:firstLineChars="1500"/>
        <w:rPr>
          <w:rFonts w:ascii="宋体" w:hAnsi="宋体" w:cs="宋体"/>
          <w:color w:val="auto"/>
          <w:szCs w:val="21"/>
          <w:highlight w:val="none"/>
        </w:rPr>
      </w:pPr>
      <w:r>
        <w:rPr>
          <w:rFonts w:hint="eastAsia" w:ascii="宋体" w:hAnsi="宋体" w:cs="宋体"/>
          <w:color w:val="auto"/>
          <w:szCs w:val="21"/>
          <w:highlight w:val="none"/>
        </w:rPr>
        <w:t>投标人代表（签字或印章）：</w:t>
      </w:r>
    </w:p>
    <w:p>
      <w:pPr>
        <w:spacing w:line="480" w:lineRule="auto"/>
        <w:ind w:right="420" w:firstLine="4982" w:firstLineChars="2350"/>
        <w:rPr>
          <w:rFonts w:ascii="宋体" w:hAnsi="宋体" w:cs="宋体"/>
          <w:color w:val="auto"/>
          <w:szCs w:val="21"/>
          <w:highlight w:val="none"/>
        </w:rPr>
      </w:pPr>
      <w:r>
        <w:rPr>
          <w:rFonts w:hint="eastAsia" w:ascii="宋体" w:hAnsi="宋体" w:cs="宋体"/>
          <w:color w:val="auto"/>
          <w:szCs w:val="21"/>
          <w:highlight w:val="none"/>
        </w:rPr>
        <w:t>年    月    日</w:t>
      </w: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left"/>
        <w:rPr>
          <w:rFonts w:ascii="宋体" w:hAnsi="宋体" w:cs="宋体"/>
          <w:b/>
          <w:bCs/>
          <w:color w:val="auto"/>
          <w:highlight w:val="none"/>
        </w:rPr>
      </w:pPr>
    </w:p>
    <w:p>
      <w:pPr>
        <w:pStyle w:val="18"/>
        <w:ind w:firstLine="0"/>
        <w:jc w:val="left"/>
        <w:rPr>
          <w:rFonts w:ascii="宋体" w:hAnsi="宋体" w:cs="宋体"/>
          <w:b/>
          <w:bCs/>
          <w:color w:val="auto"/>
          <w:highlight w:val="none"/>
        </w:rPr>
      </w:pPr>
      <w:r>
        <w:rPr>
          <w:rFonts w:hint="eastAsia" w:ascii="宋体" w:hAnsi="宋体"/>
          <w:b/>
          <w:bCs/>
          <w:color w:val="auto"/>
          <w:szCs w:val="21"/>
          <w:highlight w:val="none"/>
        </w:rPr>
        <w:t>注：</w:t>
      </w:r>
      <w:r>
        <w:rPr>
          <w:rFonts w:hint="eastAsia" w:ascii="宋体" w:hAnsi="宋体"/>
          <w:b/>
          <w:bCs/>
          <w:color w:val="auto"/>
          <w:szCs w:val="21"/>
          <w:highlight w:val="none"/>
          <w:lang w:eastAsia="zh-Hans"/>
        </w:rPr>
        <w:t>若</w:t>
      </w:r>
      <w:r>
        <w:rPr>
          <w:rFonts w:hint="eastAsia" w:ascii="宋体" w:hAnsi="宋体"/>
          <w:b/>
          <w:bCs/>
          <w:color w:val="auto"/>
          <w:szCs w:val="21"/>
          <w:highlight w:val="none"/>
        </w:rPr>
        <w:t>联合体投标的，联合体各方均须提供。</w:t>
      </w: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4"/>
        <w:spacing w:line="380" w:lineRule="exact"/>
        <w:ind w:left="0" w:firstLine="0"/>
        <w:rPr>
          <w:rFonts w:ascii="宋体" w:hAnsi="宋体" w:cs="宋体"/>
          <w:color w:val="auto"/>
          <w:sz w:val="28"/>
          <w:szCs w:val="28"/>
          <w:highlight w:val="none"/>
        </w:rPr>
      </w:pPr>
      <w:bookmarkStart w:id="100" w:name="_Toc502819364"/>
      <w:bookmarkStart w:id="101" w:name="_Toc481153684"/>
      <w:bookmarkStart w:id="102" w:name="_Toc497935757"/>
      <w:bookmarkStart w:id="103" w:name="_Toc316649311"/>
      <w:bookmarkStart w:id="104" w:name="_Toc520902431"/>
      <w:r>
        <w:rPr>
          <w:rFonts w:hint="eastAsia" w:ascii="宋体" w:hAnsi="宋体" w:cs="宋体"/>
          <w:color w:val="auto"/>
          <w:sz w:val="28"/>
          <w:szCs w:val="28"/>
          <w:highlight w:val="none"/>
        </w:rPr>
        <w:t>（三）</w:t>
      </w:r>
      <w:bookmarkEnd w:id="100"/>
      <w:bookmarkEnd w:id="101"/>
      <w:bookmarkEnd w:id="102"/>
      <w:bookmarkEnd w:id="103"/>
      <w:r>
        <w:rPr>
          <w:rFonts w:hint="eastAsia" w:ascii="宋体" w:hAnsi="宋体" w:cs="宋体"/>
          <w:color w:val="auto"/>
          <w:sz w:val="28"/>
          <w:szCs w:val="28"/>
          <w:highlight w:val="none"/>
        </w:rPr>
        <w:t>有效的“多证合一”的营业执照（未办理多证合一的提供营业执照、税务登记证、组织机构代码证）副本复印件。投标人如果有名称变更的，应提供由行政主管部门出具的变更证明文件；</w:t>
      </w:r>
      <w:bookmarkEnd w:id="104"/>
    </w:p>
    <w:p>
      <w:pPr>
        <w:pStyle w:val="18"/>
        <w:ind w:firstLine="0"/>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（复印件并加盖公章）</w:t>
      </w:r>
    </w:p>
    <w:p>
      <w:pPr>
        <w:pStyle w:val="18"/>
        <w:ind w:firstLine="0"/>
        <w:jc w:val="center"/>
        <w:rPr>
          <w:rFonts w:ascii="宋体" w:hAnsi="宋体" w:cs="宋体"/>
          <w:color w:val="auto"/>
          <w:highlight w:val="none"/>
        </w:rPr>
      </w:pPr>
    </w:p>
    <w:p>
      <w:pPr>
        <w:spacing w:line="380" w:lineRule="exact"/>
        <w:jc w:val="left"/>
        <w:rPr>
          <w:rFonts w:ascii="宋体" w:hAnsi="宋体" w:cs="宋体"/>
          <w:b/>
          <w:bCs/>
          <w:color w:val="auto"/>
          <w:kern w:val="0"/>
          <w:sz w:val="20"/>
          <w:highlight w:val="none"/>
        </w:rPr>
      </w:pPr>
      <w:r>
        <w:rPr>
          <w:rFonts w:hint="eastAsia" w:ascii="宋体" w:hAnsi="宋体"/>
          <w:b/>
          <w:bCs/>
          <w:color w:val="auto"/>
          <w:kern w:val="0"/>
          <w:sz w:val="20"/>
          <w:szCs w:val="21"/>
          <w:highlight w:val="none"/>
        </w:rPr>
        <w:t>注：</w:t>
      </w:r>
      <w:r>
        <w:rPr>
          <w:rFonts w:hint="eastAsia" w:ascii="宋体" w:hAnsi="宋体"/>
          <w:b/>
          <w:bCs/>
          <w:color w:val="auto"/>
          <w:kern w:val="0"/>
          <w:sz w:val="20"/>
          <w:szCs w:val="21"/>
          <w:highlight w:val="none"/>
          <w:lang w:eastAsia="zh-Hans"/>
        </w:rPr>
        <w:t>若</w:t>
      </w:r>
      <w:r>
        <w:rPr>
          <w:rFonts w:hint="eastAsia" w:ascii="宋体" w:hAnsi="宋体"/>
          <w:b/>
          <w:bCs/>
          <w:color w:val="auto"/>
          <w:kern w:val="0"/>
          <w:sz w:val="20"/>
          <w:szCs w:val="21"/>
          <w:highlight w:val="none"/>
        </w:rPr>
        <w:t>联合体投标的，联合体各方均须提供。</w:t>
      </w: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pStyle w:val="18"/>
        <w:ind w:firstLine="0"/>
        <w:jc w:val="center"/>
        <w:rPr>
          <w:rFonts w:ascii="宋体" w:hAnsi="宋体" w:cs="宋体"/>
          <w:color w:val="auto"/>
          <w:highlight w:val="none"/>
        </w:rPr>
      </w:pPr>
    </w:p>
    <w:p>
      <w:pPr>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4"/>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（四）关于资格的承诺函</w:t>
      </w:r>
    </w:p>
    <w:p>
      <w:pPr>
        <w:rPr>
          <w:rFonts w:ascii="宋体" w:hAnsi="宋体" w:cs="宋体"/>
          <w:color w:val="auto"/>
          <w:highlight w:val="none"/>
        </w:rPr>
      </w:pPr>
    </w:p>
    <w:p>
      <w:pPr>
        <w:pStyle w:val="18"/>
        <w:ind w:firstLine="0"/>
        <w:jc w:val="center"/>
        <w:rPr>
          <w:rFonts w:ascii="宋体" w:hAnsi="宋体" w:cs="宋体"/>
          <w:color w:val="auto"/>
          <w:highlight w:val="none"/>
        </w:rPr>
      </w:pP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致：采购人</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我单位承诺：</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我单位满足《中华人民共和国政府采购法》第二十二条 供应商参加政府采购活动应当具备的下列条件：</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（二）具有良好的商业信誉和健全的财务会计制度；</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pPr>
        <w:spacing w:line="360" w:lineRule="auto"/>
        <w:ind w:firstLine="484"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（六）法律、行政法规规定的其他条件。</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pPr>
        <w:spacing w:line="360" w:lineRule="auto"/>
        <w:ind w:firstLine="363"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特此承诺。</w:t>
      </w:r>
    </w:p>
    <w:p>
      <w:pPr>
        <w:spacing w:line="360" w:lineRule="auto"/>
        <w:rPr>
          <w:rFonts w:ascii="宋体" w:hAnsi="宋体" w:cs="宋体"/>
          <w:color w:val="auto"/>
          <w:kern w:val="0"/>
          <w:sz w:val="24"/>
          <w:szCs w:val="24"/>
          <w:highlight w:val="none"/>
        </w:rPr>
      </w:pPr>
    </w:p>
    <w:p>
      <w:pPr>
        <w:spacing w:line="360" w:lineRule="auto"/>
        <w:rPr>
          <w:rFonts w:ascii="宋体" w:hAnsi="宋体" w:cs="宋体"/>
          <w:color w:val="auto"/>
          <w:kern w:val="0"/>
          <w:sz w:val="24"/>
          <w:szCs w:val="24"/>
          <w:highlight w:val="none"/>
        </w:rPr>
      </w:pPr>
    </w:p>
    <w:p>
      <w:pPr>
        <w:spacing w:line="360" w:lineRule="auto"/>
        <w:ind w:firstLine="4859" w:firstLineChars="2008"/>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投标人（公章）：</w:t>
      </w:r>
    </w:p>
    <w:p>
      <w:pPr>
        <w:spacing w:line="360" w:lineRule="auto"/>
        <w:ind w:firstLine="4859" w:firstLineChars="2008"/>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投标人代表（签字或印章）：</w:t>
      </w:r>
    </w:p>
    <w:p>
      <w:pPr>
        <w:spacing w:line="360" w:lineRule="auto"/>
        <w:ind w:firstLine="4859" w:firstLineChars="2008"/>
        <w:rPr>
          <w:rFonts w:ascii="宋体" w:hAnsi="宋体" w:cs="宋体"/>
          <w:color w:val="auto"/>
          <w:highlight w:val="none"/>
        </w:rPr>
      </w:pPr>
      <w:r>
        <w:rPr>
          <w:rFonts w:hint="eastAsia" w:ascii="宋体" w:hAnsi="宋体" w:cs="宋体"/>
          <w:color w:val="auto"/>
          <w:kern w:val="0"/>
          <w:sz w:val="24"/>
          <w:szCs w:val="24"/>
          <w:highlight w:val="none"/>
        </w:rPr>
        <w:t>年月日</w:t>
      </w:r>
    </w:p>
    <w:p>
      <w:pPr>
        <w:spacing w:line="380" w:lineRule="exact"/>
        <w:jc w:val="left"/>
        <w:rPr>
          <w:rFonts w:ascii="宋体" w:hAnsi="宋体"/>
          <w:b/>
          <w:bCs/>
          <w:color w:val="auto"/>
          <w:kern w:val="0"/>
          <w:sz w:val="20"/>
          <w:szCs w:val="21"/>
          <w:highlight w:val="none"/>
        </w:rPr>
      </w:pPr>
    </w:p>
    <w:p>
      <w:pPr>
        <w:spacing w:line="380" w:lineRule="exact"/>
        <w:jc w:val="left"/>
        <w:rPr>
          <w:rFonts w:ascii="宋体" w:hAnsi="宋体"/>
          <w:b/>
          <w:bCs/>
          <w:color w:val="auto"/>
          <w:kern w:val="0"/>
          <w:sz w:val="20"/>
          <w:szCs w:val="21"/>
          <w:highlight w:val="none"/>
        </w:rPr>
      </w:pPr>
    </w:p>
    <w:p>
      <w:pPr>
        <w:spacing w:line="380" w:lineRule="exact"/>
        <w:jc w:val="left"/>
        <w:rPr>
          <w:rFonts w:ascii="宋体" w:hAnsi="宋体"/>
          <w:b/>
          <w:bCs/>
          <w:color w:val="auto"/>
          <w:kern w:val="0"/>
          <w:sz w:val="20"/>
          <w:szCs w:val="21"/>
          <w:highlight w:val="none"/>
        </w:rPr>
      </w:pPr>
    </w:p>
    <w:p>
      <w:pPr>
        <w:spacing w:line="380" w:lineRule="exact"/>
        <w:jc w:val="left"/>
        <w:rPr>
          <w:rFonts w:ascii="宋体" w:hAnsi="宋体"/>
          <w:b/>
          <w:bCs/>
          <w:color w:val="auto"/>
          <w:kern w:val="0"/>
          <w:sz w:val="20"/>
          <w:szCs w:val="21"/>
          <w:highlight w:val="none"/>
        </w:rPr>
      </w:pPr>
    </w:p>
    <w:p>
      <w:pPr>
        <w:spacing w:line="380" w:lineRule="exact"/>
        <w:jc w:val="left"/>
        <w:rPr>
          <w:rFonts w:ascii="宋体" w:hAnsi="宋体" w:cs="宋体"/>
          <w:b/>
          <w:bCs/>
          <w:color w:val="auto"/>
          <w:kern w:val="0"/>
          <w:sz w:val="20"/>
          <w:highlight w:val="none"/>
        </w:rPr>
      </w:pPr>
      <w:r>
        <w:rPr>
          <w:rFonts w:hint="eastAsia" w:ascii="宋体" w:hAnsi="宋体"/>
          <w:b/>
          <w:bCs/>
          <w:color w:val="auto"/>
          <w:kern w:val="0"/>
          <w:sz w:val="20"/>
          <w:szCs w:val="21"/>
          <w:highlight w:val="none"/>
        </w:rPr>
        <w:t>注：</w:t>
      </w:r>
      <w:r>
        <w:rPr>
          <w:rFonts w:hint="eastAsia" w:ascii="宋体" w:hAnsi="宋体"/>
          <w:b/>
          <w:bCs/>
          <w:color w:val="auto"/>
          <w:kern w:val="0"/>
          <w:sz w:val="20"/>
          <w:szCs w:val="21"/>
          <w:highlight w:val="none"/>
          <w:lang w:eastAsia="zh-Hans"/>
        </w:rPr>
        <w:t>若</w:t>
      </w:r>
      <w:r>
        <w:rPr>
          <w:rFonts w:hint="eastAsia" w:ascii="宋体" w:hAnsi="宋体"/>
          <w:b/>
          <w:bCs/>
          <w:color w:val="auto"/>
          <w:kern w:val="0"/>
          <w:sz w:val="20"/>
          <w:szCs w:val="21"/>
          <w:highlight w:val="none"/>
        </w:rPr>
        <w:t>联合体投标的，联合体各方均须提供。</w:t>
      </w:r>
    </w:p>
    <w:p>
      <w:pPr>
        <w:rPr>
          <w:rFonts w:ascii="宋体" w:hAnsi="宋体" w:cs="宋体"/>
          <w:color w:val="auto"/>
          <w:highlight w:val="none"/>
        </w:rPr>
      </w:pPr>
      <w:r>
        <w:rPr>
          <w:rFonts w:hint="eastAsia" w:ascii="宋体" w:hAnsi="宋体" w:cs="宋体"/>
          <w:color w:val="auto"/>
          <w:highlight w:val="none"/>
        </w:rPr>
        <w:br w:type="page"/>
      </w:r>
    </w:p>
    <w:bookmarkEnd w:id="98"/>
    <w:bookmarkEnd w:id="99"/>
    <w:p>
      <w:pPr>
        <w:pStyle w:val="4"/>
        <w:spacing w:line="380" w:lineRule="exact"/>
        <w:ind w:left="0" w:firstLine="0"/>
        <w:rPr>
          <w:rFonts w:ascii="宋体" w:hAnsi="宋体" w:cs="宋体"/>
          <w:color w:val="auto"/>
          <w:sz w:val="28"/>
          <w:szCs w:val="28"/>
          <w:highlight w:val="none"/>
        </w:rPr>
      </w:pPr>
      <w:bookmarkStart w:id="105" w:name="_Toc520902436"/>
      <w:r>
        <w:rPr>
          <w:rFonts w:hint="eastAsia" w:ascii="宋体" w:hAnsi="宋体" w:cs="宋体"/>
          <w:color w:val="auto"/>
          <w:sz w:val="28"/>
          <w:szCs w:val="28"/>
          <w:highlight w:val="none"/>
        </w:rPr>
        <w:t>（六）投标人的特定条件的证明文件</w:t>
      </w:r>
      <w:bookmarkEnd w:id="105"/>
      <w:r>
        <w:rPr>
          <w:rFonts w:hint="eastAsia" w:ascii="宋体" w:hAnsi="宋体" w:cs="宋体"/>
          <w:color w:val="auto"/>
          <w:sz w:val="28"/>
          <w:szCs w:val="28"/>
          <w:highlight w:val="none"/>
        </w:rPr>
        <w:t>（如有）</w:t>
      </w:r>
    </w:p>
    <w:p>
      <w:pPr>
        <w:jc w:val="center"/>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cs="宋体"/>
          <w:b/>
          <w:color w:val="auto"/>
          <w:sz w:val="48"/>
          <w:szCs w:val="48"/>
          <w:highlight w:val="none"/>
        </w:rPr>
      </w:pPr>
      <w:bookmarkStart w:id="106" w:name="_Toc502819357"/>
      <w:bookmarkStart w:id="107" w:name="_Toc316649305"/>
      <w:bookmarkStart w:id="108" w:name="_Toc497935749"/>
      <w:bookmarkStart w:id="109" w:name="_Toc481153678"/>
      <w:r>
        <w:rPr>
          <w:rFonts w:ascii="宋体" w:hAnsi="宋体" w:cs="宋体"/>
          <w:b/>
          <w:color w:val="auto"/>
          <w:sz w:val="48"/>
          <w:szCs w:val="48"/>
          <w:highlight w:val="none"/>
        </w:rPr>
        <w:br w:type="page"/>
      </w:r>
    </w:p>
    <w:p>
      <w:pPr>
        <w:snapToGrid w:val="0"/>
        <w:spacing w:line="360" w:lineRule="auto"/>
        <w:ind w:firstLine="1474" w:firstLineChars="523"/>
        <w:jc w:val="left"/>
        <w:rPr>
          <w:rFonts w:ascii="宋体" w:hAnsi="宋体" w:cs="宋体"/>
          <w:b/>
          <w:color w:val="auto"/>
          <w:sz w:val="28"/>
          <w:szCs w:val="28"/>
          <w:highlight w:val="none"/>
        </w:rPr>
      </w:pPr>
      <w:r>
        <w:rPr>
          <w:rFonts w:hint="eastAsia" w:ascii="宋体" w:hAnsi="宋体" w:cs="宋体"/>
          <w:b/>
          <w:color w:val="auto"/>
          <w:sz w:val="28"/>
          <w:szCs w:val="28"/>
          <w:highlight w:val="none"/>
        </w:rPr>
        <w:t>（七）联合体协议书（如需联合体时提供）</w:t>
      </w:r>
    </w:p>
    <w:p>
      <w:pPr>
        <w:rPr>
          <w:rFonts w:hAnsi="宋体" w:cs="宋体"/>
          <w:color w:val="auto"/>
          <w:highlight w:val="none"/>
        </w:rPr>
      </w:pP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u w:val="single"/>
        </w:rPr>
        <w:t xml:space="preserve">                </w:t>
      </w:r>
      <w:r>
        <w:rPr>
          <w:rFonts w:hint="eastAsia" w:hAnsi="宋体" w:cs="宋体"/>
          <w:color w:val="auto"/>
          <w:szCs w:val="24"/>
          <w:highlight w:val="none"/>
        </w:rPr>
        <w:t>（所有成员单位名称）自愿组成</w:t>
      </w:r>
      <w:r>
        <w:rPr>
          <w:rFonts w:hint="eastAsia" w:hAnsi="宋体" w:cs="宋体"/>
          <w:color w:val="auto"/>
          <w:szCs w:val="24"/>
          <w:highlight w:val="none"/>
          <w:u w:val="single"/>
        </w:rPr>
        <w:t xml:space="preserve">                 </w:t>
      </w:r>
      <w:r>
        <w:rPr>
          <w:rFonts w:hint="eastAsia" w:hAnsi="宋体" w:cs="宋体"/>
          <w:color w:val="auto"/>
          <w:szCs w:val="24"/>
          <w:highlight w:val="none"/>
        </w:rPr>
        <w:t>（联合体名称），共同参加</w:t>
      </w:r>
      <w:r>
        <w:rPr>
          <w:rFonts w:hint="eastAsia" w:hAnsi="宋体" w:cs="宋体"/>
          <w:color w:val="auto"/>
          <w:szCs w:val="24"/>
          <w:highlight w:val="none"/>
          <w:u w:val="single"/>
        </w:rPr>
        <w:t xml:space="preserve">            </w:t>
      </w:r>
      <w:r>
        <w:rPr>
          <w:rFonts w:hint="eastAsia" w:hAnsi="宋体" w:cs="宋体"/>
          <w:color w:val="auto"/>
          <w:szCs w:val="24"/>
          <w:highlight w:val="none"/>
        </w:rPr>
        <w:t>（项目名称）。现就联合体投标事宜订立如下协议。</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 xml:space="preserve">            </w:t>
      </w:r>
      <w:r>
        <w:rPr>
          <w:rFonts w:hint="eastAsia" w:hAnsi="宋体" w:cs="宋体"/>
          <w:color w:val="auto"/>
          <w:szCs w:val="24"/>
          <w:highlight w:val="none"/>
        </w:rPr>
        <w:t>（某成员单位名称）为</w:t>
      </w:r>
      <w:r>
        <w:rPr>
          <w:rFonts w:hint="eastAsia" w:hAnsi="宋体" w:cs="宋体"/>
          <w:color w:val="auto"/>
          <w:szCs w:val="24"/>
          <w:highlight w:val="none"/>
          <w:u w:val="single"/>
        </w:rPr>
        <w:t xml:space="preserve">                 </w:t>
      </w:r>
      <w:r>
        <w:rPr>
          <w:rFonts w:hint="eastAsia" w:hAnsi="宋体" w:cs="宋体"/>
          <w:color w:val="auto"/>
          <w:szCs w:val="24"/>
          <w:highlight w:val="none"/>
        </w:rPr>
        <w:t>（联合体名称）牵头人。</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2．联合体各成员授权牵头人代表联合体参加投标活动，签署文件，提交和接收相关的资料、信息及指示，进行合同谈判活动，负责合同实施阶段的组织和协调工作，以及处理与本项目有关的一切事宜。</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3．联合体牵头人在本项目中签署的一切文件和处理的一切事宜，联合体各成员均予以承认。联合体各成员将严格按照招标文件、投标文件和合同的要求全面履行义务，并向采购人承担连带责任。</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4．联合体各成员单位内部的职责分工如下：</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（1）由联合体牵头人承担</w:t>
      </w:r>
      <w:r>
        <w:rPr>
          <w:rFonts w:hint="eastAsia" w:hAnsi="宋体" w:cs="宋体"/>
          <w:color w:val="auto"/>
          <w:szCs w:val="24"/>
          <w:highlight w:val="none"/>
          <w:u w:val="single"/>
        </w:rPr>
        <w:t xml:space="preserve">               工作（占合同总金额     %）</w:t>
      </w:r>
      <w:r>
        <w:rPr>
          <w:rFonts w:hint="eastAsia" w:hAnsi="宋体" w:cs="宋体"/>
          <w:color w:val="auto"/>
          <w:szCs w:val="24"/>
          <w:highlight w:val="none"/>
        </w:rPr>
        <w:t>；</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（2）由联合体成员承担</w:t>
      </w:r>
      <w:r>
        <w:rPr>
          <w:rFonts w:hint="eastAsia" w:hAnsi="宋体" w:cs="宋体"/>
          <w:color w:val="auto"/>
          <w:szCs w:val="24"/>
          <w:highlight w:val="none"/>
          <w:u w:val="single"/>
        </w:rPr>
        <w:t xml:space="preserve">                 工作（占合同总金额     %）</w:t>
      </w:r>
      <w:r>
        <w:rPr>
          <w:rFonts w:hint="eastAsia" w:hAnsi="宋体" w:cs="宋体"/>
          <w:color w:val="auto"/>
          <w:szCs w:val="24"/>
          <w:highlight w:val="none"/>
        </w:rPr>
        <w:t>。</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5．投标工作和联合体在中标后实施过程中的有关费用按各自承担的工作量分摊。</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 xml:space="preserve">6．本协议书自所有成员单位法定代表人签字或盖章并加盖单位章之日起生效，合同履行完毕后自动失效。 </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7．本协议书一式</w:t>
      </w:r>
      <w:r>
        <w:rPr>
          <w:rFonts w:hint="eastAsia" w:hAnsi="宋体" w:cs="宋体"/>
          <w:color w:val="auto"/>
          <w:szCs w:val="24"/>
          <w:highlight w:val="none"/>
          <w:u w:val="single"/>
        </w:rPr>
        <w:t xml:space="preserve">   </w:t>
      </w:r>
      <w:r>
        <w:rPr>
          <w:rFonts w:hint="eastAsia" w:hAnsi="宋体" w:cs="宋体"/>
          <w:color w:val="auto"/>
          <w:szCs w:val="24"/>
          <w:highlight w:val="none"/>
        </w:rPr>
        <w:t>份，联合体成员和采购人各执一份。</w:t>
      </w:r>
    </w:p>
    <w:p>
      <w:pPr>
        <w:topLinePunct/>
        <w:spacing w:line="440" w:lineRule="exact"/>
        <w:rPr>
          <w:rFonts w:hAnsi="宋体" w:cs="宋体"/>
          <w:color w:val="auto"/>
          <w:szCs w:val="24"/>
          <w:highlight w:val="none"/>
        </w:rPr>
      </w:pP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联合体牵头人名称：</w:t>
      </w:r>
      <w:r>
        <w:rPr>
          <w:rFonts w:hint="eastAsia" w:hAnsi="宋体" w:cs="宋体"/>
          <w:color w:val="auto"/>
          <w:szCs w:val="24"/>
          <w:highlight w:val="none"/>
          <w:u w:val="single"/>
        </w:rPr>
        <w:t xml:space="preserve">             </w:t>
      </w:r>
      <w:r>
        <w:rPr>
          <w:rFonts w:hint="eastAsia" w:hAnsi="宋体" w:cs="宋体"/>
          <w:color w:val="auto"/>
          <w:szCs w:val="24"/>
          <w:highlight w:val="none"/>
        </w:rPr>
        <w:t>（盖单位章）</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法定代表人：</w:t>
      </w:r>
      <w:r>
        <w:rPr>
          <w:rFonts w:hint="eastAsia" w:hAnsi="宋体" w:cs="宋体"/>
          <w:color w:val="auto"/>
          <w:szCs w:val="24"/>
          <w:highlight w:val="none"/>
          <w:u w:val="single"/>
        </w:rPr>
        <w:t xml:space="preserve">                 </w:t>
      </w:r>
      <w:r>
        <w:rPr>
          <w:rFonts w:hint="eastAsia" w:hAnsi="宋体" w:cs="宋体"/>
          <w:color w:val="auto"/>
          <w:szCs w:val="24"/>
          <w:highlight w:val="none"/>
        </w:rPr>
        <w:t>（签字或盖章）</w:t>
      </w:r>
    </w:p>
    <w:p>
      <w:pPr>
        <w:topLinePunct/>
        <w:spacing w:line="440" w:lineRule="exact"/>
        <w:rPr>
          <w:rFonts w:hAnsi="宋体" w:cs="宋体"/>
          <w:color w:val="auto"/>
          <w:szCs w:val="24"/>
          <w:highlight w:val="none"/>
        </w:rPr>
      </w:pP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联合体成员名称：</w:t>
      </w:r>
      <w:r>
        <w:rPr>
          <w:rFonts w:hint="eastAsia" w:hAnsi="宋体" w:cs="宋体"/>
          <w:color w:val="auto"/>
          <w:szCs w:val="24"/>
          <w:highlight w:val="none"/>
          <w:u w:val="single"/>
        </w:rPr>
        <w:t xml:space="preserve">               </w:t>
      </w:r>
      <w:r>
        <w:rPr>
          <w:rFonts w:hint="eastAsia" w:hAnsi="宋体" w:cs="宋体"/>
          <w:color w:val="auto"/>
          <w:szCs w:val="24"/>
          <w:highlight w:val="none"/>
        </w:rPr>
        <w:t>（盖单位章）</w:t>
      </w:r>
    </w:p>
    <w:p>
      <w:pPr>
        <w:topLinePunct/>
        <w:spacing w:line="440" w:lineRule="exact"/>
        <w:ind w:firstLine="424" w:firstLineChars="200"/>
        <w:rPr>
          <w:rFonts w:hAnsi="宋体" w:cs="宋体"/>
          <w:color w:val="auto"/>
          <w:szCs w:val="24"/>
          <w:highlight w:val="none"/>
        </w:rPr>
      </w:pPr>
      <w:r>
        <w:rPr>
          <w:rFonts w:hint="eastAsia" w:hAnsi="宋体" w:cs="宋体"/>
          <w:color w:val="auto"/>
          <w:szCs w:val="24"/>
          <w:highlight w:val="none"/>
        </w:rPr>
        <w:t>法定代表人：</w:t>
      </w:r>
      <w:r>
        <w:rPr>
          <w:rFonts w:hint="eastAsia" w:hAnsi="宋体" w:cs="宋体"/>
          <w:color w:val="auto"/>
          <w:szCs w:val="24"/>
          <w:highlight w:val="none"/>
          <w:u w:val="single"/>
        </w:rPr>
        <w:t xml:space="preserve">                 </w:t>
      </w:r>
      <w:r>
        <w:rPr>
          <w:rFonts w:hint="eastAsia" w:hAnsi="宋体" w:cs="宋体"/>
          <w:color w:val="auto"/>
          <w:szCs w:val="24"/>
          <w:highlight w:val="none"/>
        </w:rPr>
        <w:t>（签字或盖章）</w:t>
      </w:r>
    </w:p>
    <w:p>
      <w:pPr>
        <w:topLinePunct/>
        <w:spacing w:line="440" w:lineRule="exact"/>
        <w:rPr>
          <w:rFonts w:hAnsi="宋体" w:cs="宋体"/>
          <w:color w:val="auto"/>
          <w:szCs w:val="24"/>
          <w:highlight w:val="none"/>
        </w:rPr>
      </w:pPr>
      <w:r>
        <w:rPr>
          <w:rFonts w:hint="eastAsia" w:hAnsi="宋体" w:cs="宋体"/>
          <w:color w:val="auto"/>
          <w:szCs w:val="24"/>
          <w:highlight w:val="none"/>
        </w:rPr>
        <w:t xml:space="preserve"> </w:t>
      </w:r>
    </w:p>
    <w:p>
      <w:pPr>
        <w:widowControl/>
        <w:jc w:val="left"/>
        <w:rPr>
          <w:rFonts w:hAnsi="宋体" w:cs="宋体"/>
          <w:color w:val="auto"/>
          <w:szCs w:val="24"/>
          <w:highlight w:val="none"/>
        </w:rPr>
      </w:pP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w:t>
      </w:r>
      <w:r>
        <w:rPr>
          <w:rFonts w:hint="eastAsia" w:hAnsi="宋体" w:cs="宋体"/>
          <w:color w:val="auto"/>
          <w:szCs w:val="24"/>
          <w:highlight w:val="none"/>
        </w:rPr>
        <w:t>月</w:t>
      </w:r>
      <w:r>
        <w:rPr>
          <w:rFonts w:hint="eastAsia" w:hAnsi="宋体" w:cs="宋体"/>
          <w:color w:val="auto"/>
          <w:szCs w:val="24"/>
          <w:highlight w:val="none"/>
          <w:u w:val="single"/>
        </w:rPr>
        <w:t xml:space="preserve">    </w:t>
      </w:r>
      <w:r>
        <w:rPr>
          <w:rFonts w:hint="eastAsia" w:hAnsi="宋体" w:cs="宋体"/>
          <w:color w:val="auto"/>
          <w:szCs w:val="24"/>
          <w:highlight w:val="none"/>
        </w:rPr>
        <w:t>日</w:t>
      </w:r>
    </w:p>
    <w:p>
      <w:pPr>
        <w:tabs>
          <w:tab w:val="left" w:pos="360"/>
        </w:tabs>
        <w:ind w:left="357" w:hanging="357"/>
        <w:rPr>
          <w:rFonts w:hAnsi="宋体" w:cs="宋体"/>
          <w:color w:val="auto"/>
          <w:szCs w:val="24"/>
          <w:highlight w:val="none"/>
        </w:rPr>
      </w:pPr>
    </w:p>
    <w:p>
      <w:pPr>
        <w:rPr>
          <w:rFonts w:hAnsi="宋体" w:cs="宋体"/>
          <w:b/>
          <w:bCs/>
          <w:color w:val="auto"/>
          <w:szCs w:val="24"/>
          <w:highlight w:val="none"/>
        </w:rPr>
      </w:pPr>
      <w:r>
        <w:rPr>
          <w:rFonts w:hint="eastAsia" w:hAnsi="宋体" w:cs="宋体"/>
          <w:b/>
          <w:bCs/>
          <w:color w:val="auto"/>
          <w:szCs w:val="24"/>
          <w:highlight w:val="none"/>
        </w:rPr>
        <w:t>注：采用联合体形式投标的供应商必须提供联合体协议。</w:t>
      </w:r>
    </w:p>
    <w:p>
      <w:pPr>
        <w:rPr>
          <w:color w:val="auto"/>
          <w:highlight w:val="none"/>
        </w:rPr>
      </w:pPr>
    </w:p>
    <w:p>
      <w:pPr>
        <w:spacing w:line="360" w:lineRule="auto"/>
        <w:jc w:val="center"/>
        <w:rPr>
          <w:rFonts w:ascii="宋体" w:hAnsi="宋体" w:cs="宋体"/>
          <w:b/>
          <w:color w:val="auto"/>
          <w:sz w:val="48"/>
          <w:szCs w:val="48"/>
          <w:highlight w:val="none"/>
        </w:rPr>
      </w:pPr>
    </w:p>
    <w:p>
      <w:pPr>
        <w:rPr>
          <w:color w:val="auto"/>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报价文件</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封面</w:t>
      </w:r>
    </w:p>
    <w:p>
      <w:pPr>
        <w:spacing w:line="360" w:lineRule="auto"/>
        <w:ind w:firstLine="560"/>
        <w:jc w:val="right"/>
        <w:rPr>
          <w:rFonts w:ascii="宋体" w:hAnsi="宋体" w:cs="宋体"/>
          <w:color w:val="auto"/>
          <w:sz w:val="28"/>
          <w:highlight w:val="none"/>
        </w:rPr>
      </w:pPr>
    </w:p>
    <w:p>
      <w:pPr>
        <w:spacing w:line="360" w:lineRule="auto"/>
        <w:ind w:firstLine="1288" w:firstLineChars="400"/>
        <w:rPr>
          <w:rFonts w:ascii="宋体" w:hAnsi="宋体" w:cs="宋体"/>
          <w:color w:val="auto"/>
          <w:sz w:val="32"/>
          <w:highlight w:val="none"/>
        </w:rPr>
      </w:pPr>
    </w:p>
    <w:p>
      <w:pPr>
        <w:spacing w:line="360" w:lineRule="auto"/>
        <w:jc w:val="center"/>
        <w:rPr>
          <w:rFonts w:ascii="宋体" w:hAnsi="宋体" w:cs="宋体"/>
          <w:color w:val="auto"/>
          <w:sz w:val="28"/>
          <w:highlight w:val="none"/>
          <w:u w:val="single"/>
        </w:rPr>
      </w:pPr>
      <w:r>
        <w:rPr>
          <w:rFonts w:hint="eastAsia" w:ascii="宋体" w:hAnsi="宋体" w:cs="宋体"/>
          <w:color w:val="auto"/>
          <w:sz w:val="28"/>
          <w:highlight w:val="none"/>
          <w:u w:val="single"/>
        </w:rPr>
        <w:t>________________________________________________</w:t>
      </w:r>
      <w:r>
        <w:rPr>
          <w:rFonts w:hint="eastAsia" w:ascii="宋体" w:hAnsi="宋体" w:cs="宋体"/>
          <w:color w:val="auto"/>
          <w:sz w:val="28"/>
          <w:highlight w:val="none"/>
        </w:rPr>
        <w:t>项目</w:t>
      </w:r>
    </w:p>
    <w:p>
      <w:pPr>
        <w:spacing w:line="360" w:lineRule="auto"/>
        <w:ind w:firstLine="1288" w:firstLineChars="400"/>
        <w:rPr>
          <w:rFonts w:ascii="宋体" w:hAnsi="宋体" w:cs="宋体"/>
          <w:color w:val="auto"/>
          <w:sz w:val="32"/>
          <w:highlight w:val="none"/>
        </w:rPr>
      </w:pPr>
    </w:p>
    <w:p>
      <w:pPr>
        <w:spacing w:line="360" w:lineRule="auto"/>
        <w:ind w:firstLine="1288" w:firstLineChars="400"/>
        <w:rPr>
          <w:rFonts w:ascii="宋体" w:hAnsi="宋体" w:cs="宋体"/>
          <w:color w:val="auto"/>
          <w:sz w:val="32"/>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投 标 文 件</w:t>
      </w:r>
    </w:p>
    <w:p>
      <w:pPr>
        <w:spacing w:line="360" w:lineRule="auto"/>
        <w:ind w:firstLine="1692" w:firstLineChars="600"/>
        <w:rPr>
          <w:rFonts w:ascii="宋体" w:hAnsi="宋体" w:cs="宋体"/>
          <w:color w:val="auto"/>
          <w:sz w:val="28"/>
          <w:highlight w:val="none"/>
        </w:rPr>
      </w:pPr>
    </w:p>
    <w:p>
      <w:pPr>
        <w:spacing w:line="360" w:lineRule="auto"/>
        <w:ind w:firstLine="1692" w:firstLineChars="600"/>
        <w:rPr>
          <w:rFonts w:ascii="宋体" w:hAnsi="宋体" w:cs="宋体"/>
          <w:color w:val="auto"/>
          <w:sz w:val="28"/>
          <w:highlight w:val="none"/>
          <w:u w:val="single"/>
        </w:rPr>
      </w:pPr>
      <w:r>
        <w:rPr>
          <w:rFonts w:hint="eastAsia" w:ascii="宋体" w:hAnsi="宋体" w:cs="宋体"/>
          <w:color w:val="auto"/>
          <w:sz w:val="28"/>
          <w:highlight w:val="none"/>
        </w:rPr>
        <w:t>招标编号：</w:t>
      </w:r>
      <w:r>
        <w:rPr>
          <w:rFonts w:hint="eastAsia" w:ascii="宋体" w:hAnsi="宋体" w:cs="宋体"/>
          <w:color w:val="auto"/>
          <w:sz w:val="28"/>
          <w:highlight w:val="none"/>
          <w:u w:val="single"/>
        </w:rPr>
        <w:t>______________</w:t>
      </w:r>
    </w:p>
    <w:p>
      <w:pPr>
        <w:tabs>
          <w:tab w:val="center" w:pos="5205"/>
        </w:tabs>
        <w:spacing w:line="360" w:lineRule="auto"/>
        <w:ind w:firstLine="1692" w:firstLineChars="600"/>
        <w:rPr>
          <w:rFonts w:ascii="宋体" w:hAnsi="宋体" w:cs="宋体"/>
          <w:color w:val="auto"/>
          <w:sz w:val="28"/>
          <w:highlight w:val="none"/>
          <w:u w:val="single"/>
        </w:rPr>
      </w:pPr>
      <w:r>
        <w:rPr>
          <w:rFonts w:hint="eastAsia" w:ascii="宋体" w:hAnsi="宋体" w:cs="宋体"/>
          <w:color w:val="auto"/>
          <w:sz w:val="28"/>
          <w:highlight w:val="none"/>
        </w:rPr>
        <w:t>标项：</w:t>
      </w:r>
      <w:r>
        <w:rPr>
          <w:rFonts w:hint="eastAsia" w:ascii="宋体" w:hAnsi="宋体" w:cs="宋体"/>
          <w:color w:val="auto"/>
          <w:sz w:val="28"/>
          <w:highlight w:val="none"/>
          <w:u w:val="single"/>
        </w:rPr>
        <w:t>____________</w:t>
      </w:r>
    </w:p>
    <w:p>
      <w:pPr>
        <w:spacing w:line="360" w:lineRule="auto"/>
        <w:ind w:firstLine="1692" w:firstLineChars="600"/>
        <w:rPr>
          <w:rFonts w:ascii="宋体" w:hAnsi="宋体" w:cs="宋体"/>
          <w:color w:val="auto"/>
          <w:sz w:val="28"/>
          <w:szCs w:val="22"/>
          <w:highlight w:val="none"/>
          <w:u w:val="singl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720" w:lineRule="auto"/>
        <w:rPr>
          <w:rFonts w:ascii="宋体" w:hAnsi="宋体" w:cs="宋体"/>
          <w:b/>
          <w:color w:val="auto"/>
          <w:sz w:val="28"/>
          <w:highlight w:val="none"/>
          <w:u w:val="single"/>
        </w:rPr>
      </w:pPr>
      <w:r>
        <w:rPr>
          <w:rFonts w:hint="eastAsia" w:ascii="宋体" w:hAnsi="宋体" w:cs="宋体"/>
          <w:color w:val="auto"/>
          <w:sz w:val="28"/>
          <w:highlight w:val="none"/>
        </w:rPr>
        <w:t>投标文件名称：</w:t>
      </w:r>
      <w:r>
        <w:rPr>
          <w:rFonts w:hint="eastAsia" w:ascii="宋体" w:hAnsi="宋体" w:cs="宋体"/>
          <w:b/>
          <w:color w:val="auto"/>
          <w:sz w:val="28"/>
          <w:highlight w:val="none"/>
          <w:u w:val="single"/>
        </w:rPr>
        <w:t xml:space="preserve">           报价文件                      </w:t>
      </w:r>
    </w:p>
    <w:p>
      <w:pPr>
        <w:spacing w:line="720" w:lineRule="auto"/>
        <w:rPr>
          <w:rFonts w:ascii="宋体" w:hAnsi="宋体" w:cs="宋体"/>
          <w:b/>
          <w:color w:val="auto"/>
          <w:sz w:val="28"/>
          <w:highlight w:val="none"/>
        </w:rPr>
      </w:pPr>
      <w:r>
        <w:rPr>
          <w:rFonts w:hint="eastAsia" w:ascii="宋体" w:hAnsi="宋体" w:cs="宋体"/>
          <w:color w:val="auto"/>
          <w:sz w:val="28"/>
          <w:highlight w:val="none"/>
        </w:rPr>
        <w:t>投标人：</w:t>
      </w:r>
      <w:r>
        <w:rPr>
          <w:rFonts w:hint="eastAsia" w:ascii="宋体" w:hAnsi="宋体" w:cs="宋体"/>
          <w:color w:val="auto"/>
          <w:sz w:val="28"/>
          <w:highlight w:val="none"/>
          <w:u w:val="single"/>
        </w:rPr>
        <w:t xml:space="preserve">                                             （盖章） </w:t>
      </w:r>
    </w:p>
    <w:p>
      <w:pPr>
        <w:adjustRightInd w:val="0"/>
        <w:snapToGrid w:val="0"/>
        <w:jc w:val="left"/>
        <w:rPr>
          <w:rFonts w:ascii="宋体" w:hAnsi="宋体" w:cs="宋体"/>
          <w:b/>
          <w:color w:val="auto"/>
          <w:sz w:val="24"/>
          <w:highlight w:val="none"/>
          <w:u w:val="single"/>
        </w:rPr>
      </w:pPr>
      <w:r>
        <w:rPr>
          <w:rFonts w:hint="eastAsia" w:ascii="宋体" w:hAnsi="宋体" w:cs="宋体"/>
          <w:color w:val="auto"/>
          <w:sz w:val="28"/>
          <w:highlight w:val="none"/>
        </w:rPr>
        <w:t>日    期：</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年</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月</w:t>
      </w:r>
      <w:r>
        <w:rPr>
          <w:rFonts w:hint="eastAsia" w:ascii="宋体" w:hAnsi="宋体" w:cs="宋体"/>
          <w:color w:val="auto"/>
          <w:sz w:val="28"/>
          <w:highlight w:val="none"/>
          <w:u w:val="single"/>
        </w:rPr>
        <w:t xml:space="preserve">           </w:t>
      </w:r>
      <w:r>
        <w:rPr>
          <w:rFonts w:hint="eastAsia" w:ascii="宋体" w:hAnsi="宋体" w:cs="宋体"/>
          <w:b/>
          <w:color w:val="auto"/>
          <w:sz w:val="28"/>
          <w:highlight w:val="none"/>
          <w:u w:val="single"/>
        </w:rPr>
        <w:t xml:space="preserve">   </w:t>
      </w:r>
      <w:r>
        <w:rPr>
          <w:rFonts w:hint="eastAsia" w:ascii="宋体" w:hAnsi="宋体" w:cs="宋体"/>
          <w:color w:val="auto"/>
          <w:sz w:val="28"/>
          <w:highlight w:val="none"/>
        </w:rPr>
        <w:t>日</w:t>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spacing w:line="360" w:lineRule="exact"/>
        <w:ind w:firstLine="212" w:firstLineChars="100"/>
        <w:rPr>
          <w:rFonts w:ascii="宋体" w:hAnsi="宋体" w:cs="宋体"/>
          <w:color w:val="auto"/>
          <w:szCs w:val="21"/>
          <w:highlight w:val="none"/>
        </w:rPr>
      </w:pPr>
    </w:p>
    <w:p>
      <w:pPr>
        <w:spacing w:line="360" w:lineRule="exact"/>
        <w:ind w:firstLine="212" w:firstLineChars="100"/>
        <w:rPr>
          <w:rFonts w:ascii="宋体" w:hAnsi="宋体" w:cs="宋体"/>
          <w:color w:val="auto"/>
          <w:szCs w:val="21"/>
          <w:highlight w:val="none"/>
        </w:rPr>
      </w:pPr>
    </w:p>
    <w:p>
      <w:pPr>
        <w:spacing w:line="360" w:lineRule="exact"/>
        <w:ind w:firstLine="212" w:firstLineChars="100"/>
        <w:rPr>
          <w:rFonts w:hint="eastAsia" w:ascii="宋体" w:hAnsi="宋体" w:cs="宋体"/>
          <w:color w:val="auto"/>
          <w:szCs w:val="21"/>
          <w:highlight w:val="none"/>
          <w:lang w:eastAsia="zh-CN"/>
        </w:rPr>
      </w:pPr>
    </w:p>
    <w:p>
      <w:pPr>
        <w:spacing w:line="360" w:lineRule="exact"/>
        <w:ind w:firstLine="212" w:firstLineChars="1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报价文件，含：</w:t>
      </w:r>
    </w:p>
    <w:p>
      <w:pPr>
        <w:spacing w:line="360" w:lineRule="exact"/>
        <w:rPr>
          <w:rFonts w:ascii="宋体" w:hAnsi="宋体" w:cs="宋体"/>
          <w:color w:val="auto"/>
          <w:highlight w:val="none"/>
        </w:rPr>
      </w:pPr>
      <w:r>
        <w:rPr>
          <w:rFonts w:hint="eastAsia" w:ascii="宋体" w:hAnsi="宋体" w:cs="宋体"/>
          <w:color w:val="auto"/>
          <w:highlight w:val="none"/>
        </w:rPr>
        <w:t>(1)开标一览表；</w:t>
      </w:r>
    </w:p>
    <w:p>
      <w:pPr>
        <w:spacing w:line="360" w:lineRule="exact"/>
        <w:rPr>
          <w:rFonts w:ascii="宋体" w:hAnsi="宋体" w:cs="宋体"/>
          <w:color w:val="auto"/>
          <w:highlight w:val="none"/>
        </w:rPr>
      </w:pPr>
      <w:r>
        <w:rPr>
          <w:rFonts w:hint="eastAsia" w:ascii="宋体" w:hAnsi="宋体" w:cs="宋体"/>
          <w:color w:val="auto"/>
          <w:highlight w:val="none"/>
        </w:rPr>
        <w:t>(2)投标报价组成明细表；</w:t>
      </w:r>
    </w:p>
    <w:p>
      <w:pPr>
        <w:spacing w:line="360" w:lineRule="exact"/>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color w:val="auto"/>
          <w:szCs w:val="21"/>
          <w:highlight w:val="none"/>
        </w:rPr>
        <w:t>质保期后备品备件清单；</w:t>
      </w:r>
    </w:p>
    <w:p>
      <w:pPr>
        <w:spacing w:line="360" w:lineRule="exact"/>
        <w:rPr>
          <w:rFonts w:ascii="宋体" w:hAnsi="宋体" w:cs="宋体"/>
          <w:color w:val="auto"/>
          <w:highlight w:val="none"/>
        </w:rPr>
      </w:pPr>
      <w:r>
        <w:rPr>
          <w:rFonts w:hint="eastAsia" w:ascii="宋体" w:hAnsi="宋体" w:cs="宋体"/>
          <w:color w:val="auto"/>
          <w:highlight w:val="none"/>
        </w:rPr>
        <w:t>(4)中小企业声明函（如有需提供）；</w:t>
      </w:r>
    </w:p>
    <w:p>
      <w:pPr>
        <w:spacing w:line="360" w:lineRule="exact"/>
        <w:rPr>
          <w:rFonts w:ascii="宋体" w:hAnsi="宋体" w:cs="宋体"/>
          <w:color w:val="auto"/>
          <w:highlight w:val="none"/>
        </w:rPr>
      </w:pPr>
      <w:r>
        <w:rPr>
          <w:rFonts w:hint="eastAsia" w:ascii="宋体" w:hAnsi="宋体" w:cs="宋体"/>
          <w:color w:val="auto"/>
          <w:highlight w:val="none"/>
        </w:rPr>
        <w:t>(5)残疾人福利性单位声明函（如有需提供）；</w:t>
      </w:r>
    </w:p>
    <w:p>
      <w:pPr>
        <w:spacing w:line="360" w:lineRule="exact"/>
        <w:rPr>
          <w:rFonts w:ascii="宋体" w:hAnsi="宋体" w:cs="宋体"/>
          <w:color w:val="auto"/>
          <w:szCs w:val="22"/>
          <w:highlight w:val="none"/>
        </w:rPr>
      </w:pPr>
      <w:r>
        <w:rPr>
          <w:rFonts w:hint="eastAsia" w:ascii="宋体" w:hAnsi="宋体" w:cs="宋体"/>
          <w:color w:val="auto"/>
          <w:highlight w:val="none"/>
        </w:rPr>
        <w:t>(6)</w:t>
      </w:r>
      <w:r>
        <w:rPr>
          <w:rFonts w:hint="eastAsia" w:ascii="宋体" w:hAnsi="宋体" w:cs="宋体"/>
          <w:color w:val="auto"/>
          <w:szCs w:val="22"/>
          <w:highlight w:val="none"/>
        </w:rPr>
        <w:t>监狱企业声明函</w:t>
      </w:r>
      <w:r>
        <w:rPr>
          <w:rFonts w:hint="eastAsia" w:ascii="宋体" w:hAnsi="宋体" w:cs="宋体"/>
          <w:color w:val="auto"/>
          <w:highlight w:val="none"/>
        </w:rPr>
        <w:t>（如有需提供）</w:t>
      </w:r>
      <w:r>
        <w:rPr>
          <w:rFonts w:hint="eastAsia" w:ascii="宋体" w:hAnsi="宋体" w:cs="宋体"/>
          <w:color w:val="auto"/>
          <w:szCs w:val="22"/>
          <w:highlight w:val="none"/>
        </w:rPr>
        <w:t>；</w:t>
      </w:r>
    </w:p>
    <w:p>
      <w:pPr>
        <w:spacing w:line="360" w:lineRule="exact"/>
        <w:rPr>
          <w:rFonts w:ascii="宋体" w:hAnsi="宋体" w:cs="宋体"/>
          <w:color w:val="auto"/>
          <w:szCs w:val="22"/>
          <w:highlight w:val="none"/>
        </w:rPr>
      </w:pPr>
    </w:p>
    <w:p>
      <w:pPr>
        <w:rPr>
          <w:rFonts w:ascii="宋体" w:hAnsi="宋体" w:cs="宋体"/>
          <w:color w:val="auto"/>
          <w:highlight w:val="none"/>
        </w:rPr>
      </w:pPr>
    </w:p>
    <w:p>
      <w:pPr>
        <w:rPr>
          <w:color w:val="auto"/>
          <w:highlight w:val="none"/>
        </w:rPr>
      </w:pPr>
      <w:bookmarkStart w:id="110" w:name="_Toc520902410"/>
    </w:p>
    <w:p>
      <w:pPr>
        <w:rPr>
          <w:rFonts w:ascii="宋体" w:hAnsi="宋体" w:cs="宋体"/>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380" w:lineRule="exact"/>
        <w:rPr>
          <w:rFonts w:hint="eastAsia" w:ascii="宋体" w:hAnsi="宋体" w:cs="宋体"/>
          <w:bCs w:val="0"/>
          <w:color w:val="auto"/>
          <w:sz w:val="24"/>
          <w:szCs w:val="24"/>
          <w:highlight w:val="none"/>
        </w:rPr>
      </w:pPr>
    </w:p>
    <w:p>
      <w:pPr>
        <w:rPr>
          <w:rFonts w:hint="eastAsia" w:ascii="宋体" w:hAnsi="宋体" w:cs="宋体"/>
          <w:bCs w:val="0"/>
          <w:color w:val="auto"/>
          <w:sz w:val="24"/>
          <w:szCs w:val="24"/>
          <w:highlight w:val="none"/>
        </w:rPr>
      </w:pPr>
    </w:p>
    <w:p>
      <w:pPr>
        <w:pStyle w:val="3"/>
        <w:rPr>
          <w:rFonts w:hint="eastAsia" w:ascii="宋体" w:hAnsi="宋体" w:cs="宋体"/>
          <w:bCs w:val="0"/>
          <w:color w:val="auto"/>
          <w:sz w:val="24"/>
          <w:szCs w:val="24"/>
          <w:highlight w:val="none"/>
        </w:rPr>
      </w:pPr>
    </w:p>
    <w:p>
      <w:pPr>
        <w:rPr>
          <w:rFonts w:hint="eastAsia" w:ascii="宋体" w:hAnsi="宋体" w:cs="宋体"/>
          <w:bCs w:val="0"/>
          <w:color w:val="auto"/>
          <w:sz w:val="24"/>
          <w:szCs w:val="24"/>
          <w:highlight w:val="none"/>
        </w:rPr>
      </w:pPr>
    </w:p>
    <w:p>
      <w:pPr>
        <w:pStyle w:val="3"/>
        <w:rPr>
          <w:rFonts w:hint="eastAsia" w:ascii="宋体" w:hAnsi="宋体" w:cs="宋体"/>
          <w:bCs w:val="0"/>
          <w:color w:val="auto"/>
          <w:sz w:val="24"/>
          <w:szCs w:val="24"/>
          <w:highlight w:val="none"/>
        </w:rPr>
      </w:pPr>
    </w:p>
    <w:p>
      <w:pPr>
        <w:rPr>
          <w:rFonts w:hint="eastAsia" w:ascii="宋体" w:hAnsi="宋体" w:cs="宋体"/>
          <w:bCs w:val="0"/>
          <w:color w:val="auto"/>
          <w:sz w:val="24"/>
          <w:szCs w:val="24"/>
          <w:highlight w:val="none"/>
        </w:rPr>
      </w:pPr>
    </w:p>
    <w:p>
      <w:pPr>
        <w:pStyle w:val="3"/>
        <w:rPr>
          <w:rFonts w:hint="eastAsia" w:ascii="宋体" w:hAnsi="宋体" w:cs="宋体"/>
          <w:bCs w:val="0"/>
          <w:color w:val="auto"/>
          <w:sz w:val="24"/>
          <w:szCs w:val="24"/>
          <w:highlight w:val="none"/>
        </w:rPr>
      </w:pPr>
    </w:p>
    <w:p>
      <w:pPr>
        <w:rPr>
          <w:rFonts w:hint="eastAsia" w:ascii="宋体" w:hAnsi="宋体" w:cs="宋体"/>
          <w:bCs w:val="0"/>
          <w:color w:val="auto"/>
          <w:sz w:val="24"/>
          <w:szCs w:val="24"/>
          <w:highlight w:val="none"/>
        </w:rPr>
      </w:pPr>
    </w:p>
    <w:p>
      <w:pPr>
        <w:pStyle w:val="3"/>
        <w:rPr>
          <w:rFonts w:hint="eastAsia"/>
          <w:color w:val="auto"/>
          <w:highlight w:val="none"/>
        </w:rPr>
      </w:pPr>
    </w:p>
    <w:p>
      <w:pPr>
        <w:pStyle w:val="3"/>
        <w:spacing w:line="380" w:lineRule="exact"/>
        <w:rPr>
          <w:rFonts w:hint="eastAsia" w:ascii="宋体" w:hAnsi="宋体" w:cs="宋体"/>
          <w:bCs w:val="0"/>
          <w:color w:val="auto"/>
          <w:sz w:val="24"/>
          <w:szCs w:val="24"/>
          <w:highlight w:val="none"/>
        </w:rPr>
      </w:pPr>
    </w:p>
    <w:p>
      <w:pPr>
        <w:pStyle w:val="3"/>
        <w:spacing w:line="380" w:lineRule="exact"/>
        <w:rPr>
          <w:rFonts w:ascii="宋体" w:hAnsi="宋体" w:cs="宋体"/>
          <w:bCs w:val="0"/>
          <w:color w:val="auto"/>
          <w:sz w:val="24"/>
          <w:szCs w:val="24"/>
          <w:highlight w:val="none"/>
        </w:rPr>
      </w:pPr>
      <w:r>
        <w:rPr>
          <w:rFonts w:hint="eastAsia" w:ascii="宋体" w:hAnsi="宋体" w:cs="宋体"/>
          <w:bCs w:val="0"/>
          <w:color w:val="auto"/>
          <w:sz w:val="24"/>
          <w:szCs w:val="24"/>
          <w:highlight w:val="none"/>
        </w:rPr>
        <w:t>（一）开标一览表</w:t>
      </w:r>
      <w:bookmarkEnd w:id="106"/>
      <w:bookmarkEnd w:id="107"/>
      <w:bookmarkEnd w:id="108"/>
      <w:bookmarkEnd w:id="109"/>
      <w:bookmarkEnd w:id="110"/>
    </w:p>
    <w:p>
      <w:pPr>
        <w:spacing w:line="400" w:lineRule="exact"/>
        <w:ind w:left="525"/>
        <w:rPr>
          <w:rFonts w:ascii="宋体" w:hAnsi="宋体" w:cs="宋体"/>
          <w:color w:val="auto"/>
          <w:szCs w:val="21"/>
          <w:highlight w:val="none"/>
        </w:rPr>
      </w:pPr>
    </w:p>
    <w:p>
      <w:pPr>
        <w:rPr>
          <w:rFonts w:ascii="宋体" w:hAnsi="宋体" w:cs="宋体"/>
          <w:color w:val="auto"/>
          <w:szCs w:val="21"/>
          <w:highlight w:val="none"/>
        </w:rPr>
      </w:pPr>
    </w:p>
    <w:p>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招标编号：</w:t>
      </w:r>
      <w:r>
        <w:rPr>
          <w:rFonts w:hint="eastAsia" w:ascii="宋体" w:hAnsi="宋体" w:cs="宋体"/>
          <w:color w:val="auto"/>
          <w:szCs w:val="21"/>
          <w:highlight w:val="none"/>
          <w:u w:val="single"/>
        </w:rPr>
        <w:t xml:space="preserve">                </w:t>
      </w:r>
      <w:r>
        <w:rPr>
          <w:rFonts w:hint="eastAsia" w:ascii="宋体" w:hAnsi="宋体" w:cs="宋体"/>
          <w:color w:val="auto"/>
          <w:sz w:val="24"/>
          <w:szCs w:val="24"/>
          <w:highlight w:val="none"/>
        </w:rPr>
        <w:t xml:space="preserve"> </w:t>
      </w:r>
    </w:p>
    <w:p>
      <w:pPr>
        <w:spacing w:line="380" w:lineRule="exact"/>
        <w:rPr>
          <w:rFonts w:ascii="宋体" w:hAnsi="宋体" w:cs="宋体"/>
          <w:color w:val="auto"/>
          <w:szCs w:val="21"/>
          <w:highlight w:val="none"/>
          <w:u w:val="single"/>
        </w:rPr>
      </w:pPr>
    </w:p>
    <w:tbl>
      <w:tblPr>
        <w:tblStyle w:val="37"/>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05"/>
        <w:gridCol w:w="2004"/>
        <w:gridCol w:w="2106"/>
        <w:gridCol w:w="134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i/>
                <w:color w:val="auto"/>
                <w:sz w:val="24"/>
                <w:szCs w:val="24"/>
                <w:highlight w:val="none"/>
              </w:rPr>
            </w:pPr>
            <w:r>
              <w:rPr>
                <w:rFonts w:hint="eastAsia" w:ascii="宋体" w:hAnsi="宋体" w:cs="宋体"/>
                <w:color w:val="auto"/>
                <w:sz w:val="24"/>
                <w:szCs w:val="24"/>
                <w:highlight w:val="none"/>
              </w:rPr>
              <w:t>序号</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项目内容</w:t>
            </w:r>
          </w:p>
        </w:tc>
        <w:tc>
          <w:tcPr>
            <w:tcW w:w="200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c>
          <w:tcPr>
            <w:tcW w:w="21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（单位：元）</w:t>
            </w:r>
          </w:p>
        </w:tc>
        <w:tc>
          <w:tcPr>
            <w:tcW w:w="134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工期</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05"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ascii="宋体" w:hAnsi="宋体" w:cs="宋体"/>
                <w:color w:val="auto"/>
                <w:sz w:val="24"/>
                <w:szCs w:val="24"/>
                <w:highlight w:val="none"/>
              </w:rPr>
            </w:pPr>
          </w:p>
        </w:tc>
        <w:tc>
          <w:tcPr>
            <w:tcW w:w="2004" w:type="dxa"/>
            <w:tcBorders>
              <w:top w:val="single" w:color="000000" w:sz="4" w:space="0"/>
              <w:left w:val="single" w:color="000000" w:sz="4" w:space="0"/>
              <w:bottom w:val="single" w:color="000000" w:sz="4" w:space="0"/>
              <w:right w:val="single" w:color="auto" w:sz="4" w:space="0"/>
            </w:tcBorders>
            <w:vAlign w:val="center"/>
          </w:tcPr>
          <w:p>
            <w:pPr>
              <w:snapToGrid w:val="0"/>
              <w:spacing w:line="26" w:lineRule="atLeast"/>
              <w:jc w:val="center"/>
              <w:rPr>
                <w:rFonts w:ascii="宋体" w:hAnsi="宋体" w:cs="宋体"/>
                <w:color w:val="auto"/>
                <w:sz w:val="24"/>
                <w:szCs w:val="24"/>
                <w:highlight w:val="none"/>
              </w:rPr>
            </w:pPr>
          </w:p>
        </w:tc>
        <w:tc>
          <w:tcPr>
            <w:tcW w:w="2106" w:type="dxa"/>
            <w:tcBorders>
              <w:top w:val="single" w:color="000000" w:sz="4" w:space="0"/>
              <w:left w:val="single" w:color="auto" w:sz="4" w:space="0"/>
              <w:bottom w:val="single" w:color="000000" w:sz="4" w:space="0"/>
              <w:right w:val="single" w:color="auto" w:sz="4" w:space="0"/>
            </w:tcBorders>
            <w:vAlign w:val="center"/>
          </w:tcPr>
          <w:p>
            <w:pPr>
              <w:snapToGrid w:val="0"/>
              <w:spacing w:line="26" w:lineRule="atLeast"/>
              <w:rPr>
                <w:rFonts w:ascii="宋体" w:hAnsi="宋体" w:cs="宋体"/>
                <w:color w:val="auto"/>
                <w:sz w:val="24"/>
                <w:szCs w:val="24"/>
                <w:highlight w:val="none"/>
              </w:rPr>
            </w:pPr>
          </w:p>
        </w:tc>
        <w:tc>
          <w:tcPr>
            <w:tcW w:w="1346" w:type="dxa"/>
            <w:tcBorders>
              <w:top w:val="single" w:color="000000" w:sz="4" w:space="0"/>
              <w:left w:val="single" w:color="auto" w:sz="4" w:space="0"/>
              <w:bottom w:val="single" w:color="000000" w:sz="4" w:space="0"/>
              <w:right w:val="single" w:color="000000" w:sz="4" w:space="0"/>
            </w:tcBorders>
            <w:vAlign w:val="center"/>
          </w:tcPr>
          <w:p>
            <w:pPr>
              <w:snapToGrid w:val="0"/>
              <w:spacing w:line="26" w:lineRule="atLeast"/>
              <w:jc w:val="center"/>
              <w:rPr>
                <w:rFonts w:ascii="宋体" w:hAnsi="宋体" w:cs="宋体"/>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4218" w:type="dxa"/>
            <w:gridSpan w:val="3"/>
            <w:tcBorders>
              <w:top w:val="single" w:color="000000" w:sz="4" w:space="0"/>
              <w:left w:val="single" w:color="000000" w:sz="4" w:space="0"/>
              <w:right w:val="single" w:color="auto" w:sz="4" w:space="0"/>
            </w:tcBorders>
            <w:vAlign w:val="center"/>
          </w:tcPr>
          <w:p>
            <w:pPr>
              <w:snapToGrid w:val="0"/>
              <w:spacing w:line="26"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投标报价（元）</w:t>
            </w:r>
          </w:p>
        </w:tc>
        <w:tc>
          <w:tcPr>
            <w:tcW w:w="5011" w:type="dxa"/>
            <w:gridSpan w:val="3"/>
            <w:tcBorders>
              <w:top w:val="single" w:color="000000" w:sz="4" w:space="0"/>
              <w:left w:val="single" w:color="auto" w:sz="4" w:space="0"/>
              <w:right w:val="single" w:color="000000" w:sz="4" w:space="0"/>
            </w:tcBorders>
            <w:vAlign w:val="center"/>
          </w:tcPr>
          <w:p>
            <w:pPr>
              <w:snapToGrid w:val="0"/>
              <w:spacing w:line="26" w:lineRule="atLeast"/>
              <w:rPr>
                <w:rFonts w:ascii="宋体" w:hAnsi="宋体" w:cs="宋体"/>
                <w:color w:val="auto"/>
                <w:sz w:val="24"/>
                <w:szCs w:val="24"/>
                <w:highlight w:val="none"/>
              </w:rPr>
            </w:pPr>
            <w:r>
              <w:rPr>
                <w:rFonts w:hint="eastAsia" w:ascii="宋体" w:hAnsi="宋体" w:cs="宋体"/>
                <w:color w:val="auto"/>
                <w:sz w:val="24"/>
                <w:szCs w:val="24"/>
                <w:highlight w:val="none"/>
              </w:rPr>
              <w:t>大写：</w:t>
            </w:r>
          </w:p>
          <w:p>
            <w:pPr>
              <w:snapToGrid w:val="0"/>
              <w:spacing w:line="26" w:lineRule="atLeast"/>
              <w:ind w:firstLine="242" w:firstLineChars="100"/>
              <w:rPr>
                <w:rFonts w:ascii="宋体" w:hAnsi="宋体" w:cs="宋体"/>
                <w:color w:val="auto"/>
                <w:sz w:val="24"/>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t>小写：¥</w:t>
            </w:r>
          </w:p>
        </w:tc>
      </w:tr>
    </w:tbl>
    <w:p>
      <w:pPr>
        <w:spacing w:line="380" w:lineRule="exact"/>
        <w:rPr>
          <w:rFonts w:ascii="宋体" w:hAnsi="宋体" w:cs="宋体"/>
          <w:color w:val="auto"/>
          <w:szCs w:val="21"/>
          <w:highlight w:val="none"/>
          <w:u w:val="single"/>
        </w:rPr>
      </w:pPr>
    </w:p>
    <w:p>
      <w:pPr>
        <w:spacing w:line="380" w:lineRule="exact"/>
        <w:rPr>
          <w:rFonts w:ascii="宋体" w:hAnsi="宋体" w:cs="宋体"/>
          <w:color w:val="auto"/>
          <w:szCs w:val="21"/>
          <w:highlight w:val="none"/>
        </w:rPr>
      </w:pPr>
    </w:p>
    <w:p>
      <w:pPr>
        <w:spacing w:line="380" w:lineRule="exact"/>
        <w:rPr>
          <w:rFonts w:ascii="宋体" w:hAnsi="宋体" w:cs="宋体"/>
          <w:color w:val="auto"/>
          <w:szCs w:val="21"/>
          <w:highlight w:val="none"/>
        </w:rPr>
      </w:pPr>
      <w:r>
        <w:rPr>
          <w:rFonts w:hint="eastAsia" w:ascii="宋体" w:hAnsi="宋体" w:cs="宋体"/>
          <w:color w:val="auto"/>
          <w:szCs w:val="21"/>
          <w:highlight w:val="none"/>
        </w:rPr>
        <w:t>投标人（公章）：</w:t>
      </w:r>
    </w:p>
    <w:p>
      <w:pPr>
        <w:spacing w:line="380" w:lineRule="exact"/>
        <w:rPr>
          <w:rFonts w:ascii="宋体" w:hAnsi="宋体" w:cs="宋体"/>
          <w:color w:val="auto"/>
          <w:szCs w:val="21"/>
          <w:highlight w:val="none"/>
        </w:rPr>
      </w:pPr>
    </w:p>
    <w:p>
      <w:pPr>
        <w:spacing w:line="380" w:lineRule="exact"/>
        <w:rPr>
          <w:rFonts w:ascii="宋体" w:hAnsi="宋体" w:cs="宋体"/>
          <w:color w:val="auto"/>
          <w:szCs w:val="21"/>
          <w:highlight w:val="none"/>
        </w:rPr>
      </w:pPr>
      <w:r>
        <w:rPr>
          <w:rFonts w:hint="eastAsia" w:ascii="宋体" w:hAnsi="宋体" w:cs="宋体"/>
          <w:color w:val="auto"/>
          <w:szCs w:val="21"/>
          <w:highlight w:val="none"/>
        </w:rPr>
        <w:t>投标人代表（签字或印章）：</w:t>
      </w:r>
    </w:p>
    <w:p>
      <w:pPr>
        <w:spacing w:line="380" w:lineRule="exact"/>
        <w:rPr>
          <w:rFonts w:ascii="宋体" w:hAnsi="宋体" w:cs="宋体"/>
          <w:color w:val="auto"/>
          <w:szCs w:val="21"/>
          <w:highlight w:val="none"/>
        </w:rPr>
      </w:pPr>
    </w:p>
    <w:p>
      <w:pPr>
        <w:rPr>
          <w:rFonts w:ascii="宋体" w:hAnsi="宋体" w:cs="宋体"/>
          <w:color w:val="auto"/>
          <w:highlight w:val="none"/>
        </w:rPr>
      </w:pPr>
      <w:r>
        <w:rPr>
          <w:rFonts w:hint="eastAsia" w:ascii="宋体" w:hAnsi="宋体" w:cs="宋体"/>
          <w:color w:val="auto"/>
          <w:szCs w:val="21"/>
          <w:highlight w:val="none"/>
        </w:rPr>
        <w:t>日期：</w:t>
      </w:r>
    </w:p>
    <w:p>
      <w:pPr>
        <w:rPr>
          <w:rFonts w:ascii="宋体" w:hAnsi="宋体" w:cs="宋体"/>
          <w:color w:val="auto"/>
          <w:highlight w:val="none"/>
        </w:rPr>
      </w:pPr>
    </w:p>
    <w:p>
      <w:pPr>
        <w:rPr>
          <w:rFonts w:ascii="宋体" w:hAnsi="宋体" w:cs="宋体"/>
          <w:color w:val="auto"/>
          <w:sz w:val="24"/>
          <w:szCs w:val="24"/>
          <w:highlight w:val="none"/>
        </w:rPr>
      </w:pPr>
      <w:bookmarkStart w:id="111" w:name="_Toc502819371"/>
      <w:bookmarkStart w:id="112" w:name="_Toc497935762"/>
      <w:bookmarkStart w:id="113" w:name="_Toc520902427"/>
    </w:p>
    <w:p>
      <w:pPr>
        <w:pStyle w:val="3"/>
        <w:spacing w:line="380" w:lineRule="exact"/>
        <w:rPr>
          <w:rFonts w:ascii="宋体" w:hAnsi="宋体" w:cs="宋体"/>
          <w:bCs w:val="0"/>
          <w:color w:val="auto"/>
          <w:sz w:val="24"/>
          <w:szCs w:val="24"/>
          <w:highlight w:val="none"/>
        </w:rPr>
      </w:pPr>
      <w:r>
        <w:rPr>
          <w:rFonts w:ascii="宋体" w:hAnsi="宋体" w:cs="宋体"/>
          <w:bCs w:val="0"/>
          <w:color w:val="auto"/>
          <w:sz w:val="24"/>
          <w:szCs w:val="24"/>
          <w:highlight w:val="none"/>
        </w:rPr>
        <w:br w:type="page"/>
      </w:r>
      <w:r>
        <w:rPr>
          <w:rFonts w:ascii="宋体" w:hAnsi="宋体" w:cs="宋体"/>
          <w:bCs w:val="0"/>
          <w:color w:val="auto"/>
          <w:sz w:val="24"/>
          <w:szCs w:val="24"/>
          <w:highlight w:val="none"/>
        </w:rPr>
        <w:t>（二）投标报价组成明细表</w:t>
      </w:r>
    </w:p>
    <w:p>
      <w:pPr>
        <w:rPr>
          <w:color w:val="auto"/>
          <w:highlight w:val="none"/>
        </w:rPr>
      </w:pPr>
    </w:p>
    <w:tbl>
      <w:tblPr>
        <w:tblStyle w:val="37"/>
        <w:tblW w:w="9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35"/>
        <w:gridCol w:w="1701"/>
        <w:gridCol w:w="709"/>
        <w:gridCol w:w="850"/>
        <w:gridCol w:w="1276"/>
        <w:gridCol w:w="851"/>
        <w:gridCol w:w="793"/>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1"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1135" w:type="dxa"/>
            <w:vAlign w:val="center"/>
          </w:tcPr>
          <w:p>
            <w:pPr>
              <w:spacing w:line="300" w:lineRule="exact"/>
              <w:jc w:val="center"/>
              <w:rPr>
                <w:rFonts w:ascii="宋体" w:hAnsi="宋体"/>
                <w:bCs/>
                <w:color w:val="auto"/>
                <w:szCs w:val="21"/>
                <w:highlight w:val="none"/>
              </w:rPr>
            </w:pPr>
            <w:r>
              <w:rPr>
                <w:rFonts w:hint="eastAsia" w:ascii="宋体" w:hAnsi="宋体"/>
                <w:color w:val="auto"/>
                <w:szCs w:val="21"/>
                <w:highlight w:val="none"/>
              </w:rPr>
              <w:t>设备名称</w:t>
            </w:r>
          </w:p>
        </w:tc>
        <w:tc>
          <w:tcPr>
            <w:tcW w:w="1701" w:type="dxa"/>
            <w:vAlign w:val="center"/>
          </w:tcPr>
          <w:p>
            <w:pPr>
              <w:spacing w:line="300" w:lineRule="exact"/>
              <w:jc w:val="center"/>
              <w:rPr>
                <w:rFonts w:ascii="宋体" w:hAnsi="宋体"/>
                <w:bCs/>
                <w:color w:val="auto"/>
                <w:szCs w:val="21"/>
                <w:highlight w:val="none"/>
              </w:rPr>
            </w:pPr>
            <w:r>
              <w:rPr>
                <w:rFonts w:hint="eastAsia" w:ascii="宋体" w:hAnsi="宋体"/>
                <w:color w:val="auto"/>
                <w:szCs w:val="21"/>
                <w:highlight w:val="none"/>
              </w:rPr>
              <w:t>技术参数</w:t>
            </w:r>
          </w:p>
        </w:tc>
        <w:tc>
          <w:tcPr>
            <w:tcW w:w="709"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850"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1276"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单价</w:t>
            </w:r>
          </w:p>
        </w:tc>
        <w:tc>
          <w:tcPr>
            <w:tcW w:w="851"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合价</w:t>
            </w:r>
          </w:p>
        </w:tc>
        <w:tc>
          <w:tcPr>
            <w:tcW w:w="793"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品牌</w:t>
            </w:r>
          </w:p>
        </w:tc>
        <w:tc>
          <w:tcPr>
            <w:tcW w:w="908"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1" w:type="dxa"/>
            <w:vAlign w:val="center"/>
          </w:tcPr>
          <w:p>
            <w:pPr>
              <w:spacing w:line="300" w:lineRule="exact"/>
              <w:jc w:val="center"/>
              <w:rPr>
                <w:rFonts w:ascii="宋体" w:hAnsi="宋体"/>
                <w:caps/>
                <w:color w:val="auto"/>
                <w:szCs w:val="21"/>
                <w:highlight w:val="none"/>
              </w:rPr>
            </w:pPr>
            <w:r>
              <w:rPr>
                <w:rFonts w:ascii="宋体" w:hAnsi="宋体"/>
                <w:caps/>
                <w:color w:val="auto"/>
                <w:szCs w:val="21"/>
                <w:highlight w:val="none"/>
              </w:rPr>
              <w:t>1</w:t>
            </w:r>
          </w:p>
        </w:tc>
        <w:tc>
          <w:tcPr>
            <w:tcW w:w="1135" w:type="dxa"/>
            <w:vAlign w:val="center"/>
          </w:tcPr>
          <w:p>
            <w:pPr>
              <w:adjustRightInd w:val="0"/>
              <w:spacing w:line="276" w:lineRule="auto"/>
              <w:ind w:left="420" w:hanging="420"/>
              <w:jc w:val="center"/>
              <w:rPr>
                <w:rFonts w:ascii="宋体" w:hAnsi="宋体" w:cs="宋体"/>
                <w:color w:val="auto"/>
                <w:highlight w:val="none"/>
              </w:rPr>
            </w:pPr>
          </w:p>
        </w:tc>
        <w:tc>
          <w:tcPr>
            <w:tcW w:w="1701" w:type="dxa"/>
            <w:vAlign w:val="center"/>
          </w:tcPr>
          <w:p>
            <w:pPr>
              <w:adjustRightInd w:val="0"/>
              <w:spacing w:line="276" w:lineRule="auto"/>
              <w:ind w:left="420" w:hanging="420"/>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850"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851" w:type="dxa"/>
            <w:vAlign w:val="center"/>
          </w:tcPr>
          <w:p>
            <w:pPr>
              <w:spacing w:line="300" w:lineRule="exact"/>
              <w:jc w:val="center"/>
              <w:rPr>
                <w:rFonts w:ascii="宋体" w:hAnsi="宋体"/>
                <w:color w:val="auto"/>
                <w:szCs w:val="21"/>
                <w:highlight w:val="none"/>
              </w:rPr>
            </w:pPr>
          </w:p>
        </w:tc>
        <w:tc>
          <w:tcPr>
            <w:tcW w:w="793" w:type="dxa"/>
            <w:vAlign w:val="center"/>
          </w:tcPr>
          <w:p>
            <w:pPr>
              <w:spacing w:line="300" w:lineRule="exact"/>
              <w:jc w:val="center"/>
              <w:rPr>
                <w:rFonts w:ascii="宋体" w:hAnsi="宋体"/>
                <w:color w:val="auto"/>
                <w:szCs w:val="21"/>
                <w:highlight w:val="none"/>
              </w:rPr>
            </w:pPr>
          </w:p>
        </w:tc>
        <w:tc>
          <w:tcPr>
            <w:tcW w:w="90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1" w:type="dxa"/>
            <w:vAlign w:val="center"/>
          </w:tcPr>
          <w:p>
            <w:pPr>
              <w:spacing w:line="300" w:lineRule="exact"/>
              <w:jc w:val="center"/>
              <w:rPr>
                <w:rFonts w:ascii="宋体" w:hAnsi="宋体"/>
                <w:caps/>
                <w:color w:val="auto"/>
                <w:szCs w:val="21"/>
                <w:highlight w:val="none"/>
              </w:rPr>
            </w:pPr>
            <w:r>
              <w:rPr>
                <w:rFonts w:hint="eastAsia" w:ascii="宋体" w:hAnsi="宋体"/>
                <w:caps/>
                <w:color w:val="auto"/>
                <w:szCs w:val="21"/>
                <w:highlight w:val="none"/>
              </w:rPr>
              <w:t>2</w:t>
            </w:r>
          </w:p>
        </w:tc>
        <w:tc>
          <w:tcPr>
            <w:tcW w:w="1135" w:type="dxa"/>
            <w:vAlign w:val="center"/>
          </w:tcPr>
          <w:p>
            <w:pPr>
              <w:adjustRightInd w:val="0"/>
              <w:spacing w:line="276" w:lineRule="auto"/>
              <w:ind w:left="420" w:hanging="420"/>
              <w:jc w:val="center"/>
              <w:rPr>
                <w:rFonts w:ascii="宋体" w:hAnsi="宋体" w:cs="宋体"/>
                <w:color w:val="auto"/>
                <w:highlight w:val="none"/>
              </w:rPr>
            </w:pPr>
          </w:p>
        </w:tc>
        <w:tc>
          <w:tcPr>
            <w:tcW w:w="1701" w:type="dxa"/>
            <w:vAlign w:val="center"/>
          </w:tcPr>
          <w:p>
            <w:pPr>
              <w:adjustRightInd w:val="0"/>
              <w:spacing w:line="276" w:lineRule="auto"/>
              <w:ind w:left="420" w:hanging="420"/>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850"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851" w:type="dxa"/>
            <w:vAlign w:val="center"/>
          </w:tcPr>
          <w:p>
            <w:pPr>
              <w:spacing w:line="300" w:lineRule="exact"/>
              <w:jc w:val="center"/>
              <w:rPr>
                <w:rFonts w:ascii="宋体" w:hAnsi="宋体"/>
                <w:color w:val="auto"/>
                <w:szCs w:val="21"/>
                <w:highlight w:val="none"/>
              </w:rPr>
            </w:pPr>
          </w:p>
        </w:tc>
        <w:tc>
          <w:tcPr>
            <w:tcW w:w="793" w:type="dxa"/>
            <w:vAlign w:val="center"/>
          </w:tcPr>
          <w:p>
            <w:pPr>
              <w:spacing w:line="300" w:lineRule="exact"/>
              <w:jc w:val="center"/>
              <w:rPr>
                <w:rFonts w:ascii="宋体" w:hAnsi="宋体"/>
                <w:color w:val="auto"/>
                <w:szCs w:val="21"/>
                <w:highlight w:val="none"/>
              </w:rPr>
            </w:pPr>
          </w:p>
        </w:tc>
        <w:tc>
          <w:tcPr>
            <w:tcW w:w="90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1" w:type="dxa"/>
            <w:vAlign w:val="center"/>
          </w:tcPr>
          <w:p>
            <w:pPr>
              <w:spacing w:line="300" w:lineRule="exact"/>
              <w:jc w:val="center"/>
              <w:rPr>
                <w:rFonts w:ascii="宋体" w:hAnsi="宋体"/>
                <w:color w:val="auto"/>
                <w:szCs w:val="21"/>
                <w:highlight w:val="none"/>
              </w:rPr>
            </w:pPr>
            <w:r>
              <w:rPr>
                <w:rFonts w:hint="eastAsia" w:ascii="宋体" w:hAnsi="宋体" w:cs="宋体"/>
                <w:color w:val="auto"/>
                <w:highlight w:val="none"/>
              </w:rPr>
              <w:t>...</w:t>
            </w:r>
          </w:p>
        </w:tc>
        <w:tc>
          <w:tcPr>
            <w:tcW w:w="1135" w:type="dxa"/>
            <w:vAlign w:val="center"/>
          </w:tcPr>
          <w:p>
            <w:pPr>
              <w:adjustRightInd w:val="0"/>
              <w:spacing w:line="276" w:lineRule="auto"/>
              <w:jc w:val="center"/>
              <w:rPr>
                <w:rFonts w:ascii="宋体" w:hAnsi="宋体" w:cs="宋体"/>
                <w:color w:val="auto"/>
                <w:highlight w:val="none"/>
              </w:rPr>
            </w:pPr>
            <w:r>
              <w:rPr>
                <w:rFonts w:hint="eastAsia" w:ascii="宋体" w:hAnsi="宋体" w:cs="宋体"/>
                <w:color w:val="auto"/>
                <w:highlight w:val="none"/>
              </w:rPr>
              <w:t>...</w:t>
            </w:r>
          </w:p>
        </w:tc>
        <w:tc>
          <w:tcPr>
            <w:tcW w:w="1701" w:type="dxa"/>
            <w:vAlign w:val="center"/>
          </w:tcPr>
          <w:p>
            <w:pPr>
              <w:adjustRightInd w:val="0"/>
              <w:spacing w:line="276" w:lineRule="auto"/>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850"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851" w:type="dxa"/>
            <w:vAlign w:val="center"/>
          </w:tcPr>
          <w:p>
            <w:pPr>
              <w:spacing w:line="300" w:lineRule="exact"/>
              <w:jc w:val="center"/>
              <w:rPr>
                <w:rFonts w:ascii="宋体" w:hAnsi="宋体"/>
                <w:color w:val="auto"/>
                <w:szCs w:val="21"/>
                <w:highlight w:val="none"/>
              </w:rPr>
            </w:pPr>
          </w:p>
        </w:tc>
        <w:tc>
          <w:tcPr>
            <w:tcW w:w="793" w:type="dxa"/>
            <w:vAlign w:val="center"/>
          </w:tcPr>
          <w:p>
            <w:pPr>
              <w:spacing w:line="300" w:lineRule="exact"/>
              <w:jc w:val="center"/>
              <w:rPr>
                <w:rFonts w:ascii="宋体" w:hAnsi="宋体"/>
                <w:color w:val="auto"/>
                <w:szCs w:val="21"/>
                <w:highlight w:val="none"/>
              </w:rPr>
            </w:pPr>
          </w:p>
        </w:tc>
        <w:tc>
          <w:tcPr>
            <w:tcW w:w="908"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206" w:type="dxa"/>
            <w:gridSpan w:val="5"/>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投标价合计（元）</w:t>
            </w:r>
          </w:p>
        </w:tc>
        <w:tc>
          <w:tcPr>
            <w:tcW w:w="3828" w:type="dxa"/>
            <w:gridSpan w:val="4"/>
            <w:vAlign w:val="center"/>
          </w:tcPr>
          <w:p>
            <w:pPr>
              <w:spacing w:line="300" w:lineRule="exact"/>
              <w:rPr>
                <w:rFonts w:ascii="宋体" w:hAnsi="宋体"/>
                <w:color w:val="auto"/>
                <w:szCs w:val="21"/>
                <w:highlight w:val="none"/>
              </w:rPr>
            </w:pPr>
          </w:p>
        </w:tc>
      </w:tr>
    </w:tbl>
    <w:p>
      <w:pPr>
        <w:tabs>
          <w:tab w:val="left" w:pos="426"/>
        </w:tabs>
        <w:snapToGrid w:val="0"/>
        <w:spacing w:line="360" w:lineRule="auto"/>
        <w:ind w:firstLine="141" w:firstLineChars="67"/>
        <w:rPr>
          <w:rFonts w:ascii="宋体" w:hAnsi="宋体"/>
          <w:color w:val="auto"/>
          <w:szCs w:val="21"/>
          <w:highlight w:val="none"/>
        </w:rPr>
      </w:pPr>
      <w:r>
        <w:rPr>
          <w:rFonts w:hint="eastAsia" w:ascii="宋体" w:hAnsi="宋体"/>
          <w:color w:val="auto"/>
          <w:szCs w:val="21"/>
          <w:highlight w:val="none"/>
        </w:rPr>
        <w:t>注：1、</w:t>
      </w:r>
      <w:r>
        <w:rPr>
          <w:color w:val="auto"/>
          <w:highlight w:val="none"/>
        </w:rPr>
        <w:t>供应商应详细列出</w:t>
      </w:r>
      <w:r>
        <w:rPr>
          <w:rFonts w:hint="eastAsia"/>
          <w:color w:val="auto"/>
          <w:highlight w:val="none"/>
        </w:rPr>
        <w:t>招</w:t>
      </w:r>
      <w:r>
        <w:rPr>
          <w:color w:val="auto"/>
          <w:highlight w:val="none"/>
        </w:rPr>
        <w:t>标文件规定的所有费用的明细表</w:t>
      </w:r>
      <w:r>
        <w:rPr>
          <w:rFonts w:hint="eastAsia"/>
          <w:color w:val="auto"/>
          <w:highlight w:val="none"/>
        </w:rPr>
        <w:t>，本表“</w:t>
      </w:r>
      <w:r>
        <w:rPr>
          <w:color w:val="auto"/>
          <w:highlight w:val="none"/>
        </w:rPr>
        <w:t>投标价合计</w:t>
      </w:r>
      <w:r>
        <w:rPr>
          <w:rFonts w:hint="eastAsia"/>
          <w:color w:val="auto"/>
          <w:highlight w:val="none"/>
        </w:rPr>
        <w:t>”应与“开标一览表”中的“</w:t>
      </w:r>
      <w:r>
        <w:rPr>
          <w:color w:val="auto"/>
          <w:highlight w:val="none"/>
        </w:rPr>
        <w:t>投标</w:t>
      </w:r>
      <w:r>
        <w:rPr>
          <w:rFonts w:hint="eastAsia"/>
          <w:color w:val="auto"/>
          <w:highlight w:val="none"/>
        </w:rPr>
        <w:t>报价”保持一致</w:t>
      </w:r>
      <w:r>
        <w:rPr>
          <w:color w:val="auto"/>
          <w:highlight w:val="none"/>
        </w:rPr>
        <w:t>。</w:t>
      </w:r>
    </w:p>
    <w:p>
      <w:pPr>
        <w:spacing w:line="400" w:lineRule="exact"/>
        <w:ind w:firstLine="453" w:firstLineChars="214"/>
        <w:jc w:val="left"/>
        <w:rPr>
          <w:color w:val="auto"/>
          <w:szCs w:val="21"/>
          <w:highlight w:val="none"/>
        </w:rPr>
      </w:pPr>
      <w:r>
        <w:rPr>
          <w:rFonts w:hint="eastAsia" w:ascii="宋体" w:hAnsi="宋体"/>
          <w:color w:val="auto"/>
          <w:highlight w:val="none"/>
        </w:rPr>
        <w:t>2、</w:t>
      </w:r>
      <w:r>
        <w:rPr>
          <w:rFonts w:hint="eastAsia"/>
          <w:color w:val="auto"/>
          <w:szCs w:val="21"/>
          <w:highlight w:val="none"/>
        </w:rPr>
        <w:t>投标总价应为承包完成本次投标需完成全部工作所发生的所有费用，并承担一切风险责任，包括但不限于设备材料的供应、安装、实施、技术服务、调试、开通、验收、试运行、培训、系统集成及配合、成品保护、售后服务、运维服务、原厂保修费、国家和有关部门规定的强制检测费用、管理费、培训费、利润、税金以及其他费用。</w:t>
      </w:r>
    </w:p>
    <w:p>
      <w:pPr>
        <w:spacing w:line="400" w:lineRule="exact"/>
        <w:ind w:firstLine="453" w:firstLineChars="214"/>
        <w:jc w:val="left"/>
        <w:rPr>
          <w:rFonts w:ascii="宋体" w:hAnsi="宋体"/>
          <w:color w:val="auto"/>
          <w:highlight w:val="none"/>
        </w:rPr>
      </w:pPr>
      <w:r>
        <w:rPr>
          <w:rFonts w:hint="eastAsia" w:ascii="宋体" w:hAnsi="宋体"/>
          <w:color w:val="auto"/>
          <w:highlight w:val="none"/>
        </w:rPr>
        <w:t>采购清单中未列或与清单中设备有出入，但系统正常运行必须的设备，其价格按已包含在投标报价内处理。</w:t>
      </w:r>
    </w:p>
    <w:p>
      <w:pPr>
        <w:spacing w:line="400" w:lineRule="exact"/>
        <w:ind w:firstLine="453" w:firstLineChars="214"/>
        <w:jc w:val="left"/>
        <w:rPr>
          <w:rFonts w:ascii="宋体" w:hAnsi="宋体"/>
          <w:color w:val="auto"/>
          <w:highlight w:val="none"/>
        </w:rPr>
      </w:pPr>
      <w:r>
        <w:rPr>
          <w:rFonts w:hint="eastAsia" w:ascii="宋体" w:hAnsi="宋体"/>
          <w:color w:val="auto"/>
          <w:highlight w:val="none"/>
        </w:rPr>
        <w:t>采购清单中供应商没有填入单价或价格的子目，其费用视为已分摊在采购清单中其他相关子目的单价或价格之中。供应商必须按采购人指令完成采购清单中未填入单价或价格的子目，但不能得到结算与支付。符合合同条款规定的全部费用应认为已被计入有标价的采购清单所列各子目之中，未列子目不予计量的工作，其费用应视为已分摊在本合同的有关子目的单价或总额价之中。项目实施过程中可能发生的风险和费用均由成交供应商承担。</w:t>
      </w:r>
    </w:p>
    <w:p>
      <w:pPr>
        <w:spacing w:line="400" w:lineRule="exact"/>
        <w:ind w:firstLine="453" w:firstLineChars="214"/>
        <w:jc w:val="left"/>
        <w:rPr>
          <w:rFonts w:ascii="宋体" w:hAnsi="宋体"/>
          <w:color w:val="auto"/>
          <w:highlight w:val="none"/>
        </w:rPr>
      </w:pPr>
      <w:r>
        <w:rPr>
          <w:rFonts w:hint="eastAsia" w:ascii="宋体" w:hAnsi="宋体"/>
          <w:color w:val="auto"/>
          <w:highlight w:val="none"/>
        </w:rPr>
        <w:t>3、</w:t>
      </w:r>
      <w:r>
        <w:rPr>
          <w:rFonts w:ascii="宋体" w:hAnsi="宋体"/>
          <w:color w:val="auto"/>
          <w:highlight w:val="none"/>
        </w:rPr>
        <w:t>此表在不改变表式的情况下，可自行制作扩展。</w:t>
      </w:r>
    </w:p>
    <w:p>
      <w:pPr>
        <w:tabs>
          <w:tab w:val="left" w:pos="426"/>
        </w:tabs>
        <w:snapToGrid w:val="0"/>
        <w:spacing w:line="360" w:lineRule="auto"/>
        <w:ind w:firstLine="141" w:firstLineChars="67"/>
        <w:rPr>
          <w:color w:val="auto"/>
          <w:szCs w:val="21"/>
          <w:highlight w:val="none"/>
        </w:rPr>
      </w:pPr>
    </w:p>
    <w:p>
      <w:pPr>
        <w:widowControl/>
        <w:adjustRightInd w:val="0"/>
        <w:spacing w:line="360" w:lineRule="auto"/>
        <w:jc w:val="left"/>
        <w:rPr>
          <w:rFonts w:ascii="宋体" w:hAnsi="宋体" w:cs="宋体"/>
          <w:color w:val="auto"/>
          <w:szCs w:val="21"/>
          <w:highlight w:val="none"/>
        </w:rPr>
      </w:pPr>
      <w:r>
        <w:rPr>
          <w:rFonts w:ascii="宋体" w:hAnsi="宋体" w:cs="宋体"/>
          <w:color w:val="auto"/>
          <w:szCs w:val="21"/>
          <w:highlight w:val="none"/>
        </w:rPr>
        <w:t>供应商（盖章）：</w:t>
      </w:r>
    </w:p>
    <w:p>
      <w:pPr>
        <w:widowControl/>
        <w:adjustRightInd w:val="0"/>
        <w:spacing w:line="360" w:lineRule="auto"/>
        <w:jc w:val="left"/>
        <w:rPr>
          <w:rFonts w:ascii="宋体" w:hAnsi="宋体" w:cs="宋体"/>
          <w:color w:val="auto"/>
          <w:szCs w:val="21"/>
          <w:highlight w:val="none"/>
        </w:rPr>
      </w:pPr>
      <w:r>
        <w:rPr>
          <w:rFonts w:ascii="宋体" w:hAnsi="宋体" w:cs="宋体"/>
          <w:color w:val="auto"/>
          <w:szCs w:val="21"/>
          <w:highlight w:val="none"/>
        </w:rPr>
        <w:t xml:space="preserve">法定代表人或授权代表(签字或盖章)：                   </w:t>
      </w:r>
    </w:p>
    <w:p>
      <w:pPr>
        <w:snapToGrid w:val="0"/>
        <w:spacing w:line="360" w:lineRule="auto"/>
        <w:rPr>
          <w:rFonts w:ascii="宋体" w:hAnsi="宋体"/>
          <w:color w:val="auto"/>
          <w:szCs w:val="21"/>
          <w:highlight w:val="none"/>
        </w:rPr>
      </w:pPr>
      <w:r>
        <w:rPr>
          <w:rFonts w:ascii="宋体" w:hAnsi="宋体" w:cs="宋体"/>
          <w:color w:val="auto"/>
          <w:szCs w:val="21"/>
          <w:highlight w:val="none"/>
        </w:rPr>
        <w:t>日  期：</w:t>
      </w:r>
    </w:p>
    <w:p>
      <w:pPr>
        <w:rPr>
          <w:color w:val="auto"/>
          <w:highlight w:val="none"/>
        </w:rPr>
      </w:pPr>
    </w:p>
    <w:p>
      <w:pPr>
        <w:snapToGrid w:val="0"/>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br w:type="page"/>
      </w:r>
    </w:p>
    <w:p>
      <w:pPr>
        <w:pStyle w:val="3"/>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（三）质保期后备品备件清单</w:t>
      </w:r>
    </w:p>
    <w:p>
      <w:pPr>
        <w:jc w:val="center"/>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3"/>
        <w:gridCol w:w="1737"/>
        <w:gridCol w:w="1492"/>
        <w:gridCol w:w="877"/>
        <w:gridCol w:w="903"/>
        <w:gridCol w:w="166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5" w:hRule="atLeast"/>
        </w:trPr>
        <w:tc>
          <w:tcPr>
            <w:tcW w:w="773"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37"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492"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主要技术规格</w:t>
            </w:r>
          </w:p>
        </w:tc>
        <w:tc>
          <w:tcPr>
            <w:tcW w:w="877"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03"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生产厂</w:t>
            </w:r>
          </w:p>
        </w:tc>
        <w:tc>
          <w:tcPr>
            <w:tcW w:w="1669"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   价</w:t>
            </w:r>
          </w:p>
        </w:tc>
        <w:tc>
          <w:tcPr>
            <w:tcW w:w="158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8" w:hRule="atLeast"/>
        </w:trPr>
        <w:tc>
          <w:tcPr>
            <w:tcW w:w="773" w:type="dxa"/>
            <w:vMerge w:val="continue"/>
            <w:vAlign w:val="center"/>
          </w:tcPr>
          <w:p>
            <w:pPr>
              <w:spacing w:line="400" w:lineRule="exact"/>
              <w:jc w:val="center"/>
              <w:rPr>
                <w:rFonts w:ascii="宋体" w:hAnsi="宋体" w:cs="宋体"/>
                <w:color w:val="auto"/>
                <w:szCs w:val="21"/>
                <w:highlight w:val="none"/>
              </w:rPr>
            </w:pPr>
          </w:p>
        </w:tc>
        <w:tc>
          <w:tcPr>
            <w:tcW w:w="1737" w:type="dxa"/>
            <w:vMerge w:val="continue"/>
            <w:vAlign w:val="center"/>
          </w:tcPr>
          <w:p>
            <w:pPr>
              <w:spacing w:line="400" w:lineRule="exact"/>
              <w:jc w:val="center"/>
              <w:rPr>
                <w:rFonts w:ascii="宋体" w:hAnsi="宋体" w:cs="宋体"/>
                <w:color w:val="auto"/>
                <w:szCs w:val="21"/>
                <w:highlight w:val="none"/>
              </w:rPr>
            </w:pPr>
          </w:p>
        </w:tc>
        <w:tc>
          <w:tcPr>
            <w:tcW w:w="1492" w:type="dxa"/>
            <w:vMerge w:val="continue"/>
            <w:vAlign w:val="center"/>
          </w:tcPr>
          <w:p>
            <w:pPr>
              <w:spacing w:line="400" w:lineRule="exact"/>
              <w:jc w:val="center"/>
              <w:rPr>
                <w:rFonts w:ascii="宋体" w:hAnsi="宋体" w:cs="宋体"/>
                <w:color w:val="auto"/>
                <w:szCs w:val="21"/>
                <w:highlight w:val="none"/>
              </w:rPr>
            </w:pPr>
          </w:p>
        </w:tc>
        <w:tc>
          <w:tcPr>
            <w:tcW w:w="877" w:type="dxa"/>
            <w:vMerge w:val="continue"/>
            <w:vAlign w:val="center"/>
          </w:tcPr>
          <w:p>
            <w:pPr>
              <w:spacing w:line="400" w:lineRule="exact"/>
              <w:jc w:val="center"/>
              <w:rPr>
                <w:rFonts w:ascii="宋体" w:hAnsi="宋体" w:cs="宋体"/>
                <w:color w:val="auto"/>
                <w:szCs w:val="21"/>
                <w:highlight w:val="none"/>
              </w:rPr>
            </w:pPr>
          </w:p>
        </w:tc>
        <w:tc>
          <w:tcPr>
            <w:tcW w:w="903" w:type="dxa"/>
            <w:vMerge w:val="continue"/>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到工地价</w:t>
            </w:r>
          </w:p>
        </w:tc>
        <w:tc>
          <w:tcPr>
            <w:tcW w:w="158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到工地价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773" w:type="dxa"/>
            <w:vAlign w:val="center"/>
          </w:tcPr>
          <w:p>
            <w:pPr>
              <w:spacing w:line="400" w:lineRule="exact"/>
              <w:jc w:val="center"/>
              <w:rPr>
                <w:rFonts w:ascii="宋体" w:hAnsi="宋体" w:cs="宋体"/>
                <w:color w:val="auto"/>
                <w:szCs w:val="21"/>
                <w:highlight w:val="none"/>
              </w:rPr>
            </w:pPr>
          </w:p>
        </w:tc>
        <w:tc>
          <w:tcPr>
            <w:tcW w:w="1737" w:type="dxa"/>
            <w:vAlign w:val="center"/>
          </w:tcPr>
          <w:p>
            <w:pPr>
              <w:spacing w:line="400" w:lineRule="exact"/>
              <w:jc w:val="center"/>
              <w:rPr>
                <w:rFonts w:ascii="宋体" w:hAnsi="宋体" w:cs="宋体"/>
                <w:color w:val="auto"/>
                <w:szCs w:val="21"/>
                <w:highlight w:val="none"/>
              </w:rPr>
            </w:pPr>
          </w:p>
        </w:tc>
        <w:tc>
          <w:tcPr>
            <w:tcW w:w="1492" w:type="dxa"/>
            <w:vAlign w:val="center"/>
          </w:tcPr>
          <w:p>
            <w:pPr>
              <w:spacing w:line="400" w:lineRule="exact"/>
              <w:jc w:val="center"/>
              <w:rPr>
                <w:rFonts w:ascii="宋体" w:hAnsi="宋体" w:cs="宋体"/>
                <w:color w:val="auto"/>
                <w:szCs w:val="21"/>
                <w:highlight w:val="none"/>
              </w:rPr>
            </w:pPr>
          </w:p>
        </w:tc>
        <w:tc>
          <w:tcPr>
            <w:tcW w:w="877" w:type="dxa"/>
            <w:vAlign w:val="center"/>
          </w:tcPr>
          <w:p>
            <w:pPr>
              <w:spacing w:line="400" w:lineRule="exact"/>
              <w:jc w:val="center"/>
              <w:rPr>
                <w:rFonts w:ascii="宋体" w:hAnsi="宋体" w:cs="宋体"/>
                <w:color w:val="auto"/>
                <w:szCs w:val="21"/>
                <w:highlight w:val="none"/>
              </w:rPr>
            </w:pPr>
          </w:p>
        </w:tc>
        <w:tc>
          <w:tcPr>
            <w:tcW w:w="903" w:type="dxa"/>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p>
        </w:tc>
        <w:tc>
          <w:tcPr>
            <w:tcW w:w="1586"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773" w:type="dxa"/>
            <w:vAlign w:val="center"/>
          </w:tcPr>
          <w:p>
            <w:pPr>
              <w:spacing w:line="400" w:lineRule="exact"/>
              <w:jc w:val="center"/>
              <w:rPr>
                <w:rFonts w:ascii="宋体" w:hAnsi="宋体" w:cs="宋体"/>
                <w:color w:val="auto"/>
                <w:szCs w:val="21"/>
                <w:highlight w:val="none"/>
              </w:rPr>
            </w:pPr>
          </w:p>
        </w:tc>
        <w:tc>
          <w:tcPr>
            <w:tcW w:w="1737" w:type="dxa"/>
            <w:vAlign w:val="center"/>
          </w:tcPr>
          <w:p>
            <w:pPr>
              <w:spacing w:line="400" w:lineRule="exact"/>
              <w:jc w:val="center"/>
              <w:rPr>
                <w:rFonts w:ascii="宋体" w:hAnsi="宋体" w:cs="宋体"/>
                <w:color w:val="auto"/>
                <w:szCs w:val="21"/>
                <w:highlight w:val="none"/>
              </w:rPr>
            </w:pPr>
          </w:p>
        </w:tc>
        <w:tc>
          <w:tcPr>
            <w:tcW w:w="1492" w:type="dxa"/>
            <w:vAlign w:val="center"/>
          </w:tcPr>
          <w:p>
            <w:pPr>
              <w:spacing w:line="400" w:lineRule="exact"/>
              <w:jc w:val="center"/>
              <w:rPr>
                <w:rFonts w:ascii="宋体" w:hAnsi="宋体" w:cs="宋体"/>
                <w:color w:val="auto"/>
                <w:szCs w:val="21"/>
                <w:highlight w:val="none"/>
              </w:rPr>
            </w:pPr>
          </w:p>
        </w:tc>
        <w:tc>
          <w:tcPr>
            <w:tcW w:w="877" w:type="dxa"/>
            <w:vAlign w:val="center"/>
          </w:tcPr>
          <w:p>
            <w:pPr>
              <w:spacing w:line="400" w:lineRule="exact"/>
              <w:jc w:val="center"/>
              <w:rPr>
                <w:rFonts w:ascii="宋体" w:hAnsi="宋体" w:cs="宋体"/>
                <w:color w:val="auto"/>
                <w:szCs w:val="21"/>
                <w:highlight w:val="none"/>
              </w:rPr>
            </w:pPr>
          </w:p>
        </w:tc>
        <w:tc>
          <w:tcPr>
            <w:tcW w:w="903" w:type="dxa"/>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p>
        </w:tc>
        <w:tc>
          <w:tcPr>
            <w:tcW w:w="1586"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773" w:type="dxa"/>
            <w:vAlign w:val="center"/>
          </w:tcPr>
          <w:p>
            <w:pPr>
              <w:spacing w:line="400" w:lineRule="exact"/>
              <w:jc w:val="center"/>
              <w:rPr>
                <w:rFonts w:ascii="宋体" w:hAnsi="宋体" w:cs="宋体"/>
                <w:color w:val="auto"/>
                <w:szCs w:val="21"/>
                <w:highlight w:val="none"/>
              </w:rPr>
            </w:pPr>
          </w:p>
        </w:tc>
        <w:tc>
          <w:tcPr>
            <w:tcW w:w="1737" w:type="dxa"/>
            <w:vAlign w:val="center"/>
          </w:tcPr>
          <w:p>
            <w:pPr>
              <w:spacing w:line="400" w:lineRule="exact"/>
              <w:jc w:val="center"/>
              <w:rPr>
                <w:rFonts w:ascii="宋体" w:hAnsi="宋体" w:cs="宋体"/>
                <w:color w:val="auto"/>
                <w:szCs w:val="21"/>
                <w:highlight w:val="none"/>
              </w:rPr>
            </w:pPr>
          </w:p>
        </w:tc>
        <w:tc>
          <w:tcPr>
            <w:tcW w:w="1492" w:type="dxa"/>
            <w:vAlign w:val="center"/>
          </w:tcPr>
          <w:p>
            <w:pPr>
              <w:spacing w:line="400" w:lineRule="exact"/>
              <w:jc w:val="center"/>
              <w:rPr>
                <w:rFonts w:ascii="宋体" w:hAnsi="宋体" w:cs="宋体"/>
                <w:color w:val="auto"/>
                <w:szCs w:val="21"/>
                <w:highlight w:val="none"/>
              </w:rPr>
            </w:pPr>
          </w:p>
        </w:tc>
        <w:tc>
          <w:tcPr>
            <w:tcW w:w="877" w:type="dxa"/>
            <w:vAlign w:val="center"/>
          </w:tcPr>
          <w:p>
            <w:pPr>
              <w:spacing w:line="400" w:lineRule="exact"/>
              <w:jc w:val="center"/>
              <w:rPr>
                <w:rFonts w:ascii="宋体" w:hAnsi="宋体" w:cs="宋体"/>
                <w:color w:val="auto"/>
                <w:szCs w:val="21"/>
                <w:highlight w:val="none"/>
              </w:rPr>
            </w:pPr>
          </w:p>
        </w:tc>
        <w:tc>
          <w:tcPr>
            <w:tcW w:w="903" w:type="dxa"/>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p>
        </w:tc>
        <w:tc>
          <w:tcPr>
            <w:tcW w:w="1586"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773" w:type="dxa"/>
            <w:vAlign w:val="center"/>
          </w:tcPr>
          <w:p>
            <w:pPr>
              <w:spacing w:line="400" w:lineRule="exact"/>
              <w:jc w:val="center"/>
              <w:rPr>
                <w:rFonts w:ascii="宋体" w:hAnsi="宋体" w:cs="宋体"/>
                <w:color w:val="auto"/>
                <w:szCs w:val="21"/>
                <w:highlight w:val="none"/>
              </w:rPr>
            </w:pPr>
          </w:p>
        </w:tc>
        <w:tc>
          <w:tcPr>
            <w:tcW w:w="1737" w:type="dxa"/>
            <w:vAlign w:val="center"/>
          </w:tcPr>
          <w:p>
            <w:pPr>
              <w:spacing w:line="400" w:lineRule="exact"/>
              <w:jc w:val="center"/>
              <w:rPr>
                <w:rFonts w:ascii="宋体" w:hAnsi="宋体" w:cs="宋体"/>
                <w:color w:val="auto"/>
                <w:szCs w:val="21"/>
                <w:highlight w:val="none"/>
              </w:rPr>
            </w:pPr>
          </w:p>
        </w:tc>
        <w:tc>
          <w:tcPr>
            <w:tcW w:w="1492" w:type="dxa"/>
            <w:vAlign w:val="center"/>
          </w:tcPr>
          <w:p>
            <w:pPr>
              <w:spacing w:line="400" w:lineRule="exact"/>
              <w:jc w:val="center"/>
              <w:rPr>
                <w:rFonts w:ascii="宋体" w:hAnsi="宋体" w:cs="宋体"/>
                <w:color w:val="auto"/>
                <w:szCs w:val="21"/>
                <w:highlight w:val="none"/>
              </w:rPr>
            </w:pPr>
          </w:p>
        </w:tc>
        <w:tc>
          <w:tcPr>
            <w:tcW w:w="877" w:type="dxa"/>
            <w:vAlign w:val="center"/>
          </w:tcPr>
          <w:p>
            <w:pPr>
              <w:spacing w:line="400" w:lineRule="exact"/>
              <w:jc w:val="center"/>
              <w:rPr>
                <w:rFonts w:ascii="宋体" w:hAnsi="宋体" w:cs="宋体"/>
                <w:color w:val="auto"/>
                <w:szCs w:val="21"/>
                <w:highlight w:val="none"/>
              </w:rPr>
            </w:pPr>
          </w:p>
        </w:tc>
        <w:tc>
          <w:tcPr>
            <w:tcW w:w="903" w:type="dxa"/>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p>
        </w:tc>
        <w:tc>
          <w:tcPr>
            <w:tcW w:w="1586"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773" w:type="dxa"/>
            <w:vAlign w:val="center"/>
          </w:tcPr>
          <w:p>
            <w:pPr>
              <w:spacing w:line="400" w:lineRule="exact"/>
              <w:jc w:val="center"/>
              <w:rPr>
                <w:rFonts w:ascii="宋体" w:hAnsi="宋体" w:cs="宋体"/>
                <w:color w:val="auto"/>
                <w:szCs w:val="21"/>
                <w:highlight w:val="none"/>
              </w:rPr>
            </w:pPr>
          </w:p>
        </w:tc>
        <w:tc>
          <w:tcPr>
            <w:tcW w:w="1737" w:type="dxa"/>
            <w:vAlign w:val="center"/>
          </w:tcPr>
          <w:p>
            <w:pPr>
              <w:spacing w:line="400" w:lineRule="exact"/>
              <w:jc w:val="center"/>
              <w:rPr>
                <w:rFonts w:ascii="宋体" w:hAnsi="宋体" w:cs="宋体"/>
                <w:color w:val="auto"/>
                <w:szCs w:val="21"/>
                <w:highlight w:val="none"/>
              </w:rPr>
            </w:pPr>
          </w:p>
        </w:tc>
        <w:tc>
          <w:tcPr>
            <w:tcW w:w="1492" w:type="dxa"/>
            <w:vAlign w:val="center"/>
          </w:tcPr>
          <w:p>
            <w:pPr>
              <w:spacing w:line="400" w:lineRule="exact"/>
              <w:jc w:val="center"/>
              <w:rPr>
                <w:rFonts w:ascii="宋体" w:hAnsi="宋体" w:cs="宋体"/>
                <w:color w:val="auto"/>
                <w:szCs w:val="21"/>
                <w:highlight w:val="none"/>
              </w:rPr>
            </w:pPr>
          </w:p>
        </w:tc>
        <w:tc>
          <w:tcPr>
            <w:tcW w:w="877" w:type="dxa"/>
            <w:vAlign w:val="center"/>
          </w:tcPr>
          <w:p>
            <w:pPr>
              <w:spacing w:line="400" w:lineRule="exact"/>
              <w:jc w:val="center"/>
              <w:rPr>
                <w:rFonts w:ascii="宋体" w:hAnsi="宋体" w:cs="宋体"/>
                <w:color w:val="auto"/>
                <w:szCs w:val="21"/>
                <w:highlight w:val="none"/>
              </w:rPr>
            </w:pPr>
          </w:p>
        </w:tc>
        <w:tc>
          <w:tcPr>
            <w:tcW w:w="903" w:type="dxa"/>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p>
        </w:tc>
        <w:tc>
          <w:tcPr>
            <w:tcW w:w="1586"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773" w:type="dxa"/>
            <w:vAlign w:val="center"/>
          </w:tcPr>
          <w:p>
            <w:pPr>
              <w:spacing w:line="400" w:lineRule="exact"/>
              <w:jc w:val="center"/>
              <w:rPr>
                <w:rFonts w:ascii="宋体" w:hAnsi="宋体" w:cs="宋体"/>
                <w:color w:val="auto"/>
                <w:szCs w:val="21"/>
                <w:highlight w:val="none"/>
              </w:rPr>
            </w:pPr>
          </w:p>
        </w:tc>
        <w:tc>
          <w:tcPr>
            <w:tcW w:w="1737" w:type="dxa"/>
            <w:vAlign w:val="center"/>
          </w:tcPr>
          <w:p>
            <w:pPr>
              <w:spacing w:line="400" w:lineRule="exact"/>
              <w:jc w:val="center"/>
              <w:rPr>
                <w:rFonts w:ascii="宋体" w:hAnsi="宋体" w:cs="宋体"/>
                <w:color w:val="auto"/>
                <w:szCs w:val="21"/>
                <w:highlight w:val="none"/>
              </w:rPr>
            </w:pPr>
          </w:p>
        </w:tc>
        <w:tc>
          <w:tcPr>
            <w:tcW w:w="1492" w:type="dxa"/>
            <w:vAlign w:val="center"/>
          </w:tcPr>
          <w:p>
            <w:pPr>
              <w:spacing w:line="400" w:lineRule="exact"/>
              <w:jc w:val="center"/>
              <w:rPr>
                <w:rFonts w:ascii="宋体" w:hAnsi="宋体" w:cs="宋体"/>
                <w:color w:val="auto"/>
                <w:szCs w:val="21"/>
                <w:highlight w:val="none"/>
              </w:rPr>
            </w:pPr>
          </w:p>
        </w:tc>
        <w:tc>
          <w:tcPr>
            <w:tcW w:w="877" w:type="dxa"/>
            <w:vAlign w:val="center"/>
          </w:tcPr>
          <w:p>
            <w:pPr>
              <w:spacing w:line="400" w:lineRule="exact"/>
              <w:jc w:val="center"/>
              <w:rPr>
                <w:rFonts w:ascii="宋体" w:hAnsi="宋体" w:cs="宋体"/>
                <w:color w:val="auto"/>
                <w:szCs w:val="21"/>
                <w:highlight w:val="none"/>
              </w:rPr>
            </w:pPr>
          </w:p>
        </w:tc>
        <w:tc>
          <w:tcPr>
            <w:tcW w:w="903" w:type="dxa"/>
            <w:vAlign w:val="center"/>
          </w:tcPr>
          <w:p>
            <w:pPr>
              <w:spacing w:line="400" w:lineRule="exact"/>
              <w:jc w:val="center"/>
              <w:rPr>
                <w:rFonts w:ascii="宋体" w:hAnsi="宋体" w:cs="宋体"/>
                <w:color w:val="auto"/>
                <w:szCs w:val="21"/>
                <w:highlight w:val="none"/>
              </w:rPr>
            </w:pPr>
          </w:p>
        </w:tc>
        <w:tc>
          <w:tcPr>
            <w:tcW w:w="1669" w:type="dxa"/>
            <w:vAlign w:val="center"/>
          </w:tcPr>
          <w:p>
            <w:pPr>
              <w:spacing w:line="400" w:lineRule="exact"/>
              <w:jc w:val="center"/>
              <w:rPr>
                <w:rFonts w:ascii="宋体" w:hAnsi="宋体" w:cs="宋体"/>
                <w:color w:val="auto"/>
                <w:szCs w:val="21"/>
                <w:highlight w:val="none"/>
              </w:rPr>
            </w:pPr>
          </w:p>
        </w:tc>
        <w:tc>
          <w:tcPr>
            <w:tcW w:w="1586" w:type="dxa"/>
            <w:vAlign w:val="center"/>
          </w:tcPr>
          <w:p>
            <w:pPr>
              <w:spacing w:line="400" w:lineRule="exact"/>
              <w:jc w:val="cente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注：本表供设备质保期后正常运行所需的必备的零件，专用工具的报价表，由供应商填写，费用不包括在投标总价中。请供应商按招标标项分别列出。设备在质保期内维持正常运转所需的零备件</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辅助材料等，应随设备一起提供，不列入表内。</w:t>
      </w:r>
    </w:p>
    <w:p>
      <w:pPr>
        <w:tabs>
          <w:tab w:val="left" w:pos="2472"/>
        </w:tabs>
        <w:snapToGrid w:val="0"/>
        <w:spacing w:line="360" w:lineRule="auto"/>
        <w:jc w:val="left"/>
        <w:rPr>
          <w:rFonts w:ascii="宋体" w:hAnsi="宋体" w:cs="宋体"/>
          <w:color w:val="auto"/>
          <w:kern w:val="0"/>
          <w:sz w:val="20"/>
          <w:szCs w:val="21"/>
          <w:highlight w:val="none"/>
        </w:rPr>
      </w:pPr>
    </w:p>
    <w:p>
      <w:pPr>
        <w:tabs>
          <w:tab w:val="left" w:pos="2472"/>
        </w:tabs>
        <w:snapToGrid w:val="0"/>
        <w:spacing w:line="360" w:lineRule="auto"/>
        <w:jc w:val="left"/>
        <w:rPr>
          <w:rFonts w:ascii="宋体" w:hAnsi="宋体" w:cs="宋体"/>
          <w:color w:val="auto"/>
          <w:kern w:val="0"/>
          <w:sz w:val="20"/>
          <w:szCs w:val="21"/>
          <w:highlight w:val="none"/>
        </w:rPr>
      </w:pPr>
    </w:p>
    <w:p>
      <w:pPr>
        <w:rPr>
          <w:rFonts w:ascii="宋体" w:hAnsi="宋体" w:cs="宋体"/>
          <w:color w:val="auto"/>
          <w:highlight w:val="none"/>
        </w:rPr>
      </w:pPr>
    </w:p>
    <w:p>
      <w:pPr>
        <w:snapToGrid w:val="0"/>
        <w:spacing w:before="146" w:beforeLines="50" w:after="50"/>
        <w:rPr>
          <w:rFonts w:ascii="宋体" w:hAnsi="宋体" w:cs="宋体"/>
          <w:color w:val="auto"/>
          <w:szCs w:val="21"/>
          <w:highlight w:val="none"/>
        </w:rPr>
      </w:pPr>
      <w:r>
        <w:rPr>
          <w:rFonts w:hint="eastAsia" w:ascii="宋体" w:hAnsi="宋体" w:cs="宋体"/>
          <w:color w:val="auto"/>
          <w:szCs w:val="21"/>
          <w:highlight w:val="none"/>
        </w:rPr>
        <w:t>供应商名称（盖章）:___________________</w:t>
      </w:r>
    </w:p>
    <w:p>
      <w:pPr>
        <w:snapToGrid w:val="0"/>
        <w:spacing w:before="146" w:beforeLines="50" w:after="50"/>
        <w:rPr>
          <w:rFonts w:hAnsi="宋体" w:cs="宋体"/>
          <w:color w:val="auto"/>
          <w:highlight w:val="none"/>
        </w:rPr>
      </w:pPr>
      <w:r>
        <w:rPr>
          <w:rFonts w:hint="eastAsia" w:ascii="宋体" w:hAnsi="宋体" w:cs="宋体"/>
          <w:color w:val="auto"/>
          <w:szCs w:val="21"/>
          <w:highlight w:val="none"/>
        </w:rPr>
        <w:t>法定代表人或授权代表（签字）:_</w:t>
      </w:r>
      <w:r>
        <w:rPr>
          <w:rFonts w:hint="eastAsia" w:hAnsi="宋体" w:cs="宋体"/>
          <w:color w:val="auto"/>
          <w:highlight w:val="none"/>
        </w:rPr>
        <w:t xml:space="preserve">__________                      </w:t>
      </w:r>
    </w:p>
    <w:p>
      <w:pPr>
        <w:snapToGrid w:val="0"/>
        <w:spacing w:before="146" w:beforeLines="50" w:after="50"/>
        <w:rPr>
          <w:rFonts w:ascii="宋体" w:hAnsi="宋体" w:cs="宋体"/>
          <w:color w:val="auto"/>
          <w:szCs w:val="21"/>
          <w:highlight w:val="none"/>
        </w:rPr>
      </w:pPr>
      <w:r>
        <w:rPr>
          <w:rFonts w:hint="eastAsia" w:ascii="宋体" w:hAnsi="宋体" w:cs="宋体"/>
          <w:color w:val="auto"/>
          <w:szCs w:val="21"/>
          <w:highlight w:val="none"/>
        </w:rPr>
        <w:t>日期:_____年___月___日</w:t>
      </w:r>
    </w:p>
    <w:p>
      <w:pPr>
        <w:snapToGrid w:val="0"/>
        <w:spacing w:line="360" w:lineRule="auto"/>
        <w:jc w:val="center"/>
        <w:rPr>
          <w:rFonts w:ascii="宋体" w:hAnsi="宋体" w:cs="宋体"/>
          <w:color w:val="auto"/>
          <w:sz w:val="24"/>
          <w:szCs w:val="24"/>
          <w:highlight w:val="none"/>
        </w:rPr>
      </w:pPr>
    </w:p>
    <w:p>
      <w:pPr>
        <w:rPr>
          <w:color w:val="auto"/>
          <w:highlight w:val="none"/>
        </w:rPr>
      </w:pPr>
    </w:p>
    <w:p>
      <w:pPr>
        <w:rPr>
          <w:rFonts w:ascii="宋体" w:hAnsi="宋体" w:cs="宋体"/>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jc w:val="center"/>
        <w:rPr>
          <w:rFonts w:hint="eastAsia" w:ascii="宋体" w:hAnsi="宋体" w:cs="宋体"/>
          <w:b/>
          <w:color w:val="auto"/>
          <w:kern w:val="0"/>
          <w:sz w:val="24"/>
          <w:szCs w:val="24"/>
          <w:highlight w:val="none"/>
        </w:rPr>
      </w:pPr>
    </w:p>
    <w:p>
      <w:pPr>
        <w:snapToGrid w:val="0"/>
        <w:spacing w:line="360" w:lineRule="auto"/>
        <w:jc w:val="center"/>
        <w:rPr>
          <w:rFonts w:hint="eastAsia" w:ascii="宋体" w:hAnsi="宋体" w:cs="宋体"/>
          <w:b/>
          <w:color w:val="auto"/>
          <w:kern w:val="0"/>
          <w:sz w:val="24"/>
          <w:szCs w:val="24"/>
          <w:highlight w:val="none"/>
        </w:rPr>
      </w:pPr>
    </w:p>
    <w:p>
      <w:pPr>
        <w:snapToGrid w:val="0"/>
        <w:spacing w:line="360" w:lineRule="auto"/>
        <w:jc w:val="center"/>
        <w:rPr>
          <w:rFonts w:hint="eastAsia" w:ascii="宋体" w:hAnsi="宋体" w:cs="宋体"/>
          <w:b/>
          <w:color w:val="auto"/>
          <w:kern w:val="0"/>
          <w:sz w:val="24"/>
          <w:szCs w:val="24"/>
          <w:highlight w:val="none"/>
        </w:rPr>
      </w:pPr>
    </w:p>
    <w:p>
      <w:pPr>
        <w:snapToGrid w:val="0"/>
        <w:spacing w:line="360" w:lineRule="auto"/>
        <w:jc w:val="center"/>
        <w:rPr>
          <w:rFonts w:hint="eastAsia" w:ascii="宋体" w:hAnsi="宋体" w:cs="宋体"/>
          <w:b/>
          <w:color w:val="auto"/>
          <w:kern w:val="0"/>
          <w:sz w:val="24"/>
          <w:szCs w:val="24"/>
          <w:highlight w:val="none"/>
        </w:rPr>
      </w:pPr>
    </w:p>
    <w:p>
      <w:pPr>
        <w:snapToGrid w:val="0"/>
        <w:spacing w:line="360" w:lineRule="auto"/>
        <w:jc w:val="center"/>
        <w:rPr>
          <w:rFonts w:ascii="宋体" w:hAnsi="宋体"/>
          <w:b/>
          <w:color w:val="auto"/>
          <w:szCs w:val="21"/>
          <w:highlight w:val="none"/>
        </w:rPr>
      </w:pPr>
      <w:r>
        <w:rPr>
          <w:rFonts w:hint="eastAsia" w:ascii="宋体" w:hAnsi="宋体" w:cs="宋体"/>
          <w:b/>
          <w:color w:val="auto"/>
          <w:kern w:val="0"/>
          <w:sz w:val="24"/>
          <w:szCs w:val="24"/>
          <w:highlight w:val="none"/>
        </w:rPr>
        <w:t>（四）</w:t>
      </w:r>
      <w:bookmarkEnd w:id="111"/>
      <w:bookmarkEnd w:id="112"/>
      <w:bookmarkEnd w:id="113"/>
      <w:r>
        <w:rPr>
          <w:rFonts w:hint="eastAsia" w:ascii="宋体" w:hAnsi="宋体" w:cs="宋体"/>
          <w:b/>
          <w:color w:val="auto"/>
          <w:kern w:val="0"/>
          <w:sz w:val="24"/>
          <w:szCs w:val="24"/>
          <w:highlight w:val="none"/>
        </w:rPr>
        <w:t>中小企业声明函（货物）</w:t>
      </w:r>
    </w:p>
    <w:p>
      <w:pPr>
        <w:spacing w:line="276" w:lineRule="auto"/>
        <w:jc w:val="center"/>
        <w:rPr>
          <w:color w:val="auto"/>
          <w:sz w:val="24"/>
          <w:highlight w:val="none"/>
        </w:rPr>
      </w:pPr>
      <w:r>
        <w:rPr>
          <w:color w:val="auto"/>
          <w:sz w:val="24"/>
          <w:highlight w:val="none"/>
        </w:rPr>
        <w:t>（如非中小微企业，可不提供此声明函）</w:t>
      </w:r>
    </w:p>
    <w:p>
      <w:pPr>
        <w:autoSpaceDN w:val="0"/>
        <w:spacing w:line="360" w:lineRule="auto"/>
        <w:jc w:val="center"/>
        <w:rPr>
          <w:b/>
          <w:bCs/>
          <w:color w:val="auto"/>
          <w:szCs w:val="21"/>
          <w:highlight w:val="none"/>
        </w:rPr>
      </w:pPr>
    </w:p>
    <w:p>
      <w:pPr>
        <w:spacing w:line="360" w:lineRule="auto"/>
        <w:ind w:firstLine="448"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w:t>
      </w:r>
      <w:r>
        <w:rPr>
          <w:rFonts w:hint="eastAsia" w:ascii="宋体" w:hAnsi="宋体"/>
          <w:color w:val="auto"/>
          <w:spacing w:val="6"/>
          <w:szCs w:val="21"/>
          <w:highlight w:val="none"/>
        </w:rPr>
        <w:t>﹝</w:t>
      </w:r>
      <w:r>
        <w:rPr>
          <w:rFonts w:ascii="宋体" w:hAnsi="宋体"/>
          <w:color w:val="auto"/>
          <w:spacing w:val="6"/>
          <w:szCs w:val="21"/>
          <w:highlight w:val="none"/>
        </w:rPr>
        <w:t>2020</w:t>
      </w:r>
      <w:r>
        <w:rPr>
          <w:rFonts w:hint="eastAsia" w:ascii="宋体" w:hAnsi="宋体"/>
          <w:color w:val="auto"/>
          <w:spacing w:val="6"/>
          <w:szCs w:val="21"/>
          <w:highlight w:val="none"/>
        </w:rPr>
        <w:t>﹞</w:t>
      </w:r>
      <w:r>
        <w:rPr>
          <w:rFonts w:ascii="宋体" w:hAnsi="宋体"/>
          <w:color w:val="auto"/>
          <w:spacing w:val="6"/>
          <w:szCs w:val="21"/>
          <w:highlight w:val="none"/>
        </w:rPr>
        <w:t>46 号）的规定，本公司</w:t>
      </w:r>
      <w:r>
        <w:rPr>
          <w:rFonts w:ascii="宋体" w:hAnsi="宋体"/>
          <w:color w:val="auto"/>
          <w:spacing w:val="6"/>
          <w:szCs w:val="21"/>
          <w:highlight w:val="none"/>
          <w:u w:val="single"/>
        </w:rPr>
        <w:t>（联合体）</w:t>
      </w:r>
      <w:r>
        <w:rPr>
          <w:rFonts w:ascii="宋体" w:hAnsi="宋体"/>
          <w:color w:val="auto"/>
          <w:spacing w:val="6"/>
          <w:szCs w:val="21"/>
          <w:highlight w:val="none"/>
        </w:rPr>
        <w:t>参加</w:t>
      </w:r>
      <w:r>
        <w:rPr>
          <w:rFonts w:ascii="宋体" w:hAnsi="宋体"/>
          <w:color w:val="auto"/>
          <w:spacing w:val="6"/>
          <w:szCs w:val="21"/>
          <w:highlight w:val="none"/>
          <w:u w:val="single"/>
        </w:rPr>
        <w:t>（单位名称）</w:t>
      </w:r>
      <w:r>
        <w:rPr>
          <w:rFonts w:ascii="宋体" w:hAnsi="宋体"/>
          <w:color w:val="auto"/>
          <w:spacing w:val="6"/>
          <w:szCs w:val="21"/>
          <w:highlight w:val="none"/>
        </w:rPr>
        <w:t>的</w:t>
      </w:r>
      <w:r>
        <w:rPr>
          <w:rFonts w:ascii="宋体" w:hAnsi="宋体"/>
          <w:color w:val="auto"/>
          <w:spacing w:val="6"/>
          <w:szCs w:val="21"/>
          <w:highlight w:val="none"/>
          <w:u w:val="single"/>
        </w:rPr>
        <w:t>（项目名称）</w:t>
      </w:r>
      <w:r>
        <w:rPr>
          <w:rFonts w:ascii="宋体" w:hAnsi="宋体"/>
          <w:color w:val="auto"/>
          <w:spacing w:val="6"/>
          <w:szCs w:val="21"/>
          <w:highlight w:val="none"/>
        </w:rPr>
        <w:t>采购活动，提供的货物全部由符合政策要求的中小企业制造。相关企业（含联合体中的中小企业、签订分包意向协议的中小企业）的具体情况如下：</w:t>
      </w:r>
    </w:p>
    <w:p>
      <w:pPr>
        <w:numPr>
          <w:ilvl w:val="0"/>
          <w:numId w:val="11"/>
        </w:numPr>
        <w:spacing w:line="360" w:lineRule="auto"/>
        <w:ind w:left="568" w:leftChars="0" w:firstLine="0" w:firstLineChars="0"/>
        <w:rPr>
          <w:rFonts w:ascii="宋体" w:hAnsi="宋体"/>
          <w:color w:val="auto"/>
          <w:spacing w:val="6"/>
          <w:szCs w:val="21"/>
          <w:highlight w:val="none"/>
        </w:rPr>
      </w:pP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工业  行业</w:t>
      </w:r>
      <w:r>
        <w:rPr>
          <w:rFonts w:ascii="宋体" w:hAnsi="宋体"/>
          <w:color w:val="auto"/>
          <w:spacing w:val="6"/>
          <w:szCs w:val="21"/>
          <w:highlight w:val="none"/>
        </w:rPr>
        <w:t>；制造商为</w:t>
      </w:r>
      <w:r>
        <w:rPr>
          <w:rFonts w:ascii="宋体" w:hAnsi="宋体"/>
          <w:color w:val="auto"/>
          <w:spacing w:val="6"/>
          <w:szCs w:val="21"/>
          <w:highlight w:val="none"/>
          <w:u w:val="single"/>
        </w:rPr>
        <w:t>（企业名称）</w:t>
      </w:r>
      <w:r>
        <w:rPr>
          <w:rFonts w:ascii="宋体" w:hAnsi="宋体"/>
          <w:color w:val="auto"/>
          <w:spacing w:val="6"/>
          <w:szCs w:val="21"/>
          <w:highlight w:val="none"/>
        </w:rPr>
        <w:t>，从业人员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numPr>
          <w:ilvl w:val="0"/>
          <w:numId w:val="11"/>
        </w:numPr>
        <w:spacing w:line="360" w:lineRule="auto"/>
        <w:ind w:left="568" w:leftChars="0" w:firstLine="0" w:firstLineChars="0"/>
        <w:rPr>
          <w:rFonts w:ascii="宋体" w:hAnsi="宋体"/>
          <w:color w:val="auto"/>
          <w:spacing w:val="6"/>
          <w:szCs w:val="21"/>
          <w:highlight w:val="none"/>
        </w:rPr>
      </w:pP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工业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spacing w:line="360" w:lineRule="auto"/>
        <w:ind w:firstLine="448" w:firstLineChars="200"/>
        <w:rPr>
          <w:rFonts w:ascii="宋体" w:hAnsi="宋体"/>
          <w:color w:val="auto"/>
          <w:spacing w:val="6"/>
          <w:szCs w:val="21"/>
          <w:highlight w:val="none"/>
        </w:rPr>
      </w:pPr>
    </w:p>
    <w:p>
      <w:pPr>
        <w:spacing w:line="360" w:lineRule="auto"/>
        <w:ind w:firstLine="448" w:firstLineChars="200"/>
        <w:rPr>
          <w:rFonts w:ascii="宋体" w:hAnsi="宋体"/>
          <w:color w:val="auto"/>
          <w:spacing w:val="6"/>
          <w:szCs w:val="21"/>
          <w:highlight w:val="none"/>
        </w:rPr>
      </w:pPr>
      <w:r>
        <w:rPr>
          <w:rFonts w:ascii="宋体" w:hAnsi="宋体"/>
          <w:color w:val="auto"/>
          <w:spacing w:val="6"/>
          <w:szCs w:val="21"/>
          <w:highlight w:val="none"/>
        </w:rPr>
        <w:t>……</w:t>
      </w:r>
    </w:p>
    <w:p>
      <w:pPr>
        <w:spacing w:line="360" w:lineRule="auto"/>
        <w:ind w:firstLine="448"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pPr>
        <w:spacing w:line="360" w:lineRule="auto"/>
        <w:ind w:firstLine="448"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pPr>
        <w:spacing w:line="360" w:lineRule="auto"/>
        <w:ind w:firstLine="448"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w:t>
      </w:r>
    </w:p>
    <w:p>
      <w:pPr>
        <w:spacing w:line="360" w:lineRule="auto"/>
        <w:ind w:firstLine="448"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w:t>
      </w:r>
      <w:r>
        <w:rPr>
          <w:rFonts w:ascii="宋体" w:hAnsi="宋体"/>
          <w:color w:val="auto"/>
          <w:spacing w:val="6"/>
          <w:szCs w:val="21"/>
          <w:highlight w:val="none"/>
        </w:rPr>
        <w:t>企业名称（盖章）：</w:t>
      </w:r>
    </w:p>
    <w:p>
      <w:pPr>
        <w:rPr>
          <w:rFonts w:ascii="宋体" w:hAnsi="宋体" w:cs="宋体"/>
          <w:color w:val="auto"/>
          <w:spacing w:val="6"/>
          <w:szCs w:val="21"/>
          <w:highlight w:val="none"/>
        </w:rPr>
      </w:pPr>
      <w:r>
        <w:rPr>
          <w:rFonts w:hint="eastAsia" w:ascii="宋体" w:hAnsi="宋体"/>
          <w:color w:val="auto"/>
          <w:spacing w:val="6"/>
          <w:szCs w:val="21"/>
          <w:highlight w:val="none"/>
        </w:rPr>
        <w:t xml:space="preserve">                   </w:t>
      </w:r>
      <w:r>
        <w:rPr>
          <w:rFonts w:ascii="宋体" w:hAnsi="宋体"/>
          <w:color w:val="auto"/>
          <w:spacing w:val="6"/>
          <w:szCs w:val="21"/>
          <w:highlight w:val="none"/>
        </w:rPr>
        <w:t>日期：</w:t>
      </w:r>
      <w:r>
        <w:rPr>
          <w:rFonts w:hint="eastAsia" w:ascii="宋体" w:hAnsi="宋体"/>
          <w:color w:val="auto"/>
          <w:spacing w:val="6"/>
          <w:szCs w:val="21"/>
          <w:highlight w:val="none"/>
        </w:rPr>
        <w:t xml:space="preserve"> </w:t>
      </w:r>
    </w:p>
    <w:p>
      <w:pPr>
        <w:tabs>
          <w:tab w:val="left" w:pos="4860"/>
        </w:tabs>
        <w:spacing w:line="360" w:lineRule="auto"/>
        <w:ind w:left="225" w:right="46" w:hanging="224" w:hangingChars="100"/>
        <w:rPr>
          <w:rFonts w:ascii="宋体" w:hAnsi="宋体" w:cs="宋体"/>
          <w:color w:val="auto"/>
          <w:spacing w:val="6"/>
          <w:szCs w:val="21"/>
          <w:highlight w:val="none"/>
        </w:rPr>
      </w:pPr>
    </w:p>
    <w:p>
      <w:pPr>
        <w:spacing w:line="360" w:lineRule="auto"/>
        <w:ind w:firstLine="448"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注：从业人员、营业收入、资产总额填报上一年度数据，无上一年度数据的新成立企业可不填报。</w:t>
      </w:r>
    </w:p>
    <w:p>
      <w:pPr>
        <w:pStyle w:val="48"/>
        <w:ind w:firstLine="449"/>
        <w:rPr>
          <w:rFonts w:ascii="宋体" w:hAnsi="宋体" w:cs="宋体"/>
          <w:color w:val="auto"/>
          <w:spacing w:val="6"/>
          <w:kern w:val="2"/>
          <w:highlight w:val="none"/>
        </w:rPr>
        <w:sectPr>
          <w:headerReference r:id="rId11" w:type="default"/>
          <w:pgSz w:w="11907" w:h="16840"/>
          <w:pgMar w:top="1276" w:right="1701" w:bottom="1429" w:left="1701" w:header="720" w:footer="720" w:gutter="0"/>
          <w:cols w:space="0" w:num="1"/>
          <w:docGrid w:type="linesAndChars" w:linePitch="293" w:charSpace="537"/>
        </w:sectPr>
      </w:pPr>
      <w:r>
        <w:rPr>
          <w:rFonts w:hint="eastAsia" w:ascii="宋体" w:hAnsi="宋体" w:cs="宋体"/>
          <w:color w:val="auto"/>
          <w:spacing w:val="6"/>
          <w:kern w:val="2"/>
          <w:highlight w:val="none"/>
        </w:rPr>
        <w:t>本</w:t>
      </w:r>
      <w:r>
        <w:rPr>
          <w:rFonts w:ascii="宋体" w:hAnsi="宋体" w:cs="宋体"/>
          <w:color w:val="auto"/>
          <w:spacing w:val="6"/>
          <w:kern w:val="2"/>
          <w:highlight w:val="none"/>
        </w:rPr>
        <w:t>函的“标的名称”须填写</w:t>
      </w:r>
      <w:r>
        <w:rPr>
          <w:rFonts w:hint="eastAsia" w:ascii="宋体" w:hAnsi="宋体" w:cs="宋体"/>
          <w:color w:val="auto"/>
          <w:spacing w:val="6"/>
          <w:kern w:val="2"/>
          <w:highlight w:val="none"/>
        </w:rPr>
        <w:t>设备</w:t>
      </w:r>
      <w:r>
        <w:rPr>
          <w:rFonts w:ascii="宋体" w:hAnsi="宋体" w:cs="宋体"/>
          <w:color w:val="auto"/>
          <w:spacing w:val="6"/>
          <w:kern w:val="2"/>
          <w:highlight w:val="none"/>
        </w:rPr>
        <w:t>名称（设备清单根据第</w:t>
      </w:r>
      <w:r>
        <w:rPr>
          <w:rFonts w:hint="eastAsia" w:ascii="宋体" w:hAnsi="宋体" w:cs="宋体"/>
          <w:color w:val="auto"/>
          <w:spacing w:val="6"/>
          <w:kern w:val="2"/>
          <w:highlight w:val="none"/>
        </w:rPr>
        <w:t>二</w:t>
      </w:r>
      <w:r>
        <w:rPr>
          <w:rFonts w:ascii="宋体" w:hAnsi="宋体" w:cs="宋体"/>
          <w:color w:val="auto"/>
          <w:spacing w:val="6"/>
          <w:kern w:val="2"/>
          <w:highlight w:val="none"/>
        </w:rPr>
        <w:t>部分</w:t>
      </w:r>
      <w:r>
        <w:rPr>
          <w:rFonts w:hint="eastAsia" w:ascii="宋体" w:hAnsi="宋体" w:cs="宋体"/>
          <w:color w:val="auto"/>
          <w:spacing w:val="6"/>
          <w:kern w:val="2"/>
          <w:highlight w:val="none"/>
        </w:rPr>
        <w:t xml:space="preserve"> 招标项目需求中四、采购清单及技术参数要求），需分列填写。</w:t>
      </w:r>
    </w:p>
    <w:p>
      <w:pPr>
        <w:rPr>
          <w:rFonts w:ascii="宋体" w:hAnsi="宋体" w:cs="宋体"/>
          <w:b/>
          <w:color w:val="auto"/>
          <w:spacing w:val="6"/>
          <w:sz w:val="28"/>
          <w:szCs w:val="28"/>
          <w:highlight w:val="none"/>
        </w:rPr>
      </w:pPr>
    </w:p>
    <w:p>
      <w:pPr>
        <w:jc w:val="center"/>
        <w:rPr>
          <w:rStyle w:val="88"/>
          <w:rFonts w:hint="default"/>
          <w:color w:val="auto"/>
          <w:sz w:val="28"/>
          <w:szCs w:val="28"/>
          <w:highlight w:val="none"/>
        </w:rPr>
      </w:pPr>
      <w:r>
        <w:rPr>
          <w:rFonts w:hint="eastAsia" w:ascii="宋体" w:hAnsi="宋体" w:cs="宋体"/>
          <w:b/>
          <w:color w:val="auto"/>
          <w:kern w:val="0"/>
          <w:sz w:val="28"/>
          <w:szCs w:val="28"/>
          <w:highlight w:val="none"/>
        </w:rPr>
        <w:t>中小微行业划型标准规定</w:t>
      </w:r>
      <w:r>
        <w:rPr>
          <w:rStyle w:val="88"/>
          <w:rFonts w:hint="default"/>
          <w:color w:val="auto"/>
          <w:sz w:val="28"/>
          <w:szCs w:val="28"/>
          <w:highlight w:val="none"/>
        </w:rPr>
        <w:t>（根据工信部联企业〔2011〕300号制定）</w:t>
      </w:r>
    </w:p>
    <w:tbl>
      <w:tblPr>
        <w:tblStyle w:val="37"/>
        <w:tblW w:w="0" w:type="auto"/>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ascii="宋体" w:hAnsi="宋体" w:cs="宋体"/>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color w:val="auto"/>
                <w:sz w:val="18"/>
                <w:szCs w:val="18"/>
                <w:highlight w:val="none"/>
              </w:rPr>
            </w:pPr>
          </w:p>
        </w:tc>
      </w:tr>
    </w:tbl>
    <w:p>
      <w:pPr>
        <w:rPr>
          <w:rFonts w:ascii="宋体" w:hAnsi="宋体" w:cs="宋体"/>
          <w:color w:val="auto"/>
          <w:sz w:val="28"/>
          <w:szCs w:val="28"/>
          <w:highlight w:val="none"/>
        </w:rPr>
      </w:pPr>
      <w:r>
        <w:rPr>
          <w:rFonts w:hint="eastAsia" w:ascii="宋体" w:hAnsi="宋体" w:cs="宋体"/>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bookmarkStart w:id="114" w:name="_Toc502819372"/>
      <w:bookmarkStart w:id="115" w:name="_Toc497935763"/>
    </w:p>
    <w:p>
      <w:pPr>
        <w:pStyle w:val="4"/>
        <w:spacing w:line="380" w:lineRule="exact"/>
        <w:rPr>
          <w:rFonts w:ascii="宋体" w:hAnsi="宋体" w:cs="宋体"/>
          <w:color w:val="auto"/>
          <w:sz w:val="28"/>
          <w:szCs w:val="28"/>
          <w:highlight w:val="none"/>
        </w:rPr>
        <w:sectPr>
          <w:headerReference r:id="rId12" w:type="default"/>
          <w:pgSz w:w="16840" w:h="11907" w:orient="landscape"/>
          <w:pgMar w:top="1701" w:right="1276" w:bottom="1701" w:left="1429" w:header="720" w:footer="720" w:gutter="0"/>
          <w:cols w:space="0" w:num="1"/>
          <w:docGrid w:type="linesAndChars" w:linePitch="293" w:charSpace="537"/>
        </w:sectPr>
      </w:pPr>
    </w:p>
    <w:bookmarkEnd w:id="114"/>
    <w:bookmarkEnd w:id="115"/>
    <w:p>
      <w:pPr>
        <w:pStyle w:val="3"/>
        <w:spacing w:line="380" w:lineRule="exact"/>
        <w:rPr>
          <w:rFonts w:ascii="宋体" w:hAnsi="宋体" w:cs="宋体"/>
          <w:color w:val="auto"/>
          <w:sz w:val="24"/>
          <w:szCs w:val="24"/>
          <w:highlight w:val="none"/>
        </w:rPr>
      </w:pPr>
      <w:bookmarkStart w:id="116" w:name="_Toc520902428"/>
      <w:r>
        <w:rPr>
          <w:rFonts w:hint="eastAsia" w:ascii="宋体" w:hAnsi="宋体" w:cs="宋体"/>
          <w:color w:val="auto"/>
          <w:sz w:val="24"/>
          <w:szCs w:val="24"/>
          <w:highlight w:val="none"/>
        </w:rPr>
        <w:t>（五）残疾人福利性单位声明函（如有需提供）</w:t>
      </w:r>
      <w:bookmarkEnd w:id="116"/>
    </w:p>
    <w:p>
      <w:pPr>
        <w:ind w:firstLine="424" w:firstLineChars="200"/>
        <w:rPr>
          <w:rFonts w:ascii="宋体" w:hAnsi="宋体" w:cs="宋体"/>
          <w:color w:val="auto"/>
          <w:szCs w:val="21"/>
          <w:highlight w:val="none"/>
        </w:rPr>
      </w:pPr>
    </w:p>
    <w:p>
      <w:pPr>
        <w:spacing w:line="588"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4"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tabs>
          <w:tab w:val="left" w:pos="4860"/>
        </w:tabs>
        <w:spacing w:line="588" w:lineRule="exact"/>
        <w:ind w:right="1560" w:firstLine="424" w:firstLineChars="200"/>
        <w:jc w:val="center"/>
        <w:rPr>
          <w:rFonts w:ascii="宋体" w:hAnsi="宋体" w:cs="宋体"/>
          <w:color w:val="auto"/>
          <w:szCs w:val="21"/>
          <w:highlight w:val="none"/>
        </w:rPr>
      </w:pPr>
    </w:p>
    <w:p>
      <w:pPr>
        <w:tabs>
          <w:tab w:val="left" w:pos="4860"/>
        </w:tabs>
        <w:spacing w:line="588" w:lineRule="exact"/>
        <w:ind w:right="1560" w:firstLine="424" w:firstLineChars="200"/>
        <w:jc w:val="center"/>
        <w:rPr>
          <w:rFonts w:ascii="宋体" w:hAnsi="宋体" w:cs="宋体"/>
          <w:color w:val="auto"/>
          <w:szCs w:val="21"/>
          <w:highlight w:val="none"/>
        </w:rPr>
      </w:pPr>
    </w:p>
    <w:p>
      <w:pPr>
        <w:tabs>
          <w:tab w:val="left" w:pos="4860"/>
        </w:tabs>
        <w:spacing w:line="588" w:lineRule="exact"/>
        <w:ind w:right="1560" w:firstLine="424"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单位名称（盖章）：</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日  期：</w:t>
      </w:r>
    </w:p>
    <w:p>
      <w:pPr>
        <w:spacing w:line="400" w:lineRule="exact"/>
        <w:ind w:firstLine="424" w:firstLineChars="200"/>
        <w:rPr>
          <w:rFonts w:ascii="宋体" w:hAnsi="宋体" w:cs="宋体"/>
          <w:b/>
          <w:color w:val="auto"/>
          <w:szCs w:val="21"/>
          <w:highlight w:val="none"/>
        </w:rPr>
      </w:pP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注：</w:t>
      </w: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享受政府采购支持政策的残疾人福利性单位应当同时满足以下条件：</w:t>
      </w: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（一）安置的残疾人占本单位在职职工人数的比例不低于25%（含25%），并且安置的残疾人人数不少于10人（含10人）；</w:t>
      </w: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（二）依法与安置的每位残疾人签订了一年以上（含一年）的劳动合同或服务协议；</w:t>
      </w: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（三）为安置的每位残疾人按月足额缴纳了基本养老保险、基本医疗保险、失业保险、工伤保险和生育保险等社会保险费；</w:t>
      </w: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4" w:firstLineChars="200"/>
        <w:rPr>
          <w:rFonts w:ascii="宋体" w:hAnsi="宋体" w:cs="宋体"/>
          <w:b/>
          <w:color w:val="auto"/>
          <w:szCs w:val="21"/>
          <w:highlight w:val="none"/>
        </w:rPr>
      </w:pPr>
      <w:r>
        <w:rPr>
          <w:rFonts w:hint="eastAsia" w:ascii="宋体" w:hAnsi="宋体" w:cs="宋体"/>
          <w:b/>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380" w:lineRule="exact"/>
        <w:rPr>
          <w:rFonts w:ascii="宋体" w:hAnsi="宋体" w:cs="宋体"/>
          <w:color w:val="auto"/>
          <w:szCs w:val="21"/>
          <w:highlight w:val="none"/>
        </w:rPr>
      </w:pPr>
      <w:r>
        <w:rPr>
          <w:rFonts w:hint="eastAsia" w:ascii="宋体" w:hAnsi="宋体" w:cs="宋体"/>
          <w:b/>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ascii="宋体" w:hAnsi="宋体" w:cs="宋体"/>
          <w:b/>
          <w:bCs/>
          <w:color w:val="auto"/>
          <w:sz w:val="30"/>
          <w:szCs w:val="30"/>
          <w:highlight w:val="none"/>
        </w:rPr>
        <w:sectPr>
          <w:headerReference r:id="rId13" w:type="default"/>
          <w:pgSz w:w="11907" w:h="16840"/>
          <w:pgMar w:top="1276" w:right="1701" w:bottom="1429" w:left="1701" w:header="720" w:footer="720" w:gutter="0"/>
          <w:cols w:space="0" w:num="1"/>
          <w:docGrid w:type="linesAndChars" w:linePitch="293" w:charSpace="537"/>
        </w:sectPr>
      </w:pPr>
    </w:p>
    <w:p>
      <w:pPr>
        <w:jc w:val="center"/>
        <w:rPr>
          <w:rFonts w:ascii="宋体" w:hAnsi="宋体" w:cs="宋体"/>
          <w:b/>
          <w:bCs/>
          <w:color w:val="auto"/>
          <w:sz w:val="28"/>
          <w:szCs w:val="28"/>
          <w:highlight w:val="none"/>
        </w:rPr>
      </w:pPr>
      <w:r>
        <w:rPr>
          <w:rFonts w:hint="eastAsia" w:ascii="宋体" w:hAnsi="宋体" w:cs="宋体"/>
          <w:b/>
          <w:color w:val="auto"/>
          <w:sz w:val="28"/>
          <w:szCs w:val="28"/>
          <w:highlight w:val="none"/>
        </w:rPr>
        <w:t>（六）监狱企业声明函（如有需提供）</w:t>
      </w:r>
    </w:p>
    <w:p>
      <w:pPr>
        <w:spacing w:line="360" w:lineRule="auto"/>
        <w:ind w:firstLine="530" w:firstLineChars="250"/>
        <w:rPr>
          <w:rFonts w:ascii="宋体" w:hAnsi="宋体" w:cs="宋体"/>
          <w:color w:val="auto"/>
          <w:szCs w:val="21"/>
          <w:highlight w:val="none"/>
        </w:rPr>
      </w:pPr>
    </w:p>
    <w:p>
      <w:pPr>
        <w:spacing w:line="360" w:lineRule="auto"/>
        <w:ind w:firstLine="530" w:firstLineChars="250"/>
        <w:rPr>
          <w:rFonts w:ascii="宋体" w:hAnsi="宋体" w:cs="宋体"/>
          <w:color w:val="auto"/>
          <w:szCs w:val="21"/>
          <w:highlight w:val="none"/>
        </w:rPr>
      </w:pPr>
      <w:r>
        <w:rPr>
          <w:rFonts w:hint="eastAsia" w:ascii="宋体" w:hAnsi="宋体" w:cs="宋体"/>
          <w:color w:val="auto"/>
          <w:szCs w:val="21"/>
          <w:highlight w:val="none"/>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根据上述标准，我企业属于监狱企业的理由为：。</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 ）（项目编号： ）采购活动提供本企业的产品。</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spacing w:line="360" w:lineRule="auto"/>
        <w:ind w:firstLine="480"/>
        <w:rPr>
          <w:rFonts w:ascii="宋体" w:hAnsi="宋体" w:cs="宋体"/>
          <w:color w:val="auto"/>
          <w:szCs w:val="21"/>
          <w:highlight w:val="none"/>
        </w:rPr>
      </w:pP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投标单位名称（盖章）：</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480"/>
        <w:rPr>
          <w:rFonts w:ascii="宋体" w:hAnsi="宋体" w:cs="宋体"/>
          <w:color w:val="auto"/>
          <w:szCs w:val="21"/>
          <w:highlight w:val="none"/>
        </w:rPr>
      </w:pPr>
    </w:p>
    <w:p>
      <w:pPr>
        <w:spacing w:line="360" w:lineRule="auto"/>
        <w:ind w:firstLine="480"/>
        <w:rPr>
          <w:rFonts w:ascii="宋体" w:hAnsi="宋体" w:cs="宋体"/>
          <w:color w:val="auto"/>
          <w:szCs w:val="21"/>
          <w:highlight w:val="none"/>
        </w:rPr>
      </w:pP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供应商为监狱企业的提供此函。</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监狱管理局、戒毒管理局（含新疆生产建设兵团）出具的属于监狱企业的证明文件。</w:t>
      </w:r>
    </w:p>
    <w:p>
      <w:pPr>
        <w:spacing w:line="360" w:lineRule="auto"/>
        <w:ind w:firstLine="480"/>
        <w:rPr>
          <w:rFonts w:ascii="宋体" w:hAnsi="宋体" w:cs="宋体"/>
          <w:color w:val="auto"/>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ascii="宋体" w:hAnsi="宋体" w:cs="宋体"/>
          <w:color w:val="auto"/>
          <w:highlight w:val="none"/>
        </w:rPr>
      </w:pPr>
    </w:p>
    <w:p>
      <w:pPr>
        <w:pStyle w:val="3"/>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pgSz w:w="11907" w:h="16840"/>
      <w:pgMar w:top="1276" w:right="1701" w:bottom="1429" w:left="1701" w:header="720" w:footer="720" w:gutter="0"/>
      <w:cols w:space="0" w:num="1"/>
      <w:docGrid w:type="linesAndChars" w:linePitch="293"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4</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850" w:hRule="exact" w:wrap="around" w:vAnchor="text" w:hAnchor="margin" w:xAlign="center" w:y="348"/>
      <w:snapToGrid w:val="0"/>
      <w:jc w:val="center"/>
      <w:rPr>
        <w:kern w:val="0"/>
        <w:sz w:val="18"/>
        <w:szCs w:val="18"/>
      </w:rPr>
    </w:pPr>
    <w:r>
      <w:rPr>
        <w:kern w:val="0"/>
        <w:sz w:val="18"/>
        <w:szCs w:val="18"/>
      </w:rPr>
      <w:fldChar w:fldCharType="begin"/>
    </w:r>
    <w:r>
      <w:rPr>
        <w:kern w:val="0"/>
        <w:sz w:val="18"/>
        <w:szCs w:val="18"/>
      </w:rPr>
      <w:instrText xml:space="preserve">PAGE  </w:instrText>
    </w:r>
    <w:r>
      <w:rPr>
        <w:kern w:val="0"/>
        <w:sz w:val="18"/>
        <w:szCs w:val="18"/>
      </w:rPr>
      <w:fldChar w:fldCharType="separate"/>
    </w:r>
    <w:r>
      <w:rPr>
        <w:kern w:val="0"/>
        <w:sz w:val="18"/>
        <w:szCs w:val="18"/>
      </w:rPr>
      <w:t>17</w:t>
    </w:r>
    <w:r>
      <w:rPr>
        <w:kern w:val="0"/>
        <w:sz w:val="18"/>
        <w:szCs w:val="18"/>
      </w:rPr>
      <w:fldChar w:fldCharType="end"/>
    </w:r>
  </w:p>
  <w:p>
    <w:pPr>
      <w:snapToGrid w:val="0"/>
      <w:jc w:val="left"/>
      <w:rPr>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政府采购公开招标采购文件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E3259"/>
    <w:multiLevelType w:val="singleLevel"/>
    <w:tmpl w:val="9BCE3259"/>
    <w:lvl w:ilvl="0" w:tentative="0">
      <w:start w:val="1"/>
      <w:numFmt w:val="decimal"/>
      <w:pStyle w:val="11"/>
      <w:lvlText w:val="%1."/>
      <w:lvlJc w:val="left"/>
      <w:pPr>
        <w:tabs>
          <w:tab w:val="left" w:pos="360"/>
        </w:tabs>
        <w:ind w:left="360" w:hanging="360"/>
      </w:pPr>
    </w:lvl>
  </w:abstractNum>
  <w:abstractNum w:abstractNumId="1">
    <w:nsid w:val="A7B1DE4F"/>
    <w:multiLevelType w:val="singleLevel"/>
    <w:tmpl w:val="A7B1DE4F"/>
    <w:lvl w:ilvl="0" w:tentative="0">
      <w:start w:val="1"/>
      <w:numFmt w:val="decimal"/>
      <w:lvlText w:val="%1."/>
      <w:lvlJc w:val="left"/>
      <w:pPr>
        <w:tabs>
          <w:tab w:val="left" w:pos="312"/>
        </w:tabs>
      </w:pPr>
    </w:lvl>
  </w:abstractNum>
  <w:abstractNum w:abstractNumId="2">
    <w:nsid w:val="C3243BC1"/>
    <w:multiLevelType w:val="singleLevel"/>
    <w:tmpl w:val="C3243BC1"/>
    <w:lvl w:ilvl="0" w:tentative="0">
      <w:start w:val="5"/>
      <w:numFmt w:val="decimal"/>
      <w:suff w:val="space"/>
      <w:lvlText w:val="%1."/>
      <w:lvlJc w:val="left"/>
    </w:lvl>
  </w:abstractNum>
  <w:abstractNum w:abstractNumId="3">
    <w:nsid w:val="E8864402"/>
    <w:multiLevelType w:val="singleLevel"/>
    <w:tmpl w:val="E8864402"/>
    <w:lvl w:ilvl="0" w:tentative="0">
      <w:start w:val="6"/>
      <w:numFmt w:val="chineseCounting"/>
      <w:suff w:val="nothing"/>
      <w:lvlText w:val="（%1）"/>
      <w:lvlJc w:val="left"/>
      <w:rPr>
        <w:rFonts w:hint="eastAsia"/>
      </w:rPr>
    </w:lvl>
  </w:abstractNum>
  <w:abstractNum w:abstractNumId="4">
    <w:nsid w:val="0ED47B7B"/>
    <w:multiLevelType w:val="multilevel"/>
    <w:tmpl w:val="0ED47B7B"/>
    <w:lvl w:ilvl="0" w:tentative="0">
      <w:start w:val="1"/>
      <w:numFmt w:val="decimal"/>
      <w:suff w:val="space"/>
      <w:lvlText w:val="%1."/>
      <w:lvlJc w:val="left"/>
      <w:pPr>
        <w:ind w:left="432" w:hanging="432"/>
      </w:pPr>
      <w:rPr>
        <w:rFonts w:hint="eastAsia"/>
      </w:rPr>
    </w:lvl>
    <w:lvl w:ilvl="1" w:tentative="0">
      <w:start w:val="1"/>
      <w:numFmt w:val="decimal"/>
      <w:pStyle w:val="169"/>
      <w:suff w:val="space"/>
      <w:lvlText w:val="%1.%2."/>
      <w:lvlJc w:val="left"/>
      <w:pPr>
        <w:ind w:left="576" w:hanging="576"/>
      </w:pPr>
      <w:rPr>
        <w:rFonts w:hint="eastAsia"/>
      </w:rPr>
    </w:lvl>
    <w:lvl w:ilvl="2" w:tentative="0">
      <w:start w:val="1"/>
      <w:numFmt w:val="decimal"/>
      <w:pStyle w:val="171"/>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5">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1559"/>
        </w:tabs>
        <w:ind w:left="1559" w:hanging="567"/>
      </w:pPr>
      <w:rPr>
        <w:rFonts w:hint="eastAsia"/>
      </w:rPr>
    </w:lvl>
    <w:lvl w:ilvl="2" w:tentative="0">
      <w:start w:val="1"/>
      <w:numFmt w:val="decimal"/>
      <w:pStyle w:val="119"/>
      <w:isLgl/>
      <w:lvlText w:val="%1.%2.%3."/>
      <w:lvlJc w:val="left"/>
      <w:pPr>
        <w:tabs>
          <w:tab w:val="left" w:pos="1276"/>
        </w:tabs>
        <w:ind w:left="1276" w:hanging="709"/>
      </w:pPr>
      <w:rPr>
        <w:rFonts w:hint="default" w:ascii="Times New Roman" w:hAnsi="Times New Roman" w:cs="Times New Roman"/>
      </w:rPr>
    </w:lvl>
    <w:lvl w:ilvl="3" w:tentative="0">
      <w:start w:val="1"/>
      <w:numFmt w:val="decimal"/>
      <w:isLgl/>
      <w:lvlText w:val="%1.%2.%3.%4."/>
      <w:lvlJc w:val="left"/>
      <w:pPr>
        <w:tabs>
          <w:tab w:val="left" w:pos="1560"/>
        </w:tabs>
        <w:ind w:left="1560" w:hanging="851"/>
      </w:pPr>
      <w:rPr>
        <w:rFonts w:hint="eastAsia"/>
      </w:rPr>
    </w:lvl>
    <w:lvl w:ilvl="4" w:tentative="0">
      <w:start w:val="1"/>
      <w:numFmt w:val="decimal"/>
      <w:pStyle w:val="6"/>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6">
    <w:nsid w:val="208A7ABE"/>
    <w:multiLevelType w:val="multilevel"/>
    <w:tmpl w:val="208A7ABE"/>
    <w:lvl w:ilvl="0" w:tentative="0">
      <w:start w:val="1"/>
      <w:numFmt w:val="decimal"/>
      <w:pStyle w:val="117"/>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F74BE90"/>
    <w:multiLevelType w:val="singleLevel"/>
    <w:tmpl w:val="2F74BE90"/>
    <w:lvl w:ilvl="0" w:tentative="0">
      <w:start w:val="1"/>
      <w:numFmt w:val="decimal"/>
      <w:suff w:val="space"/>
      <w:lvlText w:val="%1、"/>
      <w:lvlJc w:val="left"/>
      <w:pPr>
        <w:ind w:left="568" w:leftChars="0" w:firstLine="0" w:firstLineChars="0"/>
      </w:pPr>
    </w:lvl>
  </w:abstractNum>
  <w:abstractNum w:abstractNumId="8">
    <w:nsid w:val="3B363D98"/>
    <w:multiLevelType w:val="multilevel"/>
    <w:tmpl w:val="3B363D98"/>
    <w:lvl w:ilvl="0" w:tentative="0">
      <w:start w:val="1"/>
      <w:numFmt w:val="decimal"/>
      <w:pStyle w:val="13"/>
      <w:suff w:val="space"/>
      <w:lvlText w:val="图%1"/>
      <w:lvlJc w:val="left"/>
      <w:pPr>
        <w:ind w:left="2263"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9">
    <w:nsid w:val="4CA75A52"/>
    <w:multiLevelType w:val="multilevel"/>
    <w:tmpl w:val="4CA75A52"/>
    <w:lvl w:ilvl="0" w:tentative="0">
      <w:start w:val="1"/>
      <w:numFmt w:val="decimal"/>
      <w:pStyle w:val="78"/>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0">
    <w:nsid w:val="6CBF3D06"/>
    <w:multiLevelType w:val="multilevel"/>
    <w:tmpl w:val="6CBF3D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8"/>
  </w:num>
  <w:num w:numId="4">
    <w:abstractNumId w:val="9"/>
  </w:num>
  <w:num w:numId="5">
    <w:abstractNumId w:val="6"/>
  </w:num>
  <w:num w:numId="6">
    <w:abstractNumId w:val="4"/>
  </w:num>
  <w:num w:numId="7">
    <w:abstractNumId w:val="1"/>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hideSpellingErrors/>
  <w:documentProtection w:enforcement="0"/>
  <w:defaultTabStop w:val="420"/>
  <w:drawingGridHorizontalSpacing w:val="106"/>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xMDFjNTJjZTNiM2Q5MWE4YzY3OWYxNDU3Mjc1YjEifQ=="/>
  </w:docVars>
  <w:rsids>
    <w:rsidRoot w:val="000505E5"/>
    <w:rsid w:val="00004271"/>
    <w:rsid w:val="00005EDA"/>
    <w:rsid w:val="00014A75"/>
    <w:rsid w:val="00014BBF"/>
    <w:rsid w:val="00015792"/>
    <w:rsid w:val="00017236"/>
    <w:rsid w:val="00020BCC"/>
    <w:rsid w:val="00022A87"/>
    <w:rsid w:val="00023E13"/>
    <w:rsid w:val="00025E4F"/>
    <w:rsid w:val="00031F00"/>
    <w:rsid w:val="00041420"/>
    <w:rsid w:val="000446C1"/>
    <w:rsid w:val="000505E5"/>
    <w:rsid w:val="00052C75"/>
    <w:rsid w:val="00055AE2"/>
    <w:rsid w:val="00056AFF"/>
    <w:rsid w:val="00056BD6"/>
    <w:rsid w:val="00072186"/>
    <w:rsid w:val="00072330"/>
    <w:rsid w:val="000767B6"/>
    <w:rsid w:val="00081656"/>
    <w:rsid w:val="00083D19"/>
    <w:rsid w:val="00087979"/>
    <w:rsid w:val="0009637A"/>
    <w:rsid w:val="00097BC4"/>
    <w:rsid w:val="000A03B5"/>
    <w:rsid w:val="000A2EFF"/>
    <w:rsid w:val="000A3A9B"/>
    <w:rsid w:val="000A6C5D"/>
    <w:rsid w:val="000B16EE"/>
    <w:rsid w:val="000B5D3E"/>
    <w:rsid w:val="000C6A35"/>
    <w:rsid w:val="000D04B0"/>
    <w:rsid w:val="000D295B"/>
    <w:rsid w:val="000D68E9"/>
    <w:rsid w:val="000D7717"/>
    <w:rsid w:val="000E0A8E"/>
    <w:rsid w:val="000E4A9A"/>
    <w:rsid w:val="000E5535"/>
    <w:rsid w:val="000F40FB"/>
    <w:rsid w:val="000F7713"/>
    <w:rsid w:val="00100E09"/>
    <w:rsid w:val="00101B16"/>
    <w:rsid w:val="001029BB"/>
    <w:rsid w:val="00104A8A"/>
    <w:rsid w:val="00107E7E"/>
    <w:rsid w:val="00113E5D"/>
    <w:rsid w:val="001173F9"/>
    <w:rsid w:val="0012763E"/>
    <w:rsid w:val="001319E7"/>
    <w:rsid w:val="00132869"/>
    <w:rsid w:val="001344ED"/>
    <w:rsid w:val="00134C7C"/>
    <w:rsid w:val="00136DEE"/>
    <w:rsid w:val="001379B1"/>
    <w:rsid w:val="00144576"/>
    <w:rsid w:val="00144A1D"/>
    <w:rsid w:val="001455A3"/>
    <w:rsid w:val="00146A09"/>
    <w:rsid w:val="00153624"/>
    <w:rsid w:val="001550CE"/>
    <w:rsid w:val="001630B9"/>
    <w:rsid w:val="00163676"/>
    <w:rsid w:val="00165D8E"/>
    <w:rsid w:val="001756E9"/>
    <w:rsid w:val="001821DD"/>
    <w:rsid w:val="001826BB"/>
    <w:rsid w:val="001835A5"/>
    <w:rsid w:val="00185B56"/>
    <w:rsid w:val="00193F02"/>
    <w:rsid w:val="001951A5"/>
    <w:rsid w:val="001977B3"/>
    <w:rsid w:val="001A3E02"/>
    <w:rsid w:val="001A5BCA"/>
    <w:rsid w:val="001A6CE3"/>
    <w:rsid w:val="001B0C99"/>
    <w:rsid w:val="001B3653"/>
    <w:rsid w:val="001C00AF"/>
    <w:rsid w:val="001C2436"/>
    <w:rsid w:val="001C34B4"/>
    <w:rsid w:val="001C4541"/>
    <w:rsid w:val="001C5F00"/>
    <w:rsid w:val="001C6AD9"/>
    <w:rsid w:val="001D2412"/>
    <w:rsid w:val="001D5F40"/>
    <w:rsid w:val="001D7EC1"/>
    <w:rsid w:val="001E4F06"/>
    <w:rsid w:val="001E71E3"/>
    <w:rsid w:val="001E7790"/>
    <w:rsid w:val="001F22E3"/>
    <w:rsid w:val="001F3822"/>
    <w:rsid w:val="001F58F8"/>
    <w:rsid w:val="001F6CDE"/>
    <w:rsid w:val="00201730"/>
    <w:rsid w:val="00201E66"/>
    <w:rsid w:val="00203A5F"/>
    <w:rsid w:val="00206DC5"/>
    <w:rsid w:val="00210EBD"/>
    <w:rsid w:val="00214ADD"/>
    <w:rsid w:val="00215CBA"/>
    <w:rsid w:val="00216F69"/>
    <w:rsid w:val="002171F8"/>
    <w:rsid w:val="00217724"/>
    <w:rsid w:val="0022092B"/>
    <w:rsid w:val="0022264A"/>
    <w:rsid w:val="00223BFA"/>
    <w:rsid w:val="002264B5"/>
    <w:rsid w:val="00226B9A"/>
    <w:rsid w:val="00230932"/>
    <w:rsid w:val="0023184C"/>
    <w:rsid w:val="00234670"/>
    <w:rsid w:val="00234F3F"/>
    <w:rsid w:val="00236132"/>
    <w:rsid w:val="002362EE"/>
    <w:rsid w:val="002372CE"/>
    <w:rsid w:val="00237A24"/>
    <w:rsid w:val="002401C9"/>
    <w:rsid w:val="00241A9D"/>
    <w:rsid w:val="00242834"/>
    <w:rsid w:val="00242A30"/>
    <w:rsid w:val="00243DB3"/>
    <w:rsid w:val="00246A95"/>
    <w:rsid w:val="00246D0E"/>
    <w:rsid w:val="00246F2C"/>
    <w:rsid w:val="00247FF7"/>
    <w:rsid w:val="002522C5"/>
    <w:rsid w:val="0025367E"/>
    <w:rsid w:val="00255AC1"/>
    <w:rsid w:val="00255EFE"/>
    <w:rsid w:val="00260FC8"/>
    <w:rsid w:val="002666AA"/>
    <w:rsid w:val="00266E7A"/>
    <w:rsid w:val="00271611"/>
    <w:rsid w:val="00271D21"/>
    <w:rsid w:val="00276FE2"/>
    <w:rsid w:val="002858C6"/>
    <w:rsid w:val="00287A53"/>
    <w:rsid w:val="00291398"/>
    <w:rsid w:val="00292637"/>
    <w:rsid w:val="00292CF4"/>
    <w:rsid w:val="002A20E9"/>
    <w:rsid w:val="002A3FCE"/>
    <w:rsid w:val="002A49D1"/>
    <w:rsid w:val="002A4C09"/>
    <w:rsid w:val="002B0E1B"/>
    <w:rsid w:val="002B4802"/>
    <w:rsid w:val="002C2521"/>
    <w:rsid w:val="002C3B51"/>
    <w:rsid w:val="002C73DA"/>
    <w:rsid w:val="002C775C"/>
    <w:rsid w:val="002D2FF2"/>
    <w:rsid w:val="002D4FD9"/>
    <w:rsid w:val="002D5626"/>
    <w:rsid w:val="002F06E4"/>
    <w:rsid w:val="002F35E0"/>
    <w:rsid w:val="002F4CC3"/>
    <w:rsid w:val="002F736F"/>
    <w:rsid w:val="002F7B55"/>
    <w:rsid w:val="003037F9"/>
    <w:rsid w:val="0030638B"/>
    <w:rsid w:val="00306EDA"/>
    <w:rsid w:val="00310DA5"/>
    <w:rsid w:val="00311E94"/>
    <w:rsid w:val="0031223A"/>
    <w:rsid w:val="0031271A"/>
    <w:rsid w:val="00313645"/>
    <w:rsid w:val="00316051"/>
    <w:rsid w:val="003178B7"/>
    <w:rsid w:val="003275AB"/>
    <w:rsid w:val="00331AF6"/>
    <w:rsid w:val="00332B38"/>
    <w:rsid w:val="00333A51"/>
    <w:rsid w:val="003370F4"/>
    <w:rsid w:val="00337BF7"/>
    <w:rsid w:val="0034105E"/>
    <w:rsid w:val="0034478E"/>
    <w:rsid w:val="0034508C"/>
    <w:rsid w:val="00345648"/>
    <w:rsid w:val="00347E40"/>
    <w:rsid w:val="00353CF1"/>
    <w:rsid w:val="00355CB1"/>
    <w:rsid w:val="00357201"/>
    <w:rsid w:val="00361410"/>
    <w:rsid w:val="00362357"/>
    <w:rsid w:val="00370198"/>
    <w:rsid w:val="00371A4E"/>
    <w:rsid w:val="00371DB7"/>
    <w:rsid w:val="0037524E"/>
    <w:rsid w:val="0037562B"/>
    <w:rsid w:val="00382CD6"/>
    <w:rsid w:val="00383AE5"/>
    <w:rsid w:val="00384D20"/>
    <w:rsid w:val="00384EEA"/>
    <w:rsid w:val="0038564B"/>
    <w:rsid w:val="00385B48"/>
    <w:rsid w:val="003868F8"/>
    <w:rsid w:val="00386D8C"/>
    <w:rsid w:val="00390008"/>
    <w:rsid w:val="00390C85"/>
    <w:rsid w:val="00391AFA"/>
    <w:rsid w:val="00393752"/>
    <w:rsid w:val="00394E02"/>
    <w:rsid w:val="003967F6"/>
    <w:rsid w:val="003A276F"/>
    <w:rsid w:val="003A477E"/>
    <w:rsid w:val="003A557B"/>
    <w:rsid w:val="003A62FE"/>
    <w:rsid w:val="003A66C4"/>
    <w:rsid w:val="003A6EC9"/>
    <w:rsid w:val="003B3C9A"/>
    <w:rsid w:val="003B643A"/>
    <w:rsid w:val="003B75FC"/>
    <w:rsid w:val="003C027B"/>
    <w:rsid w:val="003D242B"/>
    <w:rsid w:val="003D39A7"/>
    <w:rsid w:val="003D4B91"/>
    <w:rsid w:val="003D6519"/>
    <w:rsid w:val="003D70DC"/>
    <w:rsid w:val="003D7CF6"/>
    <w:rsid w:val="003E16A7"/>
    <w:rsid w:val="003E34A7"/>
    <w:rsid w:val="003E3F90"/>
    <w:rsid w:val="003E4819"/>
    <w:rsid w:val="003E503E"/>
    <w:rsid w:val="003E6131"/>
    <w:rsid w:val="003E74EE"/>
    <w:rsid w:val="003E7EEA"/>
    <w:rsid w:val="003F034C"/>
    <w:rsid w:val="0040409F"/>
    <w:rsid w:val="004066D1"/>
    <w:rsid w:val="00411CA3"/>
    <w:rsid w:val="00413981"/>
    <w:rsid w:val="00413A17"/>
    <w:rsid w:val="00416385"/>
    <w:rsid w:val="0042140B"/>
    <w:rsid w:val="0042341F"/>
    <w:rsid w:val="00423E6F"/>
    <w:rsid w:val="004266F9"/>
    <w:rsid w:val="004314B5"/>
    <w:rsid w:val="00431720"/>
    <w:rsid w:val="00435C0C"/>
    <w:rsid w:val="00444571"/>
    <w:rsid w:val="004448B1"/>
    <w:rsid w:val="00446235"/>
    <w:rsid w:val="00447FAB"/>
    <w:rsid w:val="0045091C"/>
    <w:rsid w:val="00450A83"/>
    <w:rsid w:val="0045524E"/>
    <w:rsid w:val="00455AFB"/>
    <w:rsid w:val="004563E7"/>
    <w:rsid w:val="00457DC3"/>
    <w:rsid w:val="0046041A"/>
    <w:rsid w:val="00461818"/>
    <w:rsid w:val="00470628"/>
    <w:rsid w:val="00475771"/>
    <w:rsid w:val="0047583B"/>
    <w:rsid w:val="0048158B"/>
    <w:rsid w:val="00481EE9"/>
    <w:rsid w:val="004823D4"/>
    <w:rsid w:val="00483A73"/>
    <w:rsid w:val="004844E3"/>
    <w:rsid w:val="00484F3D"/>
    <w:rsid w:val="00496409"/>
    <w:rsid w:val="004A0162"/>
    <w:rsid w:val="004A0620"/>
    <w:rsid w:val="004B31AE"/>
    <w:rsid w:val="004B354C"/>
    <w:rsid w:val="004B3654"/>
    <w:rsid w:val="004B7F8F"/>
    <w:rsid w:val="004C116F"/>
    <w:rsid w:val="004C5113"/>
    <w:rsid w:val="004C5505"/>
    <w:rsid w:val="004C5532"/>
    <w:rsid w:val="004C73F1"/>
    <w:rsid w:val="004D1526"/>
    <w:rsid w:val="004D2691"/>
    <w:rsid w:val="004D40AD"/>
    <w:rsid w:val="004D4AE4"/>
    <w:rsid w:val="004D5D78"/>
    <w:rsid w:val="004D6451"/>
    <w:rsid w:val="004D7B93"/>
    <w:rsid w:val="004E015D"/>
    <w:rsid w:val="004E111E"/>
    <w:rsid w:val="004E259B"/>
    <w:rsid w:val="004E30B8"/>
    <w:rsid w:val="004E68D7"/>
    <w:rsid w:val="004F1D14"/>
    <w:rsid w:val="004F4067"/>
    <w:rsid w:val="004F5A53"/>
    <w:rsid w:val="004F5C88"/>
    <w:rsid w:val="004F5F7D"/>
    <w:rsid w:val="004F6C6D"/>
    <w:rsid w:val="004F6F1B"/>
    <w:rsid w:val="0050284E"/>
    <w:rsid w:val="005031BE"/>
    <w:rsid w:val="00503B96"/>
    <w:rsid w:val="0050606F"/>
    <w:rsid w:val="00507EC6"/>
    <w:rsid w:val="00513690"/>
    <w:rsid w:val="0051676B"/>
    <w:rsid w:val="00522BD6"/>
    <w:rsid w:val="00525DD3"/>
    <w:rsid w:val="005265A0"/>
    <w:rsid w:val="005325B4"/>
    <w:rsid w:val="00533B46"/>
    <w:rsid w:val="00533B6E"/>
    <w:rsid w:val="00533E4F"/>
    <w:rsid w:val="005369E9"/>
    <w:rsid w:val="00537D2B"/>
    <w:rsid w:val="00537DEE"/>
    <w:rsid w:val="005427F4"/>
    <w:rsid w:val="005431BE"/>
    <w:rsid w:val="00543969"/>
    <w:rsid w:val="00544A0C"/>
    <w:rsid w:val="005452C7"/>
    <w:rsid w:val="00553393"/>
    <w:rsid w:val="00560647"/>
    <w:rsid w:val="00561837"/>
    <w:rsid w:val="00562C1C"/>
    <w:rsid w:val="00564C15"/>
    <w:rsid w:val="005663AD"/>
    <w:rsid w:val="005708BA"/>
    <w:rsid w:val="00570E57"/>
    <w:rsid w:val="00573BED"/>
    <w:rsid w:val="00581C7E"/>
    <w:rsid w:val="005859D6"/>
    <w:rsid w:val="00587DE5"/>
    <w:rsid w:val="005904EE"/>
    <w:rsid w:val="005906A5"/>
    <w:rsid w:val="00592E2C"/>
    <w:rsid w:val="00594561"/>
    <w:rsid w:val="005A083C"/>
    <w:rsid w:val="005A272C"/>
    <w:rsid w:val="005A484D"/>
    <w:rsid w:val="005A6B9A"/>
    <w:rsid w:val="005B030C"/>
    <w:rsid w:val="005B11DF"/>
    <w:rsid w:val="005B5860"/>
    <w:rsid w:val="005B61FD"/>
    <w:rsid w:val="005C14F1"/>
    <w:rsid w:val="005C1F49"/>
    <w:rsid w:val="005C794D"/>
    <w:rsid w:val="005D1E88"/>
    <w:rsid w:val="005D4603"/>
    <w:rsid w:val="005D6F2C"/>
    <w:rsid w:val="005E083E"/>
    <w:rsid w:val="005E1B2D"/>
    <w:rsid w:val="005E3E12"/>
    <w:rsid w:val="005F16D2"/>
    <w:rsid w:val="006059A8"/>
    <w:rsid w:val="00607445"/>
    <w:rsid w:val="00610370"/>
    <w:rsid w:val="0061140A"/>
    <w:rsid w:val="00611D11"/>
    <w:rsid w:val="00613E6C"/>
    <w:rsid w:val="00614876"/>
    <w:rsid w:val="00616C54"/>
    <w:rsid w:val="00617649"/>
    <w:rsid w:val="00632F68"/>
    <w:rsid w:val="00635CE2"/>
    <w:rsid w:val="00636528"/>
    <w:rsid w:val="00636F8A"/>
    <w:rsid w:val="006430A3"/>
    <w:rsid w:val="006466BB"/>
    <w:rsid w:val="00650BCF"/>
    <w:rsid w:val="00650F0C"/>
    <w:rsid w:val="00652009"/>
    <w:rsid w:val="00654009"/>
    <w:rsid w:val="00655C41"/>
    <w:rsid w:val="00657F13"/>
    <w:rsid w:val="00662739"/>
    <w:rsid w:val="00662C89"/>
    <w:rsid w:val="006633E2"/>
    <w:rsid w:val="00663B51"/>
    <w:rsid w:val="006647C4"/>
    <w:rsid w:val="00666ABE"/>
    <w:rsid w:val="00667140"/>
    <w:rsid w:val="0067103C"/>
    <w:rsid w:val="00672890"/>
    <w:rsid w:val="00673AAD"/>
    <w:rsid w:val="006752E2"/>
    <w:rsid w:val="00681AF8"/>
    <w:rsid w:val="00682E36"/>
    <w:rsid w:val="00686C61"/>
    <w:rsid w:val="00690F4C"/>
    <w:rsid w:val="00693191"/>
    <w:rsid w:val="006933BD"/>
    <w:rsid w:val="00696026"/>
    <w:rsid w:val="006966C2"/>
    <w:rsid w:val="00697838"/>
    <w:rsid w:val="006A228A"/>
    <w:rsid w:val="006A483A"/>
    <w:rsid w:val="006B0F31"/>
    <w:rsid w:val="006B13F6"/>
    <w:rsid w:val="006B6425"/>
    <w:rsid w:val="006C1A46"/>
    <w:rsid w:val="006C4237"/>
    <w:rsid w:val="006C43B0"/>
    <w:rsid w:val="006D3BB7"/>
    <w:rsid w:val="006D3C88"/>
    <w:rsid w:val="006D4620"/>
    <w:rsid w:val="006D52DD"/>
    <w:rsid w:val="006D555C"/>
    <w:rsid w:val="006D740C"/>
    <w:rsid w:val="006E142D"/>
    <w:rsid w:val="006E208A"/>
    <w:rsid w:val="006E5C95"/>
    <w:rsid w:val="006E71C9"/>
    <w:rsid w:val="006F334B"/>
    <w:rsid w:val="006F72C7"/>
    <w:rsid w:val="00705DAE"/>
    <w:rsid w:val="007147DA"/>
    <w:rsid w:val="00715785"/>
    <w:rsid w:val="00716C57"/>
    <w:rsid w:val="007222C4"/>
    <w:rsid w:val="0072295A"/>
    <w:rsid w:val="0072353D"/>
    <w:rsid w:val="007236A5"/>
    <w:rsid w:val="007247F4"/>
    <w:rsid w:val="00726A68"/>
    <w:rsid w:val="007312AB"/>
    <w:rsid w:val="007361C2"/>
    <w:rsid w:val="00740148"/>
    <w:rsid w:val="007428FE"/>
    <w:rsid w:val="0074492E"/>
    <w:rsid w:val="00744BDF"/>
    <w:rsid w:val="0074542C"/>
    <w:rsid w:val="00745CF2"/>
    <w:rsid w:val="0075203A"/>
    <w:rsid w:val="0075254A"/>
    <w:rsid w:val="00761826"/>
    <w:rsid w:val="00761C18"/>
    <w:rsid w:val="00764C29"/>
    <w:rsid w:val="00765BD6"/>
    <w:rsid w:val="00767FDB"/>
    <w:rsid w:val="00771068"/>
    <w:rsid w:val="007724E3"/>
    <w:rsid w:val="00784838"/>
    <w:rsid w:val="00784C93"/>
    <w:rsid w:val="00794C1E"/>
    <w:rsid w:val="00796585"/>
    <w:rsid w:val="007965AC"/>
    <w:rsid w:val="007978D1"/>
    <w:rsid w:val="007A2DAB"/>
    <w:rsid w:val="007A5096"/>
    <w:rsid w:val="007A50A7"/>
    <w:rsid w:val="007A530B"/>
    <w:rsid w:val="007A6AB9"/>
    <w:rsid w:val="007A6C12"/>
    <w:rsid w:val="007B3AFA"/>
    <w:rsid w:val="007B4F74"/>
    <w:rsid w:val="007B66F3"/>
    <w:rsid w:val="007B74E2"/>
    <w:rsid w:val="007B7547"/>
    <w:rsid w:val="007C0607"/>
    <w:rsid w:val="007C0853"/>
    <w:rsid w:val="007C2794"/>
    <w:rsid w:val="007C60E2"/>
    <w:rsid w:val="007C7DDA"/>
    <w:rsid w:val="007D18CD"/>
    <w:rsid w:val="007D2397"/>
    <w:rsid w:val="007D56B8"/>
    <w:rsid w:val="007E0602"/>
    <w:rsid w:val="007E1369"/>
    <w:rsid w:val="007E3322"/>
    <w:rsid w:val="007F2C4C"/>
    <w:rsid w:val="007F329A"/>
    <w:rsid w:val="007F5F6E"/>
    <w:rsid w:val="007F6693"/>
    <w:rsid w:val="007F69F7"/>
    <w:rsid w:val="00805E00"/>
    <w:rsid w:val="008128E3"/>
    <w:rsid w:val="00812A6B"/>
    <w:rsid w:val="00813D9D"/>
    <w:rsid w:val="008145A4"/>
    <w:rsid w:val="008159C6"/>
    <w:rsid w:val="0081605E"/>
    <w:rsid w:val="00821983"/>
    <w:rsid w:val="008349C4"/>
    <w:rsid w:val="00835556"/>
    <w:rsid w:val="008401D8"/>
    <w:rsid w:val="008403C2"/>
    <w:rsid w:val="00844396"/>
    <w:rsid w:val="00845A68"/>
    <w:rsid w:val="00851BDC"/>
    <w:rsid w:val="00852497"/>
    <w:rsid w:val="008526D0"/>
    <w:rsid w:val="0085556F"/>
    <w:rsid w:val="00860D47"/>
    <w:rsid w:val="00863C5B"/>
    <w:rsid w:val="00865842"/>
    <w:rsid w:val="0086772F"/>
    <w:rsid w:val="008720A7"/>
    <w:rsid w:val="008722F7"/>
    <w:rsid w:val="00872D88"/>
    <w:rsid w:val="00874DC0"/>
    <w:rsid w:val="00875144"/>
    <w:rsid w:val="008758A6"/>
    <w:rsid w:val="00875DEB"/>
    <w:rsid w:val="00876427"/>
    <w:rsid w:val="008771CE"/>
    <w:rsid w:val="0088062D"/>
    <w:rsid w:val="008854C6"/>
    <w:rsid w:val="008854DB"/>
    <w:rsid w:val="00887182"/>
    <w:rsid w:val="008A07F9"/>
    <w:rsid w:val="008A0BC5"/>
    <w:rsid w:val="008A6879"/>
    <w:rsid w:val="008B2EC2"/>
    <w:rsid w:val="008B4DEC"/>
    <w:rsid w:val="008B56B7"/>
    <w:rsid w:val="008B756A"/>
    <w:rsid w:val="008C67AD"/>
    <w:rsid w:val="008C707D"/>
    <w:rsid w:val="008D6939"/>
    <w:rsid w:val="008D7645"/>
    <w:rsid w:val="008E09A4"/>
    <w:rsid w:val="008F06FF"/>
    <w:rsid w:val="008F6850"/>
    <w:rsid w:val="00900F0D"/>
    <w:rsid w:val="009011C1"/>
    <w:rsid w:val="009120FB"/>
    <w:rsid w:val="0092508D"/>
    <w:rsid w:val="00925C36"/>
    <w:rsid w:val="00926619"/>
    <w:rsid w:val="00927EF7"/>
    <w:rsid w:val="00934770"/>
    <w:rsid w:val="00934E6C"/>
    <w:rsid w:val="00943C4E"/>
    <w:rsid w:val="00945466"/>
    <w:rsid w:val="00945812"/>
    <w:rsid w:val="00946A54"/>
    <w:rsid w:val="00947C36"/>
    <w:rsid w:val="00947FCD"/>
    <w:rsid w:val="0095006C"/>
    <w:rsid w:val="00961092"/>
    <w:rsid w:val="00962B51"/>
    <w:rsid w:val="00963067"/>
    <w:rsid w:val="00971830"/>
    <w:rsid w:val="00973CFD"/>
    <w:rsid w:val="0097554F"/>
    <w:rsid w:val="00975B78"/>
    <w:rsid w:val="00975F59"/>
    <w:rsid w:val="0097685B"/>
    <w:rsid w:val="00981EF8"/>
    <w:rsid w:val="00984932"/>
    <w:rsid w:val="009937D5"/>
    <w:rsid w:val="00996505"/>
    <w:rsid w:val="0099676C"/>
    <w:rsid w:val="009A04D9"/>
    <w:rsid w:val="009A122D"/>
    <w:rsid w:val="009A15CB"/>
    <w:rsid w:val="009A2416"/>
    <w:rsid w:val="009A2C01"/>
    <w:rsid w:val="009A38CE"/>
    <w:rsid w:val="009A4C25"/>
    <w:rsid w:val="009B10FB"/>
    <w:rsid w:val="009B246C"/>
    <w:rsid w:val="009B3ED1"/>
    <w:rsid w:val="009B3EE6"/>
    <w:rsid w:val="009B6874"/>
    <w:rsid w:val="009C04AE"/>
    <w:rsid w:val="009C0B0E"/>
    <w:rsid w:val="009C5CB5"/>
    <w:rsid w:val="009D107D"/>
    <w:rsid w:val="009D3CBC"/>
    <w:rsid w:val="009D53CC"/>
    <w:rsid w:val="009E0E56"/>
    <w:rsid w:val="009E4489"/>
    <w:rsid w:val="009E4BD5"/>
    <w:rsid w:val="009F21CF"/>
    <w:rsid w:val="009F4FF5"/>
    <w:rsid w:val="009F7A10"/>
    <w:rsid w:val="00A019DD"/>
    <w:rsid w:val="00A02F31"/>
    <w:rsid w:val="00A04CFB"/>
    <w:rsid w:val="00A11E93"/>
    <w:rsid w:val="00A20B29"/>
    <w:rsid w:val="00A21F82"/>
    <w:rsid w:val="00A27C67"/>
    <w:rsid w:val="00A32010"/>
    <w:rsid w:val="00A43431"/>
    <w:rsid w:val="00A45235"/>
    <w:rsid w:val="00A45D35"/>
    <w:rsid w:val="00A472E1"/>
    <w:rsid w:val="00A53248"/>
    <w:rsid w:val="00A55B00"/>
    <w:rsid w:val="00A57035"/>
    <w:rsid w:val="00A6216D"/>
    <w:rsid w:val="00A641DA"/>
    <w:rsid w:val="00A65D5E"/>
    <w:rsid w:val="00A6616B"/>
    <w:rsid w:val="00A70901"/>
    <w:rsid w:val="00A747DA"/>
    <w:rsid w:val="00A774CE"/>
    <w:rsid w:val="00A77865"/>
    <w:rsid w:val="00A81EE5"/>
    <w:rsid w:val="00A821E9"/>
    <w:rsid w:val="00A83739"/>
    <w:rsid w:val="00A84421"/>
    <w:rsid w:val="00A85ED5"/>
    <w:rsid w:val="00A86272"/>
    <w:rsid w:val="00A87098"/>
    <w:rsid w:val="00A90685"/>
    <w:rsid w:val="00A912D2"/>
    <w:rsid w:val="00A91EA8"/>
    <w:rsid w:val="00A929D7"/>
    <w:rsid w:val="00A92A35"/>
    <w:rsid w:val="00A95342"/>
    <w:rsid w:val="00A960B8"/>
    <w:rsid w:val="00A96DEF"/>
    <w:rsid w:val="00A979E8"/>
    <w:rsid w:val="00AA2D13"/>
    <w:rsid w:val="00AA38D6"/>
    <w:rsid w:val="00AA3A04"/>
    <w:rsid w:val="00AA5638"/>
    <w:rsid w:val="00AB663F"/>
    <w:rsid w:val="00AB76A7"/>
    <w:rsid w:val="00AC599D"/>
    <w:rsid w:val="00AC5CC5"/>
    <w:rsid w:val="00AD0395"/>
    <w:rsid w:val="00AD15A2"/>
    <w:rsid w:val="00AD317E"/>
    <w:rsid w:val="00AE3FA5"/>
    <w:rsid w:val="00AE4994"/>
    <w:rsid w:val="00AE4BA3"/>
    <w:rsid w:val="00AF0047"/>
    <w:rsid w:val="00AF3ADC"/>
    <w:rsid w:val="00B03B40"/>
    <w:rsid w:val="00B04012"/>
    <w:rsid w:val="00B06902"/>
    <w:rsid w:val="00B108AA"/>
    <w:rsid w:val="00B11C37"/>
    <w:rsid w:val="00B12E99"/>
    <w:rsid w:val="00B150D9"/>
    <w:rsid w:val="00B179F1"/>
    <w:rsid w:val="00B21587"/>
    <w:rsid w:val="00B22915"/>
    <w:rsid w:val="00B4119E"/>
    <w:rsid w:val="00B411A8"/>
    <w:rsid w:val="00B44F32"/>
    <w:rsid w:val="00B50A56"/>
    <w:rsid w:val="00B53A93"/>
    <w:rsid w:val="00B55ED8"/>
    <w:rsid w:val="00B5603D"/>
    <w:rsid w:val="00B56FC0"/>
    <w:rsid w:val="00B609E0"/>
    <w:rsid w:val="00B64CA3"/>
    <w:rsid w:val="00B6649A"/>
    <w:rsid w:val="00B66F36"/>
    <w:rsid w:val="00B87471"/>
    <w:rsid w:val="00B9026F"/>
    <w:rsid w:val="00B920CE"/>
    <w:rsid w:val="00B935BB"/>
    <w:rsid w:val="00B952DC"/>
    <w:rsid w:val="00B97DF3"/>
    <w:rsid w:val="00BA0A27"/>
    <w:rsid w:val="00BA6734"/>
    <w:rsid w:val="00BB35CE"/>
    <w:rsid w:val="00BB3749"/>
    <w:rsid w:val="00BB6493"/>
    <w:rsid w:val="00BD0A22"/>
    <w:rsid w:val="00BD458A"/>
    <w:rsid w:val="00BD5E93"/>
    <w:rsid w:val="00BE34E4"/>
    <w:rsid w:val="00BE3FC6"/>
    <w:rsid w:val="00BF01E8"/>
    <w:rsid w:val="00BF0D32"/>
    <w:rsid w:val="00BF142A"/>
    <w:rsid w:val="00BF6D53"/>
    <w:rsid w:val="00C01856"/>
    <w:rsid w:val="00C01894"/>
    <w:rsid w:val="00C01A1A"/>
    <w:rsid w:val="00C11BB1"/>
    <w:rsid w:val="00C12797"/>
    <w:rsid w:val="00C30A80"/>
    <w:rsid w:val="00C31FEB"/>
    <w:rsid w:val="00C360F7"/>
    <w:rsid w:val="00C362B0"/>
    <w:rsid w:val="00C36304"/>
    <w:rsid w:val="00C409E3"/>
    <w:rsid w:val="00C4124B"/>
    <w:rsid w:val="00C413AF"/>
    <w:rsid w:val="00C41937"/>
    <w:rsid w:val="00C43CFD"/>
    <w:rsid w:val="00C44687"/>
    <w:rsid w:val="00C455D4"/>
    <w:rsid w:val="00C45C3D"/>
    <w:rsid w:val="00C47279"/>
    <w:rsid w:val="00C5254D"/>
    <w:rsid w:val="00C52A0C"/>
    <w:rsid w:val="00C52AFC"/>
    <w:rsid w:val="00C57A93"/>
    <w:rsid w:val="00C662FA"/>
    <w:rsid w:val="00C6691D"/>
    <w:rsid w:val="00C67B0E"/>
    <w:rsid w:val="00C67CD4"/>
    <w:rsid w:val="00C70269"/>
    <w:rsid w:val="00C7257C"/>
    <w:rsid w:val="00C75363"/>
    <w:rsid w:val="00C77CE8"/>
    <w:rsid w:val="00C8046B"/>
    <w:rsid w:val="00C807D3"/>
    <w:rsid w:val="00C81305"/>
    <w:rsid w:val="00C82394"/>
    <w:rsid w:val="00C86058"/>
    <w:rsid w:val="00C923E2"/>
    <w:rsid w:val="00C94176"/>
    <w:rsid w:val="00C9472A"/>
    <w:rsid w:val="00C95924"/>
    <w:rsid w:val="00C9792F"/>
    <w:rsid w:val="00CA0CE1"/>
    <w:rsid w:val="00CA2175"/>
    <w:rsid w:val="00CA3290"/>
    <w:rsid w:val="00CA4E3B"/>
    <w:rsid w:val="00CA671D"/>
    <w:rsid w:val="00CA7C23"/>
    <w:rsid w:val="00CB0554"/>
    <w:rsid w:val="00CB476B"/>
    <w:rsid w:val="00CB4A31"/>
    <w:rsid w:val="00CB5765"/>
    <w:rsid w:val="00CB6AF3"/>
    <w:rsid w:val="00CB78E6"/>
    <w:rsid w:val="00CB7F9F"/>
    <w:rsid w:val="00CD08C9"/>
    <w:rsid w:val="00CD2029"/>
    <w:rsid w:val="00CD4E99"/>
    <w:rsid w:val="00CE16BC"/>
    <w:rsid w:val="00CE2BC7"/>
    <w:rsid w:val="00CE6337"/>
    <w:rsid w:val="00CF0336"/>
    <w:rsid w:val="00CF10ED"/>
    <w:rsid w:val="00CF2072"/>
    <w:rsid w:val="00CF259D"/>
    <w:rsid w:val="00CF2778"/>
    <w:rsid w:val="00CF2C2B"/>
    <w:rsid w:val="00CF60FB"/>
    <w:rsid w:val="00D129E5"/>
    <w:rsid w:val="00D13E26"/>
    <w:rsid w:val="00D1436A"/>
    <w:rsid w:val="00D14933"/>
    <w:rsid w:val="00D14F32"/>
    <w:rsid w:val="00D15CC9"/>
    <w:rsid w:val="00D17ED6"/>
    <w:rsid w:val="00D26647"/>
    <w:rsid w:val="00D27D84"/>
    <w:rsid w:val="00D33222"/>
    <w:rsid w:val="00D33C05"/>
    <w:rsid w:val="00D40818"/>
    <w:rsid w:val="00D41E5C"/>
    <w:rsid w:val="00D42FFE"/>
    <w:rsid w:val="00D454D7"/>
    <w:rsid w:val="00D50343"/>
    <w:rsid w:val="00D50F2C"/>
    <w:rsid w:val="00D522F8"/>
    <w:rsid w:val="00D550EF"/>
    <w:rsid w:val="00D5587D"/>
    <w:rsid w:val="00D60911"/>
    <w:rsid w:val="00D639E4"/>
    <w:rsid w:val="00D63CEA"/>
    <w:rsid w:val="00D649EC"/>
    <w:rsid w:val="00D74C86"/>
    <w:rsid w:val="00D7527D"/>
    <w:rsid w:val="00D809C5"/>
    <w:rsid w:val="00D813D6"/>
    <w:rsid w:val="00D82936"/>
    <w:rsid w:val="00D87E98"/>
    <w:rsid w:val="00D91A32"/>
    <w:rsid w:val="00D973BF"/>
    <w:rsid w:val="00DA34CD"/>
    <w:rsid w:val="00DA7BE1"/>
    <w:rsid w:val="00DB2BAA"/>
    <w:rsid w:val="00DB2CD9"/>
    <w:rsid w:val="00DB7BA9"/>
    <w:rsid w:val="00DB7BAE"/>
    <w:rsid w:val="00DC0AB2"/>
    <w:rsid w:val="00DC0C0F"/>
    <w:rsid w:val="00DC27DA"/>
    <w:rsid w:val="00DC41C7"/>
    <w:rsid w:val="00DC6664"/>
    <w:rsid w:val="00DD0585"/>
    <w:rsid w:val="00DD171E"/>
    <w:rsid w:val="00DE013B"/>
    <w:rsid w:val="00DE0CAD"/>
    <w:rsid w:val="00DE3F63"/>
    <w:rsid w:val="00DE4951"/>
    <w:rsid w:val="00DE67A1"/>
    <w:rsid w:val="00DE7856"/>
    <w:rsid w:val="00DF0845"/>
    <w:rsid w:val="00DF17DD"/>
    <w:rsid w:val="00DF4427"/>
    <w:rsid w:val="00E004A8"/>
    <w:rsid w:val="00E00D8D"/>
    <w:rsid w:val="00E01BE8"/>
    <w:rsid w:val="00E04112"/>
    <w:rsid w:val="00E13EF5"/>
    <w:rsid w:val="00E14F17"/>
    <w:rsid w:val="00E16E82"/>
    <w:rsid w:val="00E2682F"/>
    <w:rsid w:val="00E31715"/>
    <w:rsid w:val="00E32D23"/>
    <w:rsid w:val="00E33F68"/>
    <w:rsid w:val="00E36154"/>
    <w:rsid w:val="00E40566"/>
    <w:rsid w:val="00E463EB"/>
    <w:rsid w:val="00E50F7D"/>
    <w:rsid w:val="00E511FF"/>
    <w:rsid w:val="00E5155B"/>
    <w:rsid w:val="00E522F1"/>
    <w:rsid w:val="00E52498"/>
    <w:rsid w:val="00E5373E"/>
    <w:rsid w:val="00E5391B"/>
    <w:rsid w:val="00E53B29"/>
    <w:rsid w:val="00E53B32"/>
    <w:rsid w:val="00E61020"/>
    <w:rsid w:val="00E6243C"/>
    <w:rsid w:val="00E629A4"/>
    <w:rsid w:val="00E63577"/>
    <w:rsid w:val="00E64B37"/>
    <w:rsid w:val="00E653BA"/>
    <w:rsid w:val="00E729BF"/>
    <w:rsid w:val="00E91E19"/>
    <w:rsid w:val="00E933ED"/>
    <w:rsid w:val="00E93B5A"/>
    <w:rsid w:val="00E94020"/>
    <w:rsid w:val="00E95FD4"/>
    <w:rsid w:val="00E96A19"/>
    <w:rsid w:val="00E9751E"/>
    <w:rsid w:val="00EA0807"/>
    <w:rsid w:val="00EA2C02"/>
    <w:rsid w:val="00EA4EA2"/>
    <w:rsid w:val="00EA55FC"/>
    <w:rsid w:val="00EA64F2"/>
    <w:rsid w:val="00EB1430"/>
    <w:rsid w:val="00EB2883"/>
    <w:rsid w:val="00EB6C72"/>
    <w:rsid w:val="00EC0E7E"/>
    <w:rsid w:val="00EC16CA"/>
    <w:rsid w:val="00EC4E31"/>
    <w:rsid w:val="00EC59EC"/>
    <w:rsid w:val="00ED0FA4"/>
    <w:rsid w:val="00ED2BDE"/>
    <w:rsid w:val="00ED3833"/>
    <w:rsid w:val="00ED66B6"/>
    <w:rsid w:val="00ED6FCA"/>
    <w:rsid w:val="00EE04E5"/>
    <w:rsid w:val="00EE31D3"/>
    <w:rsid w:val="00EE34F1"/>
    <w:rsid w:val="00EE6082"/>
    <w:rsid w:val="00EE748F"/>
    <w:rsid w:val="00EE75F4"/>
    <w:rsid w:val="00EF0540"/>
    <w:rsid w:val="00EF1D90"/>
    <w:rsid w:val="00EF28B7"/>
    <w:rsid w:val="00EF6144"/>
    <w:rsid w:val="00F017E2"/>
    <w:rsid w:val="00F03111"/>
    <w:rsid w:val="00F04A65"/>
    <w:rsid w:val="00F07DDD"/>
    <w:rsid w:val="00F150B6"/>
    <w:rsid w:val="00F16A16"/>
    <w:rsid w:val="00F23874"/>
    <w:rsid w:val="00F26D1B"/>
    <w:rsid w:val="00F31D33"/>
    <w:rsid w:val="00F332D6"/>
    <w:rsid w:val="00F34512"/>
    <w:rsid w:val="00F352AA"/>
    <w:rsid w:val="00F36E3B"/>
    <w:rsid w:val="00F40F76"/>
    <w:rsid w:val="00F4356B"/>
    <w:rsid w:val="00F45E7B"/>
    <w:rsid w:val="00F46F9F"/>
    <w:rsid w:val="00F54D3F"/>
    <w:rsid w:val="00F55A5D"/>
    <w:rsid w:val="00F56B00"/>
    <w:rsid w:val="00F57B62"/>
    <w:rsid w:val="00F628B1"/>
    <w:rsid w:val="00F67381"/>
    <w:rsid w:val="00F72C5D"/>
    <w:rsid w:val="00F72DEB"/>
    <w:rsid w:val="00F759CF"/>
    <w:rsid w:val="00F84FE8"/>
    <w:rsid w:val="00F90EAE"/>
    <w:rsid w:val="00F91A47"/>
    <w:rsid w:val="00F92BAC"/>
    <w:rsid w:val="00F93741"/>
    <w:rsid w:val="00F937B5"/>
    <w:rsid w:val="00F93946"/>
    <w:rsid w:val="00F94C35"/>
    <w:rsid w:val="00F96F2E"/>
    <w:rsid w:val="00FA7FEC"/>
    <w:rsid w:val="00FB744F"/>
    <w:rsid w:val="00FB756E"/>
    <w:rsid w:val="00FC164F"/>
    <w:rsid w:val="00FC33CC"/>
    <w:rsid w:val="00FD0BBE"/>
    <w:rsid w:val="00FD4355"/>
    <w:rsid w:val="00FD5F6D"/>
    <w:rsid w:val="00FD61F5"/>
    <w:rsid w:val="00FE3B3D"/>
    <w:rsid w:val="00FE7095"/>
    <w:rsid w:val="00FE7D3D"/>
    <w:rsid w:val="00FF2941"/>
    <w:rsid w:val="00FF50F3"/>
    <w:rsid w:val="013637D1"/>
    <w:rsid w:val="01690AE1"/>
    <w:rsid w:val="01911920"/>
    <w:rsid w:val="01944054"/>
    <w:rsid w:val="0195144F"/>
    <w:rsid w:val="01A16F03"/>
    <w:rsid w:val="0216066F"/>
    <w:rsid w:val="0233386D"/>
    <w:rsid w:val="023D1E4D"/>
    <w:rsid w:val="027345B1"/>
    <w:rsid w:val="029D5ED9"/>
    <w:rsid w:val="02A64BDC"/>
    <w:rsid w:val="030A3C9F"/>
    <w:rsid w:val="030A6CC4"/>
    <w:rsid w:val="03581529"/>
    <w:rsid w:val="03584B58"/>
    <w:rsid w:val="040530C2"/>
    <w:rsid w:val="040E5683"/>
    <w:rsid w:val="04421053"/>
    <w:rsid w:val="04446205"/>
    <w:rsid w:val="04934A97"/>
    <w:rsid w:val="04C04C52"/>
    <w:rsid w:val="052E47BF"/>
    <w:rsid w:val="05722D2C"/>
    <w:rsid w:val="05AD3936"/>
    <w:rsid w:val="066E57BB"/>
    <w:rsid w:val="068F658C"/>
    <w:rsid w:val="06996F06"/>
    <w:rsid w:val="06CB49BC"/>
    <w:rsid w:val="070D637B"/>
    <w:rsid w:val="083D5445"/>
    <w:rsid w:val="085F79FA"/>
    <w:rsid w:val="09137F54"/>
    <w:rsid w:val="093F343F"/>
    <w:rsid w:val="09AF67D4"/>
    <w:rsid w:val="09F53382"/>
    <w:rsid w:val="0A51342A"/>
    <w:rsid w:val="0A762E91"/>
    <w:rsid w:val="0A8552D7"/>
    <w:rsid w:val="0A973FDD"/>
    <w:rsid w:val="0AA23C86"/>
    <w:rsid w:val="0B1B2552"/>
    <w:rsid w:val="0B4E5BBB"/>
    <w:rsid w:val="0B5A00BC"/>
    <w:rsid w:val="0B6158EF"/>
    <w:rsid w:val="0BA13F3D"/>
    <w:rsid w:val="0C0F534B"/>
    <w:rsid w:val="0C9D4705"/>
    <w:rsid w:val="0CA535B9"/>
    <w:rsid w:val="0D33399D"/>
    <w:rsid w:val="0D906017"/>
    <w:rsid w:val="0DAF0B93"/>
    <w:rsid w:val="0DB31D06"/>
    <w:rsid w:val="0DE353AE"/>
    <w:rsid w:val="0E1A63DB"/>
    <w:rsid w:val="0E232DDD"/>
    <w:rsid w:val="0E5A03D3"/>
    <w:rsid w:val="0E6179B4"/>
    <w:rsid w:val="0F6A2898"/>
    <w:rsid w:val="0FA1450C"/>
    <w:rsid w:val="102664FC"/>
    <w:rsid w:val="102B64CB"/>
    <w:rsid w:val="10525806"/>
    <w:rsid w:val="10563548"/>
    <w:rsid w:val="10657457"/>
    <w:rsid w:val="106F0166"/>
    <w:rsid w:val="10790FE5"/>
    <w:rsid w:val="10857989"/>
    <w:rsid w:val="10B8454F"/>
    <w:rsid w:val="115F467E"/>
    <w:rsid w:val="1191235E"/>
    <w:rsid w:val="11DF30C9"/>
    <w:rsid w:val="12435D4E"/>
    <w:rsid w:val="12CA7A56"/>
    <w:rsid w:val="13E42447"/>
    <w:rsid w:val="14942891"/>
    <w:rsid w:val="14AD5A2E"/>
    <w:rsid w:val="154F0566"/>
    <w:rsid w:val="15A57CB6"/>
    <w:rsid w:val="15B759C4"/>
    <w:rsid w:val="15BD5E17"/>
    <w:rsid w:val="160B0931"/>
    <w:rsid w:val="16B37355"/>
    <w:rsid w:val="16F13FCB"/>
    <w:rsid w:val="177D6416"/>
    <w:rsid w:val="179418C2"/>
    <w:rsid w:val="17BB6387"/>
    <w:rsid w:val="17BD1E3F"/>
    <w:rsid w:val="17BE19D3"/>
    <w:rsid w:val="17C36FE9"/>
    <w:rsid w:val="182E7A7E"/>
    <w:rsid w:val="183B3024"/>
    <w:rsid w:val="18754787"/>
    <w:rsid w:val="18833533"/>
    <w:rsid w:val="18B9473F"/>
    <w:rsid w:val="19033B41"/>
    <w:rsid w:val="191B0DA1"/>
    <w:rsid w:val="191B532F"/>
    <w:rsid w:val="19573E8D"/>
    <w:rsid w:val="19F7067A"/>
    <w:rsid w:val="1A736AA5"/>
    <w:rsid w:val="1A8864AE"/>
    <w:rsid w:val="1AD45E89"/>
    <w:rsid w:val="1B0D0CA7"/>
    <w:rsid w:val="1B617245"/>
    <w:rsid w:val="1B7F31F5"/>
    <w:rsid w:val="1B9C64CF"/>
    <w:rsid w:val="1BB05AD7"/>
    <w:rsid w:val="1C1C09E5"/>
    <w:rsid w:val="1C2426B7"/>
    <w:rsid w:val="1C6159B2"/>
    <w:rsid w:val="1C6F4602"/>
    <w:rsid w:val="1C6F7740"/>
    <w:rsid w:val="1C7D1E5D"/>
    <w:rsid w:val="1C8C02F2"/>
    <w:rsid w:val="1CE43C8A"/>
    <w:rsid w:val="1D271DC8"/>
    <w:rsid w:val="1D5F5A06"/>
    <w:rsid w:val="1D6E4399"/>
    <w:rsid w:val="1DCB6BF8"/>
    <w:rsid w:val="1DCF0496"/>
    <w:rsid w:val="1E112869"/>
    <w:rsid w:val="1E677EBF"/>
    <w:rsid w:val="1E9810D7"/>
    <w:rsid w:val="1EED5F84"/>
    <w:rsid w:val="1F6115C2"/>
    <w:rsid w:val="1FD63720"/>
    <w:rsid w:val="1FF22FB9"/>
    <w:rsid w:val="20146634"/>
    <w:rsid w:val="206F1C9D"/>
    <w:rsid w:val="20713A86"/>
    <w:rsid w:val="207E61A3"/>
    <w:rsid w:val="20B10327"/>
    <w:rsid w:val="20C672AE"/>
    <w:rsid w:val="210E7527"/>
    <w:rsid w:val="2169228F"/>
    <w:rsid w:val="21717AB6"/>
    <w:rsid w:val="21A1039B"/>
    <w:rsid w:val="21A734D8"/>
    <w:rsid w:val="21C80CCE"/>
    <w:rsid w:val="222A213F"/>
    <w:rsid w:val="226B2757"/>
    <w:rsid w:val="228F5B46"/>
    <w:rsid w:val="22940D16"/>
    <w:rsid w:val="22A23018"/>
    <w:rsid w:val="22BB39A6"/>
    <w:rsid w:val="23C224F3"/>
    <w:rsid w:val="23DE53DF"/>
    <w:rsid w:val="2412732E"/>
    <w:rsid w:val="24782AD4"/>
    <w:rsid w:val="24C30219"/>
    <w:rsid w:val="24D82326"/>
    <w:rsid w:val="253B4663"/>
    <w:rsid w:val="25B76202"/>
    <w:rsid w:val="25D7675A"/>
    <w:rsid w:val="25DC4098"/>
    <w:rsid w:val="26494463"/>
    <w:rsid w:val="26785D97"/>
    <w:rsid w:val="26A80C5D"/>
    <w:rsid w:val="26CC2BCF"/>
    <w:rsid w:val="27392E24"/>
    <w:rsid w:val="275859A0"/>
    <w:rsid w:val="276D51A0"/>
    <w:rsid w:val="27E509B7"/>
    <w:rsid w:val="27EB2370"/>
    <w:rsid w:val="27F136FF"/>
    <w:rsid w:val="28445F24"/>
    <w:rsid w:val="289406A2"/>
    <w:rsid w:val="28AD1D1C"/>
    <w:rsid w:val="28C663BF"/>
    <w:rsid w:val="28CF57EE"/>
    <w:rsid w:val="28D728F5"/>
    <w:rsid w:val="28F6108D"/>
    <w:rsid w:val="290E67A2"/>
    <w:rsid w:val="295C3484"/>
    <w:rsid w:val="2A3C192C"/>
    <w:rsid w:val="2A5C1303"/>
    <w:rsid w:val="2A704DAF"/>
    <w:rsid w:val="2A756869"/>
    <w:rsid w:val="2A7E3970"/>
    <w:rsid w:val="2B1C4BAB"/>
    <w:rsid w:val="2B77216D"/>
    <w:rsid w:val="2BCF3D57"/>
    <w:rsid w:val="2BD4136D"/>
    <w:rsid w:val="2BE0560C"/>
    <w:rsid w:val="2BEF61A7"/>
    <w:rsid w:val="2C11611D"/>
    <w:rsid w:val="2C461B91"/>
    <w:rsid w:val="2C7212B2"/>
    <w:rsid w:val="2C8D6F52"/>
    <w:rsid w:val="2CB43679"/>
    <w:rsid w:val="2CBC077F"/>
    <w:rsid w:val="2CD418C9"/>
    <w:rsid w:val="2CF03F85"/>
    <w:rsid w:val="2CF577ED"/>
    <w:rsid w:val="2D046680"/>
    <w:rsid w:val="2D2545EB"/>
    <w:rsid w:val="2D864B15"/>
    <w:rsid w:val="2DA52FC1"/>
    <w:rsid w:val="2DBB67A8"/>
    <w:rsid w:val="2DBD0EC3"/>
    <w:rsid w:val="2E093550"/>
    <w:rsid w:val="2E3031D3"/>
    <w:rsid w:val="2E60513A"/>
    <w:rsid w:val="2E9514D7"/>
    <w:rsid w:val="2ED40002"/>
    <w:rsid w:val="2F171C9D"/>
    <w:rsid w:val="2F754C15"/>
    <w:rsid w:val="2F7D33FF"/>
    <w:rsid w:val="301D19FF"/>
    <w:rsid w:val="3049057C"/>
    <w:rsid w:val="30564A47"/>
    <w:rsid w:val="307A24E3"/>
    <w:rsid w:val="30963095"/>
    <w:rsid w:val="30A92DC8"/>
    <w:rsid w:val="30F60559"/>
    <w:rsid w:val="310E5EDD"/>
    <w:rsid w:val="312863E3"/>
    <w:rsid w:val="312D57A8"/>
    <w:rsid w:val="3152520E"/>
    <w:rsid w:val="31837ABD"/>
    <w:rsid w:val="323D13A3"/>
    <w:rsid w:val="326351F9"/>
    <w:rsid w:val="326F60FE"/>
    <w:rsid w:val="327D3BE6"/>
    <w:rsid w:val="32935ADE"/>
    <w:rsid w:val="32B37F2E"/>
    <w:rsid w:val="32F303BF"/>
    <w:rsid w:val="32FD73FC"/>
    <w:rsid w:val="334F40FB"/>
    <w:rsid w:val="33A03224"/>
    <w:rsid w:val="33F425AD"/>
    <w:rsid w:val="345179FF"/>
    <w:rsid w:val="34580D8D"/>
    <w:rsid w:val="3484600B"/>
    <w:rsid w:val="349D1EA9"/>
    <w:rsid w:val="34B90ADC"/>
    <w:rsid w:val="34FF745B"/>
    <w:rsid w:val="350C7949"/>
    <w:rsid w:val="353D61D5"/>
    <w:rsid w:val="356E638F"/>
    <w:rsid w:val="35702107"/>
    <w:rsid w:val="35AF41A6"/>
    <w:rsid w:val="36237179"/>
    <w:rsid w:val="363B35DD"/>
    <w:rsid w:val="3675208B"/>
    <w:rsid w:val="36B8299D"/>
    <w:rsid w:val="36C02C1A"/>
    <w:rsid w:val="37022F00"/>
    <w:rsid w:val="37976071"/>
    <w:rsid w:val="37A16D51"/>
    <w:rsid w:val="37D270A9"/>
    <w:rsid w:val="38105987"/>
    <w:rsid w:val="38667EC5"/>
    <w:rsid w:val="38991974"/>
    <w:rsid w:val="389E0841"/>
    <w:rsid w:val="38AC16A8"/>
    <w:rsid w:val="38B7004D"/>
    <w:rsid w:val="38EE7F12"/>
    <w:rsid w:val="38F44DFD"/>
    <w:rsid w:val="394C69E7"/>
    <w:rsid w:val="39636CCE"/>
    <w:rsid w:val="3995265A"/>
    <w:rsid w:val="39D07618"/>
    <w:rsid w:val="3A0F4562"/>
    <w:rsid w:val="3A617529"/>
    <w:rsid w:val="3B2C2F74"/>
    <w:rsid w:val="3B405F2E"/>
    <w:rsid w:val="3B7641EF"/>
    <w:rsid w:val="3B7B298C"/>
    <w:rsid w:val="3BAB3E99"/>
    <w:rsid w:val="3BC34118"/>
    <w:rsid w:val="3BEC625F"/>
    <w:rsid w:val="3C101F4E"/>
    <w:rsid w:val="3C6726C9"/>
    <w:rsid w:val="3C78634B"/>
    <w:rsid w:val="3C892736"/>
    <w:rsid w:val="3CB23005"/>
    <w:rsid w:val="3D452CE3"/>
    <w:rsid w:val="3D976D74"/>
    <w:rsid w:val="3DC2196D"/>
    <w:rsid w:val="3DC853B3"/>
    <w:rsid w:val="3E2E2B5F"/>
    <w:rsid w:val="3ECA2AA8"/>
    <w:rsid w:val="3F0538C0"/>
    <w:rsid w:val="3F1706F6"/>
    <w:rsid w:val="3F2A77CA"/>
    <w:rsid w:val="3F4076F5"/>
    <w:rsid w:val="3F6C393F"/>
    <w:rsid w:val="3F980BD8"/>
    <w:rsid w:val="3FAE03FB"/>
    <w:rsid w:val="3FD00372"/>
    <w:rsid w:val="406C796F"/>
    <w:rsid w:val="40AD4102"/>
    <w:rsid w:val="41166258"/>
    <w:rsid w:val="41894C7C"/>
    <w:rsid w:val="42196C84"/>
    <w:rsid w:val="423A7D24"/>
    <w:rsid w:val="43452E25"/>
    <w:rsid w:val="43761230"/>
    <w:rsid w:val="43B540BA"/>
    <w:rsid w:val="43E443EC"/>
    <w:rsid w:val="44290050"/>
    <w:rsid w:val="443118AE"/>
    <w:rsid w:val="445B21D4"/>
    <w:rsid w:val="446666E9"/>
    <w:rsid w:val="447134B6"/>
    <w:rsid w:val="44F30F65"/>
    <w:rsid w:val="456450B8"/>
    <w:rsid w:val="456B32E3"/>
    <w:rsid w:val="45BB117C"/>
    <w:rsid w:val="45DE4E6B"/>
    <w:rsid w:val="45E27F10"/>
    <w:rsid w:val="463A7DBE"/>
    <w:rsid w:val="464A2500"/>
    <w:rsid w:val="464A7F14"/>
    <w:rsid w:val="46935C55"/>
    <w:rsid w:val="46AC6D17"/>
    <w:rsid w:val="46F36F75"/>
    <w:rsid w:val="471817A8"/>
    <w:rsid w:val="47280494"/>
    <w:rsid w:val="47BE372E"/>
    <w:rsid w:val="48846D6F"/>
    <w:rsid w:val="4890281C"/>
    <w:rsid w:val="48910106"/>
    <w:rsid w:val="48A95C04"/>
    <w:rsid w:val="48B3438D"/>
    <w:rsid w:val="48C77E38"/>
    <w:rsid w:val="48F04953"/>
    <w:rsid w:val="490746D8"/>
    <w:rsid w:val="495E079C"/>
    <w:rsid w:val="49D2223A"/>
    <w:rsid w:val="4A05330E"/>
    <w:rsid w:val="4A4F6337"/>
    <w:rsid w:val="4A527BD5"/>
    <w:rsid w:val="4A7379E2"/>
    <w:rsid w:val="4A9401EE"/>
    <w:rsid w:val="4ABE2EB5"/>
    <w:rsid w:val="4ADC1B12"/>
    <w:rsid w:val="4B62209A"/>
    <w:rsid w:val="4B8151EF"/>
    <w:rsid w:val="4BAB1C93"/>
    <w:rsid w:val="4BE9528C"/>
    <w:rsid w:val="4C1155A4"/>
    <w:rsid w:val="4C4B0D80"/>
    <w:rsid w:val="4C690D8A"/>
    <w:rsid w:val="4CBE68CB"/>
    <w:rsid w:val="4D0E072B"/>
    <w:rsid w:val="4D203FBB"/>
    <w:rsid w:val="4E063DF1"/>
    <w:rsid w:val="4E2F2707"/>
    <w:rsid w:val="4E375A60"/>
    <w:rsid w:val="4E3C4FB1"/>
    <w:rsid w:val="4F42290E"/>
    <w:rsid w:val="4F8545A9"/>
    <w:rsid w:val="4F9C3DCC"/>
    <w:rsid w:val="4FA96E38"/>
    <w:rsid w:val="4FE67C5A"/>
    <w:rsid w:val="501658DF"/>
    <w:rsid w:val="505A526C"/>
    <w:rsid w:val="505D50B8"/>
    <w:rsid w:val="508D1CBB"/>
    <w:rsid w:val="50AA42C7"/>
    <w:rsid w:val="514E559A"/>
    <w:rsid w:val="51A21442"/>
    <w:rsid w:val="51B30516"/>
    <w:rsid w:val="521045FE"/>
    <w:rsid w:val="52223896"/>
    <w:rsid w:val="527C2E63"/>
    <w:rsid w:val="527D38F3"/>
    <w:rsid w:val="532C190B"/>
    <w:rsid w:val="53334C23"/>
    <w:rsid w:val="53530819"/>
    <w:rsid w:val="53963229"/>
    <w:rsid w:val="53A809DE"/>
    <w:rsid w:val="53C54C16"/>
    <w:rsid w:val="541505F1"/>
    <w:rsid w:val="542B1BC3"/>
    <w:rsid w:val="544D38E7"/>
    <w:rsid w:val="54530666"/>
    <w:rsid w:val="54A61249"/>
    <w:rsid w:val="54B90F7D"/>
    <w:rsid w:val="54E3249D"/>
    <w:rsid w:val="54E86941"/>
    <w:rsid w:val="55102AA8"/>
    <w:rsid w:val="555B2034"/>
    <w:rsid w:val="55AF05D2"/>
    <w:rsid w:val="55B45BC3"/>
    <w:rsid w:val="569A6B8C"/>
    <w:rsid w:val="56BC4D54"/>
    <w:rsid w:val="56D976B4"/>
    <w:rsid w:val="57791B4D"/>
    <w:rsid w:val="58042D01"/>
    <w:rsid w:val="5845465A"/>
    <w:rsid w:val="589A34D9"/>
    <w:rsid w:val="58A40196"/>
    <w:rsid w:val="58A6099E"/>
    <w:rsid w:val="58B71BBF"/>
    <w:rsid w:val="58CF4710"/>
    <w:rsid w:val="58DC348C"/>
    <w:rsid w:val="590E560F"/>
    <w:rsid w:val="59B6738F"/>
    <w:rsid w:val="59E92304"/>
    <w:rsid w:val="5A07278A"/>
    <w:rsid w:val="5AAB1367"/>
    <w:rsid w:val="5AC94E7D"/>
    <w:rsid w:val="5AE64A95"/>
    <w:rsid w:val="5B5E462C"/>
    <w:rsid w:val="5B765E19"/>
    <w:rsid w:val="5B824F5E"/>
    <w:rsid w:val="5B860BB6"/>
    <w:rsid w:val="5B920779"/>
    <w:rsid w:val="5B991B08"/>
    <w:rsid w:val="5BEB320A"/>
    <w:rsid w:val="5BFB00CD"/>
    <w:rsid w:val="5C214335"/>
    <w:rsid w:val="5C705CBE"/>
    <w:rsid w:val="5C841E70"/>
    <w:rsid w:val="5CCB662E"/>
    <w:rsid w:val="5D0B07E3"/>
    <w:rsid w:val="5D25175A"/>
    <w:rsid w:val="5D323FC2"/>
    <w:rsid w:val="5D9702C9"/>
    <w:rsid w:val="5DB5733E"/>
    <w:rsid w:val="5DD93623"/>
    <w:rsid w:val="5DFE5C52"/>
    <w:rsid w:val="5E076C22"/>
    <w:rsid w:val="5E317DD6"/>
    <w:rsid w:val="5E7121F6"/>
    <w:rsid w:val="5E7F6BFF"/>
    <w:rsid w:val="5EC944B2"/>
    <w:rsid w:val="5ED82947"/>
    <w:rsid w:val="5EF332DD"/>
    <w:rsid w:val="5F513ACC"/>
    <w:rsid w:val="5F9971C4"/>
    <w:rsid w:val="5FC636BA"/>
    <w:rsid w:val="5FCA6734"/>
    <w:rsid w:val="5FCE0393"/>
    <w:rsid w:val="5FCF78A6"/>
    <w:rsid w:val="6005151A"/>
    <w:rsid w:val="60367925"/>
    <w:rsid w:val="60EB4BB4"/>
    <w:rsid w:val="614909B6"/>
    <w:rsid w:val="61785AA0"/>
    <w:rsid w:val="61AC33F3"/>
    <w:rsid w:val="61DF5D9B"/>
    <w:rsid w:val="61F47A98"/>
    <w:rsid w:val="62052780"/>
    <w:rsid w:val="62473B63"/>
    <w:rsid w:val="627D0BD0"/>
    <w:rsid w:val="62A267FF"/>
    <w:rsid w:val="62DB0C58"/>
    <w:rsid w:val="6317320A"/>
    <w:rsid w:val="63354203"/>
    <w:rsid w:val="63BF18F5"/>
    <w:rsid w:val="63E45722"/>
    <w:rsid w:val="63E6501D"/>
    <w:rsid w:val="64C36A3C"/>
    <w:rsid w:val="64D15E6F"/>
    <w:rsid w:val="64F51B8A"/>
    <w:rsid w:val="65167D25"/>
    <w:rsid w:val="65420B1A"/>
    <w:rsid w:val="65D8322D"/>
    <w:rsid w:val="65DE236C"/>
    <w:rsid w:val="65F8742B"/>
    <w:rsid w:val="661029C7"/>
    <w:rsid w:val="66495ED8"/>
    <w:rsid w:val="66504B06"/>
    <w:rsid w:val="666B5E4F"/>
    <w:rsid w:val="667F097B"/>
    <w:rsid w:val="673B1CC5"/>
    <w:rsid w:val="67584C81"/>
    <w:rsid w:val="675E4AC0"/>
    <w:rsid w:val="675F42B1"/>
    <w:rsid w:val="67DF08A2"/>
    <w:rsid w:val="67E1461B"/>
    <w:rsid w:val="67E759A9"/>
    <w:rsid w:val="67EC2FBF"/>
    <w:rsid w:val="681A1E59"/>
    <w:rsid w:val="68262975"/>
    <w:rsid w:val="68A815DC"/>
    <w:rsid w:val="68AA0EB0"/>
    <w:rsid w:val="68C857DA"/>
    <w:rsid w:val="69054339"/>
    <w:rsid w:val="694E2184"/>
    <w:rsid w:val="69836E0A"/>
    <w:rsid w:val="6A275AF9"/>
    <w:rsid w:val="6AAB7162"/>
    <w:rsid w:val="6AB853DB"/>
    <w:rsid w:val="6ABC4ECB"/>
    <w:rsid w:val="6BBD0EFB"/>
    <w:rsid w:val="6BF60A70"/>
    <w:rsid w:val="6C035E2F"/>
    <w:rsid w:val="6C756456"/>
    <w:rsid w:val="6D250BC3"/>
    <w:rsid w:val="6D667370"/>
    <w:rsid w:val="6DA265FA"/>
    <w:rsid w:val="6DD15131"/>
    <w:rsid w:val="6DE704B1"/>
    <w:rsid w:val="6EBD1212"/>
    <w:rsid w:val="6F156053"/>
    <w:rsid w:val="6F4073B9"/>
    <w:rsid w:val="6F60663E"/>
    <w:rsid w:val="6F6B490B"/>
    <w:rsid w:val="6FA04DBB"/>
    <w:rsid w:val="6FA6457F"/>
    <w:rsid w:val="6FDC1B6B"/>
    <w:rsid w:val="6FFF5706"/>
    <w:rsid w:val="7014523F"/>
    <w:rsid w:val="701632CF"/>
    <w:rsid w:val="703E735B"/>
    <w:rsid w:val="705A39BC"/>
    <w:rsid w:val="705C33D8"/>
    <w:rsid w:val="70781894"/>
    <w:rsid w:val="71493487"/>
    <w:rsid w:val="71F92EA9"/>
    <w:rsid w:val="72106F48"/>
    <w:rsid w:val="722F68CA"/>
    <w:rsid w:val="72CE7E91"/>
    <w:rsid w:val="72D72495"/>
    <w:rsid w:val="72D76975"/>
    <w:rsid w:val="72FA2A34"/>
    <w:rsid w:val="730C2768"/>
    <w:rsid w:val="73223D39"/>
    <w:rsid w:val="73A155A6"/>
    <w:rsid w:val="74874E95"/>
    <w:rsid w:val="74E1473D"/>
    <w:rsid w:val="75142B3F"/>
    <w:rsid w:val="751C1388"/>
    <w:rsid w:val="753A35BC"/>
    <w:rsid w:val="755F74C6"/>
    <w:rsid w:val="758D4034"/>
    <w:rsid w:val="75A82C63"/>
    <w:rsid w:val="75DC4673"/>
    <w:rsid w:val="75DE03EB"/>
    <w:rsid w:val="75E874BC"/>
    <w:rsid w:val="767E572A"/>
    <w:rsid w:val="777636D7"/>
    <w:rsid w:val="77921091"/>
    <w:rsid w:val="77CA75E6"/>
    <w:rsid w:val="78283BA0"/>
    <w:rsid w:val="788B6D3D"/>
    <w:rsid w:val="78CF56CB"/>
    <w:rsid w:val="79440EAD"/>
    <w:rsid w:val="7956473D"/>
    <w:rsid w:val="797D616D"/>
    <w:rsid w:val="79895284"/>
    <w:rsid w:val="79D35D8D"/>
    <w:rsid w:val="79FF5E16"/>
    <w:rsid w:val="7A1F0FD2"/>
    <w:rsid w:val="7A8B6668"/>
    <w:rsid w:val="7A8C64D5"/>
    <w:rsid w:val="7AB43E11"/>
    <w:rsid w:val="7AEC944A"/>
    <w:rsid w:val="7AF81B1B"/>
    <w:rsid w:val="7B4B6523"/>
    <w:rsid w:val="7BBFC413"/>
    <w:rsid w:val="7BC65BA9"/>
    <w:rsid w:val="7BEE3352"/>
    <w:rsid w:val="7BF05A73"/>
    <w:rsid w:val="7C1F772A"/>
    <w:rsid w:val="7C3F770A"/>
    <w:rsid w:val="7C61132A"/>
    <w:rsid w:val="7C7C44BA"/>
    <w:rsid w:val="7C947A56"/>
    <w:rsid w:val="7C9E2682"/>
    <w:rsid w:val="7CAF4890"/>
    <w:rsid w:val="7CBD259D"/>
    <w:rsid w:val="7CEA58C8"/>
    <w:rsid w:val="7D2D1A6C"/>
    <w:rsid w:val="7DCE343B"/>
    <w:rsid w:val="7E202F6C"/>
    <w:rsid w:val="7E3808B5"/>
    <w:rsid w:val="7E682F48"/>
    <w:rsid w:val="7E6C610C"/>
    <w:rsid w:val="7EE211CD"/>
    <w:rsid w:val="7F3B065C"/>
    <w:rsid w:val="7F9135F0"/>
    <w:rsid w:val="7FB77DFB"/>
    <w:rsid w:val="7FBB354B"/>
    <w:rsid w:val="7FCF6FF7"/>
    <w:rsid w:val="F0EE2A51"/>
    <w:rsid w:val="FBFFD3A8"/>
    <w:rsid w:val="FDF7B747"/>
    <w:rsid w:val="FF6F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autoRedefine/>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6"/>
    <w:autoRedefine/>
    <w:qFormat/>
    <w:uiPriority w:val="9"/>
    <w:pPr>
      <w:keepNext/>
      <w:jc w:val="center"/>
      <w:outlineLvl w:val="1"/>
    </w:pPr>
    <w:rPr>
      <w:rFonts w:ascii="Cambria" w:hAnsi="Cambria"/>
      <w:b/>
      <w:bCs/>
      <w:kern w:val="0"/>
      <w:sz w:val="30"/>
      <w:szCs w:val="32"/>
    </w:rPr>
  </w:style>
  <w:style w:type="paragraph" w:styleId="4">
    <w:name w:val="heading 3"/>
    <w:basedOn w:val="1"/>
    <w:next w:val="1"/>
    <w:link w:val="49"/>
    <w:autoRedefine/>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50"/>
    <w:autoRedefine/>
    <w:qFormat/>
    <w:uiPriority w:val="0"/>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51"/>
    <w:autoRedefine/>
    <w:qFormat/>
    <w:uiPriority w:val="0"/>
    <w:pPr>
      <w:keepNext/>
      <w:keepLines/>
      <w:numPr>
        <w:ilvl w:val="4"/>
        <w:numId w:val="1"/>
      </w:numPr>
      <w:tabs>
        <w:tab w:val="left" w:pos="425"/>
        <w:tab w:val="left" w:pos="1418"/>
        <w:tab w:val="left" w:pos="1560"/>
      </w:tabs>
      <w:spacing w:before="280" w:after="290" w:line="376" w:lineRule="auto"/>
      <w:outlineLvl w:val="4"/>
    </w:pPr>
    <w:rPr>
      <w:b/>
      <w:bCs/>
      <w:kern w:val="0"/>
      <w:sz w:val="20"/>
      <w:szCs w:val="28"/>
    </w:rPr>
  </w:style>
  <w:style w:type="paragraph" w:styleId="7">
    <w:name w:val="heading 6"/>
    <w:basedOn w:val="1"/>
    <w:next w:val="1"/>
    <w:link w:val="52"/>
    <w:autoRedefine/>
    <w:qFormat/>
    <w:uiPriority w:val="0"/>
    <w:pPr>
      <w:keepNext/>
      <w:keepLines/>
      <w:spacing w:line="360" w:lineRule="auto"/>
      <w:jc w:val="left"/>
      <w:outlineLvl w:val="5"/>
    </w:pPr>
    <w:rPr>
      <w:rFonts w:eastAsia="黑体"/>
      <w:bCs/>
      <w:kern w:val="0"/>
      <w:sz w:val="24"/>
      <w:szCs w:val="21"/>
    </w:rPr>
  </w:style>
  <w:style w:type="paragraph" w:styleId="8">
    <w:name w:val="heading 7"/>
    <w:basedOn w:val="1"/>
    <w:next w:val="1"/>
    <w:link w:val="53"/>
    <w:autoRedefine/>
    <w:qFormat/>
    <w:uiPriority w:val="0"/>
    <w:pPr>
      <w:keepNext/>
      <w:keepLines/>
      <w:spacing w:line="360" w:lineRule="auto"/>
      <w:jc w:val="left"/>
      <w:outlineLvl w:val="6"/>
    </w:pPr>
    <w:rPr>
      <w:bCs/>
      <w:kern w:val="0"/>
      <w:sz w:val="24"/>
      <w:szCs w:val="24"/>
      <w:lang w:eastAsia="en-US"/>
    </w:rPr>
  </w:style>
  <w:style w:type="paragraph" w:styleId="9">
    <w:name w:val="heading 8"/>
    <w:basedOn w:val="1"/>
    <w:next w:val="1"/>
    <w:link w:val="54"/>
    <w:autoRedefine/>
    <w:qFormat/>
    <w:uiPriority w:val="0"/>
    <w:pPr>
      <w:keepNext/>
      <w:keepLines/>
      <w:spacing w:line="360" w:lineRule="auto"/>
      <w:jc w:val="left"/>
      <w:outlineLvl w:val="7"/>
    </w:pPr>
    <w:rPr>
      <w:kern w:val="0"/>
      <w:sz w:val="24"/>
      <w:szCs w:val="24"/>
      <w:lang w:eastAsia="en-US"/>
    </w:rPr>
  </w:style>
  <w:style w:type="paragraph" w:styleId="10">
    <w:name w:val="heading 9"/>
    <w:basedOn w:val="1"/>
    <w:next w:val="1"/>
    <w:link w:val="55"/>
    <w:autoRedefine/>
    <w:qFormat/>
    <w:uiPriority w:val="0"/>
    <w:pPr>
      <w:keepNext/>
      <w:keepLines/>
      <w:spacing w:line="360" w:lineRule="auto"/>
      <w:jc w:val="left"/>
      <w:outlineLvl w:val="8"/>
    </w:pPr>
    <w:rPr>
      <w:kern w:val="0"/>
      <w:sz w:val="24"/>
      <w:szCs w:val="21"/>
      <w:lang w:eastAsia="en-US"/>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2"/>
      </w:numPr>
    </w:pPr>
  </w:style>
  <w:style w:type="paragraph" w:styleId="12">
    <w:name w:val="Normal Indent"/>
    <w:basedOn w:val="1"/>
    <w:next w:val="1"/>
    <w:link w:val="56"/>
    <w:autoRedefine/>
    <w:qFormat/>
    <w:uiPriority w:val="99"/>
    <w:pPr>
      <w:widowControl/>
      <w:adjustRightInd w:val="0"/>
      <w:snapToGrid w:val="0"/>
      <w:spacing w:line="480" w:lineRule="exact"/>
      <w:ind w:firstLine="567"/>
    </w:pPr>
    <w:rPr>
      <w:rFonts w:ascii="宋体"/>
      <w:color w:val="000000"/>
      <w:kern w:val="28"/>
      <w:sz w:val="28"/>
    </w:rPr>
  </w:style>
  <w:style w:type="paragraph" w:styleId="13">
    <w:name w:val="caption"/>
    <w:basedOn w:val="1"/>
    <w:next w:val="1"/>
    <w:link w:val="57"/>
    <w:autoRedefine/>
    <w:qFormat/>
    <w:uiPriority w:val="0"/>
    <w:pPr>
      <w:numPr>
        <w:ilvl w:val="0"/>
        <w:numId w:val="3"/>
      </w:numPr>
      <w:spacing w:line="360" w:lineRule="auto"/>
      <w:ind w:left="0" w:firstLine="0"/>
      <w:jc w:val="center"/>
    </w:pPr>
    <w:rPr>
      <w:kern w:val="0"/>
      <w:sz w:val="20"/>
      <w:szCs w:val="21"/>
    </w:rPr>
  </w:style>
  <w:style w:type="paragraph" w:styleId="14">
    <w:name w:val="Document Map"/>
    <w:basedOn w:val="1"/>
    <w:next w:val="1"/>
    <w:link w:val="58"/>
    <w:autoRedefine/>
    <w:qFormat/>
    <w:uiPriority w:val="99"/>
    <w:pPr>
      <w:shd w:val="clear" w:color="auto" w:fill="000080"/>
    </w:pPr>
    <w:rPr>
      <w:kern w:val="0"/>
      <w:sz w:val="2"/>
    </w:rPr>
  </w:style>
  <w:style w:type="paragraph" w:styleId="15">
    <w:name w:val="annotation text"/>
    <w:basedOn w:val="1"/>
    <w:link w:val="59"/>
    <w:autoRedefine/>
    <w:qFormat/>
    <w:uiPriority w:val="0"/>
    <w:pPr>
      <w:jc w:val="left"/>
    </w:pPr>
    <w:rPr>
      <w:kern w:val="0"/>
      <w:sz w:val="20"/>
    </w:rPr>
  </w:style>
  <w:style w:type="paragraph" w:styleId="16">
    <w:name w:val="Body Text"/>
    <w:basedOn w:val="1"/>
    <w:next w:val="17"/>
    <w:link w:val="60"/>
    <w:autoRedefine/>
    <w:qFormat/>
    <w:uiPriority w:val="0"/>
    <w:rPr>
      <w:kern w:val="0"/>
      <w:sz w:val="20"/>
    </w:rPr>
  </w:style>
  <w:style w:type="paragraph" w:styleId="17">
    <w:name w:val="Body Text First Indent"/>
    <w:basedOn w:val="16"/>
    <w:next w:val="1"/>
    <w:link w:val="61"/>
    <w:autoRedefine/>
    <w:unhideWhenUsed/>
    <w:qFormat/>
    <w:uiPriority w:val="99"/>
    <w:pPr>
      <w:spacing w:after="120"/>
      <w:ind w:firstLine="420" w:firstLineChars="100"/>
    </w:pPr>
    <w:rPr>
      <w:kern w:val="2"/>
      <w:sz w:val="21"/>
    </w:rPr>
  </w:style>
  <w:style w:type="paragraph" w:styleId="18">
    <w:name w:val="Body Text Indent"/>
    <w:basedOn w:val="1"/>
    <w:next w:val="1"/>
    <w:link w:val="62"/>
    <w:autoRedefine/>
    <w:qFormat/>
    <w:uiPriority w:val="0"/>
    <w:pPr>
      <w:spacing w:line="380" w:lineRule="exact"/>
      <w:ind w:firstLine="480"/>
    </w:pPr>
    <w:rPr>
      <w:kern w:val="0"/>
      <w:sz w:val="20"/>
    </w:rPr>
  </w:style>
  <w:style w:type="paragraph" w:styleId="19">
    <w:name w:val="Block Text"/>
    <w:basedOn w:val="1"/>
    <w:autoRedefine/>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0">
    <w:name w:val="toc 3"/>
    <w:basedOn w:val="1"/>
    <w:next w:val="1"/>
    <w:autoRedefine/>
    <w:qFormat/>
    <w:uiPriority w:val="39"/>
    <w:pPr>
      <w:ind w:left="840" w:leftChars="400"/>
    </w:pPr>
  </w:style>
  <w:style w:type="paragraph" w:styleId="21">
    <w:name w:val="Plain Text"/>
    <w:basedOn w:val="1"/>
    <w:link w:val="63"/>
    <w:autoRedefine/>
    <w:qFormat/>
    <w:uiPriority w:val="0"/>
    <w:rPr>
      <w:rFonts w:ascii="宋体" w:hAnsi="Courier New"/>
      <w:kern w:val="0"/>
      <w:sz w:val="20"/>
      <w:szCs w:val="21"/>
    </w:rPr>
  </w:style>
  <w:style w:type="paragraph" w:styleId="22">
    <w:name w:val="Date"/>
    <w:basedOn w:val="1"/>
    <w:next w:val="1"/>
    <w:link w:val="64"/>
    <w:autoRedefine/>
    <w:qFormat/>
    <w:uiPriority w:val="0"/>
    <w:rPr>
      <w:kern w:val="0"/>
      <w:sz w:val="28"/>
    </w:rPr>
  </w:style>
  <w:style w:type="paragraph" w:styleId="23">
    <w:name w:val="Body Text Indent 2"/>
    <w:basedOn w:val="1"/>
    <w:link w:val="65"/>
    <w:autoRedefine/>
    <w:qFormat/>
    <w:uiPriority w:val="0"/>
    <w:pPr>
      <w:tabs>
        <w:tab w:val="left" w:pos="240"/>
        <w:tab w:val="left" w:pos="480"/>
      </w:tabs>
      <w:ind w:left="630" w:leftChars="300"/>
    </w:pPr>
    <w:rPr>
      <w:kern w:val="0"/>
      <w:sz w:val="20"/>
    </w:rPr>
  </w:style>
  <w:style w:type="paragraph" w:styleId="24">
    <w:name w:val="Balloon Text"/>
    <w:basedOn w:val="1"/>
    <w:link w:val="66"/>
    <w:autoRedefine/>
    <w:qFormat/>
    <w:uiPriority w:val="99"/>
    <w:rPr>
      <w:kern w:val="0"/>
      <w:sz w:val="18"/>
      <w:szCs w:val="18"/>
    </w:rPr>
  </w:style>
  <w:style w:type="paragraph" w:styleId="25">
    <w:name w:val="footer"/>
    <w:basedOn w:val="1"/>
    <w:link w:val="67"/>
    <w:autoRedefine/>
    <w:unhideWhenUsed/>
    <w:qFormat/>
    <w:uiPriority w:val="99"/>
    <w:pPr>
      <w:tabs>
        <w:tab w:val="center" w:pos="4153"/>
        <w:tab w:val="right" w:pos="8306"/>
      </w:tabs>
      <w:snapToGrid w:val="0"/>
      <w:jc w:val="left"/>
    </w:pPr>
    <w:rPr>
      <w:kern w:val="0"/>
      <w:sz w:val="18"/>
      <w:szCs w:val="18"/>
    </w:rPr>
  </w:style>
  <w:style w:type="paragraph" w:styleId="26">
    <w:name w:val="header"/>
    <w:basedOn w:val="1"/>
    <w:link w:val="6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qFormat/>
    <w:uiPriority w:val="39"/>
    <w:rPr>
      <w:sz w:val="24"/>
    </w:rPr>
  </w:style>
  <w:style w:type="paragraph" w:styleId="28">
    <w:name w:val="toc 6"/>
    <w:basedOn w:val="1"/>
    <w:next w:val="1"/>
    <w:autoRedefine/>
    <w:unhideWhenUsed/>
    <w:qFormat/>
    <w:uiPriority w:val="0"/>
    <w:pPr>
      <w:spacing w:beforeLines="0" w:afterLines="0"/>
      <w:ind w:left="1200"/>
      <w:jc w:val="left"/>
    </w:pPr>
    <w:rPr>
      <w:rFonts w:hint="eastAsia" w:ascii="Times New Roman" w:hAnsi="Times New Roman" w:eastAsia="宋体"/>
      <w:w w:val="80"/>
      <w:sz w:val="18"/>
      <w:szCs w:val="24"/>
    </w:rPr>
  </w:style>
  <w:style w:type="paragraph" w:styleId="29">
    <w:name w:val="Body Text Indent 3"/>
    <w:basedOn w:val="1"/>
    <w:link w:val="69"/>
    <w:autoRedefine/>
    <w:qFormat/>
    <w:uiPriority w:val="0"/>
    <w:pPr>
      <w:spacing w:after="120"/>
      <w:ind w:left="420" w:leftChars="200"/>
    </w:pPr>
    <w:rPr>
      <w:kern w:val="0"/>
      <w:sz w:val="16"/>
      <w:szCs w:val="16"/>
    </w:rPr>
  </w:style>
  <w:style w:type="paragraph" w:styleId="30">
    <w:name w:val="toc 2"/>
    <w:basedOn w:val="1"/>
    <w:next w:val="1"/>
    <w:autoRedefine/>
    <w:qFormat/>
    <w:uiPriority w:val="39"/>
    <w:pPr>
      <w:ind w:left="420" w:leftChars="200"/>
    </w:pPr>
  </w:style>
  <w:style w:type="paragraph" w:styleId="31">
    <w:name w:val="Body Text 2"/>
    <w:basedOn w:val="1"/>
    <w:link w:val="70"/>
    <w:autoRedefine/>
    <w:qFormat/>
    <w:uiPriority w:val="0"/>
    <w:pPr>
      <w:spacing w:after="120" w:line="480" w:lineRule="auto"/>
    </w:pPr>
    <w:rPr>
      <w:kern w:val="0"/>
      <w:sz w:val="20"/>
    </w:rPr>
  </w:style>
  <w:style w:type="paragraph" w:styleId="32">
    <w:name w:val="Message Header"/>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Times New Roman"/>
      <w:kern w:val="2"/>
      <w:sz w:val="24"/>
      <w:szCs w:val="22"/>
      <w:shd w:val="pct20" w:color="auto" w:fill="auto"/>
      <w:lang w:val="en-US" w:eastAsia="zh-CN" w:bidi="ar-SA"/>
    </w:rPr>
  </w:style>
  <w:style w:type="paragraph" w:styleId="33">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4">
    <w:name w:val="Title"/>
    <w:basedOn w:val="1"/>
    <w:next w:val="1"/>
    <w:autoRedefine/>
    <w:qFormat/>
    <w:uiPriority w:val="0"/>
    <w:pPr>
      <w:spacing w:line="520" w:lineRule="exact"/>
      <w:jc w:val="center"/>
      <w:outlineLvl w:val="3"/>
    </w:pPr>
    <w:rPr>
      <w:rFonts w:ascii="Cambria" w:hAnsi="Cambria"/>
      <w:b/>
      <w:bCs/>
      <w:sz w:val="28"/>
      <w:szCs w:val="32"/>
    </w:rPr>
  </w:style>
  <w:style w:type="paragraph" w:styleId="35">
    <w:name w:val="annotation subject"/>
    <w:basedOn w:val="15"/>
    <w:next w:val="15"/>
    <w:link w:val="71"/>
    <w:autoRedefine/>
    <w:qFormat/>
    <w:uiPriority w:val="99"/>
    <w:rPr>
      <w:b/>
      <w:bCs/>
    </w:rPr>
  </w:style>
  <w:style w:type="paragraph" w:styleId="36">
    <w:name w:val="Body Text First Indent 2"/>
    <w:basedOn w:val="18"/>
    <w:next w:val="1"/>
    <w:link w:val="72"/>
    <w:autoRedefine/>
    <w:qFormat/>
    <w:uiPriority w:val="0"/>
    <w:pPr>
      <w:widowControl/>
      <w:tabs>
        <w:tab w:val="left" w:pos="0"/>
        <w:tab w:val="left" w:pos="1260"/>
        <w:tab w:val="left" w:pos="1365"/>
      </w:tabs>
      <w:ind w:left="200" w:firstLine="200" w:firstLineChars="200"/>
      <w:jc w:val="left"/>
    </w:pPr>
  </w:style>
  <w:style w:type="table" w:styleId="38">
    <w:name w:val="Table Grid"/>
    <w:basedOn w:val="3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autoRedefine/>
    <w:qFormat/>
    <w:uiPriority w:val="0"/>
    <w:rPr>
      <w:rFonts w:cs="Times New Roman"/>
    </w:rPr>
  </w:style>
  <w:style w:type="character" w:styleId="42">
    <w:name w:val="FollowedHyperlink"/>
    <w:autoRedefine/>
    <w:qFormat/>
    <w:uiPriority w:val="0"/>
    <w:rPr>
      <w:rFonts w:cs="Times New Roman"/>
      <w:color w:val="800080"/>
      <w:u w:val="single"/>
    </w:rPr>
  </w:style>
  <w:style w:type="character" w:styleId="43">
    <w:name w:val="HTML Typewriter"/>
    <w:autoRedefine/>
    <w:qFormat/>
    <w:uiPriority w:val="99"/>
    <w:rPr>
      <w:rFonts w:ascii="Courier New" w:hAnsi="Courier New" w:cs="Courier New"/>
      <w:sz w:val="20"/>
      <w:szCs w:val="20"/>
    </w:rPr>
  </w:style>
  <w:style w:type="character" w:styleId="44">
    <w:name w:val="Hyperlink"/>
    <w:autoRedefine/>
    <w:qFormat/>
    <w:uiPriority w:val="99"/>
    <w:rPr>
      <w:rFonts w:cs="Times New Roman"/>
      <w:color w:val="0000FF"/>
      <w:u w:val="single"/>
    </w:rPr>
  </w:style>
  <w:style w:type="character" w:styleId="45">
    <w:name w:val="annotation reference"/>
    <w:autoRedefine/>
    <w:qFormat/>
    <w:uiPriority w:val="0"/>
    <w:rPr>
      <w:sz w:val="21"/>
      <w:szCs w:val="21"/>
    </w:rPr>
  </w:style>
  <w:style w:type="character" w:customStyle="1" w:styleId="46">
    <w:name w:val="标题 2 字符"/>
    <w:basedOn w:val="39"/>
    <w:link w:val="3"/>
    <w:autoRedefine/>
    <w:qFormat/>
    <w:uiPriority w:val="9"/>
    <w:rPr>
      <w:rFonts w:ascii="Cambria" w:hAnsi="Cambria" w:eastAsia="宋体" w:cs="Times New Roman"/>
      <w:b/>
      <w:bCs/>
      <w:sz w:val="30"/>
      <w:szCs w:val="32"/>
    </w:rPr>
  </w:style>
  <w:style w:type="character" w:customStyle="1" w:styleId="47">
    <w:name w:val="标题 1 字符"/>
    <w:basedOn w:val="39"/>
    <w:link w:val="2"/>
    <w:autoRedefine/>
    <w:qFormat/>
    <w:uiPriority w:val="9"/>
    <w:rPr>
      <w:rFonts w:ascii="Times New Roman" w:hAnsi="Times New Roman" w:eastAsia="宋体" w:cs="Times New Roman"/>
      <w:b/>
      <w:bCs/>
      <w:kern w:val="44"/>
      <w:sz w:val="44"/>
      <w:szCs w:val="44"/>
    </w:rPr>
  </w:style>
  <w:style w:type="paragraph" w:customStyle="1" w:styleId="48">
    <w:name w:val="列出段落1"/>
    <w:basedOn w:val="1"/>
    <w:autoRedefine/>
    <w:qFormat/>
    <w:uiPriority w:val="0"/>
    <w:pPr>
      <w:adjustRightInd w:val="0"/>
      <w:spacing w:before="60" w:after="60" w:line="300" w:lineRule="auto"/>
      <w:ind w:firstLine="420" w:firstLineChars="200"/>
      <w:jc w:val="left"/>
      <w:textAlignment w:val="baseline"/>
    </w:pPr>
    <w:rPr>
      <w:rFonts w:ascii="Arial" w:hAnsi="Arial"/>
      <w:kern w:val="0"/>
      <w:szCs w:val="21"/>
    </w:rPr>
  </w:style>
  <w:style w:type="character" w:customStyle="1" w:styleId="49">
    <w:name w:val="标题 3 字符"/>
    <w:link w:val="4"/>
    <w:autoRedefine/>
    <w:qFormat/>
    <w:uiPriority w:val="9"/>
    <w:rPr>
      <w:rFonts w:ascii="Times New Roman" w:hAnsi="Times New Roman" w:eastAsia="宋体" w:cs="Times New Roman"/>
      <w:b/>
      <w:bCs/>
      <w:kern w:val="0"/>
      <w:sz w:val="32"/>
      <w:szCs w:val="32"/>
    </w:rPr>
  </w:style>
  <w:style w:type="character" w:customStyle="1" w:styleId="50">
    <w:name w:val="标题 4 字符"/>
    <w:link w:val="5"/>
    <w:autoRedefine/>
    <w:qFormat/>
    <w:uiPriority w:val="0"/>
    <w:rPr>
      <w:rFonts w:ascii="Cambria" w:hAnsi="Cambria" w:eastAsia="宋体" w:cs="Times New Roman"/>
      <w:b/>
      <w:bCs/>
      <w:kern w:val="0"/>
      <w:sz w:val="28"/>
      <w:szCs w:val="28"/>
    </w:rPr>
  </w:style>
  <w:style w:type="character" w:customStyle="1" w:styleId="51">
    <w:name w:val="标题 5 字符"/>
    <w:link w:val="6"/>
    <w:autoRedefine/>
    <w:qFormat/>
    <w:uiPriority w:val="0"/>
    <w:rPr>
      <w:rFonts w:ascii="Times New Roman" w:hAnsi="Times New Roman" w:eastAsia="宋体" w:cs="Times New Roman"/>
      <w:b/>
      <w:bCs/>
      <w:szCs w:val="28"/>
    </w:rPr>
  </w:style>
  <w:style w:type="character" w:customStyle="1" w:styleId="52">
    <w:name w:val="标题 6 字符"/>
    <w:link w:val="7"/>
    <w:autoRedefine/>
    <w:qFormat/>
    <w:uiPriority w:val="0"/>
    <w:rPr>
      <w:rFonts w:ascii="Times New Roman" w:hAnsi="Times New Roman" w:eastAsia="黑体"/>
      <w:bCs/>
      <w:sz w:val="24"/>
      <w:szCs w:val="21"/>
    </w:rPr>
  </w:style>
  <w:style w:type="character" w:customStyle="1" w:styleId="53">
    <w:name w:val="标题 7 字符"/>
    <w:link w:val="8"/>
    <w:autoRedefine/>
    <w:qFormat/>
    <w:uiPriority w:val="0"/>
    <w:rPr>
      <w:rFonts w:ascii="Times New Roman" w:hAnsi="Times New Roman" w:eastAsia="宋体"/>
      <w:bCs/>
      <w:sz w:val="24"/>
      <w:szCs w:val="24"/>
      <w:lang w:eastAsia="en-US"/>
    </w:rPr>
  </w:style>
  <w:style w:type="character" w:customStyle="1" w:styleId="54">
    <w:name w:val="标题 8 字符"/>
    <w:link w:val="9"/>
    <w:autoRedefine/>
    <w:qFormat/>
    <w:uiPriority w:val="0"/>
    <w:rPr>
      <w:rFonts w:ascii="Times New Roman" w:hAnsi="Times New Roman" w:eastAsia="宋体" w:cs="Times New Roman"/>
      <w:sz w:val="24"/>
      <w:szCs w:val="24"/>
      <w:lang w:eastAsia="en-US"/>
    </w:rPr>
  </w:style>
  <w:style w:type="character" w:customStyle="1" w:styleId="55">
    <w:name w:val="标题 9 字符"/>
    <w:link w:val="10"/>
    <w:autoRedefine/>
    <w:qFormat/>
    <w:uiPriority w:val="0"/>
    <w:rPr>
      <w:rFonts w:ascii="Times New Roman" w:hAnsi="Times New Roman" w:eastAsia="宋体" w:cs="Times New Roman"/>
      <w:sz w:val="24"/>
      <w:szCs w:val="21"/>
      <w:lang w:eastAsia="en-US"/>
    </w:rPr>
  </w:style>
  <w:style w:type="character" w:customStyle="1" w:styleId="56">
    <w:name w:val="正文缩进 字符"/>
    <w:link w:val="12"/>
    <w:autoRedefine/>
    <w:qFormat/>
    <w:uiPriority w:val="99"/>
    <w:rPr>
      <w:rFonts w:ascii="宋体" w:hAnsi="Times New Roman" w:eastAsia="宋体" w:cs="Times New Roman"/>
      <w:snapToGrid/>
      <w:color w:val="000000"/>
      <w:kern w:val="28"/>
      <w:sz w:val="28"/>
      <w:szCs w:val="20"/>
    </w:rPr>
  </w:style>
  <w:style w:type="character" w:customStyle="1" w:styleId="57">
    <w:name w:val="题注 字符"/>
    <w:link w:val="13"/>
    <w:autoRedefine/>
    <w:qFormat/>
    <w:locked/>
    <w:uiPriority w:val="35"/>
    <w:rPr>
      <w:rFonts w:ascii="Times New Roman" w:hAnsi="Times New Roman" w:eastAsia="宋体"/>
      <w:szCs w:val="21"/>
    </w:rPr>
  </w:style>
  <w:style w:type="character" w:customStyle="1" w:styleId="58">
    <w:name w:val="文档结构图 字符"/>
    <w:link w:val="14"/>
    <w:autoRedefine/>
    <w:qFormat/>
    <w:uiPriority w:val="99"/>
    <w:rPr>
      <w:rFonts w:ascii="Times New Roman" w:hAnsi="Times New Roman" w:eastAsia="宋体" w:cs="Times New Roman"/>
      <w:kern w:val="0"/>
      <w:sz w:val="2"/>
      <w:szCs w:val="20"/>
      <w:shd w:val="clear" w:color="auto" w:fill="000080"/>
    </w:rPr>
  </w:style>
  <w:style w:type="character" w:customStyle="1" w:styleId="59">
    <w:name w:val="批注文字 字符1"/>
    <w:link w:val="15"/>
    <w:autoRedefine/>
    <w:qFormat/>
    <w:uiPriority w:val="0"/>
    <w:rPr>
      <w:rFonts w:ascii="Times New Roman" w:hAnsi="Times New Roman" w:eastAsia="宋体" w:cs="Times New Roman"/>
      <w:szCs w:val="20"/>
    </w:rPr>
  </w:style>
  <w:style w:type="character" w:customStyle="1" w:styleId="60">
    <w:name w:val="正文文本 字符"/>
    <w:link w:val="16"/>
    <w:autoRedefine/>
    <w:qFormat/>
    <w:uiPriority w:val="0"/>
    <w:rPr>
      <w:rFonts w:ascii="Times New Roman" w:hAnsi="Times New Roman" w:eastAsia="宋体" w:cs="Times New Roman"/>
      <w:kern w:val="0"/>
      <w:sz w:val="20"/>
      <w:szCs w:val="20"/>
    </w:rPr>
  </w:style>
  <w:style w:type="character" w:customStyle="1" w:styleId="61">
    <w:name w:val="正文文本首行缩进 字符"/>
    <w:link w:val="17"/>
    <w:autoRedefine/>
    <w:qFormat/>
    <w:uiPriority w:val="99"/>
  </w:style>
  <w:style w:type="character" w:customStyle="1" w:styleId="62">
    <w:name w:val="正文文本缩进 字符"/>
    <w:link w:val="18"/>
    <w:autoRedefine/>
    <w:qFormat/>
    <w:uiPriority w:val="0"/>
    <w:rPr>
      <w:rFonts w:ascii="Times New Roman" w:hAnsi="Times New Roman" w:eastAsia="宋体" w:cs="Times New Roman"/>
      <w:kern w:val="0"/>
      <w:sz w:val="20"/>
      <w:szCs w:val="20"/>
    </w:rPr>
  </w:style>
  <w:style w:type="character" w:customStyle="1" w:styleId="63">
    <w:name w:val="纯文本 字符"/>
    <w:link w:val="21"/>
    <w:autoRedefine/>
    <w:qFormat/>
    <w:uiPriority w:val="0"/>
    <w:rPr>
      <w:rFonts w:ascii="宋体" w:hAnsi="Courier New" w:eastAsia="宋体" w:cs="Times New Roman"/>
      <w:kern w:val="0"/>
      <w:szCs w:val="21"/>
    </w:rPr>
  </w:style>
  <w:style w:type="character" w:customStyle="1" w:styleId="64">
    <w:name w:val="日期 字符"/>
    <w:link w:val="22"/>
    <w:autoRedefine/>
    <w:qFormat/>
    <w:uiPriority w:val="0"/>
    <w:rPr>
      <w:rFonts w:ascii="Times New Roman" w:hAnsi="Times New Roman" w:eastAsia="宋体" w:cs="Times New Roman"/>
      <w:sz w:val="28"/>
      <w:szCs w:val="20"/>
    </w:rPr>
  </w:style>
  <w:style w:type="character" w:customStyle="1" w:styleId="65">
    <w:name w:val="正文文本缩进 2 字符"/>
    <w:link w:val="23"/>
    <w:autoRedefine/>
    <w:qFormat/>
    <w:uiPriority w:val="0"/>
    <w:rPr>
      <w:rFonts w:ascii="Times New Roman" w:hAnsi="Times New Roman" w:eastAsia="宋体" w:cs="Times New Roman"/>
      <w:kern w:val="0"/>
      <w:sz w:val="20"/>
      <w:szCs w:val="20"/>
    </w:rPr>
  </w:style>
  <w:style w:type="character" w:customStyle="1" w:styleId="66">
    <w:name w:val="批注框文本 字符"/>
    <w:link w:val="24"/>
    <w:autoRedefine/>
    <w:qFormat/>
    <w:uiPriority w:val="99"/>
    <w:rPr>
      <w:rFonts w:ascii="Times New Roman" w:hAnsi="Times New Roman" w:eastAsia="宋体" w:cs="Times New Roman"/>
      <w:sz w:val="18"/>
      <w:szCs w:val="18"/>
    </w:rPr>
  </w:style>
  <w:style w:type="character" w:customStyle="1" w:styleId="67">
    <w:name w:val="页脚 字符"/>
    <w:link w:val="25"/>
    <w:autoRedefine/>
    <w:qFormat/>
    <w:uiPriority w:val="99"/>
    <w:rPr>
      <w:sz w:val="18"/>
      <w:szCs w:val="18"/>
    </w:rPr>
  </w:style>
  <w:style w:type="character" w:customStyle="1" w:styleId="68">
    <w:name w:val="页眉 字符"/>
    <w:link w:val="26"/>
    <w:autoRedefine/>
    <w:qFormat/>
    <w:uiPriority w:val="99"/>
    <w:rPr>
      <w:sz w:val="18"/>
      <w:szCs w:val="18"/>
    </w:rPr>
  </w:style>
  <w:style w:type="character" w:customStyle="1" w:styleId="69">
    <w:name w:val="正文文本缩进 3 字符"/>
    <w:link w:val="29"/>
    <w:autoRedefine/>
    <w:qFormat/>
    <w:uiPriority w:val="0"/>
    <w:rPr>
      <w:rFonts w:ascii="Times New Roman" w:hAnsi="Times New Roman" w:eastAsia="宋体" w:cs="Times New Roman"/>
      <w:sz w:val="16"/>
      <w:szCs w:val="16"/>
    </w:rPr>
  </w:style>
  <w:style w:type="character" w:customStyle="1" w:styleId="70">
    <w:name w:val="正文文本 2 字符"/>
    <w:link w:val="31"/>
    <w:autoRedefine/>
    <w:qFormat/>
    <w:uiPriority w:val="0"/>
    <w:rPr>
      <w:rFonts w:ascii="Times New Roman" w:hAnsi="Times New Roman" w:eastAsia="宋体" w:cs="Times New Roman"/>
      <w:kern w:val="0"/>
      <w:sz w:val="20"/>
      <w:szCs w:val="20"/>
    </w:rPr>
  </w:style>
  <w:style w:type="character" w:customStyle="1" w:styleId="71">
    <w:name w:val="批注主题 字符"/>
    <w:link w:val="35"/>
    <w:autoRedefine/>
    <w:qFormat/>
    <w:uiPriority w:val="99"/>
    <w:rPr>
      <w:rFonts w:ascii="Times New Roman" w:hAnsi="Times New Roman" w:eastAsia="宋体" w:cs="Times New Roman"/>
      <w:b/>
      <w:bCs/>
      <w:szCs w:val="20"/>
    </w:rPr>
  </w:style>
  <w:style w:type="character" w:customStyle="1" w:styleId="72">
    <w:name w:val="正文文本首行缩进 2 字符"/>
    <w:link w:val="36"/>
    <w:autoRedefine/>
    <w:qFormat/>
    <w:uiPriority w:val="0"/>
  </w:style>
  <w:style w:type="character" w:customStyle="1" w:styleId="73">
    <w:name w:val="font61"/>
    <w:autoRedefine/>
    <w:qFormat/>
    <w:uiPriority w:val="0"/>
    <w:rPr>
      <w:rFonts w:hint="eastAsia" w:ascii="宋体" w:hAnsi="宋体" w:eastAsia="宋体" w:cs="宋体"/>
      <w:color w:val="000000"/>
      <w:sz w:val="20"/>
      <w:szCs w:val="20"/>
      <w:u w:val="none"/>
    </w:rPr>
  </w:style>
  <w:style w:type="character" w:customStyle="1" w:styleId="74">
    <w:name w:val="_正文段落 Char"/>
    <w:link w:val="75"/>
    <w:autoRedefine/>
    <w:qFormat/>
    <w:uiPriority w:val="0"/>
    <w:rPr>
      <w:rFonts w:ascii="仿宋_GB2312" w:eastAsia="仿宋_GB2312"/>
      <w:sz w:val="28"/>
      <w:szCs w:val="24"/>
    </w:rPr>
  </w:style>
  <w:style w:type="paragraph" w:customStyle="1" w:styleId="75">
    <w:name w:val="_正文段落"/>
    <w:basedOn w:val="1"/>
    <w:link w:val="74"/>
    <w:autoRedefine/>
    <w:qFormat/>
    <w:uiPriority w:val="0"/>
    <w:pPr>
      <w:spacing w:line="360" w:lineRule="auto"/>
      <w:ind w:firstLine="200" w:firstLineChars="200"/>
    </w:pPr>
    <w:rPr>
      <w:rFonts w:ascii="仿宋_GB2312" w:eastAsia="仿宋_GB2312"/>
      <w:kern w:val="0"/>
      <w:sz w:val="28"/>
      <w:szCs w:val="24"/>
    </w:rPr>
  </w:style>
  <w:style w:type="character" w:customStyle="1" w:styleId="76">
    <w:name w:val="普通文字 Char Char2"/>
    <w:autoRedefine/>
    <w:qFormat/>
    <w:locked/>
    <w:uiPriority w:val="0"/>
    <w:rPr>
      <w:rFonts w:ascii="宋体" w:hAnsi="Courier New" w:eastAsia="宋体" w:cs="Times New Roman"/>
      <w:kern w:val="2"/>
      <w:sz w:val="21"/>
      <w:lang w:val="en-US" w:eastAsia="zh-CN" w:bidi="ar-SA"/>
    </w:rPr>
  </w:style>
  <w:style w:type="character" w:customStyle="1" w:styleId="77">
    <w:name w:val="正文（1） Char"/>
    <w:link w:val="78"/>
    <w:autoRedefine/>
    <w:qFormat/>
    <w:uiPriority w:val="0"/>
    <w:rPr>
      <w:rFonts w:ascii="Times New Roman" w:hAnsi="Times New Roman" w:eastAsia="宋体"/>
      <w:sz w:val="24"/>
      <w:szCs w:val="21"/>
    </w:rPr>
  </w:style>
  <w:style w:type="paragraph" w:customStyle="1" w:styleId="78">
    <w:name w:val="正文（1）"/>
    <w:basedOn w:val="1"/>
    <w:link w:val="77"/>
    <w:autoRedefine/>
    <w:qFormat/>
    <w:uiPriority w:val="0"/>
    <w:pPr>
      <w:numPr>
        <w:ilvl w:val="0"/>
        <w:numId w:val="4"/>
      </w:numPr>
      <w:spacing w:line="360" w:lineRule="auto"/>
    </w:pPr>
    <w:rPr>
      <w:kern w:val="0"/>
      <w:sz w:val="24"/>
      <w:szCs w:val="21"/>
    </w:rPr>
  </w:style>
  <w:style w:type="character" w:customStyle="1" w:styleId="79">
    <w:name w:val="标题2 Char Char"/>
    <w:link w:val="80"/>
    <w:autoRedefine/>
    <w:qFormat/>
    <w:uiPriority w:val="0"/>
    <w:rPr>
      <w:rFonts w:ascii="宋体" w:hAnsi="Times New Roman" w:eastAsia="宋体" w:cs="Times New Roman"/>
      <w:b/>
      <w:kern w:val="0"/>
      <w:sz w:val="24"/>
      <w:szCs w:val="20"/>
    </w:rPr>
  </w:style>
  <w:style w:type="paragraph" w:customStyle="1" w:styleId="80">
    <w:name w:val="标题2"/>
    <w:basedOn w:val="1"/>
    <w:link w:val="79"/>
    <w:autoRedefine/>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81">
    <w:name w:val="表格正文 Char"/>
    <w:link w:val="82"/>
    <w:autoRedefine/>
    <w:qFormat/>
    <w:uiPriority w:val="0"/>
    <w:rPr>
      <w:rFonts w:ascii="Times New Roman" w:hAnsi="Times New Roman" w:eastAsia="宋体"/>
      <w:szCs w:val="21"/>
    </w:rPr>
  </w:style>
  <w:style w:type="paragraph" w:customStyle="1" w:styleId="82">
    <w:name w:val="表格正文"/>
    <w:basedOn w:val="1"/>
    <w:link w:val="81"/>
    <w:autoRedefine/>
    <w:qFormat/>
    <w:uiPriority w:val="0"/>
    <w:pPr>
      <w:jc w:val="left"/>
    </w:pPr>
    <w:rPr>
      <w:kern w:val="0"/>
      <w:sz w:val="20"/>
      <w:szCs w:val="21"/>
    </w:rPr>
  </w:style>
  <w:style w:type="character" w:customStyle="1" w:styleId="83">
    <w:name w:val="正文2 Char Char"/>
    <w:link w:val="84"/>
    <w:autoRedefine/>
    <w:qFormat/>
    <w:uiPriority w:val="0"/>
    <w:rPr>
      <w:rFonts w:eastAsia="宋体"/>
      <w:sz w:val="24"/>
    </w:rPr>
  </w:style>
  <w:style w:type="paragraph" w:customStyle="1" w:styleId="84">
    <w:name w:val="正文2"/>
    <w:basedOn w:val="1"/>
    <w:link w:val="83"/>
    <w:autoRedefine/>
    <w:qFormat/>
    <w:uiPriority w:val="0"/>
    <w:pPr>
      <w:spacing w:before="156" w:line="360" w:lineRule="auto"/>
      <w:ind w:firstLine="510" w:firstLineChars="200"/>
    </w:pPr>
    <w:rPr>
      <w:kern w:val="0"/>
      <w:sz w:val="24"/>
    </w:rPr>
  </w:style>
  <w:style w:type="character" w:customStyle="1" w:styleId="85">
    <w:name w:val="纯文本 Char1"/>
    <w:autoRedefine/>
    <w:qFormat/>
    <w:uiPriority w:val="99"/>
    <w:rPr>
      <w:rFonts w:ascii="宋体" w:hAnsi="Courier New" w:eastAsia="宋体"/>
      <w:kern w:val="2"/>
      <w:sz w:val="21"/>
      <w:lang w:val="en-US" w:eastAsia="zh-CN" w:bidi="ar-SA"/>
    </w:rPr>
  </w:style>
  <w:style w:type="character" w:customStyle="1" w:styleId="86">
    <w:name w:val="表格文字 Char Char"/>
    <w:link w:val="87"/>
    <w:autoRedefine/>
    <w:qFormat/>
    <w:uiPriority w:val="99"/>
    <w:rPr>
      <w:rFonts w:ascii="宋体" w:hAnsi="宋体" w:eastAsia="宋体" w:cs="Times New Roman"/>
      <w:bCs/>
      <w:spacing w:val="-4"/>
      <w:kern w:val="0"/>
      <w:sz w:val="32"/>
      <w:szCs w:val="32"/>
      <w:lang w:val="zh-CN"/>
    </w:rPr>
  </w:style>
  <w:style w:type="paragraph" w:customStyle="1" w:styleId="87">
    <w:name w:val="表格文字"/>
    <w:basedOn w:val="1"/>
    <w:next w:val="16"/>
    <w:link w:val="86"/>
    <w:autoRedefine/>
    <w:qFormat/>
    <w:uiPriority w:val="99"/>
    <w:pPr>
      <w:jc w:val="left"/>
    </w:pPr>
    <w:rPr>
      <w:rFonts w:ascii="宋体" w:hAnsi="宋体"/>
      <w:bCs/>
      <w:spacing w:val="-4"/>
      <w:kern w:val="0"/>
      <w:sz w:val="32"/>
      <w:szCs w:val="32"/>
      <w:lang w:val="zh-CN"/>
    </w:rPr>
  </w:style>
  <w:style w:type="character" w:customStyle="1" w:styleId="88">
    <w:name w:val="font01"/>
    <w:basedOn w:val="39"/>
    <w:autoRedefine/>
    <w:qFormat/>
    <w:uiPriority w:val="0"/>
    <w:rPr>
      <w:rFonts w:hint="eastAsia" w:ascii="宋体" w:hAnsi="宋体" w:eastAsia="宋体" w:cs="宋体"/>
      <w:b/>
      <w:color w:val="333333"/>
      <w:sz w:val="24"/>
      <w:szCs w:val="24"/>
      <w:u w:val="none"/>
    </w:rPr>
  </w:style>
  <w:style w:type="character" w:customStyle="1" w:styleId="89">
    <w:name w:val="ca-31"/>
    <w:autoRedefine/>
    <w:qFormat/>
    <w:uiPriority w:val="0"/>
    <w:rPr>
      <w:rFonts w:hint="eastAsia" w:ascii="宋体" w:hAnsi="宋体" w:eastAsia="宋体"/>
      <w:sz w:val="21"/>
      <w:szCs w:val="21"/>
    </w:rPr>
  </w:style>
  <w:style w:type="character" w:customStyle="1" w:styleId="90">
    <w:name w:val="ca-51"/>
    <w:autoRedefine/>
    <w:qFormat/>
    <w:uiPriority w:val="0"/>
    <w:rPr>
      <w:rFonts w:hint="eastAsia" w:ascii="宋体" w:hAnsi="宋体" w:eastAsia="宋体"/>
      <w:color w:val="FF0000"/>
      <w:sz w:val="21"/>
      <w:szCs w:val="21"/>
    </w:rPr>
  </w:style>
  <w:style w:type="character" w:customStyle="1" w:styleId="91">
    <w:name w:val="内容"/>
    <w:autoRedefine/>
    <w:qFormat/>
    <w:uiPriority w:val="0"/>
    <w:rPr>
      <w:rFonts w:ascii="华文细黑" w:eastAsia="华文细黑"/>
      <w:color w:val="75787B"/>
      <w:sz w:val="20"/>
      <w:u w:val="none"/>
    </w:rPr>
  </w:style>
  <w:style w:type="character" w:customStyle="1" w:styleId="92">
    <w:name w:val="主体 Char Char"/>
    <w:link w:val="93"/>
    <w:autoRedefine/>
    <w:qFormat/>
    <w:uiPriority w:val="99"/>
    <w:rPr>
      <w:rFonts w:ascii="宋体" w:hAnsi="宋体" w:eastAsia="宋体" w:cs="Times New Roman"/>
      <w:kern w:val="58"/>
      <w:sz w:val="24"/>
      <w:szCs w:val="24"/>
    </w:rPr>
  </w:style>
  <w:style w:type="paragraph" w:customStyle="1" w:styleId="93">
    <w:name w:val="主体"/>
    <w:basedOn w:val="1"/>
    <w:link w:val="92"/>
    <w:autoRedefine/>
    <w:qFormat/>
    <w:uiPriority w:val="99"/>
    <w:pPr>
      <w:spacing w:line="360" w:lineRule="auto"/>
      <w:ind w:firstLine="480" w:firstLineChars="200"/>
    </w:pPr>
    <w:rPr>
      <w:rFonts w:ascii="宋体" w:hAnsi="宋体"/>
      <w:kern w:val="58"/>
      <w:sz w:val="24"/>
      <w:szCs w:val="24"/>
    </w:rPr>
  </w:style>
  <w:style w:type="character" w:customStyle="1" w:styleId="94">
    <w:name w:val="Char Char15"/>
    <w:autoRedefine/>
    <w:qFormat/>
    <w:uiPriority w:val="0"/>
    <w:rPr>
      <w:rFonts w:ascii="Arial" w:hAnsi="Arial" w:eastAsia="黑体"/>
      <w:b/>
      <w:bCs/>
      <w:kern w:val="2"/>
      <w:sz w:val="28"/>
      <w:szCs w:val="28"/>
      <w:lang w:val="en-US" w:eastAsia="zh-CN" w:bidi="ar-SA"/>
    </w:rPr>
  </w:style>
  <w:style w:type="character" w:customStyle="1" w:styleId="95">
    <w:name w:val="标准正文 Char"/>
    <w:autoRedefine/>
    <w:qFormat/>
    <w:uiPriority w:val="0"/>
    <w:rPr>
      <w:kern w:val="2"/>
      <w:sz w:val="24"/>
      <w:szCs w:val="24"/>
    </w:rPr>
  </w:style>
  <w:style w:type="character" w:customStyle="1" w:styleId="96">
    <w:name w:val="NormalCharacter"/>
    <w:autoRedefine/>
    <w:semiHidden/>
    <w:qFormat/>
    <w:uiPriority w:val="0"/>
  </w:style>
  <w:style w:type="paragraph" w:customStyle="1" w:styleId="97">
    <w:name w:val="上次打印时间"/>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顺颂商祺！"/>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分手多日，近况如何？"/>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此正文"/>
    <w:basedOn w:val="1"/>
    <w:autoRedefine/>
    <w:qFormat/>
    <w:uiPriority w:val="0"/>
    <w:pPr>
      <w:spacing w:line="360" w:lineRule="auto"/>
      <w:ind w:firstLine="200" w:firstLineChars="200"/>
    </w:pPr>
    <w:rPr>
      <w:sz w:val="24"/>
      <w:szCs w:val="24"/>
    </w:rPr>
  </w:style>
  <w:style w:type="paragraph" w:customStyle="1" w:styleId="101">
    <w:name w:val="请勿折叠！"/>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修订1"/>
    <w:autoRedefine/>
    <w:unhideWhenUsed/>
    <w:qFormat/>
    <w:uiPriority w:val="99"/>
    <w:rPr>
      <w:rFonts w:ascii="Times New Roman" w:hAnsi="Times New Roman" w:eastAsia="宋体" w:cs="Times New Roman"/>
      <w:kern w:val="2"/>
      <w:sz w:val="21"/>
      <w:lang w:val="en-US" w:eastAsia="zh-CN" w:bidi="ar-SA"/>
    </w:rPr>
  </w:style>
  <w:style w:type="paragraph" w:customStyle="1" w:styleId="103">
    <w:name w:val="尊意如何，请即示知。"/>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标书正文"/>
    <w:basedOn w:val="1"/>
    <w:autoRedefine/>
    <w:qFormat/>
    <w:uiPriority w:val="99"/>
    <w:pPr>
      <w:ind w:firstLine="480" w:firstLineChars="200"/>
    </w:pPr>
  </w:style>
  <w:style w:type="paragraph" w:customStyle="1" w:styleId="105">
    <w:name w:val="临书仓促，不尽欲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Char Char Char"/>
    <w:basedOn w:val="1"/>
    <w:autoRedefine/>
    <w:qFormat/>
    <w:uiPriority w:val="0"/>
    <w:rPr>
      <w:rFonts w:ascii="Tahoma" w:hAnsi="Tahoma"/>
      <w:sz w:val="24"/>
    </w:rPr>
  </w:style>
  <w:style w:type="paragraph" w:customStyle="1" w:styleId="108">
    <w:name w:val="- 页码 -"/>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作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2"/>
    <w:basedOn w:val="1"/>
    <w:autoRedefine/>
    <w:qFormat/>
    <w:uiPriority w:val="0"/>
    <w:pPr>
      <w:tabs>
        <w:tab w:val="left" w:pos="720"/>
      </w:tabs>
      <w:ind w:left="720" w:hanging="360"/>
    </w:pPr>
    <w:rPr>
      <w:sz w:val="24"/>
      <w:szCs w:val="24"/>
    </w:rPr>
  </w:style>
  <w:style w:type="paragraph" w:customStyle="1" w:styleId="111">
    <w:name w:val="奉恳之事，乞速复为荷。"/>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关于:"/>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Char Char Char Char Char Char"/>
    <w:basedOn w:val="1"/>
    <w:autoRedefine/>
    <w:qFormat/>
    <w:uiPriority w:val="0"/>
    <w:pPr>
      <w:ind w:firstLine="200" w:firstLineChars="200"/>
    </w:pPr>
    <w:rPr>
      <w:rFonts w:ascii="Tahoma" w:hAnsi="Tahoma"/>
      <w:sz w:val="24"/>
    </w:rPr>
  </w:style>
  <w:style w:type="paragraph" w:customStyle="1" w:styleId="114">
    <w:name w:val="音问久疏，唯愿一切康适。"/>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上次保存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2 Char Char"/>
    <w:basedOn w:val="1"/>
    <w:autoRedefine/>
    <w:qFormat/>
    <w:uiPriority w:val="0"/>
    <w:rPr>
      <w:rFonts w:ascii="Tahoma" w:hAnsi="Tahoma"/>
      <w:sz w:val="24"/>
    </w:rPr>
  </w:style>
  <w:style w:type="paragraph" w:customStyle="1" w:styleId="117">
    <w:name w:val="表注"/>
    <w:basedOn w:val="1"/>
    <w:autoRedefine/>
    <w:qFormat/>
    <w:uiPriority w:val="0"/>
    <w:pPr>
      <w:numPr>
        <w:ilvl w:val="0"/>
        <w:numId w:val="5"/>
      </w:numPr>
      <w:spacing w:line="360" w:lineRule="auto"/>
      <w:ind w:left="0" w:firstLine="0"/>
      <w:jc w:val="center"/>
    </w:pPr>
    <w:rPr>
      <w:szCs w:val="21"/>
    </w:rPr>
  </w:style>
  <w:style w:type="paragraph" w:customStyle="1" w:styleId="118">
    <w:name w:val="前上一函，谅达雅鉴，迄今未闻复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标题3 Ctrl+3"/>
    <w:basedOn w:val="4"/>
    <w:next w:val="1"/>
    <w:autoRedefine/>
    <w:qFormat/>
    <w:uiPriority w:val="0"/>
    <w:pPr>
      <w:keepNext w:val="0"/>
      <w:numPr>
        <w:ilvl w:val="2"/>
        <w:numId w:val="1"/>
      </w:numPr>
      <w:tabs>
        <w:tab w:val="clear" w:pos="720"/>
      </w:tabs>
      <w:adjustRightInd w:val="0"/>
      <w:snapToGrid w:val="0"/>
      <w:spacing w:before="120" w:beforeLines="75" w:after="120" w:afterLines="25" w:line="360" w:lineRule="auto"/>
      <w:ind w:left="709"/>
      <w:jc w:val="left"/>
    </w:pPr>
    <w:rPr>
      <w:rFonts w:ascii="Arial" w:hAnsi="Arial" w:eastAsia="黑体"/>
      <w:b w:val="0"/>
      <w:kern w:val="2"/>
      <w:lang w:val="zh-CN"/>
    </w:rPr>
  </w:style>
  <w:style w:type="paragraph" w:customStyle="1" w:styleId="120">
    <w:name w:val="文档正文"/>
    <w:basedOn w:val="33"/>
    <w:autoRedefine/>
    <w:qFormat/>
    <w:uiPriority w:val="0"/>
    <w:pPr>
      <w:shd w:val="clear" w:color="auto" w:fill="FFFFFF"/>
      <w:spacing w:beforeLines="50" w:beforeAutospacing="0" w:after="0" w:afterAutospacing="0" w:line="360" w:lineRule="auto"/>
      <w:ind w:firstLine="560" w:firstLineChars="200"/>
      <w:jc w:val="both"/>
    </w:pPr>
    <w:rPr>
      <w:rFonts w:eastAsia="仿宋" w:cs="Times New Roman"/>
      <w:sz w:val="28"/>
      <w:szCs w:val="32"/>
    </w:rPr>
  </w:style>
  <w:style w:type="paragraph" w:customStyle="1" w:styleId="1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3">
    <w:name w:val="文件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表格文字2"/>
    <w:basedOn w:val="87"/>
    <w:autoRedefine/>
    <w:qFormat/>
    <w:uiPriority w:val="99"/>
    <w:pPr>
      <w:jc w:val="both"/>
    </w:pPr>
  </w:style>
  <w:style w:type="paragraph" w:customStyle="1" w:styleId="125">
    <w:name w:val="文件名和路径"/>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标题2 Ctrl+2"/>
    <w:basedOn w:val="3"/>
    <w:next w:val="14"/>
    <w:autoRedefine/>
    <w:qFormat/>
    <w:uiPriority w:val="0"/>
    <w:pPr>
      <w:keepNext w:val="0"/>
      <w:adjustRightInd w:val="0"/>
      <w:snapToGrid w:val="0"/>
      <w:spacing w:before="240" w:beforeLines="200" w:after="120" w:afterLines="50" w:line="360" w:lineRule="auto"/>
      <w:ind w:left="284"/>
      <w:jc w:val="left"/>
    </w:pPr>
    <w:rPr>
      <w:rFonts w:ascii="Times New Roman" w:hAnsi="Times New Roman" w:eastAsia="黑体"/>
      <w:b w:val="0"/>
      <w:sz w:val="36"/>
      <w:szCs w:val="36"/>
      <w:lang w:val="zh-CN"/>
    </w:rPr>
  </w:style>
  <w:style w:type="paragraph" w:customStyle="1" w:styleId="127">
    <w:name w:val="知尊恙复发，心甚念之。"/>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纸短情长，再祈珍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Table Paragraph"/>
    <w:basedOn w:val="1"/>
    <w:autoRedefine/>
    <w:qFormat/>
    <w:uiPriority w:val="1"/>
    <w:rPr>
      <w:rFonts w:ascii="Calibri" w:hAnsi="Calibri"/>
      <w:sz w:val="22"/>
      <w:szCs w:val="22"/>
      <w:lang w:eastAsia="en-US"/>
    </w:rPr>
  </w:style>
  <w:style w:type="paragraph" w:customStyle="1" w:styleId="130">
    <w:name w:val="Char11"/>
    <w:basedOn w:val="14"/>
    <w:autoRedefine/>
    <w:qFormat/>
    <w:uiPriority w:val="0"/>
    <w:pPr>
      <w:adjustRightInd w:val="0"/>
      <w:spacing w:line="436" w:lineRule="exact"/>
      <w:ind w:left="357"/>
      <w:jc w:val="left"/>
      <w:outlineLvl w:val="3"/>
    </w:pPr>
    <w:rPr>
      <w:rFonts w:ascii="Tahoma" w:hAnsi="Tahoma"/>
      <w:b/>
      <w:sz w:val="24"/>
      <w:szCs w:val="24"/>
    </w:rPr>
  </w:style>
  <w:style w:type="paragraph" w:styleId="131">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2">
    <w:name w:val="表"/>
    <w:basedOn w:val="1"/>
    <w:autoRedefine/>
    <w:qFormat/>
    <w:uiPriority w:val="0"/>
    <w:pPr>
      <w:spacing w:line="360" w:lineRule="auto"/>
    </w:pPr>
    <w:rPr>
      <w:rFonts w:cs="Garamond"/>
      <w:b/>
      <w:bCs/>
      <w:color w:val="FF0000"/>
    </w:rPr>
  </w:style>
  <w:style w:type="paragraph" w:customStyle="1" w:styleId="133">
    <w:name w:val="!标题1 Ctrl+1"/>
    <w:basedOn w:val="2"/>
    <w:next w:val="1"/>
    <w:autoRedefine/>
    <w:qFormat/>
    <w:uiPriority w:val="0"/>
    <w:pPr>
      <w:keepNext w:val="0"/>
      <w:keepLines w:val="0"/>
      <w:pageBreakBefore/>
      <w:tabs>
        <w:tab w:val="center" w:pos="0"/>
        <w:tab w:val="left" w:pos="425"/>
        <w:tab w:val="left" w:pos="3402"/>
        <w:tab w:val="left" w:pos="3828"/>
      </w:tabs>
      <w:adjustRightInd w:val="0"/>
      <w:snapToGrid w:val="0"/>
      <w:spacing w:before="240" w:after="240" w:line="240" w:lineRule="auto"/>
      <w:ind w:left="425" w:hanging="425"/>
    </w:pPr>
    <w:rPr>
      <w:rFonts w:ascii="Arial" w:hAnsi="Arial" w:eastAsia="黑体"/>
      <w:b w:val="0"/>
      <w:kern w:val="2"/>
    </w:rPr>
  </w:style>
  <w:style w:type="paragraph" w:customStyle="1" w:styleId="134">
    <w:name w:val="惠书敬悉，迟复为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参考:"/>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修订2"/>
    <w:autoRedefine/>
    <w:unhideWhenUsed/>
    <w:qFormat/>
    <w:uiPriority w:val="99"/>
    <w:rPr>
      <w:rFonts w:ascii="Times New Roman" w:hAnsi="Times New Roman" w:eastAsia="宋体" w:cs="Times New Roman"/>
      <w:kern w:val="2"/>
      <w:sz w:val="21"/>
      <w:lang w:val="en-US" w:eastAsia="zh-CN" w:bidi="ar-SA"/>
    </w:rPr>
  </w:style>
  <w:style w:type="paragraph" w:customStyle="1" w:styleId="137">
    <w:name w:val="创建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
    <w:name w:val="近来寒暑不常，希自珍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Char1"/>
    <w:basedOn w:val="14"/>
    <w:autoRedefine/>
    <w:qFormat/>
    <w:uiPriority w:val="0"/>
    <w:pPr>
      <w:adjustRightInd w:val="0"/>
      <w:spacing w:line="436" w:lineRule="exact"/>
      <w:ind w:left="357"/>
      <w:jc w:val="left"/>
      <w:outlineLvl w:val="3"/>
    </w:pPr>
  </w:style>
  <w:style w:type="paragraph" w:customStyle="1" w:styleId="140">
    <w:name w:val="先生/女士："/>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久不通函，至以为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28"/>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143">
    <w:name w:val="亲启"/>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作者、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答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表格表头"/>
    <w:basedOn w:val="1"/>
    <w:autoRedefine/>
    <w:qFormat/>
    <w:uiPriority w:val="0"/>
    <w:pPr>
      <w:jc w:val="center"/>
    </w:pPr>
    <w:rPr>
      <w:rFonts w:eastAsia="黑体"/>
      <w:sz w:val="24"/>
      <w:szCs w:val="21"/>
    </w:rPr>
  </w:style>
  <w:style w:type="paragraph" w:customStyle="1" w:styleId="148">
    <w:name w:val="第 X 页 共 Y 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敬启者："/>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50">
    <w:name w:val="List Paragraph"/>
    <w:basedOn w:val="1"/>
    <w:autoRedefine/>
    <w:qFormat/>
    <w:uiPriority w:val="34"/>
    <w:pPr>
      <w:ind w:firstLine="420" w:firstLineChars="200"/>
    </w:pPr>
  </w:style>
  <w:style w:type="paragraph" w:customStyle="1" w:styleId="151">
    <w:name w:val="匆此先复，余容后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标题4 Ctrl+4"/>
    <w:basedOn w:val="1"/>
    <w:next w:val="1"/>
    <w:autoRedefine/>
    <w:qFormat/>
    <w:uiPriority w:val="0"/>
    <w:pPr>
      <w:tabs>
        <w:tab w:val="left" w:pos="851"/>
      </w:tabs>
      <w:adjustRightInd w:val="0"/>
      <w:snapToGrid w:val="0"/>
      <w:spacing w:before="156" w:beforeLines="50" w:after="156" w:afterLines="50" w:line="360" w:lineRule="auto"/>
      <w:ind w:left="851" w:firstLine="200" w:firstLineChars="200"/>
      <w:outlineLvl w:val="3"/>
    </w:pPr>
    <w:rPr>
      <w:rFonts w:ascii="Arial" w:hAnsi="Arial" w:eastAsia="黑体"/>
      <w:b/>
      <w:sz w:val="30"/>
      <w:szCs w:val="30"/>
    </w:rPr>
  </w:style>
  <w:style w:type="paragraph" w:customStyle="1" w:styleId="153">
    <w:name w:val="TOC 标题1"/>
    <w:basedOn w:val="2"/>
    <w:next w:val="1"/>
    <w:autoRedefine/>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54">
    <w:name w:val="机密、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_Style 150"/>
    <w:autoRedefine/>
    <w:unhideWhenUsed/>
    <w:qFormat/>
    <w:uiPriority w:val="99"/>
    <w:rPr>
      <w:rFonts w:ascii="Times New Roman" w:hAnsi="Times New Roman" w:eastAsia="宋体" w:cs="Times New Roman"/>
      <w:kern w:val="2"/>
      <w:sz w:val="21"/>
      <w:lang w:val="en-US" w:eastAsia="zh-CN" w:bidi="ar-SA"/>
    </w:rPr>
  </w:style>
  <w:style w:type="paragraph" w:customStyle="1" w:styleId="156">
    <w:name w:val="Char"/>
    <w:basedOn w:val="1"/>
    <w:autoRedefine/>
    <w:qFormat/>
    <w:uiPriority w:val="0"/>
    <w:pPr>
      <w:widowControl/>
      <w:spacing w:line="400" w:lineRule="exact"/>
      <w:jc w:val="center"/>
    </w:pPr>
    <w:rPr>
      <w:rFonts w:ascii="Verdana" w:hAnsi="Verdana"/>
      <w:kern w:val="0"/>
      <w:lang w:eastAsia="en-US"/>
    </w:rPr>
  </w:style>
  <w:style w:type="paragraph" w:customStyle="1" w:styleId="157">
    <w:name w:val="叩请金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奉读大示，心折殊深。"/>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Char Char2"/>
    <w:basedOn w:val="1"/>
    <w:autoRedefine/>
    <w:qFormat/>
    <w:uiPriority w:val="0"/>
    <w:rPr>
      <w:rFonts w:ascii="宋体" w:hAnsi="宋体"/>
      <w:b/>
      <w:sz w:val="28"/>
      <w:szCs w:val="28"/>
    </w:rPr>
  </w:style>
  <w:style w:type="paragraph" w:customStyle="1" w:styleId="160">
    <w:name w:val="*正文"/>
    <w:basedOn w:val="1"/>
    <w:autoRedefine/>
    <w:qFormat/>
    <w:uiPriority w:val="0"/>
    <w:pPr>
      <w:widowControl/>
      <w:spacing w:line="360" w:lineRule="auto"/>
      <w:ind w:firstLine="200" w:firstLineChars="200"/>
    </w:pPr>
    <w:rPr>
      <w:rFonts w:ascii="宋体" w:hAnsi="宋体"/>
      <w:kern w:val="0"/>
      <w:sz w:val="24"/>
      <w:szCs w:val="24"/>
    </w:rPr>
  </w:style>
  <w:style w:type="paragraph" w:customStyle="1" w:styleId="161">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2">
    <w:name w:val="No Spacing1"/>
    <w:basedOn w:val="1"/>
    <w:autoRedefine/>
    <w:qFormat/>
    <w:uiPriority w:val="0"/>
    <w:rPr>
      <w:rFonts w:ascii="等线" w:hAnsi="等线" w:eastAsia="等线"/>
      <w:szCs w:val="21"/>
    </w:rPr>
  </w:style>
  <w:style w:type="paragraph" w:customStyle="1" w:styleId="163">
    <w:name w:val="表格小4字"/>
    <w:autoRedefine/>
    <w:qFormat/>
    <w:uiPriority w:val="0"/>
    <w:pPr>
      <w:adjustRightInd w:val="0"/>
      <w:snapToGrid w:val="0"/>
      <w:spacing w:line="300" w:lineRule="auto"/>
    </w:pPr>
    <w:rPr>
      <w:rFonts w:ascii="仿宋" w:hAnsi="仿宋" w:eastAsia="仿宋" w:cs="Times New Roman"/>
      <w:kern w:val="2"/>
      <w:sz w:val="24"/>
      <w:szCs w:val="28"/>
      <w:lang w:val="en-US" w:eastAsia="zh-CN" w:bidi="ar-SA"/>
    </w:rPr>
  </w:style>
  <w:style w:type="character" w:customStyle="1" w:styleId="164">
    <w:name w:val="批注文字 字符"/>
    <w:autoRedefine/>
    <w:qFormat/>
    <w:uiPriority w:val="0"/>
    <w:rPr>
      <w:rFonts w:ascii="Times New Roman" w:hAnsi="Times New Roman" w:eastAsia="宋体" w:cs="Times New Roman"/>
      <w:kern w:val="0"/>
      <w:sz w:val="20"/>
      <w:szCs w:val="20"/>
    </w:rPr>
  </w:style>
  <w:style w:type="table" w:customStyle="1" w:styleId="165">
    <w:name w:val="网格型2"/>
    <w:autoRedefine/>
    <w:qFormat/>
    <w:uiPriority w:val="3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6">
    <w:name w:val="标题-正文"/>
    <w:basedOn w:val="1"/>
    <w:autoRedefine/>
    <w:qFormat/>
    <w:uiPriority w:val="7"/>
    <w:pPr>
      <w:adjustRightInd w:val="0"/>
      <w:spacing w:line="360" w:lineRule="auto"/>
      <w:jc w:val="left"/>
    </w:pPr>
    <w:rPr>
      <w:rFonts w:cstheme="minorBidi"/>
      <w:sz w:val="24"/>
      <w:szCs w:val="24"/>
    </w:rPr>
  </w:style>
  <w:style w:type="paragraph" w:customStyle="1" w:styleId="167">
    <w:name w:val="fa标题1"/>
    <w:next w:val="1"/>
    <w:autoRedefine/>
    <w:qFormat/>
    <w:uiPriority w:val="0"/>
    <w:pPr>
      <w:widowControl w:val="0"/>
      <w:spacing w:line="360" w:lineRule="auto"/>
      <w:ind w:left="432" w:hanging="432"/>
      <w:jc w:val="left"/>
      <w:outlineLvl w:val="0"/>
    </w:pPr>
    <w:rPr>
      <w:rFonts w:ascii="黑体" w:hAnsi="宋体" w:eastAsia="黑体" w:cs="Times New Roman"/>
      <w:b/>
      <w:kern w:val="2"/>
      <w:sz w:val="32"/>
      <w:szCs w:val="30"/>
      <w:lang w:val="en-US" w:eastAsia="zh-CN" w:bidi="ar-SA"/>
    </w:rPr>
  </w:style>
  <w:style w:type="character" w:customStyle="1" w:styleId="168">
    <w:name w:val="标题 1 字符1"/>
    <w:basedOn w:val="47"/>
    <w:autoRedefine/>
    <w:qFormat/>
    <w:uiPriority w:val="0"/>
    <w:rPr>
      <w:rFonts w:eastAsia="黑体" w:asciiTheme="majorHAnsi" w:hAnsiTheme="majorHAnsi" w:cstheme="majorBidi"/>
      <w:color w:val="auto"/>
      <w:kern w:val="44"/>
      <w:sz w:val="32"/>
      <w:szCs w:val="44"/>
    </w:rPr>
  </w:style>
  <w:style w:type="paragraph" w:customStyle="1" w:styleId="169">
    <w:name w:val="fa标题2"/>
    <w:next w:val="1"/>
    <w:autoRedefine/>
    <w:qFormat/>
    <w:uiPriority w:val="0"/>
    <w:pPr>
      <w:widowControl w:val="0"/>
      <w:numPr>
        <w:ilvl w:val="1"/>
        <w:numId w:val="6"/>
      </w:numPr>
      <w:spacing w:line="360" w:lineRule="auto"/>
      <w:jc w:val="left"/>
      <w:outlineLvl w:val="1"/>
    </w:pPr>
    <w:rPr>
      <w:rFonts w:ascii="黑体" w:hAnsi="宋体" w:eastAsia="黑体" w:cs="Times New Roman"/>
      <w:b/>
      <w:color w:val="000000"/>
      <w:kern w:val="2"/>
      <w:sz w:val="30"/>
      <w:szCs w:val="30"/>
      <w:lang w:val="en-US" w:eastAsia="zh-CN" w:bidi="ar-SA"/>
    </w:rPr>
  </w:style>
  <w:style w:type="character" w:customStyle="1" w:styleId="170">
    <w:name w:val="标题 2 字符1"/>
    <w:basedOn w:val="46"/>
    <w:autoRedefine/>
    <w:qFormat/>
    <w:uiPriority w:val="0"/>
    <w:rPr>
      <w:rFonts w:ascii="黑体" w:hAnsi="等线 Light" w:eastAsia="黑体" w:cstheme="majorBidi"/>
      <w:color w:val="auto"/>
      <w:kern w:val="2"/>
      <w:sz w:val="30"/>
      <w:szCs w:val="32"/>
    </w:rPr>
  </w:style>
  <w:style w:type="paragraph" w:customStyle="1" w:styleId="171">
    <w:name w:val="fa标题3"/>
    <w:basedOn w:val="169"/>
    <w:next w:val="1"/>
    <w:autoRedefine/>
    <w:qFormat/>
    <w:uiPriority w:val="0"/>
    <w:pPr>
      <w:numPr>
        <w:ilvl w:val="2"/>
      </w:numPr>
      <w:outlineLvl w:val="2"/>
    </w:pPr>
    <w:rPr>
      <w:sz w:val="28"/>
    </w:rPr>
  </w:style>
  <w:style w:type="paragraph" w:customStyle="1" w:styleId="172">
    <w:name w:val="段落文字"/>
    <w:basedOn w:val="1"/>
    <w:autoRedefine/>
    <w:qFormat/>
    <w:uiPriority w:val="0"/>
    <w:pPr>
      <w:adjustRightInd/>
      <w:snapToGrid/>
      <w:ind w:firstLine="480"/>
    </w:pPr>
    <w:rPr>
      <w:rFonts w:cstheme="minorBidi"/>
    </w:rPr>
  </w:style>
  <w:style w:type="character" w:customStyle="1" w:styleId="173">
    <w:name w:val="font11"/>
    <w:basedOn w:val="39"/>
    <w:autoRedefine/>
    <w:qFormat/>
    <w:uiPriority w:val="0"/>
    <w:rPr>
      <w:rFonts w:hint="eastAsia" w:ascii="宋体" w:hAnsi="宋体" w:eastAsia="宋体" w:cs="宋体"/>
      <w:b/>
      <w:color w:val="000000"/>
      <w:sz w:val="24"/>
      <w:szCs w:val="24"/>
      <w:u w:val="none"/>
    </w:rPr>
  </w:style>
  <w:style w:type="character" w:customStyle="1" w:styleId="174">
    <w:name w:val="font21"/>
    <w:basedOn w:val="39"/>
    <w:autoRedefine/>
    <w:qFormat/>
    <w:uiPriority w:val="0"/>
    <w:rPr>
      <w:rFonts w:hint="eastAsia" w:ascii="宋体" w:hAnsi="宋体" w:eastAsia="宋体" w:cs="宋体"/>
      <w:b/>
      <w:color w:val="000000"/>
      <w:sz w:val="24"/>
      <w:szCs w:val="24"/>
      <w:u w:val="none"/>
    </w:rPr>
  </w:style>
  <w:style w:type="paragraph" w:customStyle="1" w:styleId="175">
    <w:name w:val="Item List"/>
    <w:autoRedefine/>
    <w:qFormat/>
    <w:uiPriority w:val="0"/>
    <w:pPr>
      <w:adjustRightInd w:val="0"/>
      <w:snapToGrid w:val="0"/>
      <w:spacing w:before="80" w:after="80" w:line="240" w:lineRule="atLeast"/>
    </w:pPr>
    <w:rPr>
      <w:rFonts w:ascii="Arial" w:hAnsi="Arial" w:eastAsia="宋体" w:cs="Arial"/>
      <w:kern w:val="2"/>
      <w:sz w:val="21"/>
      <w:szCs w:val="21"/>
      <w:lang w:val="en-US" w:eastAsia="zh-CN" w:bidi="ar-SA"/>
    </w:rPr>
  </w:style>
  <w:style w:type="character" w:customStyle="1" w:styleId="176">
    <w:name w:val="font51"/>
    <w:basedOn w:val="39"/>
    <w:autoRedefine/>
    <w:qFormat/>
    <w:uiPriority w:val="0"/>
    <w:rPr>
      <w:rFonts w:hint="default" w:ascii="Times New Roman" w:hAnsi="Times New Roman" w:cs="Times New Roman"/>
      <w:color w:val="000000"/>
      <w:sz w:val="20"/>
      <w:szCs w:val="20"/>
      <w:u w:val="none"/>
    </w:rPr>
  </w:style>
  <w:style w:type="character" w:customStyle="1" w:styleId="177">
    <w:name w:val="font71"/>
    <w:basedOn w:val="39"/>
    <w:autoRedefine/>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43727</Words>
  <Characters>47377</Characters>
  <Lines>379</Lines>
  <Paragraphs>106</Paragraphs>
  <TotalTime>20</TotalTime>
  <ScaleCrop>false</ScaleCrop>
  <LinksUpToDate>false</LinksUpToDate>
  <CharactersWithSpaces>50315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2023-11-23T16:08:00Z</dcterms:created>
  <dc:creator>Administrator</dc:creator>
  <cp:lastModifiedBy>王胖子3.0</cp:lastModifiedBy>
  <cp:lastPrinted>2023-11-28T08:14:00Z</cp:lastPrinted>
  <dcterms:modified xsi:type="dcterms:W3CDTF">2024-03-20T08:13:31Z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525452E506D84C8DA110FCCBF1CB5F3C_13</vt:lpwstr>
  </property>
</Properties>
</file>