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hint="eastAsia" w:ascii="宋体" w:hAnsi="宋体" w:eastAsia="宋体" w:cs="宋体"/>
          <w:b/>
          <w:color w:val="auto"/>
          <w:sz w:val="24"/>
          <w:highlight w:val="none"/>
        </w:rPr>
      </w:pPr>
    </w:p>
    <w:p>
      <w:pPr>
        <w:shd w:val="clear"/>
        <w:adjustRightInd/>
        <w:spacing w:line="360" w:lineRule="auto"/>
        <w:jc w:val="center"/>
        <w:rPr>
          <w:rFonts w:hint="eastAsia" w:ascii="宋体" w:hAnsi="宋体" w:eastAsia="宋体" w:cs="宋体"/>
          <w:b/>
          <w:color w:val="auto"/>
          <w:sz w:val="44"/>
          <w:szCs w:val="44"/>
          <w:highlight w:val="none"/>
        </w:rPr>
      </w:pPr>
    </w:p>
    <w:p>
      <w:pPr>
        <w:shd w:val="clear"/>
        <w:spacing w:line="360" w:lineRule="auto"/>
        <w:jc w:val="center"/>
        <w:rPr>
          <w:rFonts w:hint="eastAsia" w:ascii="宋体" w:hAnsi="宋体" w:eastAsia="宋体" w:cs="宋体"/>
          <w:b/>
          <w:color w:val="auto"/>
          <w:sz w:val="44"/>
          <w:szCs w:val="44"/>
          <w:highlight w:val="none"/>
        </w:rPr>
      </w:pPr>
    </w:p>
    <w:p>
      <w:pPr>
        <w:shd w:val="clear"/>
        <w:adjustRightInd/>
        <w:spacing w:line="360" w:lineRule="auto"/>
        <w:jc w:val="center"/>
        <w:rPr>
          <w:rFonts w:hint="eastAsia" w:ascii="宋体" w:hAnsi="宋体" w:eastAsia="宋体" w:cs="宋体"/>
          <w:b/>
          <w:color w:val="auto"/>
          <w:sz w:val="48"/>
          <w:szCs w:val="48"/>
          <w:highlight w:val="none"/>
        </w:rPr>
      </w:pPr>
    </w:p>
    <w:p>
      <w:pPr>
        <w:shd w:val="clea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20</w:t>
      </w:r>
      <w:r>
        <w:rPr>
          <w:rFonts w:hint="eastAsia" w:ascii="宋体" w:hAnsi="宋体" w:eastAsia="宋体" w:cs="宋体"/>
          <w:b/>
          <w:bCs/>
          <w:color w:val="auto"/>
          <w:sz w:val="48"/>
          <w:szCs w:val="48"/>
          <w:highlight w:val="none"/>
          <w:lang w:val="en-US" w:eastAsia="zh-CN"/>
        </w:rPr>
        <w:t>24</w:t>
      </w:r>
      <w:r>
        <w:rPr>
          <w:rFonts w:hint="eastAsia" w:ascii="宋体" w:hAnsi="宋体" w:eastAsia="宋体" w:cs="宋体"/>
          <w:b/>
          <w:bCs/>
          <w:color w:val="auto"/>
          <w:sz w:val="48"/>
          <w:szCs w:val="48"/>
          <w:highlight w:val="none"/>
          <w:lang w:eastAsia="zh-CN"/>
        </w:rPr>
        <w:t>年海曙区排水管道非开挖修复项目</w:t>
      </w:r>
    </w:p>
    <w:p>
      <w:pPr>
        <w:shd w:val="clear"/>
        <w:adjustRightInd/>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val="en-US" w:eastAsia="zh-CN"/>
        </w:rPr>
        <w:t>公开</w:t>
      </w:r>
      <w:r>
        <w:rPr>
          <w:rFonts w:hint="eastAsia" w:ascii="宋体" w:hAnsi="宋体" w:eastAsia="宋体" w:cs="宋体"/>
          <w:b/>
          <w:bCs/>
          <w:color w:val="auto"/>
          <w:sz w:val="48"/>
          <w:szCs w:val="48"/>
          <w:highlight w:val="none"/>
        </w:rPr>
        <w:t xml:space="preserve">招标文件 </w:t>
      </w:r>
    </w:p>
    <w:p>
      <w:pPr>
        <w:shd w:val="clea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 xml:space="preserve">   </w:t>
      </w:r>
    </w:p>
    <w:p>
      <w:pPr>
        <w:shd w:val="clear"/>
        <w:adjustRightInd/>
        <w:spacing w:line="360" w:lineRule="auto"/>
        <w:rPr>
          <w:rFonts w:hint="eastAsia" w:ascii="宋体" w:hAnsi="宋体" w:eastAsia="宋体" w:cs="宋体"/>
          <w:color w:val="auto"/>
          <w:sz w:val="28"/>
          <w:szCs w:val="20"/>
          <w:highlight w:val="none"/>
        </w:rPr>
      </w:pPr>
    </w:p>
    <w:p>
      <w:pPr>
        <w:shd w:val="clea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hd w:val="clear"/>
        <w:spacing w:line="360" w:lineRule="auto"/>
        <w:jc w:val="center"/>
        <w:rPr>
          <w:rFonts w:hint="eastAsia" w:ascii="宋体" w:hAnsi="宋体" w:eastAsia="宋体" w:cs="宋体"/>
          <w:b/>
          <w:color w:val="auto"/>
          <w:sz w:val="44"/>
          <w:szCs w:val="44"/>
          <w:highlight w:val="none"/>
        </w:rPr>
      </w:pPr>
    </w:p>
    <w:p>
      <w:pPr>
        <w:shd w:val="clear"/>
        <w:spacing w:line="360" w:lineRule="auto"/>
        <w:jc w:val="center"/>
        <w:rPr>
          <w:rFonts w:hint="eastAsia" w:ascii="宋体" w:hAnsi="宋体" w:eastAsia="宋体" w:cs="宋体"/>
          <w:color w:val="auto"/>
          <w:sz w:val="24"/>
          <w:highlight w:val="none"/>
        </w:rPr>
      </w:pPr>
    </w:p>
    <w:p>
      <w:pPr>
        <w:shd w:val="clear"/>
        <w:spacing w:line="360" w:lineRule="auto"/>
        <w:jc w:val="center"/>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32"/>
          <w:szCs w:val="32"/>
          <w:highlight w:val="none"/>
        </w:rPr>
      </w:pPr>
    </w:p>
    <w:p>
      <w:pPr>
        <w:keepNext w:val="0"/>
        <w:keepLines w:val="0"/>
        <w:pageBreakBefore w:val="0"/>
        <w:widowControl w:val="0"/>
        <w:tabs>
          <w:tab w:val="left" w:pos="7770"/>
          <w:tab w:val="left" w:pos="7980"/>
        </w:tabs>
        <w:kinsoku/>
        <w:wordWrap/>
        <w:overflowPunct/>
        <w:topLinePunct w:val="0"/>
        <w:autoSpaceDE/>
        <w:autoSpaceDN/>
        <w:bidi w:val="0"/>
        <w:adjustRightInd w:val="0"/>
        <w:snapToGrid w:val="0"/>
        <w:spacing w:line="700" w:lineRule="exact"/>
        <w:textAlignment w:val="auto"/>
        <w:outlineLvl w:val="9"/>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lang w:val="en-US" w:eastAsia="zh-CN"/>
        </w:rPr>
        <w:t>2024NBHSWT174</w:t>
      </w:r>
    </w:p>
    <w:p>
      <w:pPr>
        <w:keepNext w:val="0"/>
        <w:keepLines w:val="0"/>
        <w:pageBreakBefore w:val="0"/>
        <w:widowControl w:val="0"/>
        <w:tabs>
          <w:tab w:val="left" w:pos="7770"/>
          <w:tab w:val="left" w:pos="7980"/>
        </w:tabs>
        <w:kinsoku/>
        <w:wordWrap/>
        <w:overflowPunct/>
        <w:topLinePunct w:val="0"/>
        <w:autoSpaceDE/>
        <w:autoSpaceDN/>
        <w:bidi w:val="0"/>
        <w:adjustRightInd w:val="0"/>
        <w:snapToGrid w:val="0"/>
        <w:spacing w:line="700" w:lineRule="exact"/>
        <w:textAlignment w:val="auto"/>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lang w:eastAsia="zh-CN"/>
        </w:rPr>
        <w:t>2024年海曙区排水管道非开挖修复项目</w:t>
      </w:r>
    </w:p>
    <w:p>
      <w:pPr>
        <w:keepNext w:val="0"/>
        <w:keepLines w:val="0"/>
        <w:pageBreakBefore w:val="0"/>
        <w:widowControl w:val="0"/>
        <w:tabs>
          <w:tab w:val="left" w:pos="7770"/>
          <w:tab w:val="left" w:pos="7980"/>
        </w:tabs>
        <w:kinsoku/>
        <w:wordWrap/>
        <w:overflowPunct/>
        <w:topLinePunct w:val="0"/>
        <w:autoSpaceDE/>
        <w:autoSpaceDN/>
        <w:bidi w:val="0"/>
        <w:adjustRightInd w:val="0"/>
        <w:snapToGrid w:val="0"/>
        <w:spacing w:line="700" w:lineRule="exact"/>
        <w:textAlignment w:val="auto"/>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采购单位：</w:t>
      </w:r>
      <w:r>
        <w:rPr>
          <w:rFonts w:hint="eastAsia" w:ascii="宋体" w:hAnsi="宋体" w:eastAsia="宋体" w:cs="宋体"/>
          <w:b/>
          <w:bCs/>
          <w:color w:val="auto"/>
          <w:sz w:val="32"/>
          <w:szCs w:val="32"/>
          <w:highlight w:val="none"/>
          <w:lang w:eastAsia="zh-CN"/>
        </w:rPr>
        <w:t>宁波市海曙区水务设施管理中心</w:t>
      </w:r>
    </w:p>
    <w:p>
      <w:pPr>
        <w:keepNext w:val="0"/>
        <w:keepLines w:val="0"/>
        <w:pageBreakBefore w:val="0"/>
        <w:widowControl w:val="0"/>
        <w:tabs>
          <w:tab w:val="left" w:pos="7770"/>
          <w:tab w:val="left" w:pos="7980"/>
        </w:tabs>
        <w:kinsoku/>
        <w:wordWrap/>
        <w:overflowPunct/>
        <w:topLinePunct w:val="0"/>
        <w:autoSpaceDE/>
        <w:autoSpaceDN/>
        <w:bidi w:val="0"/>
        <w:adjustRightInd w:val="0"/>
        <w:snapToGrid w:val="0"/>
        <w:spacing w:line="700" w:lineRule="exact"/>
        <w:textAlignment w:val="auto"/>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代理机构：浙江绿邦招标代理有限公司</w:t>
      </w:r>
    </w:p>
    <w:p>
      <w:pPr>
        <w:shd w:val="clear"/>
        <w:snapToGrid w:val="0"/>
        <w:spacing w:line="360" w:lineRule="auto"/>
        <w:jc w:val="center"/>
        <w:rPr>
          <w:rFonts w:hint="eastAsia" w:ascii="宋体" w:hAnsi="宋体" w:eastAsia="宋体" w:cs="宋体"/>
          <w:bCs/>
          <w:color w:val="auto"/>
          <w:sz w:val="32"/>
          <w:szCs w:val="32"/>
          <w:highlight w:val="none"/>
        </w:rPr>
      </w:pPr>
    </w:p>
    <w:p>
      <w:pPr>
        <w:shd w:val="clea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
          <w:bCs/>
          <w:color w:val="auto"/>
          <w:sz w:val="32"/>
          <w:szCs w:val="32"/>
          <w:highlight w:val="none"/>
          <w:lang w:eastAsia="zh-CN"/>
        </w:rPr>
        <w:t>二〇二</w:t>
      </w: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lang w:eastAsia="zh-CN"/>
        </w:rPr>
        <w:t>年</w:t>
      </w: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lang w:eastAsia="zh-CN"/>
        </w:rPr>
        <w:t>月</w:t>
      </w:r>
    </w:p>
    <w:p>
      <w:pPr>
        <w:pStyle w:val="635"/>
        <w:shd w:val="clear"/>
        <w:rPr>
          <w:rFonts w:hint="eastAsia" w:ascii="宋体" w:hAnsi="宋体" w:eastAsia="宋体" w:cs="宋体"/>
          <w:color w:val="auto"/>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NumType w:fmt="decimal"/>
          <w:cols w:space="720" w:num="1"/>
          <w:titlePg/>
          <w:docGrid w:linePitch="312" w:charSpace="0"/>
        </w:sectPr>
      </w:pPr>
    </w:p>
    <w:p>
      <w:pPr>
        <w:shd w:val="clea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hd w:val="clear"/>
        <w:spacing w:line="360" w:lineRule="auto"/>
        <w:rPr>
          <w:rFonts w:hint="eastAsia" w:ascii="宋体" w:hAnsi="宋体" w:eastAsia="宋体" w:cs="宋体"/>
          <w:color w:val="auto"/>
          <w:sz w:val="32"/>
          <w:szCs w:val="32"/>
          <w:highlight w:val="none"/>
        </w:rPr>
      </w:pPr>
    </w:p>
    <w:p>
      <w:pPr>
        <w:pStyle w:val="42"/>
        <w:tabs>
          <w:tab w:val="left" w:pos="1050"/>
          <w:tab w:val="right" w:leader="dot" w:pos="830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Style w:val="76"/>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"_Toc436330179"</w:instrText>
      </w:r>
      <w:r>
        <w:rPr>
          <w:rStyle w:val="76"/>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73"/>
          <w:rFonts w:hint="eastAsia" w:ascii="宋体" w:hAnsi="宋体" w:eastAsia="宋体" w:cs="宋体"/>
          <w:color w:val="auto"/>
          <w:sz w:val="28"/>
          <w:szCs w:val="28"/>
          <w:highlight w:val="none"/>
        </w:rPr>
        <w:t>第一</w:t>
      </w:r>
      <w:r>
        <w:rPr>
          <w:rStyle w:val="73"/>
          <w:rFonts w:hint="eastAsia" w:ascii="宋体" w:hAnsi="宋体" w:eastAsia="宋体" w:cs="宋体"/>
          <w:color w:val="auto"/>
          <w:sz w:val="28"/>
          <w:szCs w:val="28"/>
          <w:highlight w:val="none"/>
          <w:lang w:val="en-US" w:eastAsia="zh-CN"/>
        </w:rPr>
        <w:t>部分</w:t>
      </w:r>
      <w:r>
        <w:rPr>
          <w:rStyle w:val="73"/>
          <w:rFonts w:hint="eastAsia" w:ascii="宋体" w:hAnsi="宋体" w:eastAsia="宋体" w:cs="宋体"/>
          <w:color w:val="auto"/>
          <w:sz w:val="28"/>
          <w:szCs w:val="28"/>
          <w:highlight w:val="none"/>
        </w:rPr>
        <w:t xml:space="preserve"> </w:t>
      </w:r>
      <w:r>
        <w:rPr>
          <w:rStyle w:val="73"/>
          <w:rFonts w:hint="eastAsia" w:ascii="宋体" w:hAnsi="宋体" w:eastAsia="宋体" w:cs="宋体"/>
          <w:color w:val="auto"/>
          <w:sz w:val="28"/>
          <w:szCs w:val="28"/>
          <w:highlight w:val="none"/>
          <w:lang w:val="en-US" w:eastAsia="zh-CN"/>
        </w:rPr>
        <w:t xml:space="preserve"> 招标</w:t>
      </w:r>
      <w:r>
        <w:rPr>
          <w:rStyle w:val="73"/>
          <w:rFonts w:hint="eastAsia" w:ascii="宋体" w:hAnsi="宋体" w:eastAsia="宋体" w:cs="宋体"/>
          <w:color w:val="auto"/>
          <w:sz w:val="28"/>
          <w:szCs w:val="28"/>
          <w:highlight w:val="none"/>
        </w:rPr>
        <w:t>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pPr>
        <w:pStyle w:val="42"/>
        <w:tabs>
          <w:tab w:val="left" w:pos="1050"/>
          <w:tab w:val="right" w:leader="dot" w:pos="830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Style w:val="76"/>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"_Toc436330180"</w:instrText>
      </w:r>
      <w:r>
        <w:rPr>
          <w:rStyle w:val="76"/>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73"/>
          <w:rFonts w:hint="eastAsia" w:ascii="宋体" w:hAnsi="宋体" w:eastAsia="宋体" w:cs="宋体"/>
          <w:color w:val="auto"/>
          <w:sz w:val="28"/>
          <w:szCs w:val="28"/>
          <w:highlight w:val="none"/>
        </w:rPr>
        <w:t>第二</w:t>
      </w:r>
      <w:r>
        <w:rPr>
          <w:rStyle w:val="73"/>
          <w:rFonts w:hint="eastAsia" w:ascii="宋体" w:hAnsi="宋体" w:eastAsia="宋体" w:cs="宋体"/>
          <w:color w:val="auto"/>
          <w:sz w:val="28"/>
          <w:szCs w:val="28"/>
          <w:highlight w:val="none"/>
          <w:lang w:val="en-US" w:eastAsia="zh-CN"/>
        </w:rPr>
        <w:t>部分</w:t>
      </w:r>
      <w:r>
        <w:rPr>
          <w:rStyle w:val="73"/>
          <w:rFonts w:hint="eastAsia" w:ascii="宋体" w:hAnsi="宋体" w:eastAsia="宋体" w:cs="宋体"/>
          <w:color w:val="auto"/>
          <w:sz w:val="28"/>
          <w:szCs w:val="28"/>
          <w:highlight w:val="none"/>
        </w:rPr>
        <w:t xml:space="preserve">  </w:t>
      </w:r>
      <w:r>
        <w:rPr>
          <w:rStyle w:val="73"/>
          <w:rFonts w:hint="eastAsia" w:ascii="宋体" w:hAnsi="宋体" w:eastAsia="宋体" w:cs="宋体"/>
          <w:color w:val="auto"/>
          <w:sz w:val="28"/>
          <w:szCs w:val="28"/>
          <w:highlight w:val="none"/>
          <w:lang w:val="en-US" w:eastAsia="zh-CN"/>
        </w:rPr>
        <w:t>投标人须知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fldChar w:fldCharType="end"/>
      </w:r>
    </w:p>
    <w:p>
      <w:pPr>
        <w:pStyle w:val="42"/>
        <w:tabs>
          <w:tab w:val="left" w:pos="1050"/>
          <w:tab w:val="right" w:leader="dot" w:pos="8302"/>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Style w:val="76"/>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"_Toc436330193"</w:instrText>
      </w:r>
      <w:r>
        <w:rPr>
          <w:rStyle w:val="76"/>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73"/>
          <w:rFonts w:hint="eastAsia" w:ascii="宋体" w:hAnsi="宋体" w:eastAsia="宋体" w:cs="宋体"/>
          <w:color w:val="auto"/>
          <w:sz w:val="28"/>
          <w:szCs w:val="28"/>
          <w:highlight w:val="none"/>
        </w:rPr>
        <w:t>第三</w:t>
      </w:r>
      <w:r>
        <w:rPr>
          <w:rStyle w:val="73"/>
          <w:rFonts w:hint="eastAsia" w:ascii="宋体" w:hAnsi="宋体" w:eastAsia="宋体" w:cs="宋体"/>
          <w:color w:val="auto"/>
          <w:sz w:val="28"/>
          <w:szCs w:val="28"/>
          <w:highlight w:val="none"/>
          <w:lang w:val="en-US" w:eastAsia="zh-CN"/>
        </w:rPr>
        <w:t>部分</w:t>
      </w:r>
      <w:r>
        <w:rPr>
          <w:rStyle w:val="73"/>
          <w:rFonts w:hint="eastAsia" w:ascii="宋体" w:hAnsi="宋体" w:eastAsia="宋体" w:cs="宋体"/>
          <w:color w:val="auto"/>
          <w:sz w:val="28"/>
          <w:szCs w:val="28"/>
          <w:highlight w:val="none"/>
        </w:rPr>
        <w:t xml:space="preserve">  </w:t>
      </w:r>
      <w:r>
        <w:rPr>
          <w:rStyle w:val="73"/>
          <w:rFonts w:hint="eastAsia" w:ascii="宋体" w:hAnsi="宋体" w:eastAsia="宋体" w:cs="宋体"/>
          <w:color w:val="auto"/>
          <w:sz w:val="28"/>
          <w:szCs w:val="28"/>
          <w:highlight w:val="none"/>
          <w:lang w:val="en-US" w:eastAsia="zh-CN"/>
        </w:rPr>
        <w:t>采购需求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42"/>
        <w:tabs>
          <w:tab w:val="left" w:pos="1050"/>
          <w:tab w:val="right" w:leader="dot" w:pos="8302"/>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Style w:val="76"/>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"_Toc436330233"</w:instrText>
      </w:r>
      <w:r>
        <w:rPr>
          <w:rStyle w:val="76"/>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76"/>
          <w:rFonts w:hint="eastAsia" w:ascii="宋体" w:hAnsi="宋体" w:eastAsia="宋体" w:cs="宋体"/>
          <w:color w:val="auto"/>
          <w:sz w:val="28"/>
          <w:szCs w:val="28"/>
          <w:highlight w:val="none"/>
        </w:rPr>
        <w:t>第四</w:t>
      </w:r>
      <w:r>
        <w:rPr>
          <w:rStyle w:val="76"/>
          <w:rFonts w:hint="eastAsia" w:ascii="宋体" w:hAnsi="宋体" w:eastAsia="宋体" w:cs="宋体"/>
          <w:color w:val="auto"/>
          <w:sz w:val="28"/>
          <w:szCs w:val="28"/>
          <w:highlight w:val="none"/>
          <w:lang w:val="en-US" w:eastAsia="zh-CN"/>
        </w:rPr>
        <w:t>部分</w:t>
      </w:r>
      <w:r>
        <w:rPr>
          <w:rStyle w:val="76"/>
          <w:rFonts w:hint="eastAsia" w:ascii="宋体" w:hAnsi="宋体" w:eastAsia="宋体" w:cs="宋体"/>
          <w:color w:val="auto"/>
          <w:sz w:val="28"/>
          <w:szCs w:val="28"/>
          <w:highlight w:val="none"/>
        </w:rPr>
        <w:t xml:space="preserve">  评标办法</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7</w:t>
      </w:r>
    </w:p>
    <w:p>
      <w:pPr>
        <w:pStyle w:val="42"/>
        <w:tabs>
          <w:tab w:val="left" w:pos="1050"/>
          <w:tab w:val="right" w:leader="dot" w:pos="8302"/>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Style w:val="76"/>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"_Toc436330235"</w:instrText>
      </w:r>
      <w:r>
        <w:rPr>
          <w:rStyle w:val="76"/>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76"/>
          <w:rFonts w:hint="eastAsia" w:ascii="宋体" w:hAnsi="宋体" w:eastAsia="宋体" w:cs="宋体"/>
          <w:color w:val="auto"/>
          <w:sz w:val="28"/>
          <w:szCs w:val="28"/>
          <w:highlight w:val="none"/>
        </w:rPr>
        <w:t>第五</w:t>
      </w:r>
      <w:r>
        <w:rPr>
          <w:rStyle w:val="76"/>
          <w:rFonts w:hint="eastAsia" w:ascii="宋体" w:hAnsi="宋体" w:eastAsia="宋体" w:cs="宋体"/>
          <w:color w:val="auto"/>
          <w:sz w:val="28"/>
          <w:szCs w:val="28"/>
          <w:highlight w:val="none"/>
          <w:lang w:val="en-US" w:eastAsia="zh-CN"/>
        </w:rPr>
        <w:t>部分</w:t>
      </w:r>
      <w:r>
        <w:rPr>
          <w:rStyle w:val="76"/>
          <w:rFonts w:hint="eastAsia" w:ascii="宋体" w:hAnsi="宋体" w:eastAsia="宋体" w:cs="宋体"/>
          <w:color w:val="auto"/>
          <w:sz w:val="28"/>
          <w:szCs w:val="28"/>
          <w:highlight w:val="none"/>
        </w:rPr>
        <w:t xml:space="preserve">  </w:t>
      </w:r>
      <w:bookmarkStart w:id="0" w:name="_Hlt436330240"/>
      <w:r>
        <w:rPr>
          <w:rStyle w:val="76"/>
          <w:rFonts w:hint="eastAsia" w:ascii="宋体" w:hAnsi="宋体" w:eastAsia="宋体" w:cs="宋体"/>
          <w:color w:val="auto"/>
          <w:sz w:val="28"/>
          <w:szCs w:val="28"/>
          <w:highlight w:val="none"/>
        </w:rPr>
        <w:t>拟签订的合同文本</w:t>
      </w:r>
      <w:r>
        <w:rPr>
          <w:rStyle w:val="76"/>
          <w:rFonts w:hint="eastAsia" w:ascii="宋体" w:hAnsi="宋体" w:eastAsia="宋体" w:cs="宋体"/>
          <w:color w:val="auto"/>
          <w:sz w:val="28"/>
          <w:szCs w:val="28"/>
          <w:highlight w:val="none"/>
        </w:rPr>
        <w:tab/>
      </w:r>
      <w:bookmarkEnd w:id="0"/>
      <w:r>
        <w:rPr>
          <w:rStyle w:val="76"/>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7</w:t>
      </w:r>
    </w:p>
    <w:p>
      <w:pPr>
        <w:pStyle w:val="42"/>
        <w:tabs>
          <w:tab w:val="left" w:pos="1050"/>
          <w:tab w:val="right" w:leader="dot" w:pos="8302"/>
        </w:tabs>
        <w:spacing w:line="48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8"/>
          <w:szCs w:val="28"/>
          <w:highlight w:val="none"/>
        </w:rPr>
        <w:fldChar w:fldCharType="begin"/>
      </w:r>
      <w:r>
        <w:rPr>
          <w:rStyle w:val="76"/>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"_Toc436330236"</w:instrText>
      </w:r>
      <w:r>
        <w:rPr>
          <w:rStyle w:val="76"/>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73"/>
          <w:rFonts w:hint="eastAsia" w:ascii="宋体" w:hAnsi="宋体" w:eastAsia="宋体" w:cs="宋体"/>
          <w:color w:val="auto"/>
          <w:sz w:val="28"/>
          <w:szCs w:val="28"/>
          <w:highlight w:val="none"/>
        </w:rPr>
        <w:t>第六</w:t>
      </w:r>
      <w:r>
        <w:rPr>
          <w:rStyle w:val="73"/>
          <w:rFonts w:hint="eastAsia" w:ascii="宋体" w:hAnsi="宋体" w:eastAsia="宋体" w:cs="宋体"/>
          <w:color w:val="auto"/>
          <w:sz w:val="28"/>
          <w:szCs w:val="28"/>
          <w:highlight w:val="none"/>
          <w:lang w:val="en-US" w:eastAsia="zh-CN"/>
        </w:rPr>
        <w:t>部分</w:t>
      </w:r>
      <w:r>
        <w:rPr>
          <w:rStyle w:val="73"/>
          <w:rFonts w:hint="eastAsia" w:ascii="宋体" w:hAnsi="宋体" w:eastAsia="宋体" w:cs="宋体"/>
          <w:color w:val="auto"/>
          <w:sz w:val="28"/>
          <w:szCs w:val="28"/>
          <w:highlight w:val="none"/>
        </w:rPr>
        <w:t>　投标文件格式及附件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6</w:t>
      </w:r>
      <w:r>
        <w:rPr>
          <w:rFonts w:hint="eastAsia" w:ascii="宋体" w:hAnsi="宋体" w:cs="宋体"/>
          <w:color w:val="auto"/>
          <w:sz w:val="28"/>
          <w:szCs w:val="28"/>
          <w:highlight w:val="none"/>
          <w:lang w:val="en-US" w:eastAsia="zh-CN"/>
        </w:rPr>
        <w:t>1</w:t>
      </w:r>
    </w:p>
    <w:p>
      <w:pPr>
        <w:shd w:val="clear"/>
        <w:spacing w:line="360" w:lineRule="auto"/>
        <w:ind w:firstLine="1280" w:firstLineChars="400"/>
        <w:rPr>
          <w:rFonts w:hint="eastAsia" w:ascii="宋体" w:hAnsi="宋体" w:eastAsia="宋体" w:cs="宋体"/>
          <w:color w:val="auto"/>
          <w:sz w:val="32"/>
          <w:szCs w:val="32"/>
          <w:highlight w:val="none"/>
        </w:rPr>
      </w:pPr>
    </w:p>
    <w:p>
      <w:pPr>
        <w:shd w:val="clea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bookmarkEnd w:id="2"/>
    <w:p>
      <w:pPr>
        <w:shd w:val="clear"/>
        <w:adjustRightInd/>
        <w:spacing w:line="360" w:lineRule="auto"/>
        <w:jc w:val="center"/>
        <w:outlineLvl w:val="0"/>
        <w:rPr>
          <w:rFonts w:hint="eastAsia" w:ascii="宋体" w:hAnsi="宋体" w:eastAsia="宋体" w:cs="宋体"/>
          <w:b/>
          <w:color w:val="auto"/>
          <w:sz w:val="36"/>
          <w:szCs w:val="20"/>
          <w:highlight w:val="none"/>
        </w:rPr>
        <w:sectPr>
          <w:footerReference r:id="rId8" w:type="first"/>
          <w:footerReference r:id="rId7" w:type="default"/>
          <w:pgSz w:w="11906" w:h="16838"/>
          <w:pgMar w:top="680" w:right="1418" w:bottom="468" w:left="1418" w:header="851" w:footer="992" w:gutter="0"/>
          <w:pgNumType w:fmt="decimal" w:start="1"/>
          <w:cols w:space="720" w:num="1"/>
          <w:titlePg/>
          <w:docGrid w:linePitch="312" w:charSpace="0"/>
        </w:sect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p>
    <w:p>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2024年海曙区排水管道非开挖修复项目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eastAsia="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529" w:name="_GoBack"/>
      <w:r>
        <w:rPr>
          <w:rFonts w:hint="eastAsia" w:ascii="宋体" w:hAnsi="宋体" w:eastAsia="宋体" w:cs="宋体"/>
          <w:b/>
          <w:color w:val="auto"/>
          <w:sz w:val="24"/>
          <w:szCs w:val="24"/>
          <w:highlight w:val="none"/>
        </w:rPr>
        <w:t>项目编号</w:t>
      </w:r>
      <w:bookmarkEnd w:id="529"/>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lang w:eastAsia="zh-CN"/>
        </w:rPr>
        <w:t>2024NBHSWT174</w:t>
      </w:r>
    </w:p>
    <w:p>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eastAsia="宋体" w:cs="宋体"/>
          <w:color w:val="auto"/>
          <w:sz w:val="24"/>
          <w:szCs w:val="24"/>
          <w:highlight w:val="none"/>
          <w:lang w:eastAsia="zh-CN"/>
        </w:rPr>
        <w:t>2024年海曙区排水管道非开挖修复项目</w:t>
      </w:r>
    </w:p>
    <w:p>
      <w:pPr>
        <w:shd w:val="clea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eastAsia="宋体" w:cs="宋体"/>
          <w:color w:val="auto"/>
          <w:sz w:val="24"/>
          <w:szCs w:val="24"/>
          <w:highlight w:val="none"/>
          <w:lang w:val="en-US" w:eastAsia="zh-CN"/>
        </w:rPr>
        <w:t>4000000</w:t>
      </w:r>
    </w:p>
    <w:p>
      <w:pPr>
        <w:shd w:val="clear"/>
        <w:spacing w:line="360" w:lineRule="auto"/>
        <w:ind w:firstLine="480"/>
        <w:rPr>
          <w:rFonts w:hint="eastAsia" w:ascii="宋体" w:hAnsi="宋体" w:eastAsia="宋体" w:cs="宋体"/>
          <w:color w:val="auto"/>
          <w:sz w:val="24"/>
          <w:szCs w:val="24"/>
          <w:highlight w:val="none"/>
          <w:lang w:val="en-US"/>
        </w:rPr>
      </w:pPr>
      <w:r>
        <w:rPr>
          <w:rFonts w:hint="eastAsia" w:ascii="宋体" w:hAnsi="宋体" w:eastAsia="宋体" w:cs="宋体"/>
          <w:b/>
          <w:color w:val="auto"/>
          <w:sz w:val="24"/>
          <w:szCs w:val="24"/>
          <w:highlight w:val="none"/>
        </w:rPr>
        <w:t>最高限价（元）：</w:t>
      </w:r>
      <w:r>
        <w:rPr>
          <w:rFonts w:hint="eastAsia" w:ascii="宋体" w:hAnsi="宋体" w:eastAsia="宋体" w:cs="宋体"/>
          <w:color w:val="auto"/>
          <w:sz w:val="24"/>
          <w:szCs w:val="24"/>
          <w:highlight w:val="none"/>
          <w:lang w:val="en-US" w:eastAsia="zh-CN"/>
        </w:rPr>
        <w:t>3994077</w:t>
      </w:r>
    </w:p>
    <w:p>
      <w:pPr>
        <w:shd w:val="clear"/>
        <w:spacing w:line="360" w:lineRule="auto"/>
        <w:ind w:firstLine="480"/>
        <w:rPr>
          <w:rFonts w:hint="eastAsia" w:ascii="宋体" w:hAnsi="宋体" w:eastAsia="宋体" w:cs="宋体"/>
          <w:b/>
          <w:bCs/>
          <w:snapToGrid w:val="0"/>
          <w:color w:val="auto"/>
          <w:kern w:val="28"/>
          <w:sz w:val="24"/>
          <w:szCs w:val="24"/>
          <w:highlight w:val="none"/>
          <w:lang w:val="en-US" w:eastAsia="zh-CN"/>
        </w:rPr>
      </w:pPr>
      <w:r>
        <w:rPr>
          <w:rFonts w:hint="eastAsia" w:ascii="宋体" w:hAnsi="宋体" w:eastAsia="宋体" w:cs="宋体"/>
          <w:b/>
          <w:bCs/>
          <w:snapToGrid w:val="0"/>
          <w:color w:val="auto"/>
          <w:kern w:val="28"/>
          <w:sz w:val="24"/>
          <w:szCs w:val="24"/>
          <w:highlight w:val="none"/>
          <w:lang w:val="en-US" w:eastAsia="zh-CN"/>
        </w:rPr>
        <w:t>采购需求：</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标项一:</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rPr>
        <w:t>标项名称：</w:t>
      </w:r>
      <w:r>
        <w:rPr>
          <w:rFonts w:hint="eastAsia" w:ascii="宋体" w:hAnsi="宋体" w:eastAsia="宋体" w:cs="宋体"/>
          <w:snapToGrid w:val="0"/>
          <w:color w:val="auto"/>
          <w:kern w:val="28"/>
          <w:sz w:val="24"/>
          <w:szCs w:val="24"/>
          <w:highlight w:val="none"/>
          <w:lang w:val="en-US" w:eastAsia="zh-CN"/>
        </w:rPr>
        <w:t>2024年海曙区排水管道非开挖修复标项一</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数量：1项</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预算金额（元）:</w:t>
      </w:r>
      <w:r>
        <w:rPr>
          <w:rFonts w:hint="eastAsia" w:ascii="宋体" w:hAnsi="宋体" w:eastAsia="宋体" w:cs="宋体"/>
          <w:snapToGrid w:val="0"/>
          <w:color w:val="auto"/>
          <w:kern w:val="28"/>
          <w:sz w:val="24"/>
          <w:szCs w:val="24"/>
          <w:highlight w:val="none"/>
          <w:lang w:val="en-US" w:eastAsia="zh-CN"/>
        </w:rPr>
        <w:t>2000000</w:t>
      </w:r>
    </w:p>
    <w:p>
      <w:pPr>
        <w:pStyle w:val="6"/>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最高限价（元）：1994223</w:t>
      </w:r>
    </w:p>
    <w:p>
      <w:pPr>
        <w:pStyle w:val="6"/>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snapToGrid w:val="0"/>
          <w:color w:val="auto"/>
          <w:kern w:val="28"/>
          <w:sz w:val="24"/>
          <w:szCs w:val="24"/>
          <w:highlight w:val="none"/>
        </w:rPr>
        <w:t>简要规格描述或项目基本概况介绍、用途：为避免路段管网出现裂缝、破损、管</w:t>
      </w:r>
      <w:r>
        <w:rPr>
          <w:rFonts w:hint="eastAsia" w:ascii="宋体" w:hAnsi="宋体" w:eastAsia="宋体" w:cs="宋体"/>
          <w:snapToGrid w:val="0"/>
          <w:color w:val="auto"/>
          <w:kern w:val="28"/>
          <w:sz w:val="24"/>
          <w:szCs w:val="24"/>
          <w:highlight w:val="none"/>
          <w:lang w:val="en-US" w:eastAsia="zh-CN"/>
        </w:rPr>
        <w:t>道</w:t>
      </w:r>
      <w:r>
        <w:rPr>
          <w:rFonts w:hint="eastAsia" w:ascii="宋体" w:hAnsi="宋体" w:eastAsia="宋体" w:cs="宋体"/>
          <w:snapToGrid w:val="0"/>
          <w:color w:val="auto"/>
          <w:kern w:val="28"/>
          <w:sz w:val="24"/>
          <w:szCs w:val="24"/>
          <w:highlight w:val="none"/>
        </w:rPr>
        <w:t>接头错位和管道腐蚀等影响管网的正常运行，减少施工给交通等因素带来的影响，采用非开挖方法对排水管道进行修复；</w:t>
      </w:r>
      <w:r>
        <w:rPr>
          <w:rFonts w:hint="eastAsia" w:ascii="宋体" w:hAnsi="宋体" w:eastAsia="宋体" w:cs="宋体"/>
          <w:snapToGrid/>
          <w:color w:val="auto"/>
          <w:kern w:val="2"/>
          <w:sz w:val="24"/>
          <w:szCs w:val="24"/>
          <w:highlight w:val="none"/>
        </w:rPr>
        <w:t>具体以招标文件第三部分采购需求。</w:t>
      </w:r>
    </w:p>
    <w:p>
      <w:pPr>
        <w:pStyle w:val="24"/>
        <w:keepNext w:val="0"/>
        <w:keepLines w:val="0"/>
        <w:pageBreakBefore w:val="0"/>
        <w:kinsoku/>
        <w:wordWrap/>
        <w:overflowPunct/>
        <w:topLinePunct w:val="0"/>
        <w:autoSpaceDE/>
        <w:autoSpaceDN/>
        <w:bidi w:val="0"/>
        <w:adjustRightInd w:val="0"/>
        <w:snapToGrid/>
        <w:spacing w:line="36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标项二:</w:t>
      </w:r>
    </w:p>
    <w:p>
      <w:pPr>
        <w:pStyle w:val="24"/>
        <w:keepNext w:val="0"/>
        <w:keepLines w:val="0"/>
        <w:pageBreakBefore w:val="0"/>
        <w:kinsoku/>
        <w:wordWrap/>
        <w:overflowPunct/>
        <w:topLinePunct w:val="0"/>
        <w:autoSpaceDE/>
        <w:autoSpaceDN/>
        <w:bidi w:val="0"/>
        <w:adjustRightInd w:val="0"/>
        <w:snapToGrid/>
        <w:spacing w:line="36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标项名称：2024年海曙区排水管道非开挖修复标项二</w:t>
      </w:r>
    </w:p>
    <w:p>
      <w:pPr>
        <w:pStyle w:val="24"/>
        <w:keepNext w:val="0"/>
        <w:keepLines w:val="0"/>
        <w:pageBreakBefore w:val="0"/>
        <w:kinsoku/>
        <w:wordWrap/>
        <w:overflowPunct/>
        <w:topLinePunct w:val="0"/>
        <w:autoSpaceDE/>
        <w:autoSpaceDN/>
        <w:bidi w:val="0"/>
        <w:adjustRightInd w:val="0"/>
        <w:snapToGrid/>
        <w:spacing w:line="36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数量：1项</w:t>
      </w:r>
    </w:p>
    <w:p>
      <w:pPr>
        <w:pStyle w:val="24"/>
        <w:keepNext w:val="0"/>
        <w:keepLines w:val="0"/>
        <w:pageBreakBefore w:val="0"/>
        <w:kinsoku/>
        <w:wordWrap/>
        <w:overflowPunct/>
        <w:topLinePunct w:val="0"/>
        <w:autoSpaceDE/>
        <w:autoSpaceDN/>
        <w:bidi w:val="0"/>
        <w:adjustRightInd w:val="0"/>
        <w:snapToGrid/>
        <w:spacing w:line="36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预算金额（元）:2000000</w:t>
      </w:r>
    </w:p>
    <w:p>
      <w:pPr>
        <w:pStyle w:val="24"/>
        <w:keepNext w:val="0"/>
        <w:keepLines w:val="0"/>
        <w:pageBreakBefore w:val="0"/>
        <w:kinsoku/>
        <w:wordWrap/>
        <w:overflowPunct/>
        <w:topLinePunct w:val="0"/>
        <w:autoSpaceDE/>
        <w:autoSpaceDN/>
        <w:bidi w:val="0"/>
        <w:adjustRightInd w:val="0"/>
        <w:snapToGrid/>
        <w:spacing w:line="36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最高限价（元）：1999854</w:t>
      </w:r>
    </w:p>
    <w:p>
      <w:pPr>
        <w:pStyle w:val="24"/>
        <w:keepNext w:val="0"/>
        <w:keepLines w:val="0"/>
        <w:pageBreakBefore w:val="0"/>
        <w:kinsoku/>
        <w:wordWrap/>
        <w:overflowPunct/>
        <w:topLinePunct w:val="0"/>
        <w:autoSpaceDE/>
        <w:autoSpaceDN/>
        <w:bidi w:val="0"/>
        <w:adjustRightInd w:val="0"/>
        <w:snapToGrid/>
        <w:spacing w:line="36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简要规格描述或项目基本概况介绍、用途：为避免路段管网出现裂缝、破损、管道接头错位和管道腐蚀等影响管网的正常运行，减少施工给交通等因素带来的影响，采用非开挖方法对排水管道进行修复；具体以招标文件第三部分采购需求。</w:t>
      </w:r>
    </w:p>
    <w:p>
      <w:pPr>
        <w:pStyle w:val="131"/>
        <w:keepNext w:val="0"/>
        <w:keepLines w:val="0"/>
        <w:pageBreakBefore w:val="0"/>
        <w:shd w:val="clear"/>
        <w:kinsoku/>
        <w:wordWrap/>
        <w:overflowPunct/>
        <w:topLinePunct w:val="0"/>
        <w:autoSpaceDE/>
        <w:autoSpaceDN/>
        <w:bidi w:val="0"/>
        <w:adjustRightInd w:val="0"/>
        <w:snapToGrid/>
        <w:spacing w:before="0" w:line="360" w:lineRule="auto"/>
        <w:ind w:leftChars="0" w:firstLine="482"/>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lang w:val="en-US" w:eastAsia="zh-CN"/>
        </w:rPr>
        <w:t>自合同生效之日起90天完成非开挖修复并出具管道修复报告及修复前和修复后各作业管道的视频资料（即CCTV检测）。</w:t>
      </w:r>
    </w:p>
    <w:p>
      <w:pPr>
        <w:pStyle w:val="6"/>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本项目标项一、标项二均接受联合体投标</w:t>
      </w:r>
      <w:r>
        <w:rPr>
          <w:rFonts w:hint="eastAsia" w:hAnsi="宋体" w:cs="宋体"/>
          <w:b/>
          <w:color w:val="auto"/>
          <w:sz w:val="24"/>
          <w:szCs w:val="24"/>
          <w:highlight w:val="none"/>
          <w:lang w:val="en-US" w:eastAsia="zh-CN"/>
        </w:rPr>
        <w:t>，联合体成员数不得超过2家</w:t>
      </w:r>
      <w:r>
        <w:rPr>
          <w:rFonts w:hint="eastAsia" w:ascii="宋体" w:hAnsi="宋体" w:eastAsia="宋体" w:cs="宋体"/>
          <w:b/>
          <w:color w:val="auto"/>
          <w:sz w:val="24"/>
          <w:szCs w:val="24"/>
          <w:highlight w:val="none"/>
          <w:lang w:val="en-US" w:eastAsia="zh-CN"/>
        </w:rPr>
        <w:t>。</w:t>
      </w:r>
    </w:p>
    <w:p>
      <w:pPr>
        <w:keepNext w:val="0"/>
        <w:keepLines w:val="0"/>
        <w:pageBreakBefore w:val="0"/>
        <w:shd w:val="clear"/>
        <w:kinsoku/>
        <w:wordWrap/>
        <w:overflowPunct/>
        <w:topLinePunct w:val="0"/>
        <w:autoSpaceDE/>
        <w:autoSpaceDN/>
        <w:bidi w:val="0"/>
        <w:adjustRightInd w:val="0"/>
        <w:snapToGrid/>
        <w:spacing w:line="360" w:lineRule="auto"/>
        <w:ind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2、以联合体形投标的，须提供联合体协议书。</w:t>
      </w:r>
    </w:p>
    <w:p>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落实政府采购政策需满足的资格要求：投标人为中小企业。</w:t>
      </w:r>
    </w:p>
    <w:p>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val="en-US" w:eastAsia="zh-CN"/>
        </w:rPr>
        <w:t>（1）供应商必须是在中华人民共和国境内注册的；（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3）投标人须承诺自觉抵制政府采购领域商业贿赂行为（投标文件中须提供《供应商自觉抵制政府采购领域商业贿赂行为承诺书》，格式见附件）。</w:t>
      </w:r>
    </w:p>
    <w:p>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val="en-US" w:eastAsia="zh-CN"/>
        </w:rPr>
        <w:t>招标文件</w:t>
      </w:r>
      <w:r>
        <w:rPr>
          <w:rFonts w:hint="eastAsia" w:ascii="宋体" w:hAnsi="宋体" w:eastAsia="宋体" w:cs="宋体"/>
          <w:b/>
          <w:bCs/>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日，每天上午00:00至12:00，下午12:00至23:59（北京时间，线上获取法定节假日均可，线下获取文件法定节假日除外）</w:t>
      </w:r>
    </w:p>
    <w:p>
      <w:pPr>
        <w:keepNext w:val="0"/>
        <w:keepLines w:val="0"/>
        <w:pageBreakBefore w:val="0"/>
        <w:widowControl/>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地点（网址）：政府采购云平台（www.zcygov.cn）</w:t>
      </w:r>
    </w:p>
    <w:p>
      <w:pPr>
        <w:keepNext w:val="0"/>
        <w:keepLines w:val="0"/>
        <w:pageBreakBefore w:val="0"/>
        <w:widowControl/>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方式：供应商注册后直接登录“政府采购云平台”（www.zcygov.cn）下载电子招标文件。供应商未在规定时间内或未按上述方式获取招标文件的，其投标无效。</w:t>
      </w:r>
    </w:p>
    <w:p>
      <w:pPr>
        <w:keepNext w:val="0"/>
        <w:keepLines w:val="0"/>
        <w:pageBreakBefore w:val="0"/>
        <w:widowControl/>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售价（元）：0</w:t>
      </w:r>
      <w:r>
        <w:rPr>
          <w:rFonts w:hint="eastAsia" w:ascii="宋体" w:hAnsi="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360" w:lineRule="auto"/>
        <w:ind w:leftChars="0"/>
        <w:jc w:val="left"/>
        <w:textAlignment w:val="auto"/>
        <w:outlineLvl w:val="9"/>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四、提交投标文件截止时间、开标时间和地点：</w:t>
      </w:r>
    </w:p>
    <w:p>
      <w:pPr>
        <w:keepNext w:val="0"/>
        <w:keepLines w:val="0"/>
        <w:pageBreakBefore w:val="0"/>
        <w:widowControl/>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提交投标文件截止时间：2024年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日9:</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0（北京时间）</w:t>
      </w:r>
    </w:p>
    <w:p>
      <w:pPr>
        <w:keepNext w:val="0"/>
        <w:keepLines w:val="0"/>
        <w:pageBreakBefore w:val="0"/>
        <w:widowControl/>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投标地点（网址）：宁波市海曙区公共资源交易中心二楼开标室（</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）（南门上，宁波市海曙区气象路58号）/政府采购云平台（http://www.zcygov.cn/）</w:t>
      </w:r>
    </w:p>
    <w:p>
      <w:pPr>
        <w:keepNext w:val="0"/>
        <w:keepLines w:val="0"/>
        <w:pageBreakBefore w:val="0"/>
        <w:widowControl/>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开标时间：2024年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日9:</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0（北京时间）</w:t>
      </w:r>
    </w:p>
    <w:p>
      <w:pPr>
        <w:keepNext w:val="0"/>
        <w:keepLines w:val="0"/>
        <w:pageBreakBefore w:val="0"/>
        <w:widowControl/>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开标地点（网址）：宁波市海曙区公共资源交易中心二楼开标室（</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）（南门上，宁波市海曙区气象路58号）/政府采购云平台（http://www.zcygov.cn/）</w:t>
      </w:r>
    </w:p>
    <w:p>
      <w:pPr>
        <w:keepNext w:val="0"/>
        <w:keepLines w:val="0"/>
        <w:pageBreakBefore w:val="0"/>
        <w:widowControl/>
        <w:kinsoku/>
        <w:wordWrap/>
        <w:overflowPunct/>
        <w:topLinePunct w:val="0"/>
        <w:autoSpaceDE/>
        <w:autoSpaceDN/>
        <w:bidi w:val="0"/>
        <w:adjustRightInd w:val="0"/>
        <w:snapToGrid/>
        <w:spacing w:line="360" w:lineRule="auto"/>
        <w:ind w:leftChars="0"/>
        <w:jc w:val="left"/>
        <w:textAlignment w:val="auto"/>
        <w:outlineLvl w:val="9"/>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rPr>
        <w:t>五</w:t>
      </w:r>
      <w:r>
        <w:rPr>
          <w:rFonts w:hint="eastAsia" w:ascii="宋体" w:hAnsi="宋体" w:eastAsia="宋体" w:cs="宋体"/>
          <w:b/>
          <w:bCs w:val="0"/>
          <w:color w:val="auto"/>
          <w:kern w:val="0"/>
          <w:sz w:val="24"/>
          <w:szCs w:val="24"/>
          <w:highlight w:val="none"/>
        </w:rPr>
        <w:t>、公告期限</w:t>
      </w:r>
    </w:p>
    <w:p>
      <w:pPr>
        <w:keepNext w:val="0"/>
        <w:keepLines w:val="0"/>
        <w:pageBreakBefore w:val="0"/>
        <w:widowControl/>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自本公告发布之日起</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个工作日。</w:t>
      </w:r>
    </w:p>
    <w:p>
      <w:pPr>
        <w:keepNext w:val="0"/>
        <w:keepLines w:val="0"/>
        <w:pageBreakBefore w:val="0"/>
        <w:widowControl/>
        <w:kinsoku/>
        <w:wordWrap/>
        <w:overflowPunct/>
        <w:topLinePunct w:val="0"/>
        <w:autoSpaceDE/>
        <w:autoSpaceDN/>
        <w:bidi w:val="0"/>
        <w:adjustRightInd w:val="0"/>
        <w:snapToGrid/>
        <w:spacing w:line="360" w:lineRule="auto"/>
        <w:ind w:leftChars="0"/>
        <w:jc w:val="left"/>
        <w:textAlignment w:val="auto"/>
        <w:outlineLvl w:val="9"/>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rPr>
        <w:t>六</w:t>
      </w:r>
      <w:r>
        <w:rPr>
          <w:rFonts w:hint="eastAsia" w:ascii="宋体" w:hAnsi="宋体" w:eastAsia="宋体" w:cs="宋体"/>
          <w:b/>
          <w:bCs w:val="0"/>
          <w:color w:val="auto"/>
          <w:kern w:val="0"/>
          <w:sz w:val="24"/>
          <w:szCs w:val="24"/>
          <w:highlight w:val="none"/>
        </w:rPr>
        <w:t>、其他补充事宜：</w:t>
      </w:r>
    </w:p>
    <w:p>
      <w:pPr>
        <w:keepNext w:val="0"/>
        <w:keepLines w:val="0"/>
        <w:pageBreakBefore w:val="0"/>
        <w:widowControl/>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2、其他事项：</w:t>
      </w:r>
    </w:p>
    <w:p>
      <w:pPr>
        <w:keepNext w:val="0"/>
        <w:keepLines w:val="0"/>
        <w:pageBreakBefore w:val="0"/>
        <w:widowControl/>
        <w:kinsoku/>
        <w:wordWrap/>
        <w:overflowPunct/>
        <w:topLinePunct w:val="0"/>
        <w:autoSpaceDE/>
        <w:autoSpaceDN/>
        <w:bidi w:val="0"/>
        <w:adjustRightInd w:val="0"/>
        <w:snapToGrid/>
        <w:spacing w:line="360" w:lineRule="auto"/>
        <w:ind w:leftChars="0" w:firstLine="600" w:firstLineChars="250"/>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2.1落实的政策：《关于促进残疾人就业政府采购政策的通知》（财库[2018]141号）、《政府采购促进中小企业发展管理办法》财库〔2020〕46号、《关于政府采购支持监狱企业发展有关问题的通知》（财库〔2014〕68号）、《关于调整优化节能产品、环境标志产品政府采购执行机制的通知》（财库〔2019〕9号）。</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2.2投标与开标注意事项：</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（1）本项目实行网上投标，采用电子投标文件。若供应商参与投标，自行承担投标一切费用。 </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（2）标前准备：各供应商应在开标前确保成为浙江政府采购网正式注册入库供应商，并完成CA数字证书办理。因未注册入库、未办理CA数字证书等原因造成无法投标或投标失败等后果由供应商自行承担。 </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投标文件制作：①应按照本项目招标文件和政府采购云平台的要求编制、加密并递交投标文件。供应商在使用系统进行投标的过程中遇到涉及平台使用的任何问题，可致电政府采购云平台技术支持热线咨询，联系方式：4008817190。②供应商通过政府采购云平台电子投标工具制作投标文件，电子投标工具请供应商自行前往浙江政府采购网下载并安装，投标文件制作具体流程详见政府采购云平台。③以U盘存储的电子备份投标文件1份，按政府采购云平台要求制作的电子备份文件，以用于异常情况处理。</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（4）本招标公告附件中的招标文件仅供阅览使用，供应商应在规定的招标文件获取期限内在政采云平台登录供应商注册的账号后获取招标文件，未按上述方式获取招标文件的，不得对招标文件提起质疑投诉。 </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（5）供应商应于投标截止时间前将电子投标文件上传到政府采购云平台www.zcygov.cn，未上传电子投标文件，视为供应商放弃投标。 </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6）供应商如提供备份投标文件的，应于提交投标文件截止时间前，将以U盘存储的电子备份投标文件密封，递交至投标地点，逾期送达或未密封将予以拒收。供应商仅提供备份投标文件（以U盘存储的电子备份投标文件）的，投标无效。 </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7）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评标。</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2.3供应商可采用邮寄（含快递）方式或现场方式递交备份投标文件。</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2.3.1采用邮寄方式递交备份投标文件，需按以下要求递交：</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keepNext w:val="0"/>
        <w:keepLines w:val="0"/>
        <w:pageBreakBefore w:val="0"/>
        <w:widowControl/>
        <w:kinsoku/>
        <w:wordWrap/>
        <w:overflowPunct/>
        <w:topLinePunct w:val="0"/>
        <w:autoSpaceDE/>
        <w:autoSpaceDN/>
        <w:bidi w:val="0"/>
        <w:adjustRightInd w:val="0"/>
        <w:snapToGrid/>
        <w:spacing w:line="360" w:lineRule="auto"/>
        <w:ind w:leftChars="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拟在2024年</w:t>
      </w:r>
      <w:r>
        <w:rPr>
          <w:rFonts w:hint="eastAsia" w:ascii="宋体" w:hAnsi="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月</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日16时00分（含）前到件的邮寄地址为：宁波市鄞州区泰康中路858号广融大厦12B层；</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拟在2024年</w:t>
      </w:r>
      <w:r>
        <w:rPr>
          <w:rFonts w:hint="eastAsia" w:ascii="宋体" w:hAnsi="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月</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日16时00分之后，2024年</w:t>
      </w:r>
      <w:r>
        <w:rPr>
          <w:rFonts w:hint="eastAsia" w:ascii="宋体" w:hAnsi="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月</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eastAsia="zh-CN"/>
        </w:rPr>
        <w:t>日9时</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0分之前到件的邮寄地址为：宁波市海曙区公共资源交易中心二楼开标室（</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）（南门上，宁波市海曙区气象路58号）；</w:t>
      </w:r>
    </w:p>
    <w:p>
      <w:pPr>
        <w:keepNext w:val="0"/>
        <w:keepLines w:val="0"/>
        <w:pageBreakBefore w:val="0"/>
        <w:widowControl/>
        <w:kinsoku/>
        <w:wordWrap/>
        <w:overflowPunct/>
        <w:topLinePunct w:val="0"/>
        <w:autoSpaceDE/>
        <w:autoSpaceDN/>
        <w:bidi w:val="0"/>
        <w:adjustRightInd w:val="0"/>
        <w:snapToGrid/>
        <w:spacing w:line="360" w:lineRule="auto"/>
        <w:ind w:leftChars="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收件人：陈马锦、陈麒麟 联系方式：0574-28903686</w:t>
      </w:r>
    </w:p>
    <w:p>
      <w:pPr>
        <w:keepNext w:val="0"/>
        <w:keepLines w:val="0"/>
        <w:pageBreakBefore w:val="0"/>
        <w:widowControl/>
        <w:kinsoku/>
        <w:wordWrap/>
        <w:overflowPunct/>
        <w:topLinePunct w:val="0"/>
        <w:autoSpaceDE/>
        <w:autoSpaceDN/>
        <w:bidi w:val="0"/>
        <w:adjustRightInd w:val="0"/>
        <w:snapToGrid/>
        <w:spacing w:line="360" w:lineRule="auto"/>
        <w:ind w:leftChars="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请各供应商确保密封包装在邮寄过程密封包装完好，因邮寄过程的密封破损造成不符合开标要求的，本采购代理及采购人概不负责。</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2.3.2采用现场方式送达备份投标文件，需按以下要求递交：</w:t>
      </w:r>
    </w:p>
    <w:p>
      <w:pPr>
        <w:keepNext w:val="0"/>
        <w:keepLines w:val="0"/>
        <w:pageBreakBefore w:val="0"/>
        <w:widowControl/>
        <w:kinsoku/>
        <w:wordWrap/>
        <w:overflowPunct/>
        <w:topLinePunct w:val="0"/>
        <w:autoSpaceDE/>
        <w:autoSpaceDN/>
        <w:bidi w:val="0"/>
        <w:adjustRightInd w:val="0"/>
        <w:snapToGrid/>
        <w:spacing w:line="360" w:lineRule="auto"/>
        <w:ind w:leftChars="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所有供应商（原则上不超过一名）在投标截止时间前将备份投标文件送至：宁波市海曙区公共资源交易中心二楼开标室（</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）（南门上，宁波市海曙区气象路58号）。投标文件递交时需同时递交供应商的法定代表人/负责人（或其委托代理人）联系方式，并保证开标期间联系方式的畅通。</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2.4开标过程全程视频监控记录。</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2.5本公告发布媒体：浙江省公共资源交易服务平台（https://ggzy.zj.gov.cn）、浙江政府采购网（zfcg.czt.zj.gov.cn）、宁波政府采购(www.nbzfcg.cn)、宁波市公共资源交易电子服务系统（甬易阳光）（</w:t>
      </w:r>
      <w:r>
        <w:rPr>
          <w:rFonts w:hint="eastAsia" w:ascii="宋体" w:hAnsi="宋体" w:eastAsia="宋体" w:cs="宋体"/>
          <w:bCs/>
          <w:color w:val="auto"/>
          <w:kern w:val="0"/>
          <w:sz w:val="24"/>
          <w:szCs w:val="24"/>
          <w:highlight w:val="none"/>
          <w:lang w:val="en-US" w:eastAsia="zh-CN"/>
        </w:rPr>
        <w:fldChar w:fldCharType="begin"/>
      </w:r>
      <w:r>
        <w:rPr>
          <w:rFonts w:hint="eastAsia" w:ascii="宋体" w:hAnsi="宋体" w:eastAsia="宋体" w:cs="宋体"/>
          <w:bCs/>
          <w:color w:val="auto"/>
          <w:kern w:val="0"/>
          <w:sz w:val="24"/>
          <w:szCs w:val="24"/>
          <w:highlight w:val="none"/>
          <w:lang w:val="en-US" w:eastAsia="zh-CN"/>
        </w:rPr>
        <w:instrText xml:space="preserve"> HYPERLINK "https://jyxt.zwb.ningbo.gov.cn:4011/website/home" </w:instrText>
      </w:r>
      <w:r>
        <w:rPr>
          <w:rFonts w:hint="eastAsia" w:ascii="宋体" w:hAnsi="宋体" w:eastAsia="宋体" w:cs="宋体"/>
          <w:bCs/>
          <w:color w:val="auto"/>
          <w:kern w:val="0"/>
          <w:sz w:val="24"/>
          <w:szCs w:val="24"/>
          <w:highlight w:val="none"/>
          <w:lang w:val="en-US" w:eastAsia="zh-CN"/>
        </w:rPr>
        <w:fldChar w:fldCharType="separate"/>
      </w:r>
      <w:r>
        <w:rPr>
          <w:rFonts w:hint="eastAsia" w:ascii="宋体" w:hAnsi="宋体" w:eastAsia="宋体" w:cs="宋体"/>
          <w:bCs/>
          <w:color w:val="auto"/>
          <w:kern w:val="0"/>
          <w:sz w:val="24"/>
          <w:szCs w:val="24"/>
          <w:highlight w:val="none"/>
          <w:lang w:val="en-US" w:eastAsia="zh-CN"/>
        </w:rPr>
        <w:t>宁波市政务服务中心 (ningbo.gov.cn)</w:t>
      </w:r>
      <w:r>
        <w:rPr>
          <w:rFonts w:hint="eastAsia" w:ascii="宋体" w:hAnsi="宋体" w:eastAsia="宋体" w:cs="宋体"/>
          <w:bCs/>
          <w:color w:val="auto"/>
          <w:kern w:val="0"/>
          <w:sz w:val="24"/>
          <w:szCs w:val="24"/>
          <w:highlight w:val="none"/>
          <w:lang w:val="en-US" w:eastAsia="zh-CN"/>
        </w:rPr>
        <w:fldChar w:fldCharType="end"/>
      </w:r>
      <w:r>
        <w:rPr>
          <w:rFonts w:hint="eastAsia" w:ascii="宋体" w:hAnsi="宋体" w:eastAsia="宋体" w:cs="宋体"/>
          <w:bCs/>
          <w:color w:val="auto"/>
          <w:kern w:val="0"/>
          <w:sz w:val="24"/>
          <w:szCs w:val="24"/>
          <w:highlight w:val="none"/>
          <w:lang w:val="en-US" w:eastAsia="zh-CN"/>
        </w:rPr>
        <w:t>）网站上公布，公布信息视同送达所有潜在投标人。</w:t>
      </w:r>
    </w:p>
    <w:p>
      <w:pPr>
        <w:keepNext w:val="0"/>
        <w:keepLines w:val="0"/>
        <w:pageBreakBefore w:val="0"/>
        <w:widowControl/>
        <w:kinsoku/>
        <w:wordWrap/>
        <w:overflowPunct/>
        <w:topLinePunct w:val="0"/>
        <w:autoSpaceDE/>
        <w:autoSpaceDN/>
        <w:bidi w:val="0"/>
        <w:adjustRightInd w:val="0"/>
        <w:snapToGrid/>
        <w:spacing w:line="360" w:lineRule="auto"/>
        <w:ind w:leftChars="0" w:firstLine="480" w:firstLineChars="200"/>
        <w:jc w:val="left"/>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2.6海曙区“政采贷”助力中小企业金融服务，有需要的中标（成交）供应商请于网站http://haishu.nbggzy.cn/tzgg/360383.jhtml办理具体业务。</w:t>
      </w:r>
    </w:p>
    <w:p>
      <w:pPr>
        <w:keepNext w:val="0"/>
        <w:keepLines w:val="0"/>
        <w:pageBreakBefore w:val="0"/>
        <w:shd w:val="clea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3、若本公告内容与招标文件不一致，以招标文件为准。</w:t>
      </w:r>
    </w:p>
    <w:p>
      <w:pPr>
        <w:keepNext w:val="0"/>
        <w:keepLines w:val="0"/>
        <w:pageBreakBefore w:val="0"/>
        <w:shd w:val="clear"/>
        <w:kinsoku/>
        <w:wordWrap/>
        <w:overflowPunct/>
        <w:topLinePunct w:val="0"/>
        <w:autoSpaceDE/>
        <w:autoSpaceDN/>
        <w:bidi w:val="0"/>
        <w:adjustRightInd w:val="0"/>
        <w:snapToGrid/>
        <w:spacing w:line="360" w:lineRule="auto"/>
        <w:ind w:lef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keepNext w:val="0"/>
        <w:keepLines w:val="0"/>
        <w:pageBreakBefore w:val="0"/>
        <w:shd w:val="clear"/>
        <w:kinsoku/>
        <w:wordWrap/>
        <w:overflowPunct/>
        <w:topLinePunct w:val="0"/>
        <w:autoSpaceDE/>
        <w:autoSpaceDN/>
        <w:bidi w:val="0"/>
        <w:adjustRightInd w:val="0"/>
        <w:snapToGrid/>
        <w:spacing w:line="360" w:lineRule="auto"/>
        <w:ind w:lef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keepNext w:val="0"/>
        <w:keepLines w:val="0"/>
        <w:pageBreakBefore w:val="0"/>
        <w:shd w:val="clear"/>
        <w:kinsoku/>
        <w:wordWrap/>
        <w:overflowPunct/>
        <w:topLinePunct w:val="0"/>
        <w:autoSpaceDE/>
        <w:autoSpaceDN/>
        <w:bidi w:val="0"/>
        <w:adjustRightInd w:val="0"/>
        <w:snapToGrid/>
        <w:spacing w:line="360" w:lineRule="auto"/>
        <w:ind w:lef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宁波市海曙区水务设施管理中心</w:t>
      </w:r>
      <w:r>
        <w:rPr>
          <w:rFonts w:hint="eastAsia" w:ascii="宋体" w:hAnsi="宋体" w:eastAsia="宋体" w:cs="宋体"/>
          <w:color w:val="auto"/>
          <w:sz w:val="24"/>
          <w:highlight w:val="none"/>
        </w:rPr>
        <w:t xml:space="preserve"> </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址：海曙区中山东路55号      </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项目联系人（询问）：臧老师</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项目联系方式（询问）：0574-</w:t>
      </w:r>
      <w:r>
        <w:rPr>
          <w:rFonts w:hint="eastAsia" w:ascii="宋体" w:hAnsi="宋体" w:eastAsia="宋体" w:cs="宋体"/>
          <w:color w:val="auto"/>
          <w:sz w:val="24"/>
          <w:highlight w:val="none"/>
          <w:lang w:val="en-US" w:eastAsia="zh-CN"/>
        </w:rPr>
        <w:t>55881295</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汪</w:t>
      </w:r>
      <w:r>
        <w:rPr>
          <w:rFonts w:hint="eastAsia" w:ascii="宋体" w:hAnsi="宋体" w:eastAsia="宋体" w:cs="宋体"/>
          <w:color w:val="auto"/>
          <w:sz w:val="24"/>
          <w:highlight w:val="none"/>
        </w:rPr>
        <w:t>老师</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质疑联系方式：0574-</w:t>
      </w:r>
      <w:r>
        <w:rPr>
          <w:rFonts w:hint="eastAsia" w:ascii="宋体" w:hAnsi="宋体" w:eastAsia="宋体" w:cs="宋体"/>
          <w:color w:val="auto"/>
          <w:sz w:val="24"/>
          <w:highlight w:val="none"/>
          <w:lang w:val="en-US" w:eastAsia="zh-CN"/>
        </w:rPr>
        <w:t>55881299</w:t>
      </w:r>
    </w:p>
    <w:p>
      <w:pPr>
        <w:keepNext w:val="0"/>
        <w:keepLines w:val="0"/>
        <w:pageBreakBefore w:val="0"/>
        <w:shd w:val="clear"/>
        <w:kinsoku/>
        <w:wordWrap/>
        <w:overflowPunct/>
        <w:topLinePunct w:val="0"/>
        <w:autoSpaceDE/>
        <w:autoSpaceDN/>
        <w:bidi w:val="0"/>
        <w:adjustRightInd w:val="0"/>
        <w:snapToGrid/>
        <w:spacing w:line="360" w:lineRule="auto"/>
        <w:ind w:lef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keepNext w:val="0"/>
        <w:keepLines w:val="0"/>
        <w:pageBreakBefore w:val="0"/>
        <w:shd w:val="clea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名称：浙江绿邦招标代理有限公司</w:t>
      </w:r>
    </w:p>
    <w:p>
      <w:pPr>
        <w:keepNext w:val="0"/>
        <w:keepLines w:val="0"/>
        <w:pageBreakBefore w:val="0"/>
        <w:shd w:val="clea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地址：宁波市鄞州区泰康中路858号广融大厦12B层</w:t>
      </w:r>
    </w:p>
    <w:p>
      <w:pPr>
        <w:keepNext w:val="0"/>
        <w:keepLines w:val="0"/>
        <w:pageBreakBefore w:val="0"/>
        <w:shd w:val="clea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项目联系人（询问）：陈马锦、陈麒麟、韩帅、鲁易囡</w:t>
      </w:r>
    </w:p>
    <w:p>
      <w:pPr>
        <w:keepNext w:val="0"/>
        <w:keepLines w:val="0"/>
        <w:pageBreakBefore w:val="0"/>
        <w:shd w:val="clea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项目联系方式（询问）：0574-28903686</w:t>
      </w:r>
    </w:p>
    <w:p>
      <w:pPr>
        <w:keepNext w:val="0"/>
        <w:keepLines w:val="0"/>
        <w:pageBreakBefore w:val="0"/>
        <w:shd w:val="clea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质疑联系人：戴科斌</w:t>
      </w:r>
    </w:p>
    <w:p>
      <w:pPr>
        <w:keepNext w:val="0"/>
        <w:keepLines w:val="0"/>
        <w:pageBreakBefore w:val="0"/>
        <w:shd w:val="clea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质疑联系方式：0574-28903686</w:t>
      </w:r>
    </w:p>
    <w:p>
      <w:pPr>
        <w:keepNext w:val="0"/>
        <w:keepLines w:val="0"/>
        <w:pageBreakBefore w:val="0"/>
        <w:shd w:val="clear"/>
        <w:kinsoku/>
        <w:wordWrap/>
        <w:overflowPunct/>
        <w:topLinePunct w:val="0"/>
        <w:autoSpaceDE/>
        <w:autoSpaceDN/>
        <w:bidi w:val="0"/>
        <w:adjustRightInd w:val="0"/>
        <w:snapToGrid/>
        <w:spacing w:line="360" w:lineRule="auto"/>
        <w:ind w:lef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名称：宁波市海曙区政府采购管理办公室</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地址：宁波市海曙区天之海大厦海曙财政局214办公室</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联系人：王老师</w:t>
      </w:r>
    </w:p>
    <w:p>
      <w:pPr>
        <w:keepNext w:val="0"/>
        <w:keepLines w:val="0"/>
        <w:pageBreakBefore w:val="0"/>
        <w:shd w:val="clear"/>
        <w:kinsoku/>
        <w:wordWrap/>
        <w:overflowPunct/>
        <w:topLinePunct w:val="0"/>
        <w:autoSpaceDE/>
        <w:autoSpaceDN/>
        <w:bidi w:val="0"/>
        <w:adjustRightInd w:val="0"/>
        <w:snapToGrid/>
        <w:spacing w:line="360" w:lineRule="auto"/>
        <w:ind w:leftChars="0"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监督投诉电话：0574-87297540 </w:t>
      </w:r>
    </w:p>
    <w:p>
      <w:pPr>
        <w:keepNext w:val="0"/>
        <w:keepLines w:val="0"/>
        <w:pageBreakBefore w:val="0"/>
        <w:shd w:val="clea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sz w:val="24"/>
          <w:highlight w:val="none"/>
        </w:rPr>
      </w:pPr>
    </w:p>
    <w:p>
      <w:pPr>
        <w:keepNext w:val="0"/>
        <w:keepLines w:val="0"/>
        <w:pageBreakBefore w:val="0"/>
        <w:shd w:val="clea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shd w:val="clea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CA问题联系电话（人工）：汇信CA400-888-4636；天谷CA400-087-8198。</w:t>
      </w:r>
    </w:p>
    <w:p>
      <w:pPr>
        <w:widowControl/>
        <w:shd w:val="clear"/>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10320" w:type="dxa"/>
        <w:tblInd w:w="-4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85"/>
        <w:gridCol w:w="1860"/>
        <w:gridCol w:w="7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6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787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6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787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6"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6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787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标项1：</w:t>
            </w:r>
            <w:r>
              <w:rPr>
                <w:rFonts w:hint="eastAsia" w:ascii="宋体" w:hAnsi="宋体" w:eastAsia="宋体" w:cs="宋体"/>
                <w:color w:val="auto"/>
                <w:kern w:val="0"/>
                <w:sz w:val="24"/>
                <w:szCs w:val="24"/>
                <w:highlight w:val="none"/>
                <w:u w:val="single"/>
                <w:lang w:val="en-US" w:eastAsia="zh-CN"/>
              </w:rPr>
              <w:t>2024年海曙区排水管道非开挖修复标项一</w:t>
            </w:r>
            <w:r>
              <w:rPr>
                <w:rFonts w:hint="eastAsia" w:ascii="宋体" w:hAnsi="宋体" w:eastAsia="宋体" w:cs="宋体"/>
                <w:color w:val="auto"/>
                <w:kern w:val="0"/>
                <w:sz w:val="24"/>
                <w:szCs w:val="24"/>
                <w:highlight w:val="none"/>
                <w:lang w:val="en-US" w:eastAsia="zh-CN"/>
              </w:rPr>
              <w:t>，属于</w:t>
            </w:r>
            <w:r>
              <w:rPr>
                <w:rFonts w:hint="eastAsia" w:ascii="宋体" w:hAnsi="宋体" w:eastAsia="宋体" w:cs="宋体"/>
                <w:color w:val="auto"/>
                <w:kern w:val="0"/>
                <w:sz w:val="24"/>
                <w:szCs w:val="24"/>
                <w:highlight w:val="none"/>
                <w:u w:val="single"/>
                <w:lang w:val="en-US" w:eastAsia="zh-CN"/>
              </w:rPr>
              <w:t>其他未列明行业</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rPr>
              <w:t>标项2：</w:t>
            </w:r>
            <w:r>
              <w:rPr>
                <w:rFonts w:hint="eastAsia" w:ascii="宋体" w:hAnsi="宋体" w:eastAsia="宋体" w:cs="宋体"/>
                <w:color w:val="auto"/>
                <w:kern w:val="0"/>
                <w:sz w:val="24"/>
                <w:szCs w:val="24"/>
                <w:highlight w:val="none"/>
                <w:u w:val="single"/>
                <w:lang w:val="en-US" w:eastAsia="zh-CN"/>
              </w:rPr>
              <w:t>2024年海曙区排水管道非开挖修复标项二</w:t>
            </w:r>
            <w:r>
              <w:rPr>
                <w:rFonts w:hint="eastAsia" w:ascii="宋体" w:hAnsi="宋体" w:eastAsia="宋体" w:cs="宋体"/>
                <w:color w:val="auto"/>
                <w:kern w:val="0"/>
                <w:sz w:val="24"/>
                <w:szCs w:val="24"/>
                <w:highlight w:val="none"/>
                <w:lang w:val="en-US" w:eastAsia="zh-CN"/>
              </w:rPr>
              <w:t>，属于</w:t>
            </w:r>
            <w:r>
              <w:rPr>
                <w:rFonts w:hint="eastAsia" w:ascii="宋体" w:hAnsi="宋体" w:eastAsia="宋体" w:cs="宋体"/>
                <w:color w:val="auto"/>
                <w:kern w:val="0"/>
                <w:sz w:val="24"/>
                <w:szCs w:val="24"/>
                <w:highlight w:val="none"/>
                <w:u w:val="single"/>
                <w:lang w:val="en-US" w:eastAsia="zh-CN"/>
              </w:rPr>
              <w:t>其他未列明行业</w:t>
            </w: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6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787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6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787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6"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6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787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0" w:hRule="atLeast"/>
          <w:tblHeader/>
        </w:trPr>
        <w:tc>
          <w:tcPr>
            <w:tcW w:w="58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860"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787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pPr>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blHeader/>
        </w:trPr>
        <w:tc>
          <w:tcPr>
            <w:tcW w:w="58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c>
          <w:tcPr>
            <w:tcW w:w="1860"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p>
        </w:tc>
        <w:tc>
          <w:tcPr>
            <w:tcW w:w="787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2" w:hRule="atLeast"/>
          <w:tblHeader/>
        </w:trPr>
        <w:tc>
          <w:tcPr>
            <w:tcW w:w="58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8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787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8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8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787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eastAsia="zh-CN"/>
              </w:rPr>
              <w:t>投标文件中价格全部采用人民币报价。招标文件未列明，而投标人认为必需的费用也需列入报价。投标报价为供应商正确地完全履行采购内容及要求的价格体现，</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zh-CN" w:eastAsia="zh-CN"/>
              </w:rPr>
              <w:t>以含税人民币报所有费用的综合单价及总价，应包含但不限于服务所需的人工费、设备使用费、交通组织措施费、安全文明施工费、维修材料及耗材费、应急保障费、污泥处置外运费、管道检测费、修复后复检费、施工场地恢复费用、验收费以及管理费、利润、税金、政策性文件规定及合同包含的所有风险、责任等各项应有的费用，即完成本项目所涉及的全部费用。</w:t>
            </w:r>
          </w:p>
          <w:p>
            <w:pPr>
              <w:keepNext w:val="0"/>
              <w:keepLines w:val="0"/>
              <w:pageBreakBefore w:val="0"/>
              <w:widowControl w:val="0"/>
              <w:shd w:val="clea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pPr>
              <w:keepNext w:val="0"/>
              <w:keepLines w:val="0"/>
              <w:pageBreakBefore w:val="0"/>
              <w:widowControl w:val="0"/>
              <w:shd w:val="clear"/>
              <w:kinsoku/>
              <w:wordWrap/>
              <w:overflowPunct/>
              <w:topLinePunct w:val="0"/>
              <w:autoSpaceDE/>
              <w:autoSpaceDN/>
              <w:bidi w:val="0"/>
              <w:adjustRightInd w:val="0"/>
              <w:spacing w:line="240" w:lineRule="auto"/>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val="0"/>
              <w:spacing w:line="240" w:lineRule="auto"/>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85" w:type="dxa"/>
            <w:tcBorders>
              <w:top w:val="single" w:color="auto" w:sz="4" w:space="0"/>
              <w:left w:val="single" w:color="000000" w:sz="8" w:space="0"/>
              <w:right w:val="single" w:color="000000" w:sz="2"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860" w:type="dxa"/>
            <w:tcBorders>
              <w:top w:val="single" w:color="000000" w:sz="8" w:space="0"/>
              <w:left w:val="single" w:color="000000" w:sz="2"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7875" w:type="dxa"/>
            <w:tcBorders>
              <w:top w:val="single" w:color="000000" w:sz="8" w:space="0"/>
              <w:left w:val="single" w:color="000000" w:sz="2"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58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18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w:t>
            </w:r>
            <w:r>
              <w:rPr>
                <w:rFonts w:hint="eastAsia" w:ascii="宋体" w:hAnsi="宋体" w:eastAsia="宋体" w:cs="宋体"/>
                <w:b/>
                <w:color w:val="auto"/>
                <w:sz w:val="24"/>
                <w:szCs w:val="24"/>
                <w:highlight w:val="none"/>
                <w:lang w:val="en-US" w:eastAsia="zh-CN"/>
              </w:rPr>
              <w:t>时间、</w:t>
            </w:r>
            <w:r>
              <w:rPr>
                <w:rFonts w:hint="eastAsia" w:ascii="宋体" w:hAnsi="宋体" w:eastAsia="宋体" w:cs="宋体"/>
                <w:b/>
                <w:color w:val="auto"/>
                <w:sz w:val="24"/>
                <w:szCs w:val="24"/>
                <w:highlight w:val="none"/>
              </w:rPr>
              <w:t xml:space="preserve">地点和签收人员 </w:t>
            </w:r>
          </w:p>
        </w:tc>
        <w:tc>
          <w:tcPr>
            <w:tcW w:w="787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（1）直接提交备份投标文件的</w:t>
            </w:r>
            <w:r>
              <w:rPr>
                <w:rFonts w:hint="eastAsia" w:ascii="宋体" w:hAnsi="宋体" w:eastAsia="宋体" w:cs="宋体"/>
                <w:color w:val="auto"/>
                <w:sz w:val="24"/>
                <w:szCs w:val="24"/>
                <w:highlight w:val="none"/>
                <w:lang w:eastAsia="zh-CN"/>
              </w:rPr>
              <w:t>：</w:t>
            </w:r>
          </w:p>
          <w:p>
            <w:pPr>
              <w:pStyle w:val="32"/>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宁波市海曙区公共资源交易中心二楼开标室（</w:t>
            </w:r>
            <w:r>
              <w:rPr>
                <w:rFonts w:hint="eastAsia" w:hAnsi="宋体" w:cs="宋体"/>
                <w:color w:val="auto"/>
                <w:kern w:val="28"/>
                <w:sz w:val="24"/>
                <w:szCs w:val="24"/>
                <w:highlight w:val="none"/>
                <w:u w:val="single"/>
                <w:lang w:val="en-US" w:eastAsia="zh-CN"/>
              </w:rPr>
              <w:t>1</w:t>
            </w:r>
            <w:r>
              <w:rPr>
                <w:rFonts w:hint="eastAsia" w:ascii="宋体" w:hAnsi="宋体" w:eastAsia="宋体" w:cs="宋体"/>
                <w:color w:val="auto"/>
                <w:kern w:val="28"/>
                <w:sz w:val="24"/>
                <w:szCs w:val="24"/>
                <w:highlight w:val="none"/>
                <w:u w:val="single"/>
              </w:rPr>
              <w:t>）[宁波市海曙区气象路58号(南门上)]。</w:t>
            </w:r>
          </w:p>
          <w:p>
            <w:pPr>
              <w:pStyle w:val="32"/>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2</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sz w:val="24"/>
                <w:szCs w:val="24"/>
                <w:highlight w:val="none"/>
              </w:rPr>
              <w:t>以邮政快递方式递交备份投标文件的</w:t>
            </w:r>
            <w:r>
              <w:rPr>
                <w:rFonts w:hint="eastAsia" w:ascii="宋体" w:hAnsi="宋体" w:eastAsia="宋体" w:cs="宋体"/>
                <w:color w:val="auto"/>
                <w:sz w:val="24"/>
                <w:szCs w:val="24"/>
                <w:highlight w:val="none"/>
                <w:lang w:eastAsia="zh-CN"/>
              </w:rPr>
              <w:t>：</w:t>
            </w:r>
          </w:p>
          <w:p>
            <w:pPr>
              <w:pStyle w:val="32"/>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snapToGrid/>
                <w:color w:val="auto"/>
                <w:sz w:val="24"/>
                <w:szCs w:val="24"/>
                <w:highlight w:val="none"/>
              </w:rPr>
              <w:t>备份投标文件送达</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w:t>
            </w:r>
            <w:r>
              <w:rPr>
                <w:rFonts w:hint="eastAsia" w:ascii="宋体" w:hAnsi="宋体" w:eastAsia="宋体" w:cs="宋体"/>
                <w:snapToGrid w:val="0"/>
                <w:color w:val="auto"/>
                <w:kern w:val="2"/>
                <w:sz w:val="24"/>
                <w:szCs w:val="24"/>
                <w:highlight w:val="none"/>
                <w:u w:val="single"/>
                <w:lang w:val="en-US" w:eastAsia="zh-CN" w:bidi="ar-SA"/>
              </w:rPr>
              <w:t>开标时间前一个工作日的16:00止。</w:t>
            </w:r>
          </w:p>
          <w:p>
            <w:pPr>
              <w:pStyle w:val="32"/>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lang w:val="en-US" w:eastAsia="zh-CN"/>
              </w:rPr>
              <w:t>宁波市鄞州区泰康中路858号广融大厦12B层</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lang w:val="en-US" w:eastAsia="zh-CN"/>
              </w:rPr>
              <w:t>0574-28903686</w:t>
            </w:r>
            <w:r>
              <w:rPr>
                <w:rFonts w:hint="eastAsia" w:ascii="宋体" w:hAnsi="宋体" w:eastAsia="宋体" w:cs="宋体"/>
                <w:color w:val="auto"/>
                <w:sz w:val="24"/>
                <w:szCs w:val="24"/>
                <w:highlight w:val="none"/>
              </w:rPr>
              <w:t>。</w:t>
            </w:r>
          </w:p>
          <w:p>
            <w:pPr>
              <w:pStyle w:val="32"/>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1" w:hRule="atLeast"/>
          <w:tblHeader/>
        </w:trPr>
        <w:tc>
          <w:tcPr>
            <w:tcW w:w="585"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p>
        </w:tc>
        <w:tc>
          <w:tcPr>
            <w:tcW w:w="1860"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787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default" w:ascii="宋体" w:hAnsi="宋体" w:eastAsia="宋体" w:cs="宋体"/>
                <w:b/>
                <w:bCs/>
                <w:snapToGrid w:val="0"/>
                <w:color w:val="auto"/>
                <w:kern w:val="28"/>
                <w:sz w:val="24"/>
                <w:szCs w:val="24"/>
                <w:highlight w:val="none"/>
                <w:lang w:val="en-US"/>
              </w:rPr>
            </w:pPr>
            <w:r>
              <w:rPr>
                <w:rFonts w:hint="eastAsia" w:ascii="宋体" w:hAnsi="宋体" w:eastAsia="宋体" w:cs="宋体"/>
                <w:b/>
                <w:bCs/>
                <w:snapToGrid w:val="0"/>
                <w:color w:val="auto"/>
                <w:kern w:val="28"/>
                <w:sz w:val="24"/>
                <w:szCs w:val="24"/>
                <w:highlight w:val="none"/>
              </w:rPr>
              <w:t>联合体投标的，</w:t>
            </w:r>
            <w:r>
              <w:rPr>
                <w:rFonts w:hint="eastAsia" w:ascii="宋体" w:hAnsi="宋体" w:cs="宋体"/>
                <w:b/>
                <w:bCs/>
                <w:snapToGrid w:val="0"/>
                <w:color w:val="auto"/>
                <w:kern w:val="28"/>
                <w:sz w:val="24"/>
                <w:szCs w:val="24"/>
                <w:highlight w:val="none"/>
                <w:lang w:val="en-US" w:eastAsia="zh-CN"/>
              </w:rPr>
              <w:t>评分</w:t>
            </w:r>
            <w:r>
              <w:rPr>
                <w:rFonts w:hint="eastAsia" w:ascii="宋体" w:hAnsi="宋体" w:eastAsia="宋体" w:cs="宋体"/>
                <w:b/>
                <w:bCs/>
                <w:snapToGrid w:val="0"/>
                <w:color w:val="auto"/>
                <w:kern w:val="28"/>
                <w:sz w:val="24"/>
                <w:szCs w:val="24"/>
                <w:highlight w:val="none"/>
              </w:rPr>
              <w:t>业绩证明材料</w:t>
            </w:r>
            <w:r>
              <w:rPr>
                <w:rFonts w:hint="eastAsia" w:ascii="宋体" w:hAnsi="宋体" w:cs="宋体"/>
                <w:b/>
                <w:bCs/>
                <w:snapToGrid w:val="0"/>
                <w:color w:val="auto"/>
                <w:kern w:val="28"/>
                <w:sz w:val="24"/>
                <w:szCs w:val="24"/>
                <w:highlight w:val="none"/>
                <w:lang w:val="en-US" w:eastAsia="zh-CN"/>
              </w:rPr>
              <w:t>由</w:t>
            </w:r>
            <w:r>
              <w:rPr>
                <w:rFonts w:hint="eastAsia" w:ascii="宋体" w:hAnsi="宋体" w:eastAsia="宋体" w:cs="宋体"/>
                <w:b/>
                <w:bCs/>
                <w:snapToGrid w:val="0"/>
                <w:color w:val="auto"/>
                <w:kern w:val="28"/>
                <w:sz w:val="24"/>
                <w:szCs w:val="24"/>
                <w:highlight w:val="none"/>
              </w:rPr>
              <w:t>联合体协议中</w:t>
            </w:r>
            <w:r>
              <w:rPr>
                <w:rFonts w:hint="eastAsia" w:ascii="宋体" w:hAnsi="宋体" w:cs="宋体"/>
                <w:b/>
                <w:bCs/>
                <w:snapToGrid w:val="0"/>
                <w:color w:val="auto"/>
                <w:kern w:val="28"/>
                <w:sz w:val="24"/>
                <w:szCs w:val="24"/>
                <w:highlight w:val="none"/>
                <w:lang w:val="en-US" w:eastAsia="zh-CN"/>
              </w:rPr>
              <w:t>相应</w:t>
            </w:r>
            <w:r>
              <w:rPr>
                <w:rFonts w:hint="eastAsia" w:ascii="宋体" w:hAnsi="宋体" w:eastAsia="宋体" w:cs="宋体"/>
                <w:b/>
                <w:bCs/>
                <w:snapToGrid w:val="0"/>
                <w:color w:val="auto"/>
                <w:kern w:val="28"/>
                <w:sz w:val="24"/>
                <w:szCs w:val="24"/>
                <w:highlight w:val="none"/>
              </w:rPr>
              <w:t>分工内容</w:t>
            </w:r>
            <w:r>
              <w:rPr>
                <w:rFonts w:hint="eastAsia" w:ascii="宋体" w:hAnsi="宋体" w:cs="宋体"/>
                <w:b/>
                <w:bCs/>
                <w:snapToGrid w:val="0"/>
                <w:color w:val="auto"/>
                <w:kern w:val="28"/>
                <w:sz w:val="24"/>
                <w:szCs w:val="24"/>
                <w:highlight w:val="none"/>
                <w:lang w:val="en-US" w:eastAsia="zh-CN"/>
              </w:rPr>
              <w:t>的一方提供。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585" w:type="dxa"/>
            <w:vMerge w:val="continue"/>
            <w:tcBorders>
              <w:left w:val="single" w:color="000000" w:sz="8" w:space="0"/>
              <w:bottom w:val="single" w:color="auto" w:sz="4" w:space="0"/>
              <w:right w:val="single" w:color="000000" w:sz="2" w:space="0"/>
            </w:tcBorders>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c>
          <w:tcPr>
            <w:tcW w:w="1860" w:type="dxa"/>
            <w:vMerge w:val="continue"/>
            <w:tcBorders>
              <w:left w:val="single" w:color="000000" w:sz="2" w:space="0"/>
              <w:bottom w:val="single" w:color="auto" w:sz="4"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p>
        </w:tc>
        <w:tc>
          <w:tcPr>
            <w:tcW w:w="787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b/>
                <w:bCs/>
                <w:snapToGrid w:val="0"/>
                <w:color w:val="auto"/>
                <w:kern w:val="28"/>
                <w:sz w:val="24"/>
                <w:szCs w:val="24"/>
                <w:highlight w:val="none"/>
              </w:rPr>
            </w:pPr>
            <w:r>
              <w:rPr>
                <w:rFonts w:hint="eastAsia" w:ascii="宋体" w:hAnsi="宋体" w:eastAsia="宋体" w:cs="宋体"/>
                <w:b/>
                <w:bCs/>
                <w:snapToGrid w:val="0"/>
                <w:color w:val="auto"/>
                <w:kern w:val="28"/>
                <w:sz w:val="24"/>
                <w:szCs w:val="24"/>
                <w:highlight w:val="none"/>
              </w:rPr>
              <w:t>联合体投标的，联合体</w:t>
            </w:r>
            <w:r>
              <w:rPr>
                <w:rFonts w:hint="eastAsia" w:ascii="宋体" w:hAnsi="宋体" w:cs="宋体"/>
                <w:b/>
                <w:bCs/>
                <w:snapToGrid w:val="0"/>
                <w:color w:val="auto"/>
                <w:kern w:val="28"/>
                <w:sz w:val="24"/>
                <w:szCs w:val="24"/>
                <w:highlight w:val="none"/>
                <w:lang w:val="en-US" w:eastAsia="zh-CN"/>
              </w:rPr>
              <w:t>双方均</w:t>
            </w:r>
            <w:r>
              <w:rPr>
                <w:rFonts w:hint="eastAsia" w:ascii="宋体" w:hAnsi="宋体" w:eastAsia="宋体" w:cs="宋体"/>
                <w:b/>
                <w:bCs/>
                <w:snapToGrid w:val="0"/>
                <w:color w:val="auto"/>
                <w:kern w:val="28"/>
                <w:sz w:val="24"/>
                <w:szCs w:val="24"/>
                <w:highlight w:val="none"/>
              </w:rPr>
              <w:t>要求提供资</w:t>
            </w:r>
            <w:r>
              <w:rPr>
                <w:rFonts w:hint="eastAsia" w:ascii="宋体" w:hAnsi="宋体" w:cs="宋体"/>
                <w:b/>
                <w:bCs/>
                <w:snapToGrid w:val="0"/>
                <w:color w:val="auto"/>
                <w:kern w:val="28"/>
                <w:sz w:val="24"/>
                <w:szCs w:val="24"/>
                <w:highlight w:val="none"/>
                <w:lang w:val="en-US" w:eastAsia="zh-CN"/>
              </w:rPr>
              <w:t>格</w:t>
            </w:r>
            <w:r>
              <w:rPr>
                <w:rFonts w:hint="eastAsia" w:ascii="宋体" w:hAnsi="宋体" w:eastAsia="宋体" w:cs="宋体"/>
                <w:b/>
                <w:bCs/>
                <w:snapToGrid w:val="0"/>
                <w:color w:val="auto"/>
                <w:kern w:val="28"/>
                <w:sz w:val="24"/>
                <w:szCs w:val="24"/>
                <w:highlight w:val="none"/>
              </w:rPr>
              <w:t>文件，</w:t>
            </w:r>
            <w:r>
              <w:rPr>
                <w:rFonts w:hint="eastAsia" w:ascii="宋体" w:hAnsi="宋体" w:cs="宋体"/>
                <w:b/>
                <w:bCs/>
                <w:snapToGrid w:val="0"/>
                <w:color w:val="auto"/>
                <w:kern w:val="28"/>
                <w:sz w:val="24"/>
                <w:szCs w:val="24"/>
                <w:highlight w:val="none"/>
                <w:lang w:val="en-US" w:eastAsia="zh-CN"/>
              </w:rPr>
              <w:t>否则</w:t>
            </w:r>
            <w:r>
              <w:rPr>
                <w:rFonts w:hint="eastAsia" w:ascii="宋体" w:hAnsi="宋体" w:eastAsia="宋体" w:cs="宋体"/>
                <w:b/>
                <w:bCs/>
                <w:snapToGrid w:val="0"/>
                <w:color w:val="auto"/>
                <w:kern w:val="28"/>
                <w:sz w:val="24"/>
                <w:szCs w:val="24"/>
                <w:highlight w:val="none"/>
              </w:rPr>
              <w:t>视为</w:t>
            </w:r>
            <w:r>
              <w:rPr>
                <w:rFonts w:hint="eastAsia" w:ascii="宋体" w:hAnsi="宋体" w:cs="宋体"/>
                <w:b/>
                <w:bCs/>
                <w:snapToGrid w:val="0"/>
                <w:color w:val="auto"/>
                <w:kern w:val="28"/>
                <w:sz w:val="24"/>
                <w:szCs w:val="24"/>
                <w:highlight w:val="none"/>
                <w:lang w:val="en-US" w:eastAsia="zh-CN"/>
              </w:rPr>
              <w:t>不</w:t>
            </w:r>
            <w:r>
              <w:rPr>
                <w:rFonts w:hint="eastAsia" w:ascii="宋体" w:hAnsi="宋体" w:eastAsia="宋体" w:cs="宋体"/>
                <w:b/>
                <w:bCs/>
                <w:snapToGrid w:val="0"/>
                <w:color w:val="auto"/>
                <w:kern w:val="28"/>
                <w:sz w:val="24"/>
                <w:szCs w:val="24"/>
                <w:highlight w:val="none"/>
              </w:rPr>
              <w:t>符合</w:t>
            </w:r>
            <w:r>
              <w:rPr>
                <w:rFonts w:hint="eastAsia" w:ascii="宋体" w:hAnsi="宋体" w:cs="宋体"/>
                <w:b/>
                <w:bCs/>
                <w:snapToGrid w:val="0"/>
                <w:color w:val="auto"/>
                <w:kern w:val="28"/>
                <w:sz w:val="24"/>
                <w:szCs w:val="24"/>
                <w:highlight w:val="none"/>
                <w:lang w:val="en-US" w:eastAsia="zh-CN"/>
              </w:rPr>
              <w:t>资格</w:t>
            </w:r>
            <w:r>
              <w:rPr>
                <w:rFonts w:hint="eastAsia" w:ascii="宋体" w:hAnsi="宋体" w:eastAsia="宋体" w:cs="宋体"/>
                <w:b/>
                <w:bCs/>
                <w:snapToGrid w:val="0"/>
                <w:color w:val="auto"/>
                <w:kern w:val="28"/>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中标</w:t>
            </w:r>
            <w:r>
              <w:rPr>
                <w:rFonts w:hint="eastAsia" w:ascii="宋体" w:hAnsi="宋体" w:eastAsia="宋体" w:cs="宋体"/>
                <w:b/>
                <w:color w:val="auto"/>
                <w:sz w:val="24"/>
                <w:szCs w:val="24"/>
                <w:highlight w:val="none"/>
              </w:rPr>
              <w:t>服务费</w:t>
            </w:r>
          </w:p>
        </w:tc>
        <w:tc>
          <w:tcPr>
            <w:tcW w:w="7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采购代理向中标人收取中标服务费共计35100元。</w:t>
            </w:r>
          </w:p>
          <w:p>
            <w:pPr>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r>
              <w:rPr>
                <w:rFonts w:hint="eastAsia" w:ascii="宋体" w:hAnsi="宋体" w:eastAsia="宋体" w:cs="宋体"/>
                <w:color w:val="auto"/>
                <w:kern w:val="0"/>
                <w:sz w:val="24"/>
                <w:szCs w:val="24"/>
                <w:highlight w:val="none"/>
                <w:lang w:val="en-US" w:eastAsia="zh-CN"/>
              </w:rPr>
              <w:t>中标服务费</w:t>
            </w:r>
            <w:r>
              <w:rPr>
                <w:rFonts w:hint="eastAsia" w:ascii="宋体" w:hAnsi="宋体" w:eastAsia="宋体" w:cs="宋体"/>
                <w:color w:val="auto"/>
                <w:kern w:val="0"/>
                <w:sz w:val="24"/>
                <w:szCs w:val="24"/>
                <w:highlight w:val="none"/>
              </w:rPr>
              <w:t>只收现金、银行票汇款、电汇款。汇入以下账户：</w:t>
            </w:r>
          </w:p>
          <w:p>
            <w:pPr>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开户单位名称：</w:t>
            </w:r>
            <w:r>
              <w:rPr>
                <w:rFonts w:hint="eastAsia" w:ascii="宋体" w:hAnsi="宋体" w:eastAsia="宋体" w:cs="宋体"/>
                <w:color w:val="auto"/>
                <w:kern w:val="0"/>
                <w:sz w:val="24"/>
                <w:szCs w:val="24"/>
                <w:highlight w:val="none"/>
                <w:lang w:eastAsia="zh-CN"/>
              </w:rPr>
              <w:t>浙江绿邦招标代理有限公司</w:t>
            </w:r>
          </w:p>
          <w:p>
            <w:pPr>
              <w:keepNext w:val="0"/>
              <w:keepLines w:val="0"/>
              <w:pageBreakBefore w:val="0"/>
              <w:widowControl w:val="0"/>
              <w:shd w:val="clear"/>
              <w:kinsoku/>
              <w:wordWrap/>
              <w:overflowPunct/>
              <w:topLinePunct w:val="0"/>
              <w:autoSpaceDE/>
              <w:autoSpaceDN/>
              <w:bidi w:val="0"/>
              <w:adjustRightInd w:val="0"/>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开户银行：宁波银行鄞州支行    帐 号：53010122000097556</w:t>
            </w:r>
          </w:p>
        </w:tc>
      </w:tr>
    </w:tbl>
    <w:p>
      <w:pPr>
        <w:shd w:val="clear"/>
        <w:snapToGrid w:val="0"/>
        <w:spacing w:line="360" w:lineRule="auto"/>
        <w:jc w:val="center"/>
        <w:rPr>
          <w:rFonts w:hint="eastAsia" w:ascii="宋体" w:hAnsi="宋体" w:eastAsia="宋体" w:cs="宋体"/>
          <w:b/>
          <w:color w:val="auto"/>
          <w:sz w:val="32"/>
          <w:szCs w:val="20"/>
          <w:highlight w:val="none"/>
        </w:rPr>
      </w:pPr>
    </w:p>
    <w:bookmarkEnd w:id="9"/>
    <w:p>
      <w:pPr>
        <w:shd w:val="clear"/>
        <w:adjustRightInd/>
        <w:spacing w:line="360" w:lineRule="auto"/>
        <w:ind w:firstLine="3845" w:firstLineChars="1197"/>
        <w:outlineLvl w:val="0"/>
        <w:rPr>
          <w:rFonts w:hint="eastAsia" w:ascii="宋体" w:hAnsi="宋体" w:eastAsia="宋体" w:cs="宋体"/>
          <w:b/>
          <w:color w:val="auto"/>
          <w:sz w:val="32"/>
          <w:szCs w:val="20"/>
          <w:highlight w:val="none"/>
        </w:rPr>
        <w:sectPr>
          <w:footerReference r:id="rId10" w:type="first"/>
          <w:footerReference r:id="rId9" w:type="default"/>
          <w:pgSz w:w="11906" w:h="16838"/>
          <w:pgMar w:top="680" w:right="1418" w:bottom="468" w:left="1418" w:header="851" w:footer="992" w:gutter="0"/>
          <w:pgNumType w:fmt="decimal" w:start="1"/>
          <w:cols w:space="720" w:num="1"/>
          <w:titlePg/>
          <w:docGrid w:linePitch="312" w:charSpace="0"/>
        </w:sectPr>
      </w:pPr>
      <w:bookmarkStart w:id="10" w:name="第三部分"/>
      <w:bookmarkStart w:id="11" w:name="_Toc164416483"/>
    </w:p>
    <w:p>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pageBreakBefore w:val="0"/>
        <w:shd w:val="clear"/>
        <w:kinsoku/>
        <w:wordWrap/>
        <w:overflowPunct/>
        <w:topLinePunct w:val="0"/>
        <w:bidi w:val="0"/>
        <w:snapToGrid/>
        <w:spacing w:beforeAutospacing="0" w:line="360" w:lineRule="auto"/>
        <w:ind w:left="0" w:leftChars="0" w:firstLine="361" w:firstLineChars="15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pageBreakBefore w:val="0"/>
        <w:shd w:val="clear"/>
        <w:kinsoku/>
        <w:wordWrap/>
        <w:overflowPunct/>
        <w:topLinePunct w:val="0"/>
        <w:bidi w:val="0"/>
        <w:snapToGrid/>
        <w:spacing w:beforeAutospacing="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pageBreakBefore w:val="0"/>
        <w:shd w:val="clear"/>
        <w:kinsoku/>
        <w:wordWrap/>
        <w:overflowPunct/>
        <w:topLinePunct w:val="0"/>
        <w:bidi w:val="0"/>
        <w:adjustRightInd/>
        <w:snapToGrid/>
        <w:spacing w:beforeAutospacing="0" w:line="360" w:lineRule="auto"/>
        <w:ind w:left="0" w:leftChars="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cs="宋体"/>
          <w:color w:val="auto"/>
          <w:sz w:val="24"/>
          <w:highlight w:val="none"/>
          <w:lang w:eastAsia="zh-CN"/>
        </w:rPr>
        <w:t>，投标人的投标对任何带“</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”号的重要条款的偏离和未作实质性响应都将直接导致无效标</w:t>
      </w:r>
      <w:r>
        <w:rPr>
          <w:rFonts w:hint="eastAsia" w:ascii="宋体" w:hAnsi="宋体" w:eastAsia="宋体" w:cs="宋体"/>
          <w:color w:val="auto"/>
          <w:sz w:val="24"/>
          <w:highlight w:val="none"/>
        </w:rPr>
        <w:t>。</w:t>
      </w:r>
    </w:p>
    <w:p>
      <w:pPr>
        <w:pageBreakBefore w:val="0"/>
        <w:shd w:val="clear"/>
        <w:kinsoku/>
        <w:wordWrap/>
        <w:overflowPunct/>
        <w:topLinePunct w:val="0"/>
        <w:bidi w:val="0"/>
        <w:snapToGrid/>
        <w:spacing w:beforeAutospacing="0" w:line="360" w:lineRule="auto"/>
        <w:ind w:left="0" w:leftChars="0"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pageBreakBefore w:val="0"/>
        <w:shd w:val="clear"/>
        <w:kinsoku/>
        <w:wordWrap/>
        <w:overflowPunct/>
        <w:topLinePunct w:val="0"/>
        <w:bidi w:val="0"/>
        <w:snapToGrid/>
        <w:spacing w:beforeAutospacing="0" w:line="360" w:lineRule="auto"/>
        <w:ind w:left="0" w:leftChars="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pageBreakBefore w:val="0"/>
        <w:shd w:val="clear"/>
        <w:kinsoku/>
        <w:wordWrap/>
        <w:overflowPunct/>
        <w:topLinePunct w:val="0"/>
        <w:bidi w:val="0"/>
        <w:snapToGrid/>
        <w:spacing w:beforeAutospacing="0" w:line="360" w:lineRule="auto"/>
        <w:ind w:left="0" w:leftChars="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pageBreakBefore w:val="0"/>
        <w:shd w:val="clear"/>
        <w:kinsoku/>
        <w:wordWrap/>
        <w:overflowPunct/>
        <w:topLinePunct w:val="0"/>
        <w:bidi w:val="0"/>
        <w:snapToGrid/>
        <w:spacing w:beforeAutospacing="0" w:line="360" w:lineRule="auto"/>
        <w:ind w:left="0" w:leftChars="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3.3中小企业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w:t>
      </w:r>
      <w:r>
        <w:rPr>
          <w:rFonts w:hint="eastAsia" w:ascii="宋体" w:hAnsi="宋体" w:eastAsia="宋体" w:cs="宋体"/>
          <w:color w:val="auto"/>
          <w:kern w:val="0"/>
          <w:sz w:val="24"/>
          <w:szCs w:val="24"/>
          <w:highlight w:val="none"/>
        </w:rPr>
        <w:t>本项目</w:t>
      </w:r>
      <w:r>
        <w:rPr>
          <w:rFonts w:hint="eastAsia" w:ascii="宋体" w:hAnsi="宋体" w:eastAsia="宋体" w:cs="宋体"/>
          <w:color w:val="auto"/>
          <w:kern w:val="0"/>
          <w:sz w:val="24"/>
          <w:szCs w:val="24"/>
          <w:highlight w:val="none"/>
          <w:u w:val="single"/>
        </w:rPr>
        <w:t xml:space="preserve">  是  </w:t>
      </w:r>
      <w:r>
        <w:rPr>
          <w:rFonts w:hint="eastAsia" w:ascii="宋体" w:hAnsi="宋体" w:eastAsia="宋体" w:cs="宋体"/>
          <w:color w:val="auto"/>
          <w:kern w:val="0"/>
          <w:sz w:val="24"/>
          <w:szCs w:val="24"/>
          <w:highlight w:val="none"/>
        </w:rPr>
        <w:t>专门面向中小企业采购。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3.3.2.</w:t>
      </w:r>
      <w:r>
        <w:rPr>
          <w:rFonts w:hint="eastAsia" w:ascii="宋体" w:hAnsi="宋体" w:eastAsia="宋体" w:cs="宋体"/>
          <w:color w:val="auto"/>
          <w:sz w:val="24"/>
          <w:szCs w:val="24"/>
          <w:highlight w:val="none"/>
        </w:rPr>
        <w:t>参加政府采购活动的中小企业（含中型、小型、微型企业，其他地方同）应当同时符合以下条件：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（一）符合中小企业划分标准（具体见工信部联企业〔2011〕300号）；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以联合体形式参加政府采购活动，联合体各方均为</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小微企业的，联合体视同</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小微企业。</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3.3.3.</w:t>
      </w:r>
      <w:r>
        <w:rPr>
          <w:rFonts w:hint="eastAsia" w:ascii="宋体" w:hAnsi="宋体" w:eastAsia="宋体" w:cs="宋体"/>
          <w:color w:val="auto"/>
          <w:sz w:val="24"/>
          <w:szCs w:val="24"/>
          <w:highlight w:val="none"/>
        </w:rPr>
        <w:t>参加本次政府采购活动的中小企业应当出具《中小企业声明函》。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
        </w:rPr>
        <w:t>3.3.4.</w:t>
      </w:r>
      <w:r>
        <w:rPr>
          <w:rFonts w:hint="eastAsia" w:ascii="宋体" w:hAnsi="宋体" w:eastAsia="宋体" w:cs="宋体"/>
          <w:b/>
          <w:bCs/>
          <w:color w:val="auto"/>
          <w:sz w:val="24"/>
          <w:szCs w:val="24"/>
          <w:highlight w:val="none"/>
          <w:lang w:bidi="ar"/>
        </w:rPr>
        <w:t>本项目对应的中小企业划分标准所属行业</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u w:val="single"/>
          <w:lang w:bidi="ar"/>
        </w:rPr>
        <w:t xml:space="preserve"> </w:t>
      </w:r>
      <w:r>
        <w:rPr>
          <w:rFonts w:hint="eastAsia" w:ascii="宋体" w:hAnsi="宋体" w:eastAsia="宋体" w:cs="宋体"/>
          <w:b/>
          <w:bCs/>
          <w:color w:val="auto"/>
          <w:sz w:val="24"/>
          <w:szCs w:val="24"/>
          <w:highlight w:val="none"/>
          <w:u w:val="single"/>
          <w:lang w:val="en-US" w:eastAsia="zh-CN" w:bidi="ar"/>
        </w:rPr>
        <w:t>其他未列明行业</w:t>
      </w:r>
      <w:r>
        <w:rPr>
          <w:rFonts w:hint="eastAsia" w:ascii="宋体" w:hAnsi="宋体" w:eastAsia="宋体" w:cs="宋体"/>
          <w:b/>
          <w:bCs/>
          <w:color w:val="auto"/>
          <w:sz w:val="24"/>
          <w:szCs w:val="24"/>
          <w:highlight w:val="none"/>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3.3.5.</w:t>
      </w:r>
      <w:r>
        <w:rPr>
          <w:rFonts w:hint="eastAsia" w:ascii="宋体" w:hAnsi="宋体" w:eastAsia="宋体" w:cs="宋体"/>
          <w:color w:val="auto"/>
          <w:sz w:val="24"/>
          <w:szCs w:val="24"/>
          <w:highlight w:val="none"/>
        </w:rPr>
        <w:t>政府采购监督检查、投诉处理及政府采购行政处罚中对中小企业的认定，由货物制造商或者服务</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注册登记所在地的县级以上人民政府中小企业主管部门负责。中小企业主管部门应当在收到财政部门或者有关招标投标行政监督部门关于协助开展中小企业认定函后 10 个工作日内做出书面答复。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3.3.6.</w:t>
      </w:r>
      <w:r>
        <w:rPr>
          <w:rFonts w:hint="eastAsia" w:ascii="宋体" w:hAnsi="宋体" w:eastAsia="宋体" w:cs="宋体"/>
          <w:color w:val="auto"/>
          <w:sz w:val="24"/>
          <w:szCs w:val="24"/>
          <w:highlight w:val="none"/>
        </w:rPr>
        <w:t>中小企业声明函中从业人员、营业收入、资产总额填报上一年度数据，无上一年度数据的新成立企业可不填报。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3.3.7</w:t>
      </w:r>
      <w:r>
        <w:rPr>
          <w:rFonts w:hint="eastAsia" w:ascii="宋体" w:hAnsi="宋体" w:eastAsia="宋体" w:cs="宋体"/>
          <w:color w:val="auto"/>
          <w:sz w:val="24"/>
          <w:szCs w:val="24"/>
          <w:highlight w:val="none"/>
        </w:rPr>
        <w:t>.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3.3.8</w:t>
      </w:r>
      <w:r>
        <w:rPr>
          <w:rFonts w:hint="eastAsia" w:ascii="宋体" w:hAnsi="宋体" w:eastAsia="宋体" w:cs="宋体"/>
          <w:color w:val="auto"/>
          <w:sz w:val="24"/>
          <w:szCs w:val="24"/>
          <w:highlight w:val="none"/>
        </w:rPr>
        <w:t>. 根据《关于促进残疾人就业政府采购政策的通知》（财库[2017]141号）规定，在政府采购活动中，残疾人福利性单位视同小型、微型企业。残疾人福利性单位参加政府采购活动时，提供《残疾人福利性单位声明函》。</w:t>
      </w:r>
    </w:p>
    <w:p>
      <w:pPr>
        <w:pageBreakBefore w:val="0"/>
        <w:shd w:val="clear"/>
        <w:kinsoku/>
        <w:wordWrap/>
        <w:overflowPunct/>
        <w:topLinePunct w:val="0"/>
        <w:bidi w:val="0"/>
        <w:snapToGrid/>
        <w:spacing w:beforeAutospacing="0"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3.3.9.</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按照《政府采购促进中小企业发展管理办法》（财库﹝2020﹞46号）规定提供声明函内容不实的，属于提供虚假材料谋取中标、成交，依照《中华人民共和国政府采购法》等国家有关规定追究相应责任。</w:t>
      </w:r>
    </w:p>
    <w:p>
      <w:pPr>
        <w:pageBreakBefore w:val="0"/>
        <w:shd w:val="clear"/>
        <w:kinsoku/>
        <w:wordWrap/>
        <w:overflowPunct/>
        <w:topLinePunct w:val="0"/>
        <w:bidi w:val="0"/>
        <w:snapToGrid/>
        <w:spacing w:beforeAutospacing="0" w:line="360" w:lineRule="auto"/>
        <w:ind w:left="0" w:leftChars="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ageBreakBefore w:val="0"/>
        <w:shd w:val="clear"/>
        <w:kinsoku/>
        <w:wordWrap/>
        <w:overflowPunct/>
        <w:topLinePunct w:val="0"/>
        <w:bidi w:val="0"/>
        <w:snapToGrid/>
        <w:spacing w:beforeAutospacing="0" w:line="360" w:lineRule="auto"/>
        <w:ind w:left="0" w:lef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pageBreakBefore w:val="0"/>
        <w:shd w:val="clear"/>
        <w:kinsoku/>
        <w:wordWrap/>
        <w:overflowPunct/>
        <w:topLinePunct w:val="0"/>
        <w:bidi w:val="0"/>
        <w:snapToGrid/>
        <w:spacing w:beforeAutospacing="0" w:line="360" w:lineRule="auto"/>
        <w:ind w:left="0" w:leftChars="0" w:firstLine="240" w:firstLineChars="1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pageBreakBefore w:val="0"/>
        <w:shd w:val="clear"/>
        <w:kinsoku/>
        <w:wordWrap/>
        <w:overflowPunct/>
        <w:topLinePunct w:val="0"/>
        <w:autoSpaceDE w:val="0"/>
        <w:autoSpaceDN w:val="0"/>
        <w:bidi w:val="0"/>
        <w:snapToGrid/>
        <w:spacing w:beforeAutospacing="0"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shd w:val="clear"/>
        <w:kinsoku/>
        <w:wordWrap/>
        <w:overflowPunct/>
        <w:topLinePunct w:val="0"/>
        <w:autoSpaceDE w:val="0"/>
        <w:autoSpaceDN w:val="0"/>
        <w:bidi w:val="0"/>
        <w:snapToGrid/>
        <w:spacing w:beforeAutospacing="0"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pageBreakBefore w:val="0"/>
        <w:shd w:val="clear"/>
        <w:kinsoku/>
        <w:wordWrap/>
        <w:overflowPunct/>
        <w:topLinePunct w:val="0"/>
        <w:autoSpaceDE w:val="0"/>
        <w:autoSpaceDN w:val="0"/>
        <w:bidi w:val="0"/>
        <w:snapToGrid/>
        <w:spacing w:beforeAutospacing="0"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shd w:val="clear"/>
        <w:kinsoku/>
        <w:wordWrap/>
        <w:overflowPunct/>
        <w:topLinePunct w:val="0"/>
        <w:autoSpaceDE w:val="0"/>
        <w:autoSpaceDN w:val="0"/>
        <w:bidi w:val="0"/>
        <w:snapToGrid/>
        <w:spacing w:beforeAutospacing="0" w:line="360" w:lineRule="auto"/>
        <w:ind w:left="0" w:leftChars="0"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2"/>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2"/>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6"/>
        <w:keepNext w:val="0"/>
        <w:keepLines w:val="0"/>
        <w:pageBreakBefore w:val="0"/>
        <w:shd w:val="clear"/>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2"/>
        <w:keepNext w:val="0"/>
        <w:keepLines w:val="0"/>
        <w:pageBreakBefore w:val="0"/>
        <w:shd w:val="clear"/>
        <w:kinsoku/>
        <w:wordWrap/>
        <w:overflowPunct/>
        <w:topLinePunct w:val="0"/>
        <w:autoSpaceDE/>
        <w:autoSpaceDN/>
        <w:bidi w:val="0"/>
        <w:adjustRightInd w:val="0"/>
        <w:snapToGrid/>
        <w:spacing w:beforeAutospacing="0" w:line="360" w:lineRule="auto"/>
        <w:ind w:left="479" w:leftChars="228"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keepNext w:val="0"/>
        <w:keepLines w:val="0"/>
        <w:pageBreakBefore w:val="0"/>
        <w:shd w:val="clear"/>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2"/>
        <w:keepNext w:val="0"/>
        <w:keepLines w:val="0"/>
        <w:pageBreakBefore w:val="0"/>
        <w:shd w:val="clear"/>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pPr>
        <w:pStyle w:val="32"/>
        <w:keepNext w:val="0"/>
        <w:keepLines w:val="0"/>
        <w:pageBreakBefore w:val="0"/>
        <w:shd w:val="clear"/>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pPr>
        <w:pStyle w:val="32"/>
        <w:keepNext w:val="0"/>
        <w:keepLines w:val="0"/>
        <w:pageBreakBefore w:val="0"/>
        <w:shd w:val="clear"/>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pPr>
        <w:pStyle w:val="32"/>
        <w:keepNext w:val="0"/>
        <w:keepLines w:val="0"/>
        <w:pageBreakBefore w:val="0"/>
        <w:shd w:val="clear"/>
        <w:kinsoku/>
        <w:wordWrap/>
        <w:overflowPunct/>
        <w:topLinePunct w:val="0"/>
        <w:autoSpaceDE/>
        <w:autoSpaceDN/>
        <w:bidi w:val="0"/>
        <w:snapToGrid/>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pPr>
        <w:pStyle w:val="32"/>
        <w:keepNext w:val="0"/>
        <w:keepLines w:val="0"/>
        <w:pageBreakBefore w:val="0"/>
        <w:shd w:val="clear"/>
        <w:kinsoku/>
        <w:wordWrap/>
        <w:overflowPunct/>
        <w:topLinePunct w:val="0"/>
        <w:autoSpaceDE/>
        <w:autoSpaceDN/>
        <w:bidi w:val="0"/>
        <w:snapToGrid/>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pPr>
        <w:pStyle w:val="32"/>
        <w:keepNext w:val="0"/>
        <w:keepLines w:val="0"/>
        <w:pageBreakBefore w:val="0"/>
        <w:shd w:val="clear"/>
        <w:kinsoku/>
        <w:wordWrap/>
        <w:overflowPunct/>
        <w:topLinePunct w:val="0"/>
        <w:autoSpaceDE/>
        <w:autoSpaceDN/>
        <w:bidi w:val="0"/>
        <w:snapToGrid/>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7"/>
        <w:keepNext w:val="0"/>
        <w:keepLines w:val="0"/>
        <w:pageBreakBefore w:val="0"/>
        <w:shd w:val="clear" w:color="auto"/>
        <w:kinsoku/>
        <w:wordWrap/>
        <w:overflowPunct/>
        <w:topLinePunct w:val="0"/>
        <w:autoSpaceDE/>
        <w:autoSpaceDN/>
        <w:bidi w:val="0"/>
        <w:snapToGrid/>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keepNext w:val="0"/>
        <w:keepLines w:val="0"/>
        <w:pageBreakBefore w:val="0"/>
        <w:shd w:val="clear" w:color="auto"/>
        <w:kinsoku/>
        <w:wordWrap/>
        <w:overflowPunct/>
        <w:topLinePunct w:val="0"/>
        <w:autoSpaceDE/>
        <w:autoSpaceDN/>
        <w:bidi w:val="0"/>
        <w:snapToGrid/>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w:t>
      </w:r>
      <w:r>
        <w:rPr>
          <w:rFonts w:hint="eastAsia" w:cs="宋体"/>
          <w:color w:val="auto"/>
          <w:highlight w:val="none"/>
          <w:lang w:val="en-US" w:eastAsia="zh-CN"/>
        </w:rPr>
        <w:t>1</w:t>
      </w:r>
      <w:r>
        <w:rPr>
          <w:rFonts w:hint="eastAsia" w:ascii="宋体" w:hAnsi="宋体" w:eastAsia="宋体" w:cs="宋体"/>
          <w:color w:val="auto"/>
          <w:highlight w:val="none"/>
        </w:rPr>
        <w:t>。</w:t>
      </w:r>
    </w:p>
    <w:p>
      <w:pPr>
        <w:pStyle w:val="887"/>
        <w:pageBreakBefore w:val="0"/>
        <w:shd w:val="clear" w:color="auto"/>
        <w:kinsoku/>
        <w:wordWrap/>
        <w:overflowPunct/>
        <w:topLinePunct w:val="0"/>
        <w:bidi w:val="0"/>
        <w:snapToGrid/>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7"/>
        <w:pageBreakBefore w:val="0"/>
        <w:shd w:val="clear" w:color="auto"/>
        <w:kinsoku/>
        <w:wordWrap/>
        <w:overflowPunct/>
        <w:topLinePunct w:val="0"/>
        <w:bidi w:val="0"/>
        <w:snapToGrid/>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浙江省财政厅</w:t>
      </w:r>
      <w:r>
        <w:rPr>
          <w:rFonts w:hint="eastAsia" w:ascii="宋体" w:hAnsi="宋体" w:eastAsia="宋体" w:cs="宋体"/>
          <w:color w:val="auto"/>
          <w:sz w:val="24"/>
          <w:highlight w:val="none"/>
        </w:rPr>
        <w:t>关于进一步加强政府采购公</w:t>
      </w:r>
      <w:r>
        <w:rPr>
          <w:rFonts w:hint="eastAsia" w:ascii="宋体" w:hAnsi="宋体" w:eastAsia="宋体" w:cs="宋体"/>
          <w:color w:val="auto"/>
          <w:sz w:val="24"/>
          <w:highlight w:val="none"/>
          <w:lang w:val="en-US" w:eastAsia="zh-CN"/>
        </w:rPr>
        <w:t>平竞争打造最</w:t>
      </w:r>
      <w:r>
        <w:rPr>
          <w:rFonts w:hint="eastAsia" w:ascii="宋体" w:hAnsi="宋体" w:eastAsia="宋体" w:cs="宋体"/>
          <w:color w:val="auto"/>
          <w:sz w:val="24"/>
          <w:highlight w:val="none"/>
        </w:rPr>
        <w:t>优营商环境的通知》（</w:t>
      </w:r>
      <w:r>
        <w:rPr>
          <w:rFonts w:hint="eastAsia" w:ascii="宋体" w:hAnsi="宋体" w:eastAsia="宋体" w:cs="宋体"/>
          <w:color w:val="auto"/>
          <w:sz w:val="24"/>
          <w:highlight w:val="none"/>
          <w:lang w:val="en-US" w:eastAsia="zh-CN"/>
        </w:rPr>
        <w:t>浙</w:t>
      </w:r>
      <w:r>
        <w:rPr>
          <w:rFonts w:hint="eastAsia" w:ascii="宋体" w:hAnsi="宋体" w:eastAsia="宋体" w:cs="宋体"/>
          <w:color w:val="auto"/>
          <w:sz w:val="24"/>
          <w:highlight w:val="none"/>
        </w:rPr>
        <w:t>财采监〔2021〕</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号）</w:t>
      </w:r>
      <w:r>
        <w:rPr>
          <w:rFonts w:hint="eastAsia" w:ascii="宋体" w:hAnsi="宋体" w:eastAsia="宋体" w:cs="宋体"/>
          <w:color w:val="auto"/>
          <w:highlight w:val="none"/>
        </w:rPr>
        <w:t>,采购人或者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887"/>
        <w:pageBreakBefore w:val="0"/>
        <w:shd w:val="clear" w:color="auto"/>
        <w:kinsoku/>
        <w:wordWrap/>
        <w:overflowPunct/>
        <w:topLinePunct w:val="0"/>
        <w:bidi w:val="0"/>
        <w:snapToGrid/>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7"/>
        <w:pageBreakBefore w:val="0"/>
        <w:shd w:val="clear" w:color="auto"/>
        <w:kinsoku/>
        <w:wordWrap/>
        <w:overflowPunct/>
        <w:topLinePunct w:val="0"/>
        <w:bidi w:val="0"/>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7"/>
        <w:pageBreakBefore w:val="0"/>
        <w:shd w:val="clear" w:color="auto"/>
        <w:kinsoku/>
        <w:wordWrap/>
        <w:overflowPunct/>
        <w:topLinePunct w:val="0"/>
        <w:bidi w:val="0"/>
        <w:snapToGrid/>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887"/>
        <w:pageBreakBefore w:val="0"/>
        <w:shd w:val="clear" w:color="auto"/>
        <w:kinsoku/>
        <w:wordWrap/>
        <w:overflowPunct/>
        <w:topLinePunct w:val="0"/>
        <w:bidi w:val="0"/>
        <w:snapToGrid/>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7"/>
        <w:pageBreakBefore w:val="0"/>
        <w:shd w:val="clear" w:color="auto"/>
        <w:kinsoku/>
        <w:wordWrap/>
        <w:overflowPunct/>
        <w:topLinePunct w:val="0"/>
        <w:bidi w:val="0"/>
        <w:snapToGrid/>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7"/>
        <w:pageBreakBefore w:val="0"/>
        <w:shd w:val="clear" w:color="auto"/>
        <w:kinsoku/>
        <w:wordWrap/>
        <w:overflowPunct/>
        <w:topLinePunct w:val="0"/>
        <w:bidi w:val="0"/>
        <w:snapToGrid/>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7"/>
        <w:pageBreakBefore w:val="0"/>
        <w:shd w:val="clear" w:color="auto"/>
        <w:kinsoku/>
        <w:wordWrap/>
        <w:overflowPunct/>
        <w:topLinePunct w:val="0"/>
        <w:bidi w:val="0"/>
        <w:snapToGrid/>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4.4.5投诉材料可寄送至</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宁波市海曙区政府采购管理办公室</w:t>
      </w: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宁波市海曙区天之海大厦海曙财政局214办公室</w:t>
      </w:r>
      <w:r>
        <w:rPr>
          <w:rFonts w:hint="eastAsia" w:ascii="宋体" w:hAnsi="宋体" w:eastAsia="宋体" w:cs="宋体"/>
          <w:color w:val="auto"/>
          <w:highlight w:val="none"/>
        </w:rPr>
        <w:t>，收件人：</w:t>
      </w:r>
      <w:r>
        <w:rPr>
          <w:rFonts w:hint="eastAsia" w:ascii="宋体" w:hAnsi="宋体" w:eastAsia="宋体" w:cs="宋体"/>
          <w:color w:val="auto"/>
          <w:highlight w:val="none"/>
          <w:lang w:val="en-US" w:eastAsia="zh-CN"/>
        </w:rPr>
        <w:t>王老师</w:t>
      </w:r>
      <w:r>
        <w:rPr>
          <w:rFonts w:hint="eastAsia" w:ascii="宋体" w:hAnsi="宋体" w:eastAsia="宋体" w:cs="宋体"/>
          <w:color w:val="auto"/>
          <w:highlight w:val="none"/>
        </w:rPr>
        <w:t>，电话</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0574-87297540</w:t>
      </w:r>
      <w:r>
        <w:rPr>
          <w:rFonts w:hint="eastAsia" w:ascii="宋体" w:hAnsi="宋体" w:eastAsia="宋体" w:cs="宋体"/>
          <w:color w:val="auto"/>
          <w:highlight w:val="none"/>
        </w:rPr>
        <w:t>。</w:t>
      </w:r>
    </w:p>
    <w:p>
      <w:pPr>
        <w:pStyle w:val="887"/>
        <w:pageBreakBefore w:val="0"/>
        <w:shd w:val="clear" w:color="auto"/>
        <w:kinsoku/>
        <w:wordWrap/>
        <w:overflowPunct/>
        <w:topLinePunct w:val="0"/>
        <w:bidi w:val="0"/>
        <w:snapToGrid/>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w:t>
      </w:r>
      <w:r>
        <w:rPr>
          <w:rFonts w:hint="eastAsia" w:cs="宋体"/>
          <w:color w:val="auto"/>
          <w:highlight w:val="none"/>
          <w:lang w:val="en-US" w:eastAsia="zh-CN"/>
        </w:rPr>
        <w:t>2</w:t>
      </w:r>
      <w:r>
        <w:rPr>
          <w:rFonts w:hint="eastAsia" w:ascii="宋体" w:hAnsi="宋体" w:eastAsia="宋体" w:cs="宋体"/>
          <w:color w:val="auto"/>
          <w:highlight w:val="none"/>
        </w:rPr>
        <w:t>。</w:t>
      </w:r>
    </w:p>
    <w:p>
      <w:pPr>
        <w:pageBreakBefore w:val="0"/>
        <w:shd w:val="clear"/>
        <w:kinsoku/>
        <w:wordWrap/>
        <w:overflowPunct/>
        <w:topLinePunct w:val="0"/>
        <w:bidi w:val="0"/>
        <w:adjustRightInd/>
        <w:snapToGrid/>
        <w:spacing w:beforeAutospacing="0" w:line="360"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2"/>
        <w:pageBreakBefore w:val="0"/>
        <w:shd w:val="clear"/>
        <w:kinsoku/>
        <w:wordWrap/>
        <w:overflowPunct/>
        <w:topLinePunct w:val="0"/>
        <w:bidi w:val="0"/>
        <w:snapToGrid/>
        <w:spacing w:beforeAutospacing="0" w:line="360" w:lineRule="auto"/>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2"/>
        <w:keepNext w:val="0"/>
        <w:keepLines w:val="0"/>
        <w:pageBreakBefore w:val="0"/>
        <w:widowControl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本招标文件由以下部份组成：</w:t>
      </w:r>
    </w:p>
    <w:p>
      <w:pPr>
        <w:pStyle w:val="32"/>
        <w:keepNext w:val="0"/>
        <w:keepLines w:val="0"/>
        <w:pageBreakBefore w:val="0"/>
        <w:widowControl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1．采购公告；</w:t>
      </w:r>
    </w:p>
    <w:p>
      <w:pPr>
        <w:pStyle w:val="32"/>
        <w:keepNext w:val="0"/>
        <w:keepLines w:val="0"/>
        <w:pageBreakBefore w:val="0"/>
        <w:widowControl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2．投标资料表；</w:t>
      </w:r>
    </w:p>
    <w:p>
      <w:pPr>
        <w:pStyle w:val="32"/>
        <w:keepNext w:val="0"/>
        <w:keepLines w:val="0"/>
        <w:pageBreakBefore w:val="0"/>
        <w:widowControl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pPr>
        <w:pStyle w:val="32"/>
        <w:keepNext w:val="0"/>
        <w:keepLines w:val="0"/>
        <w:pageBreakBefore w:val="0"/>
        <w:widowControl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4．招标需求；</w:t>
      </w:r>
    </w:p>
    <w:p>
      <w:pPr>
        <w:pStyle w:val="32"/>
        <w:keepNext w:val="0"/>
        <w:keepLines w:val="0"/>
        <w:pageBreakBefore w:val="0"/>
        <w:widowControl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5．评标办法及评分标准；</w:t>
      </w:r>
    </w:p>
    <w:p>
      <w:pPr>
        <w:pStyle w:val="32"/>
        <w:keepNext w:val="0"/>
        <w:keepLines w:val="0"/>
        <w:pageBreakBefore w:val="0"/>
        <w:widowControl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6．政府采购合同文本；</w:t>
      </w:r>
    </w:p>
    <w:p>
      <w:pPr>
        <w:pStyle w:val="32"/>
        <w:keepNext w:val="0"/>
        <w:keepLines w:val="0"/>
        <w:pageBreakBefore w:val="0"/>
        <w:widowControl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7．投标文件格式；</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8．本项目招标文件的澄清、答复、修改、补充的内容。</w:t>
      </w:r>
    </w:p>
    <w:p>
      <w:pPr>
        <w:pStyle w:val="32"/>
        <w:pageBreakBefore w:val="0"/>
        <w:shd w:val="clear"/>
        <w:kinsoku/>
        <w:wordWrap/>
        <w:overflowPunct/>
        <w:topLinePunct w:val="0"/>
        <w:bidi w:val="0"/>
        <w:snapToGrid/>
        <w:spacing w:beforeAutospacing="0" w:line="360" w:lineRule="auto"/>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1采购单位、采购代理机构对已发出的招标文件进行必要的澄清或者修改时，澄清或者修改的内容可能影响投标文件编制的，将在招标公告规定的投标截止时间十五日前，以书面形式或在规定信息发布网站上通知所有已获取招标文件的潜在投标人，并要求潜在投标人进行传真或书面确认澄清和修改已收悉，澄清和修改的内容作为招标文件的组成部分。不足十五日的，顺延提交投标文件的截止时间。</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2招标文件澄清、答复、修改、补充的内容为招标文件的组成部分。当招标文件与招标文件的答复、澄清、修改、补充通知就同一内容的表述不一致时，以最后发出的书面文件为准。</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3招标文件的澄清、答复、修改或补充都应该通过本代理机构以法定形式发布，采购人非通过本机构，不得擅自澄清、答复、修改或补充招标文件。</w:t>
      </w:r>
    </w:p>
    <w:p>
      <w:pPr>
        <w:pStyle w:val="32"/>
        <w:pageBreakBefore w:val="0"/>
        <w:numPr>
          <w:ilvl w:val="0"/>
          <w:numId w:val="1"/>
        </w:numPr>
        <w:shd w:val="clear"/>
        <w:kinsoku/>
        <w:wordWrap/>
        <w:overflowPunct/>
        <w:topLinePunct w:val="0"/>
        <w:bidi w:val="0"/>
        <w:snapToGrid/>
        <w:spacing w:beforeAutospacing="0" w:line="360" w:lineRule="auto"/>
        <w:ind w:left="0" w:leftChars="0"/>
        <w:textAlignment w:val="auto"/>
        <w:rPr>
          <w:rFonts w:hint="eastAsia" w:ascii="宋体" w:hAnsi="宋体" w:eastAsia="宋体" w:cs="宋体"/>
          <w:b/>
          <w:color w:val="auto"/>
          <w:sz w:val="24"/>
          <w:szCs w:val="24"/>
          <w:highlight w:val="none"/>
          <w:lang w:val="en-US" w:eastAsia="zh-CN"/>
        </w:rPr>
      </w:pPr>
      <w:bookmarkStart w:id="12" w:name="_Toc463726797"/>
      <w:bookmarkStart w:id="13" w:name="_Toc15370"/>
      <w:bookmarkStart w:id="14" w:name="_Toc13387"/>
      <w:r>
        <w:rPr>
          <w:rFonts w:hint="eastAsia" w:ascii="宋体" w:hAnsi="宋体" w:eastAsia="宋体" w:cs="宋体"/>
          <w:b/>
          <w:color w:val="auto"/>
          <w:sz w:val="24"/>
          <w:szCs w:val="24"/>
          <w:highlight w:val="none"/>
          <w:lang w:val="en-US" w:eastAsia="zh-CN"/>
        </w:rPr>
        <w:t>对招标文件的异议</w:t>
      </w:r>
      <w:bookmarkEnd w:id="12"/>
      <w:bookmarkEnd w:id="13"/>
      <w:bookmarkEnd w:id="14"/>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7.1．已获取招标文件的潜在投标人对招标文件有异议，应知其权益受到损害之日起七个工作日内书面提出。逾期提出的将不予受理。对招标文件的异议应有法定代表人或其委托代理人签字，并盖投标人公章和注明日期。</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7.2．没有提出异议且又参与了该项目投标的投标人将被视为完全认同招标文件。</w:t>
      </w:r>
    </w:p>
    <w:p>
      <w:pPr>
        <w:pStyle w:val="2"/>
        <w:pageBreakBefore w:val="0"/>
        <w:shd w:val="clear"/>
        <w:kinsoku/>
        <w:wordWrap/>
        <w:overflowPunct/>
        <w:topLinePunct w:val="0"/>
        <w:bidi w:val="0"/>
        <w:snapToGrid/>
        <w:spacing w:beforeAutospacing="0" w:line="360" w:lineRule="auto"/>
        <w:ind w:left="0" w:leftChars="0"/>
        <w:jc w:val="center"/>
        <w:textAlignment w:val="auto"/>
        <w:rPr>
          <w:rFonts w:hint="eastAsia" w:ascii="宋体" w:hAnsi="宋体" w:eastAsia="宋体" w:cs="宋体"/>
          <w:b/>
          <w:snapToGrid/>
          <w:color w:val="auto"/>
          <w:kern w:val="2"/>
          <w:sz w:val="32"/>
          <w:szCs w:val="20"/>
          <w:highlight w:val="none"/>
          <w:lang w:val="en-US" w:eastAsia="zh-CN" w:bidi="ar-SA"/>
        </w:rPr>
      </w:pPr>
      <w:r>
        <w:rPr>
          <w:rFonts w:hint="eastAsia" w:ascii="宋体" w:hAnsi="宋体" w:eastAsia="宋体" w:cs="宋体"/>
          <w:b/>
          <w:snapToGrid/>
          <w:color w:val="auto"/>
          <w:kern w:val="2"/>
          <w:sz w:val="32"/>
          <w:szCs w:val="20"/>
          <w:highlight w:val="none"/>
          <w:lang w:val="en-US" w:eastAsia="zh-CN" w:bidi="ar-SA"/>
        </w:rPr>
        <w:t>三、投标</w:t>
      </w:r>
    </w:p>
    <w:p>
      <w:pPr>
        <w:pStyle w:val="32"/>
        <w:pageBreakBefore w:val="0"/>
        <w:shd w:val="clear"/>
        <w:kinsoku/>
        <w:wordWrap/>
        <w:overflowPunct/>
        <w:topLinePunct w:val="0"/>
        <w:bidi w:val="0"/>
        <w:snapToGrid/>
        <w:spacing w:beforeAutospacing="0" w:line="360" w:lineRule="auto"/>
        <w:ind w:left="0" w:leftChars="0"/>
        <w:textAlignment w:val="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 招标文件的获取</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2"/>
        <w:pageBreakBefore w:val="0"/>
        <w:shd w:val="clear"/>
        <w:kinsoku/>
        <w:wordWrap/>
        <w:overflowPunct/>
        <w:topLinePunct w:val="0"/>
        <w:bidi w:val="0"/>
        <w:snapToGrid/>
        <w:spacing w:beforeAutospacing="0" w:line="360" w:lineRule="auto"/>
        <w:ind w:left="0" w:leftChars="0"/>
        <w:textAlignment w:val="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ascii="宋体" w:hAnsi="宋体" w:eastAsia="宋体" w:cs="宋体"/>
          <w:b/>
          <w:color w:val="auto"/>
          <w:sz w:val="24"/>
          <w:szCs w:val="24"/>
          <w:highlight w:val="none"/>
        </w:rPr>
        <w:t>.开标前答疑会或现场考察</w:t>
      </w:r>
    </w:p>
    <w:p>
      <w:pPr>
        <w:pStyle w:val="32"/>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pageBreakBefore w:val="0"/>
        <w:shd w:val="clear"/>
        <w:kinsoku/>
        <w:wordWrap/>
        <w:overflowPunct/>
        <w:topLinePunct w:val="0"/>
        <w:bidi w:val="0"/>
        <w:snapToGrid/>
        <w:spacing w:beforeAutospacing="0" w:line="360" w:lineRule="auto"/>
        <w:ind w:left="0" w:leftChars="0"/>
        <w:textAlignment w:val="auto"/>
        <w:rPr>
          <w:rFonts w:hint="eastAsia" w:ascii="宋体" w:hAnsi="宋体" w:eastAsia="宋体" w:cs="宋体"/>
          <w:b/>
          <w:color w:val="auto"/>
          <w:szCs w:val="24"/>
          <w:highlight w:val="none"/>
        </w:rPr>
      </w:pPr>
      <w:r>
        <w:rPr>
          <w:rFonts w:hint="eastAsia" w:hAnsi="宋体" w:cs="宋体"/>
          <w:b/>
          <w:color w:val="auto"/>
          <w:kern w:val="28"/>
          <w:sz w:val="24"/>
          <w:szCs w:val="24"/>
          <w:highlight w:val="none"/>
          <w:lang w:val="en-US" w:eastAsia="zh-CN"/>
        </w:rPr>
        <w:t>10</w:t>
      </w:r>
      <w:r>
        <w:rPr>
          <w:rFonts w:hint="eastAsia" w:ascii="宋体" w:hAnsi="宋体" w:eastAsia="宋体" w:cs="宋体"/>
          <w:b/>
          <w:color w:val="auto"/>
          <w:kern w:val="28"/>
          <w:sz w:val="24"/>
          <w:szCs w:val="24"/>
          <w:highlight w:val="none"/>
        </w:rPr>
        <w:t>.投标保证金</w:t>
      </w:r>
    </w:p>
    <w:p>
      <w:pPr>
        <w:pStyle w:val="6"/>
        <w:pageBreakBefore w:val="0"/>
        <w:shd w:val="clear"/>
        <w:kinsoku/>
        <w:wordWrap/>
        <w:overflowPunct/>
        <w:topLinePunct w:val="0"/>
        <w:bidi w:val="0"/>
        <w:snapToGrid/>
        <w:spacing w:beforeAutospacing="0" w:line="360" w:lineRule="auto"/>
        <w:ind w:left="0" w:leftChars="0"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2"/>
        <w:pageBreakBefore w:val="0"/>
        <w:shd w:val="clear"/>
        <w:kinsoku/>
        <w:wordWrap/>
        <w:overflowPunct/>
        <w:topLinePunct w:val="0"/>
        <w:bidi w:val="0"/>
        <w:snapToGrid/>
        <w:spacing w:beforeAutospacing="0" w:line="360" w:lineRule="auto"/>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 投标文件的语言</w:t>
      </w:r>
    </w:p>
    <w:p>
      <w:pPr>
        <w:pageBreakBefore w:val="0"/>
        <w:shd w:val="clear"/>
        <w:kinsoku/>
        <w:wordWrap/>
        <w:overflowPunct/>
        <w:topLinePunct w:val="0"/>
        <w:autoSpaceDE w:val="0"/>
        <w:autoSpaceDN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2"/>
        <w:pageBreakBefore w:val="0"/>
        <w:shd w:val="clear"/>
        <w:kinsoku/>
        <w:wordWrap/>
        <w:overflowPunct/>
        <w:topLinePunct w:val="0"/>
        <w:bidi w:val="0"/>
        <w:snapToGrid/>
        <w:spacing w:beforeAutospacing="0" w:line="360" w:lineRule="auto"/>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 投标文件的组成</w:t>
      </w:r>
    </w:p>
    <w:p>
      <w:pPr>
        <w:pageBreakBefore w:val="0"/>
        <w:shd w:val="clear"/>
        <w:kinsoku/>
        <w:wordWrap/>
        <w:overflowPunct/>
        <w:topLinePunct w:val="0"/>
        <w:bidi w:val="0"/>
        <w:snapToGrid/>
        <w:spacing w:beforeAutospacing="0" w:line="360" w:lineRule="auto"/>
        <w:ind w:left="0" w:lef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.1资格文件：</w:t>
      </w:r>
    </w:p>
    <w:p>
      <w:pPr>
        <w:pageBreakBefore w:val="0"/>
        <w:shd w:val="clear"/>
        <w:kinsoku/>
        <w:wordWrap/>
        <w:overflowPunct/>
        <w:topLinePunct w:val="0"/>
        <w:bidi w:val="0"/>
        <w:snapToGrid/>
        <w:spacing w:beforeAutospacing="0" w:line="360" w:lineRule="auto"/>
        <w:ind w:left="0" w:leftChars="0" w:firstLine="960" w:firstLineChars="4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12.1.1封面</w:t>
      </w:r>
    </w:p>
    <w:p>
      <w:pPr>
        <w:pageBreakBefore w:val="0"/>
        <w:shd w:val="clear"/>
        <w:kinsoku/>
        <w:wordWrap/>
        <w:overflowPunct/>
        <w:topLinePunct w:val="0"/>
        <w:bidi w:val="0"/>
        <w:snapToGrid/>
        <w:spacing w:beforeAutospacing="0" w:line="360" w:lineRule="auto"/>
        <w:ind w:left="0" w:leftChars="0" w:firstLine="960" w:firstLineChars="4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12.1.2有效的企业法人营业执照（或事业法人登记证）、其他组织（个体工商户）的营业执照或者民办非企业单位登记证书；如果有名称变更的，应提供由行政主管部门出具的变更证明文件。</w:t>
      </w:r>
    </w:p>
    <w:p>
      <w:pPr>
        <w:pageBreakBefore w:val="0"/>
        <w:shd w:val="clear"/>
        <w:kinsoku/>
        <w:wordWrap/>
        <w:overflowPunct/>
        <w:topLinePunct w:val="0"/>
        <w:bidi w:val="0"/>
        <w:snapToGrid/>
        <w:spacing w:beforeAutospacing="0"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符合参加政府采购活动应当具备的一般条件的承诺函（</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pageBreakBefore w:val="0"/>
        <w:shd w:val="clear"/>
        <w:kinsoku/>
        <w:wordWrap/>
        <w:overflowPunct/>
        <w:topLinePunct w:val="0"/>
        <w:bidi w:val="0"/>
        <w:snapToGrid/>
        <w:spacing w:beforeAutospacing="0"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snapToGrid w:val="0"/>
          <w:color w:val="auto"/>
          <w:kern w:val="28"/>
          <w:sz w:val="24"/>
          <w:szCs w:val="20"/>
          <w:highlight w:val="none"/>
        </w:rPr>
        <w:t>联合体协议书（如果有)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r>
        <w:rPr>
          <w:rFonts w:hint="eastAsia" w:ascii="宋体" w:hAnsi="宋体" w:eastAsia="宋体" w:cs="宋体"/>
          <w:snapToGrid w:val="0"/>
          <w:color w:val="auto"/>
          <w:kern w:val="28"/>
          <w:sz w:val="24"/>
          <w:szCs w:val="20"/>
          <w:highlight w:val="none"/>
        </w:rPr>
        <w:t>；</w:t>
      </w:r>
    </w:p>
    <w:p>
      <w:pPr>
        <w:pageBreakBefore w:val="0"/>
        <w:shd w:val="clear"/>
        <w:kinsoku/>
        <w:wordWrap/>
        <w:overflowPunct/>
        <w:topLinePunct w:val="0"/>
        <w:bidi w:val="0"/>
        <w:snapToGrid/>
        <w:spacing w:beforeAutospacing="0" w:line="360" w:lineRule="auto"/>
        <w:ind w:left="0" w:leftChars="0" w:firstLine="960" w:firstLineChars="4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12.1.5</w:t>
      </w:r>
      <w:r>
        <w:rPr>
          <w:rFonts w:hint="eastAsia" w:ascii="宋体" w:hAnsi="宋体" w:cs="宋体"/>
          <w:color w:val="auto"/>
          <w:sz w:val="24"/>
          <w:highlight w:val="none"/>
          <w:lang w:eastAsia="zh-CN"/>
        </w:rPr>
        <w:t>投标人自觉抵制政府采购领域商业贿赂行为承诺书（</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r>
        <w:rPr>
          <w:rFonts w:hint="eastAsia" w:ascii="宋体" w:hAnsi="宋体" w:cs="宋体"/>
          <w:color w:val="auto"/>
          <w:sz w:val="24"/>
          <w:highlight w:val="none"/>
          <w:lang w:eastAsia="zh-CN"/>
        </w:rPr>
        <w:t>）；</w:t>
      </w:r>
    </w:p>
    <w:p>
      <w:pPr>
        <w:pageBreakBefore w:val="0"/>
        <w:shd w:val="clear"/>
        <w:kinsoku/>
        <w:wordWrap/>
        <w:overflowPunct/>
        <w:topLinePunct w:val="0"/>
        <w:bidi w:val="0"/>
        <w:snapToGrid/>
        <w:spacing w:beforeAutospacing="0"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格式）或残疾人福利性单位声明函（</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格式）或监狱企业证明材料（</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pageBreakBefore w:val="0"/>
        <w:shd w:val="clear"/>
        <w:kinsoku/>
        <w:wordWrap/>
        <w:overflowPunct/>
        <w:topLinePunct w:val="0"/>
        <w:bidi w:val="0"/>
        <w:snapToGrid/>
        <w:spacing w:beforeAutospacing="0"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供应商认为有必要提供的其他证明资料。</w:t>
      </w:r>
    </w:p>
    <w:p>
      <w:pPr>
        <w:pageBreakBefore w:val="0"/>
        <w:shd w:val="clear"/>
        <w:kinsoku/>
        <w:wordWrap/>
        <w:overflowPunct/>
        <w:topLinePunct w:val="0"/>
        <w:bidi w:val="0"/>
        <w:snapToGrid/>
        <w:spacing w:beforeAutospacing="0" w:line="360" w:lineRule="auto"/>
        <w:ind w:left="0" w:leftChars="0"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2.2.1</w:t>
      </w:r>
      <w:r>
        <w:rPr>
          <w:rFonts w:hint="eastAsia" w:ascii="宋体" w:hAnsi="宋体" w:cs="宋体"/>
          <w:color w:val="auto"/>
          <w:sz w:val="24"/>
          <w:highlight w:val="none"/>
          <w:lang w:val="en-US" w:eastAsia="zh-CN"/>
        </w:rPr>
        <w:t>封面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2.2.2投标函（</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2.2.3</w:t>
      </w:r>
      <w:r>
        <w:rPr>
          <w:rFonts w:hint="eastAsia" w:ascii="宋体" w:hAnsi="宋体" w:cs="宋体"/>
          <w:color w:val="auto"/>
          <w:sz w:val="24"/>
          <w:highlight w:val="none"/>
          <w:lang w:val="en-US" w:eastAsia="zh-CN"/>
        </w:rPr>
        <w:t>法定代表人身份证明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2.2.4</w:t>
      </w:r>
      <w:r>
        <w:rPr>
          <w:rFonts w:hint="eastAsia" w:ascii="宋体" w:hAnsi="宋体" w:cs="宋体"/>
          <w:color w:val="auto"/>
          <w:sz w:val="24"/>
          <w:highlight w:val="none"/>
          <w:lang w:val="en-US" w:eastAsia="zh-CN"/>
        </w:rPr>
        <w:t>法定代表人授权委托书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2.2.5</w:t>
      </w:r>
      <w:r>
        <w:rPr>
          <w:rFonts w:hint="eastAsia" w:ascii="宋体" w:hAnsi="宋体" w:cs="宋体"/>
          <w:color w:val="auto"/>
          <w:sz w:val="24"/>
          <w:highlight w:val="none"/>
          <w:lang w:val="en-US" w:eastAsia="zh-CN"/>
        </w:rPr>
        <w:t>投标人基本情况表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评标标准相应的商务技术资料（格式自拟）</w:t>
      </w:r>
      <w:r>
        <w:rPr>
          <w:rFonts w:hint="eastAsia" w:ascii="宋体" w:hAnsi="宋体" w:eastAsia="宋体" w:cs="宋体"/>
          <w:color w:val="auto"/>
          <w:sz w:val="24"/>
          <w:highlight w:val="none"/>
        </w:rPr>
        <w:t>；</w:t>
      </w:r>
    </w:p>
    <w:p>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7拟派项目负责人简历表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zh-CN"/>
        </w:rPr>
        <w:t>；</w:t>
      </w:r>
    </w:p>
    <w:p>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12.2.8</w:t>
      </w:r>
      <w:r>
        <w:rPr>
          <w:rFonts w:hint="eastAsia" w:ascii="宋体" w:hAnsi="宋体" w:eastAsia="宋体" w:cs="宋体"/>
          <w:color w:val="auto"/>
          <w:sz w:val="24"/>
          <w:highlight w:val="none"/>
          <w:lang w:val="en-US" w:eastAsia="zh-CN"/>
        </w:rPr>
        <w:t>拟派人员一览表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zh-CN"/>
        </w:rPr>
        <w:t>；</w:t>
      </w:r>
    </w:p>
    <w:p>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12.2.9类似项目业绩一览表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zh-CN"/>
        </w:rPr>
        <w:t>；</w:t>
      </w:r>
    </w:p>
    <w:p>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12.2.10招标需求偏离表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zh-CN"/>
        </w:rPr>
        <w:t>；</w:t>
      </w:r>
    </w:p>
    <w:p>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12.2.11</w:t>
      </w:r>
      <w:r>
        <w:rPr>
          <w:rFonts w:hint="eastAsia" w:ascii="宋体" w:hAnsi="宋体" w:cs="宋体"/>
          <w:color w:val="auto"/>
          <w:sz w:val="24"/>
          <w:highlight w:val="none"/>
          <w:lang w:val="en-US" w:eastAsia="zh-CN"/>
        </w:rPr>
        <w:t>供应商认为有必要提供的其他证明资料。</w:t>
      </w:r>
    </w:p>
    <w:p>
      <w:pPr>
        <w:pageBreakBefore w:val="0"/>
        <w:shd w:val="clear"/>
        <w:kinsoku/>
        <w:wordWrap/>
        <w:overflowPunct/>
        <w:topLinePunct w:val="0"/>
        <w:bidi w:val="0"/>
        <w:snapToGrid/>
        <w:spacing w:beforeAutospacing="0" w:line="360" w:lineRule="auto"/>
        <w:ind w:left="0" w:leftChars="0"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cs="宋体"/>
          <w:b/>
          <w:bCs/>
          <w:color w:val="auto"/>
          <w:kern w:val="0"/>
          <w:sz w:val="24"/>
          <w:highlight w:val="none"/>
          <w:lang w:val="en-US" w:eastAsia="zh-CN"/>
        </w:rPr>
        <w:t>2</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 xml:space="preserve">报价文件： </w:t>
      </w:r>
    </w:p>
    <w:p>
      <w:pPr>
        <w:pageBreakBefore w:val="0"/>
        <w:shd w:val="clear"/>
        <w:kinsoku/>
        <w:wordWrap/>
        <w:overflowPunct/>
        <w:topLinePunct w:val="0"/>
        <w:bidi w:val="0"/>
        <w:snapToGrid/>
        <w:spacing w:beforeAutospacing="0" w:line="360" w:lineRule="auto"/>
        <w:ind w:left="0" w:leftChars="0" w:firstLine="960" w:firstLineChars="4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12.3.1封面</w:t>
      </w:r>
    </w:p>
    <w:p>
      <w:pPr>
        <w:pageBreakBefore w:val="0"/>
        <w:shd w:val="clear"/>
        <w:kinsoku/>
        <w:wordWrap/>
        <w:overflowPunct/>
        <w:topLinePunct w:val="0"/>
        <w:bidi w:val="0"/>
        <w:snapToGrid/>
        <w:spacing w:beforeAutospacing="0"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.3.1开标一览表（</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pageBreakBefore w:val="0"/>
        <w:shd w:val="clear"/>
        <w:kinsoku/>
        <w:wordWrap/>
        <w:overflowPunct/>
        <w:topLinePunct w:val="0"/>
        <w:bidi w:val="0"/>
        <w:snapToGrid/>
        <w:spacing w:beforeAutospacing="0" w:line="360" w:lineRule="auto"/>
        <w:ind w:left="0" w:leftChars="0"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eastAsia="zh-CN"/>
        </w:rPr>
        <w:t>投标分项报价表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eastAsia="zh-CN"/>
        </w:rPr>
        <w:t>；</w:t>
      </w:r>
    </w:p>
    <w:p>
      <w:pPr>
        <w:pageBreakBefore w:val="0"/>
        <w:shd w:val="clear"/>
        <w:kinsoku/>
        <w:wordWrap/>
        <w:overflowPunct/>
        <w:topLinePunct w:val="0"/>
        <w:bidi w:val="0"/>
        <w:snapToGrid/>
        <w:spacing w:beforeAutospacing="0" w:line="360" w:lineRule="auto"/>
        <w:ind w:left="0" w:leftChars="0"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.3.3</w:t>
      </w:r>
      <w:r>
        <w:rPr>
          <w:rFonts w:hint="eastAsia" w:ascii="宋体" w:hAnsi="宋体" w:cs="宋体"/>
          <w:color w:val="auto"/>
          <w:sz w:val="24"/>
          <w:highlight w:val="none"/>
          <w:lang w:val="en-US" w:eastAsia="zh-CN"/>
        </w:rPr>
        <w:t>供应商认为有必要提供的其他证明资料</w:t>
      </w:r>
      <w:r>
        <w:rPr>
          <w:rFonts w:hint="eastAsia" w:ascii="宋体" w:hAnsi="宋体" w:eastAsia="宋体" w:cs="宋体"/>
          <w:color w:val="auto"/>
          <w:sz w:val="24"/>
          <w:highlight w:val="none"/>
          <w:lang w:eastAsia="zh-CN"/>
        </w:rPr>
        <w:t>。</w:t>
      </w:r>
    </w:p>
    <w:p>
      <w:pPr>
        <w:pageBreakBefore w:val="0"/>
        <w:shd w:val="clear"/>
        <w:kinsoku/>
        <w:wordWrap/>
        <w:overflowPunct/>
        <w:topLinePunct w:val="0"/>
        <w:bidi w:val="0"/>
        <w:snapToGrid/>
        <w:spacing w:beforeAutospacing="0" w:line="360" w:lineRule="auto"/>
        <w:ind w:left="0" w:leftChars="0"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pageBreakBefore w:val="0"/>
        <w:shd w:val="clear"/>
        <w:kinsoku/>
        <w:wordWrap/>
        <w:overflowPunct/>
        <w:topLinePunct w:val="0"/>
        <w:bidi w:val="0"/>
        <w:snapToGrid/>
        <w:spacing w:beforeAutospacing="0" w:line="360" w:lineRule="auto"/>
        <w:ind w:left="0" w:leftChars="0"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1"/>
        <w:pageBreakBefore w:val="0"/>
        <w:shd w:val="clear"/>
        <w:kinsoku/>
        <w:wordWrap/>
        <w:overflowPunct/>
        <w:topLinePunct w:val="0"/>
        <w:bidi w:val="0"/>
        <w:snapToGrid/>
        <w:spacing w:before="0" w:beforeAutospacing="0" w:line="360" w:lineRule="auto"/>
        <w:ind w:left="0" w:leftChars="0"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keepNext w:val="0"/>
        <w:keepLines w:val="0"/>
        <w:pageBreakBefore w:val="0"/>
        <w:widowControl w:val="0"/>
        <w:numPr>
          <w:ilvl w:val="0"/>
          <w:numId w:val="2"/>
        </w:numPr>
        <w:shd w:val="clear"/>
        <w:kinsoku/>
        <w:wordWrap/>
        <w:overflowPunct/>
        <w:topLinePunct w:val="0"/>
        <w:autoSpaceDE/>
        <w:autoSpaceDN/>
        <w:bidi w:val="0"/>
        <w:adjustRightInd w:val="0"/>
        <w:snapToGrid/>
        <w:spacing w:beforeAutospacing="0" w:line="360" w:lineRule="auto"/>
        <w:ind w:left="0" w:lef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pPr>
        <w:pStyle w:val="131"/>
        <w:keepNext w:val="0"/>
        <w:keepLines w:val="0"/>
        <w:pageBreakBefore w:val="0"/>
        <w:widowControl w:val="0"/>
        <w:shd w:val="clear"/>
        <w:kinsoku/>
        <w:wordWrap/>
        <w:overflowPunct/>
        <w:topLinePunct w:val="0"/>
        <w:autoSpaceDE/>
        <w:autoSpaceDN/>
        <w:bidi w:val="0"/>
        <w:adjustRightInd w:val="0"/>
        <w:snapToGrid/>
        <w:spacing w:before="0" w:beforeAutospacing="0" w:line="360" w:lineRule="auto"/>
        <w:ind w:left="0" w:leftChars="0"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rPr>
        <w:t>.1投标文件按照招标文件第六部分格式要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1"/>
        <w:keepNext w:val="0"/>
        <w:keepLines w:val="0"/>
        <w:pageBreakBefore w:val="0"/>
        <w:widowControl w:val="0"/>
        <w:shd w:val="clear"/>
        <w:kinsoku/>
        <w:wordWrap/>
        <w:overflowPunct/>
        <w:topLinePunct w:val="0"/>
        <w:autoSpaceDE/>
        <w:autoSpaceDN/>
        <w:bidi w:val="0"/>
        <w:adjustRightInd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.2为确保网上操作合法、有效和安全，投标人应当在投标截止时间前完成在“政府采购云平台”的身份认证，确保在电子投标过程中能够对相关数据电文进行加密和使用电子签名。</w:t>
      </w:r>
    </w:p>
    <w:p>
      <w:pPr>
        <w:pStyle w:val="131"/>
        <w:keepNext w:val="0"/>
        <w:keepLines w:val="0"/>
        <w:pageBreakBefore w:val="0"/>
        <w:widowControl w:val="0"/>
        <w:shd w:val="clear"/>
        <w:kinsoku/>
        <w:wordWrap/>
        <w:overflowPunct/>
        <w:topLinePunct w:val="0"/>
        <w:autoSpaceDE/>
        <w:autoSpaceDN/>
        <w:bidi w:val="0"/>
        <w:adjustRightInd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.3招标文件对投标文件（含</w:t>
      </w:r>
      <w:r>
        <w:rPr>
          <w:rFonts w:hint="eastAsia" w:ascii="宋体" w:hAnsi="宋体" w:cs="宋体"/>
          <w:color w:val="auto"/>
          <w:highlight w:val="none"/>
          <w:lang w:val="en-US" w:eastAsia="zh-CN"/>
        </w:rPr>
        <w:t>资格文件</w:t>
      </w:r>
      <w:r>
        <w:rPr>
          <w:rFonts w:hint="eastAsia" w:ascii="宋体" w:hAnsi="宋体" w:eastAsia="宋体" w:cs="宋体"/>
          <w:color w:val="auto"/>
          <w:highlight w:val="none"/>
        </w:rPr>
        <w:t>、</w:t>
      </w:r>
      <w:r>
        <w:rPr>
          <w:rFonts w:hint="eastAsia" w:ascii="宋体" w:hAnsi="宋体" w:cs="宋体"/>
          <w:color w:val="auto"/>
          <w:highlight w:val="none"/>
          <w:lang w:val="en-US" w:eastAsia="zh-CN"/>
        </w:rPr>
        <w:t>商务</w:t>
      </w:r>
      <w:r>
        <w:rPr>
          <w:rFonts w:hint="eastAsia" w:ascii="宋体" w:hAnsi="宋体" w:eastAsia="宋体" w:cs="宋体"/>
          <w:color w:val="auto"/>
          <w:highlight w:val="none"/>
        </w:rPr>
        <w:t>技术</w:t>
      </w:r>
      <w:r>
        <w:rPr>
          <w:rFonts w:hint="eastAsia" w:ascii="宋体" w:hAnsi="宋体" w:cs="宋体"/>
          <w:color w:val="auto"/>
          <w:highlight w:val="none"/>
          <w:lang w:val="en-US" w:eastAsia="zh-CN"/>
        </w:rPr>
        <w:t>文件、报价文件</w:t>
      </w:r>
      <w:r>
        <w:rPr>
          <w:rFonts w:hint="eastAsia" w:ascii="宋体" w:hAnsi="宋体" w:eastAsia="宋体" w:cs="宋体"/>
          <w:color w:val="auto"/>
          <w:highlight w:val="none"/>
        </w:rPr>
        <w:t>）签署、盖章的要求适用于电子签名</w:t>
      </w:r>
      <w:r>
        <w:rPr>
          <w:rFonts w:hint="eastAsia" w:ascii="宋体" w:hAnsi="宋体" w:cs="宋体"/>
          <w:color w:val="auto"/>
          <w:highlight w:val="none"/>
          <w:lang w:val="en-US" w:eastAsia="zh-CN"/>
        </w:rPr>
        <w:t>或电子签章</w:t>
      </w:r>
      <w:r>
        <w:rPr>
          <w:rFonts w:hint="eastAsia" w:ascii="宋体" w:hAnsi="宋体" w:eastAsia="宋体" w:cs="宋体"/>
          <w:color w:val="auto"/>
          <w:highlight w:val="none"/>
        </w:rPr>
        <w:t>。</w:t>
      </w:r>
    </w:p>
    <w:p>
      <w:pPr>
        <w:pStyle w:val="131"/>
        <w:keepNext w:val="0"/>
        <w:keepLines w:val="0"/>
        <w:pageBreakBefore w:val="0"/>
        <w:widowControl w:val="0"/>
        <w:shd w:val="clear"/>
        <w:kinsoku/>
        <w:wordWrap/>
        <w:overflowPunct/>
        <w:topLinePunct w:val="0"/>
        <w:autoSpaceDE/>
        <w:autoSpaceDN/>
        <w:bidi w:val="0"/>
        <w:adjustRightInd w:val="0"/>
        <w:snapToGrid/>
        <w:spacing w:before="0" w:beforeAutospacing="0" w:line="360" w:lineRule="auto"/>
        <w:ind w:left="0" w:leftChars="0" w:firstLine="48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14.4</w:t>
      </w:r>
      <w:r>
        <w:rPr>
          <w:rFonts w:hint="eastAsia" w:ascii="宋体" w:hAnsi="宋体" w:eastAsia="宋体" w:cs="宋体"/>
          <w:b/>
          <w:bCs/>
          <w:color w:val="auto"/>
          <w:highlight w:val="none"/>
        </w:rPr>
        <w:t>如联合体投标，除联合体协议书及特殊说明外，其余表格内容可由联合体牵头人填写，并在相应处加盖联合体牵头人的法人章并经法定代表人或其委托代理人</w:t>
      </w:r>
      <w:r>
        <w:rPr>
          <w:rFonts w:hint="eastAsia" w:ascii="宋体" w:hAnsi="宋体" w:cs="宋体"/>
          <w:b/>
          <w:bCs/>
          <w:color w:val="auto"/>
          <w:highlight w:val="none"/>
          <w:lang w:val="en-US" w:eastAsia="zh-CN"/>
        </w:rPr>
        <w:t>签署</w:t>
      </w:r>
      <w:r>
        <w:rPr>
          <w:rFonts w:hint="eastAsia" w:ascii="宋体" w:hAnsi="宋体" w:eastAsia="宋体" w:cs="宋体"/>
          <w:b/>
          <w:bCs/>
          <w:color w:val="auto"/>
          <w:highlight w:val="none"/>
        </w:rPr>
        <w:t>或盖章。</w:t>
      </w:r>
    </w:p>
    <w:p>
      <w:pPr>
        <w:pStyle w:val="131"/>
        <w:keepNext w:val="0"/>
        <w:keepLines w:val="0"/>
        <w:pageBreakBefore w:val="0"/>
        <w:widowControl w:val="0"/>
        <w:shd w:val="clear"/>
        <w:kinsoku/>
        <w:wordWrap/>
        <w:overflowPunct/>
        <w:topLinePunct w:val="0"/>
        <w:autoSpaceDE/>
        <w:autoSpaceDN/>
        <w:bidi w:val="0"/>
        <w:adjustRightInd w:val="0"/>
        <w:snapToGrid/>
        <w:spacing w:before="0" w:beforeAutospacing="0" w:line="360" w:lineRule="auto"/>
        <w:ind w:left="0" w:leftChars="0" w:firstLine="48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14.5</w:t>
      </w:r>
      <w:r>
        <w:rPr>
          <w:rFonts w:hint="eastAsia" w:ascii="宋体" w:hAnsi="宋体" w:eastAsia="宋体" w:cs="宋体"/>
          <w:b/>
          <w:bCs/>
          <w:color w:val="auto"/>
          <w:highlight w:val="none"/>
        </w:rPr>
        <w:t>由委托代理人</w:t>
      </w:r>
      <w:r>
        <w:rPr>
          <w:rFonts w:hint="eastAsia" w:ascii="宋体" w:hAnsi="宋体" w:cs="宋体"/>
          <w:b/>
          <w:bCs/>
          <w:color w:val="auto"/>
          <w:highlight w:val="none"/>
          <w:lang w:val="en-US" w:eastAsia="zh-CN"/>
        </w:rPr>
        <w:t>签署</w:t>
      </w:r>
      <w:r>
        <w:rPr>
          <w:rFonts w:hint="eastAsia" w:ascii="宋体" w:hAnsi="宋体" w:eastAsia="宋体" w:cs="宋体"/>
          <w:b/>
          <w:bCs/>
          <w:color w:val="auto"/>
          <w:highlight w:val="none"/>
        </w:rPr>
        <w:t>或盖章的投标文件中需同时附法定代表人签署的授权委托书。法定代表人授权委托书格式、</w:t>
      </w:r>
      <w:r>
        <w:rPr>
          <w:rFonts w:hint="eastAsia" w:ascii="宋体" w:hAnsi="宋体" w:cs="宋体"/>
          <w:b/>
          <w:bCs/>
          <w:color w:val="auto"/>
          <w:highlight w:val="none"/>
          <w:lang w:val="en-US" w:eastAsia="zh-CN"/>
        </w:rPr>
        <w:t>签署</w:t>
      </w:r>
      <w:r>
        <w:rPr>
          <w:rFonts w:hint="eastAsia" w:ascii="宋体" w:hAnsi="宋体" w:eastAsia="宋体" w:cs="宋体"/>
          <w:b/>
          <w:bCs/>
          <w:color w:val="auto"/>
          <w:highlight w:val="none"/>
        </w:rPr>
        <w:t>、盖章及内容均应符合招标文件要求，否则该委托代理人签字无效。</w:t>
      </w:r>
    </w:p>
    <w:p>
      <w:pPr>
        <w:pStyle w:val="131"/>
        <w:keepNext w:val="0"/>
        <w:keepLines w:val="0"/>
        <w:pageBreakBefore w:val="0"/>
        <w:widowControl w:val="0"/>
        <w:shd w:val="clear"/>
        <w:kinsoku/>
        <w:wordWrap/>
        <w:overflowPunct/>
        <w:topLinePunct w:val="0"/>
        <w:autoSpaceDE/>
        <w:autoSpaceDN/>
        <w:bidi w:val="0"/>
        <w:adjustRightInd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14.6</w:t>
      </w:r>
      <w:r>
        <w:rPr>
          <w:rFonts w:hint="eastAsia" w:ascii="宋体" w:hAnsi="宋体" w:eastAsia="宋体" w:cs="宋体"/>
          <w:b/>
          <w:bCs/>
          <w:color w:val="auto"/>
          <w:highlight w:val="none"/>
        </w:rPr>
        <w:t>以联合体方式投标的投标人，其委托代理人由联合体牵头人签署授权委托书进行授权，否则，该授权委托书无效。</w:t>
      </w:r>
    </w:p>
    <w:p>
      <w:pPr>
        <w:pStyle w:val="131"/>
        <w:keepNext w:val="0"/>
        <w:keepLines w:val="0"/>
        <w:pageBreakBefore w:val="0"/>
        <w:widowControl w:val="0"/>
        <w:shd w:val="clear"/>
        <w:kinsoku/>
        <w:wordWrap/>
        <w:overflowPunct/>
        <w:topLinePunct w:val="0"/>
        <w:autoSpaceDE/>
        <w:autoSpaceDN/>
        <w:bidi w:val="0"/>
        <w:adjustRightInd w:val="0"/>
        <w:snapToGrid/>
        <w:spacing w:before="0" w:beforeAutospacing="0" w:line="360" w:lineRule="auto"/>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eastAsia="宋体" w:cs="宋体"/>
          <w:b/>
          <w:color w:val="auto"/>
          <w:szCs w:val="24"/>
          <w:highlight w:val="none"/>
        </w:rPr>
        <w:t>. 投标文件的提交、补充、修改、撤回</w:t>
      </w:r>
    </w:p>
    <w:p>
      <w:pPr>
        <w:pStyle w:val="131"/>
        <w:keepNext w:val="0"/>
        <w:keepLines w:val="0"/>
        <w:pageBreakBefore w:val="0"/>
        <w:widowControl w:val="0"/>
        <w:shd w:val="clear"/>
        <w:kinsoku/>
        <w:wordWrap/>
        <w:overflowPunct/>
        <w:topLinePunct w:val="0"/>
        <w:autoSpaceDE/>
        <w:autoSpaceDN/>
        <w:bidi w:val="0"/>
        <w:adjustRightInd w:val="0"/>
        <w:snapToGrid/>
        <w:spacing w:before="0" w:beforeAutospacing="0" w:line="360" w:lineRule="auto"/>
        <w:ind w:left="0" w:leftChars="0"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keepNext w:val="0"/>
        <w:keepLines w:val="0"/>
        <w:pageBreakBefore w:val="0"/>
        <w:widowControl w:val="0"/>
        <w:shd w:val="clear"/>
        <w:kinsoku/>
        <w:wordWrap/>
        <w:overflowPunct/>
        <w:topLinePunct w:val="0"/>
        <w:autoSpaceDE/>
        <w:autoSpaceDN/>
        <w:bidi w:val="0"/>
        <w:adjustRightInd w:val="0"/>
        <w:snapToGrid/>
        <w:spacing w:before="0" w:beforeAutospacing="0" w:line="360" w:lineRule="auto"/>
        <w:ind w:left="0" w:leftChars="0"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pPr>
        <w:pStyle w:val="131"/>
        <w:keepNext w:val="0"/>
        <w:keepLines w:val="0"/>
        <w:pageBreakBefore w:val="0"/>
        <w:widowControl w:val="0"/>
        <w:shd w:val="clear"/>
        <w:kinsoku/>
        <w:wordWrap/>
        <w:overflowPunct/>
        <w:topLinePunct w:val="0"/>
        <w:autoSpaceDE/>
        <w:autoSpaceDN/>
        <w:bidi w:val="0"/>
        <w:adjustRightInd w:val="0"/>
        <w:snapToGrid/>
        <w:spacing w:before="0" w:beforeAutospacing="0" w:line="360" w:lineRule="auto"/>
        <w:ind w:left="0" w:leftChars="0"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2"/>
        <w:keepNext w:val="0"/>
        <w:keepLines w:val="0"/>
        <w:pageBreakBefore w:val="0"/>
        <w:widowControl w:val="0"/>
        <w:numPr>
          <w:ilvl w:val="0"/>
          <w:numId w:val="2"/>
        </w:numPr>
        <w:shd w:val="clear"/>
        <w:kinsoku/>
        <w:wordWrap/>
        <w:overflowPunct/>
        <w:topLinePunct w:val="0"/>
        <w:autoSpaceDE/>
        <w:autoSpaceDN/>
        <w:bidi w:val="0"/>
        <w:adjustRightInd w:val="0"/>
        <w:snapToGrid/>
        <w:spacing w:beforeAutospacing="0" w:line="36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w:t>
      </w:r>
    </w:p>
    <w:p>
      <w:pPr>
        <w:pStyle w:val="32"/>
        <w:keepNext w:val="0"/>
        <w:keepLines w:val="0"/>
        <w:pageBreakBefore w:val="0"/>
        <w:widowControl w:val="0"/>
        <w:shd w:val="clear"/>
        <w:kinsoku/>
        <w:wordWrap/>
        <w:overflowPunct/>
        <w:topLinePunct w:val="0"/>
        <w:autoSpaceDE/>
        <w:autoSpaceDN/>
        <w:bidi w:val="0"/>
        <w:adjustRightInd w:val="0"/>
        <w:snapToGrid/>
        <w:spacing w:beforeAutospacing="0" w:line="360" w:lineRule="auto"/>
        <w:ind w:left="0" w:leftChars="0"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2"/>
        <w:keepNext w:val="0"/>
        <w:keepLines w:val="0"/>
        <w:pageBreakBefore w:val="0"/>
        <w:widowControl w:val="0"/>
        <w:shd w:val="clear"/>
        <w:kinsoku/>
        <w:wordWrap/>
        <w:overflowPunct/>
        <w:topLinePunct w:val="0"/>
        <w:autoSpaceDE/>
        <w:autoSpaceDN/>
        <w:bidi w:val="0"/>
        <w:adjustRightInd w:val="0"/>
        <w:snapToGrid/>
        <w:spacing w:beforeAutospacing="0"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.2备份投标文件须在“政采云投标客户端”制作生成，并储存在</w:t>
      </w:r>
      <w:r>
        <w:rPr>
          <w:rFonts w:hint="eastAsia" w:ascii="宋体" w:hAnsi="宋体" w:eastAsia="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中。备份投标文件应当密封包装并在包装上加盖公章并注明投标项目名称，投标人名称(联合体投标的，包装物封面需注明联合体投标，并注明联合体成员各方的名称和联合体协议书中约定的牵头人的名称)。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2"/>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.3直接提交备份投标文件的，投标人应于投标截止时间前在</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2"/>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.4以邮政快递方式递交备份投标文件的，投标人应先将备份投标文件按要求密封和标记，再进行邮政快递包装后邮寄。备份投标文件须在</w:t>
      </w:r>
      <w:r>
        <w:rPr>
          <w:rFonts w:hint="eastAsia" w:ascii="宋体" w:hAnsi="宋体" w:eastAsia="宋体" w:cs="宋体"/>
          <w:snapToGrid/>
          <w:color w:val="auto"/>
          <w:sz w:val="24"/>
          <w:szCs w:val="24"/>
          <w:highlight w:val="none"/>
        </w:rPr>
        <w:t>第二部分投标人须知前附表规定的备份投标文件送达</w:t>
      </w:r>
      <w:r>
        <w:rPr>
          <w:rFonts w:hint="eastAsia" w:ascii="宋体" w:hAnsi="宋体" w:eastAsia="宋体" w:cs="宋体"/>
          <w:color w:val="auto"/>
          <w:sz w:val="24"/>
          <w:szCs w:val="24"/>
          <w:highlight w:val="none"/>
        </w:rPr>
        <w:t>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2"/>
        <w:pageBreakBefore w:val="0"/>
        <w:shd w:val="clear"/>
        <w:kinsoku/>
        <w:wordWrap/>
        <w:overflowPunct/>
        <w:topLinePunct w:val="0"/>
        <w:bidi w:val="0"/>
        <w:snapToGrid/>
        <w:spacing w:beforeAutospacing="0" w:line="360" w:lineRule="auto"/>
        <w:ind w:left="0" w:leftChars="0"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.5投标人仅提交备份投标文件，未在电子交易平台传输递交投标文件的，投标无效。</w:t>
      </w:r>
    </w:p>
    <w:p>
      <w:pPr>
        <w:pStyle w:val="131"/>
        <w:pageBreakBefore w:val="0"/>
        <w:numPr>
          <w:ilvl w:val="0"/>
          <w:numId w:val="3"/>
        </w:numPr>
        <w:shd w:val="clear"/>
        <w:kinsoku/>
        <w:wordWrap/>
        <w:overflowPunct/>
        <w:topLinePunct w:val="0"/>
        <w:bidi w:val="0"/>
        <w:snapToGrid/>
        <w:spacing w:before="0" w:beforeAutospacing="0" w:line="360" w:lineRule="auto"/>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投标文件的无效处理</w:t>
      </w:r>
    </w:p>
    <w:p>
      <w:pPr>
        <w:pStyle w:val="24"/>
        <w:pageBreakBefore w:val="0"/>
        <w:shd w:val="clear"/>
        <w:kinsoku/>
        <w:wordWrap/>
        <w:overflowPunct/>
        <w:topLinePunct w:val="0"/>
        <w:bidi w:val="0"/>
        <w:snapToGrid/>
        <w:spacing w:beforeAutospacing="0" w:line="360" w:lineRule="auto"/>
        <w:ind w:left="0" w:leftChars="0" w:firstLine="360" w:firstLineChars="15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有招标文件第四部分</w:t>
      </w:r>
      <w:r>
        <w:rPr>
          <w:rFonts w:hint="eastAsia" w:cs="宋体"/>
          <w:color w:val="auto"/>
          <w:szCs w:val="21"/>
          <w:highlight w:val="none"/>
          <w:lang w:val="en-US" w:eastAsia="zh-CN"/>
        </w:rPr>
        <w:t>评标办法</w:t>
      </w:r>
      <w:r>
        <w:rPr>
          <w:rFonts w:hint="eastAsia" w:ascii="宋体" w:hAnsi="宋体" w:eastAsia="宋体" w:cs="宋体"/>
          <w:color w:val="auto"/>
          <w:szCs w:val="21"/>
          <w:highlight w:val="none"/>
        </w:rPr>
        <w:t>4.2规定的情形之一的，投标无效</w:t>
      </w:r>
      <w:r>
        <w:rPr>
          <w:rFonts w:hint="eastAsia" w:cs="宋体"/>
          <w:color w:val="auto"/>
          <w:szCs w:val="21"/>
          <w:highlight w:val="none"/>
          <w:lang w:eastAsia="zh-CN"/>
        </w:rPr>
        <w:t>。</w:t>
      </w:r>
    </w:p>
    <w:p>
      <w:pPr>
        <w:pStyle w:val="131"/>
        <w:pageBreakBefore w:val="0"/>
        <w:numPr>
          <w:ilvl w:val="0"/>
          <w:numId w:val="4"/>
        </w:numPr>
        <w:shd w:val="clear"/>
        <w:kinsoku/>
        <w:wordWrap/>
        <w:overflowPunct/>
        <w:topLinePunct w:val="0"/>
        <w:bidi w:val="0"/>
        <w:snapToGrid/>
        <w:spacing w:before="0" w:beforeAutospacing="0" w:line="360" w:lineRule="auto"/>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cs="宋体"/>
          <w:color w:val="auto"/>
          <w:sz w:val="24"/>
          <w:szCs w:val="20"/>
          <w:highlight w:val="none"/>
          <w:lang w:val="en-US" w:eastAsia="zh-CN"/>
        </w:rPr>
        <w:t>8</w:t>
      </w:r>
      <w:r>
        <w:rPr>
          <w:rFonts w:hint="eastAsia" w:ascii="宋体" w:hAnsi="宋体" w:eastAsia="宋体" w:cs="宋体"/>
          <w:color w:val="auto"/>
          <w:sz w:val="24"/>
          <w:szCs w:val="20"/>
          <w:highlight w:val="none"/>
        </w:rPr>
        <w:t>.1投标有效期为从提交投标文件的截止之日起90天。▲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8</w:t>
      </w:r>
      <w:r>
        <w:rPr>
          <w:rFonts w:hint="eastAsia" w:ascii="宋体" w:hAnsi="宋体" w:eastAsia="宋体" w:cs="宋体"/>
          <w:color w:val="auto"/>
          <w:highlight w:val="none"/>
        </w:rPr>
        <w:t>.2投标文件合格投递后，自投标截止日期起，在投标有效期内有效。</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8</w:t>
      </w:r>
      <w:r>
        <w:rPr>
          <w:rFonts w:hint="eastAsia" w:ascii="宋体" w:hAnsi="宋体" w:eastAsia="宋体" w:cs="宋体"/>
          <w:color w:val="auto"/>
          <w:highlight w:val="none"/>
        </w:rPr>
        <w:t>.3在原定投标有效期满之前，如果出现特殊情况，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pPr>
        <w:pStyle w:val="131"/>
        <w:pageBreakBefore w:val="0"/>
        <w:shd w:val="clear"/>
        <w:kinsoku/>
        <w:wordWrap/>
        <w:overflowPunct/>
        <w:topLinePunct w:val="0"/>
        <w:bidi w:val="0"/>
        <w:snapToGrid/>
        <w:spacing w:before="0" w:beforeAutospacing="0" w:line="360" w:lineRule="auto"/>
        <w:ind w:left="0" w:leftChars="0"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5"/>
        <w:pageBreakBefore w:val="0"/>
        <w:shd w:val="clear"/>
        <w:kinsoku/>
        <w:wordWrap/>
        <w:overflowPunct/>
        <w:topLinePunct w:val="0"/>
        <w:bidi w:val="0"/>
        <w:snapToGrid/>
        <w:spacing w:before="0" w:beforeAutospacing="0" w:line="360" w:lineRule="auto"/>
        <w:ind w:left="0" w:leftChars="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rPr>
        <w:t>.开标</w:t>
      </w:r>
      <w:r>
        <w:rPr>
          <w:rFonts w:hint="eastAsia" w:ascii="宋体" w:hAnsi="宋体" w:eastAsia="宋体" w:cs="宋体"/>
          <w:color w:val="auto"/>
          <w:sz w:val="24"/>
          <w:highlight w:val="none"/>
        </w:rPr>
        <w:t xml:space="preserve"> </w:t>
      </w:r>
    </w:p>
    <w:p>
      <w:pPr>
        <w:pStyle w:val="555"/>
        <w:pageBreakBefore w:val="0"/>
        <w:shd w:val="clear"/>
        <w:kinsoku/>
        <w:wordWrap/>
        <w:overflowPunct/>
        <w:topLinePunct w:val="0"/>
        <w:bidi w:val="0"/>
        <w:snapToGrid/>
        <w:spacing w:before="0" w:beforeAutospacing="0" w:line="360" w:lineRule="auto"/>
        <w:ind w:left="0" w:lef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555"/>
        <w:pageBreakBefore w:val="0"/>
        <w:shd w:val="clear"/>
        <w:kinsoku/>
        <w:wordWrap/>
        <w:overflowPunct/>
        <w:topLinePunct w:val="0"/>
        <w:bidi w:val="0"/>
        <w:snapToGrid/>
        <w:spacing w:before="0" w:beforeAutospacing="0" w:line="360" w:lineRule="auto"/>
        <w:ind w:left="0" w:leftChars="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555"/>
        <w:pageBreakBefore w:val="0"/>
        <w:shd w:val="clear"/>
        <w:kinsoku/>
        <w:wordWrap/>
        <w:overflowPunct/>
        <w:topLinePunct w:val="0"/>
        <w:bidi w:val="0"/>
        <w:snapToGrid/>
        <w:spacing w:before="0" w:beforeAutospacing="0" w:line="360" w:lineRule="auto"/>
        <w:ind w:left="0" w:leftChars="0" w:firstLine="480" w:firstLineChars="200"/>
        <w:contextualSpacing/>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.2.1具体开标程序：</w:t>
      </w:r>
    </w:p>
    <w:p>
      <w:pPr>
        <w:pStyle w:val="555"/>
        <w:pageBreakBefore w:val="0"/>
        <w:shd w:val="clear"/>
        <w:kinsoku/>
        <w:wordWrap/>
        <w:overflowPunct/>
        <w:topLinePunct w:val="0"/>
        <w:bidi w:val="0"/>
        <w:snapToGrid/>
        <w:spacing w:before="0" w:beforeAutospacing="0" w:line="360" w:lineRule="auto"/>
        <w:ind w:left="0" w:leftChars="0" w:firstLine="240" w:firstLineChars="100"/>
        <w:contextualSpacing/>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第一阶段：</w:t>
      </w:r>
    </w:p>
    <w:p>
      <w:pPr>
        <w:pStyle w:val="555"/>
        <w:pageBreakBefore w:val="0"/>
        <w:shd w:val="clear"/>
        <w:kinsoku/>
        <w:wordWrap/>
        <w:overflowPunct/>
        <w:topLinePunct w:val="0"/>
        <w:bidi w:val="0"/>
        <w:snapToGrid/>
        <w:spacing w:before="0" w:beforeAutospacing="0" w:line="360" w:lineRule="auto"/>
        <w:ind w:left="0" w:leftChars="0" w:firstLine="240" w:firstLineChars="100"/>
        <w:contextualSpacing/>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投标截止时间后，供应商登录政府采购云平台，用“项目采购-开标评标”功能对电子投标文件进行在线解密，在线解密电子投标文件时间为开标时间后30分钟内。</w:t>
      </w:r>
    </w:p>
    <w:p>
      <w:pPr>
        <w:pStyle w:val="555"/>
        <w:pageBreakBefore w:val="0"/>
        <w:shd w:val="clear"/>
        <w:kinsoku/>
        <w:wordWrap/>
        <w:overflowPunct/>
        <w:topLinePunct w:val="0"/>
        <w:bidi w:val="0"/>
        <w:snapToGrid/>
        <w:spacing w:before="0" w:beforeAutospacing="0" w:line="360" w:lineRule="auto"/>
        <w:ind w:left="0" w:leftChars="0" w:firstLine="240" w:firstLineChars="100"/>
        <w:contextualSpacing/>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在政府采购云平台开启已解密供应商的“资格文件、商务技术文件”，并做开标记录；</w:t>
      </w:r>
    </w:p>
    <w:p>
      <w:pPr>
        <w:pStyle w:val="555"/>
        <w:pageBreakBefore w:val="0"/>
        <w:shd w:val="clear"/>
        <w:kinsoku/>
        <w:wordWrap/>
        <w:overflowPunct/>
        <w:topLinePunct w:val="0"/>
        <w:bidi w:val="0"/>
        <w:snapToGrid/>
        <w:spacing w:before="0" w:beforeAutospacing="0" w:line="360" w:lineRule="auto"/>
        <w:ind w:left="0" w:leftChars="0" w:firstLine="240" w:firstLineChars="100"/>
        <w:contextualSpacing/>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第二阶段：</w:t>
      </w:r>
    </w:p>
    <w:p>
      <w:pPr>
        <w:pStyle w:val="555"/>
        <w:pageBreakBefore w:val="0"/>
        <w:shd w:val="clear"/>
        <w:kinsoku/>
        <w:wordWrap/>
        <w:overflowPunct/>
        <w:topLinePunct w:val="0"/>
        <w:bidi w:val="0"/>
        <w:snapToGrid/>
        <w:spacing w:before="0" w:beforeAutospacing="0" w:line="360" w:lineRule="auto"/>
        <w:ind w:left="0" w:leftChars="0" w:firstLine="240" w:firstLineChars="100"/>
        <w:contextualSpacing/>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（1）在政府采购云平台宣告第一阶段评审无效供应商名单及理由；</w:t>
      </w:r>
    </w:p>
    <w:p>
      <w:pPr>
        <w:pStyle w:val="555"/>
        <w:pageBreakBefore w:val="0"/>
        <w:shd w:val="clear"/>
        <w:kinsoku/>
        <w:wordWrap/>
        <w:overflowPunct/>
        <w:topLinePunct w:val="0"/>
        <w:bidi w:val="0"/>
        <w:snapToGrid/>
        <w:spacing w:before="0" w:beforeAutospacing="0" w:line="360" w:lineRule="auto"/>
        <w:ind w:left="0" w:leftChars="0" w:firstLine="240" w:firstLineChars="100"/>
        <w:contextualSpacing/>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（2）公布经第一阶段评审符合招标文件要求的供应商的商务技术得分情况；</w:t>
      </w:r>
    </w:p>
    <w:p>
      <w:pPr>
        <w:pStyle w:val="555"/>
        <w:pageBreakBefore w:val="0"/>
        <w:shd w:val="clear"/>
        <w:kinsoku/>
        <w:wordWrap/>
        <w:overflowPunct/>
        <w:topLinePunct w:val="0"/>
        <w:bidi w:val="0"/>
        <w:snapToGrid/>
        <w:spacing w:before="0" w:beforeAutospacing="0" w:line="360" w:lineRule="auto"/>
        <w:ind w:left="0" w:leftChars="0" w:firstLine="240" w:firstLineChars="100"/>
        <w:contextualSpacing/>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（3）在政府采购云平台开启除第一阶段无效标外的供应商的“报价文件”，并做开标记录；</w:t>
      </w:r>
    </w:p>
    <w:p>
      <w:pPr>
        <w:pStyle w:val="555"/>
        <w:pageBreakBefore w:val="0"/>
        <w:shd w:val="clear"/>
        <w:kinsoku/>
        <w:wordWrap/>
        <w:overflowPunct/>
        <w:topLinePunct w:val="0"/>
        <w:bidi w:val="0"/>
        <w:snapToGrid/>
        <w:spacing w:before="0" w:beforeAutospacing="0" w:line="360" w:lineRule="auto"/>
        <w:ind w:left="0" w:leftChars="0" w:firstLine="240" w:firstLineChars="100"/>
        <w:contextualSpacing/>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（4）在政府采购云平台公布评审结果。</w:t>
      </w:r>
    </w:p>
    <w:p>
      <w:pPr>
        <w:pStyle w:val="555"/>
        <w:pageBreakBefore w:val="0"/>
        <w:shd w:val="clear"/>
        <w:kinsoku/>
        <w:wordWrap/>
        <w:overflowPunct/>
        <w:topLinePunct w:val="0"/>
        <w:bidi w:val="0"/>
        <w:snapToGrid/>
        <w:spacing w:before="0" w:beforeAutospacing="0" w:line="360" w:lineRule="auto"/>
        <w:ind w:left="0" w:leftChars="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（5）开标会议结束。</w:t>
      </w:r>
    </w:p>
    <w:p>
      <w:pPr>
        <w:pageBreakBefore w:val="0"/>
        <w:widowControl/>
        <w:shd w:val="clear"/>
        <w:kinsoku/>
        <w:wordWrap/>
        <w:overflowPunct/>
        <w:topLinePunct w:val="0"/>
        <w:bidi w:val="0"/>
        <w:snapToGrid/>
        <w:spacing w:beforeAutospacing="0" w:line="360" w:lineRule="auto"/>
        <w:ind w:left="0" w:leftChars="0"/>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w:t>
      </w:r>
      <w:r>
        <w:rPr>
          <w:rFonts w:hint="eastAsia" w:ascii="宋体" w:hAnsi="宋体" w:cs="宋体"/>
          <w:b/>
          <w:color w:val="auto"/>
          <w:sz w:val="24"/>
          <w:szCs w:val="20"/>
          <w:highlight w:val="none"/>
          <w:lang w:val="en-US" w:eastAsia="zh-CN"/>
        </w:rPr>
        <w:t>20</w:t>
      </w:r>
      <w:r>
        <w:rPr>
          <w:rFonts w:hint="eastAsia" w:ascii="宋体" w:hAnsi="宋体" w:eastAsia="宋体" w:cs="宋体"/>
          <w:b/>
          <w:color w:val="auto"/>
          <w:sz w:val="24"/>
          <w:szCs w:val="20"/>
          <w:highlight w:val="none"/>
        </w:rPr>
        <w:t>、资格审查</w:t>
      </w:r>
    </w:p>
    <w:p>
      <w:pPr>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20</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cs="宋体"/>
          <w:color w:val="auto"/>
          <w:kern w:val="0"/>
          <w:szCs w:val="24"/>
          <w:highlight w:val="none"/>
          <w:lang w:val="en-US" w:eastAsia="zh-CN"/>
        </w:rPr>
        <w:t>20</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cs="宋体"/>
          <w:color w:val="auto"/>
          <w:kern w:val="0"/>
          <w:szCs w:val="24"/>
          <w:highlight w:val="none"/>
          <w:lang w:val="en-US" w:eastAsia="zh-CN"/>
        </w:rPr>
        <w:t>20</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cs="宋体"/>
          <w:color w:val="auto"/>
          <w:kern w:val="0"/>
          <w:szCs w:val="24"/>
          <w:highlight w:val="none"/>
          <w:lang w:val="en-US" w:eastAsia="zh-CN"/>
        </w:rPr>
        <w:t>20</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131"/>
        <w:pageBreakBefore w:val="0"/>
        <w:shd w:val="clear"/>
        <w:kinsoku/>
        <w:wordWrap/>
        <w:overflowPunct/>
        <w:topLinePunct w:val="0"/>
        <w:bidi w:val="0"/>
        <w:snapToGrid/>
        <w:spacing w:before="0" w:beforeAutospacing="0" w:line="360" w:lineRule="auto"/>
        <w:ind w:left="0" w:leftChars="0" w:firstLine="0" w:firstLineChars="0"/>
        <w:textAlignment w:val="auto"/>
        <w:rPr>
          <w:rFonts w:hint="eastAsia" w:ascii="宋体" w:hAnsi="宋体" w:eastAsia="宋体" w:cs="宋体"/>
          <w:b/>
          <w:color w:val="auto"/>
          <w:szCs w:val="24"/>
          <w:highlight w:val="none"/>
        </w:rPr>
      </w:pPr>
      <w:r>
        <w:rPr>
          <w:rFonts w:hint="eastAsia" w:ascii="宋体" w:hAnsi="宋体" w:cs="宋体"/>
          <w:b/>
          <w:color w:val="auto"/>
          <w:szCs w:val="24"/>
          <w:highlight w:val="none"/>
          <w:lang w:val="en-US" w:eastAsia="zh-CN"/>
        </w:rPr>
        <w:t>21</w:t>
      </w:r>
      <w:r>
        <w:rPr>
          <w:rFonts w:hint="eastAsia" w:ascii="宋体" w:hAnsi="宋体" w:eastAsia="宋体" w:cs="宋体"/>
          <w:b/>
          <w:color w:val="auto"/>
          <w:szCs w:val="24"/>
          <w:highlight w:val="none"/>
        </w:rPr>
        <w:t>、信用信息查询</w:t>
      </w:r>
    </w:p>
    <w:p>
      <w:pPr>
        <w:pStyle w:val="131"/>
        <w:pageBreakBefore w:val="0"/>
        <w:shd w:val="clear"/>
        <w:kinsoku/>
        <w:wordWrap/>
        <w:overflowPunct/>
        <w:topLinePunct w:val="0"/>
        <w:bidi w:val="0"/>
        <w:snapToGrid/>
        <w:spacing w:before="0" w:beforeAutospacing="0" w:line="360" w:lineRule="auto"/>
        <w:ind w:left="0" w:leftChars="0"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w:t>
      </w:r>
      <w:r>
        <w:rPr>
          <w:rFonts w:hint="eastAsia" w:ascii="宋体" w:hAnsi="宋体" w:cs="宋体"/>
          <w:color w:val="auto"/>
          <w:kern w:val="0"/>
          <w:szCs w:val="24"/>
          <w:highlight w:val="none"/>
          <w:lang w:val="en-US" w:eastAsia="zh-CN"/>
        </w:rPr>
        <w:t>1</w:t>
      </w:r>
      <w:r>
        <w:rPr>
          <w:rFonts w:hint="eastAsia" w:ascii="宋体" w:hAnsi="宋体" w:eastAsia="宋体" w:cs="宋体"/>
          <w:color w:val="auto"/>
          <w:kern w:val="0"/>
          <w:szCs w:val="24"/>
          <w:highlight w:val="none"/>
        </w:rPr>
        <w:t>.1信用信息查询渠道及截止时间：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131"/>
        <w:pageBreakBefore w:val="0"/>
        <w:shd w:val="clear"/>
        <w:kinsoku/>
        <w:wordWrap/>
        <w:overflowPunct/>
        <w:topLinePunct w:val="0"/>
        <w:bidi w:val="0"/>
        <w:snapToGrid/>
        <w:spacing w:before="0" w:beforeAutospacing="0" w:line="360" w:lineRule="auto"/>
        <w:ind w:left="0" w:leftChars="0"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w:t>
      </w:r>
      <w:r>
        <w:rPr>
          <w:rFonts w:hint="eastAsia" w:ascii="宋体" w:hAnsi="宋体" w:cs="宋体"/>
          <w:color w:val="auto"/>
          <w:kern w:val="0"/>
          <w:szCs w:val="24"/>
          <w:highlight w:val="none"/>
          <w:lang w:val="en-US" w:eastAsia="zh-CN"/>
        </w:rPr>
        <w:t>1</w:t>
      </w:r>
      <w:r>
        <w:rPr>
          <w:rFonts w:hint="eastAsia" w:ascii="宋体" w:hAnsi="宋体" w:eastAsia="宋体" w:cs="宋体"/>
          <w:color w:val="auto"/>
          <w:kern w:val="0"/>
          <w:szCs w:val="24"/>
          <w:highlight w:val="none"/>
        </w:rPr>
        <w:t>.2信用信息查询记录和证据留存的具体方式：现场查询的投标人的信用记录、查询结果经确认后将与采购文件一起存档。</w:t>
      </w:r>
    </w:p>
    <w:p>
      <w:pPr>
        <w:pStyle w:val="131"/>
        <w:pageBreakBefore w:val="0"/>
        <w:shd w:val="clear"/>
        <w:kinsoku/>
        <w:wordWrap/>
        <w:overflowPunct/>
        <w:topLinePunct w:val="0"/>
        <w:bidi w:val="0"/>
        <w:snapToGrid/>
        <w:spacing w:before="0" w:beforeAutospacing="0" w:line="360" w:lineRule="auto"/>
        <w:ind w:left="0" w:leftChars="0"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w:t>
      </w:r>
      <w:r>
        <w:rPr>
          <w:rFonts w:hint="eastAsia" w:ascii="宋体" w:hAnsi="宋体" w:cs="宋体"/>
          <w:color w:val="auto"/>
          <w:kern w:val="0"/>
          <w:szCs w:val="24"/>
          <w:highlight w:val="none"/>
          <w:lang w:val="en-US" w:eastAsia="zh-CN"/>
        </w:rPr>
        <w:t>1</w:t>
      </w:r>
      <w:r>
        <w:rPr>
          <w:rFonts w:hint="eastAsia" w:ascii="宋体" w:hAnsi="宋体" w:eastAsia="宋体" w:cs="宋体"/>
          <w:color w:val="auto"/>
          <w:kern w:val="0"/>
          <w:szCs w:val="24"/>
          <w:highlight w:val="none"/>
        </w:rPr>
        <w:t>.3信用信息的使用规则：经查询列入失信被执行人名单、重大税收违法案件当事人名单</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sz w:val="24"/>
          <w:highlight w:val="none"/>
          <w:lang w:val="en-US" w:eastAsia="zh-CN"/>
        </w:rPr>
        <w:t>重大税收违法失信主体</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、政府采购严重违法失信行为记录名单的投标人将被拒绝参与政府采购活动。</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w:t>
      </w:r>
      <w:r>
        <w:rPr>
          <w:rFonts w:hint="eastAsia" w:ascii="宋体" w:hAnsi="宋体" w:cs="宋体"/>
          <w:color w:val="auto"/>
          <w:kern w:val="0"/>
          <w:szCs w:val="24"/>
          <w:highlight w:val="none"/>
          <w:lang w:val="en-US" w:eastAsia="zh-CN"/>
        </w:rPr>
        <w:t>1</w:t>
      </w:r>
      <w:r>
        <w:rPr>
          <w:rFonts w:hint="eastAsia" w:ascii="宋体" w:hAnsi="宋体" w:eastAsia="宋体" w:cs="宋体"/>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ageBreakBefore w:val="0"/>
        <w:shd w:val="clear"/>
        <w:kinsoku/>
        <w:wordWrap/>
        <w:overflowPunct/>
        <w:topLinePunct w:val="0"/>
        <w:bidi w:val="0"/>
        <w:snapToGrid/>
        <w:spacing w:beforeAutospacing="0" w:line="360" w:lineRule="auto"/>
        <w:ind w:left="0" w:left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pageBreakBefore w:val="0"/>
        <w:shd w:val="clear"/>
        <w:kinsoku/>
        <w:wordWrap/>
        <w:overflowPunct/>
        <w:topLinePunct w:val="0"/>
        <w:bidi w:val="0"/>
        <w:snapToGrid/>
        <w:spacing w:beforeAutospacing="0" w:line="360" w:lineRule="auto"/>
        <w:ind w:left="0" w:leftChars="0"/>
        <w:textAlignment w:val="auto"/>
        <w:rPr>
          <w:rFonts w:hint="eastAsia" w:ascii="宋体" w:hAnsi="宋体" w:eastAsia="宋体" w:cs="宋体"/>
          <w:b/>
          <w:color w:val="auto"/>
          <w:sz w:val="24"/>
          <w:highlight w:val="none"/>
        </w:rPr>
      </w:pPr>
      <w:bookmarkStart w:id="15" w:name="_Toc91899903"/>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pageBreakBefore w:val="0"/>
        <w:shd w:val="clear"/>
        <w:kinsoku/>
        <w:wordWrap/>
        <w:overflowPunct/>
        <w:topLinePunct w:val="0"/>
        <w:bidi w:val="0"/>
        <w:snapToGrid/>
        <w:spacing w:beforeAutospacing="0" w:line="360" w:lineRule="auto"/>
        <w:ind w:left="0" w:left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4"/>
        <w:pageBreakBefore w:val="0"/>
        <w:shd w:val="clear"/>
        <w:kinsoku/>
        <w:wordWrap/>
        <w:overflowPunct/>
        <w:topLinePunct w:val="0"/>
        <w:bidi w:val="0"/>
        <w:snapToGrid/>
        <w:spacing w:beforeAutospacing="0" w:line="360" w:lineRule="auto"/>
        <w:ind w:left="479" w:leftChars="0"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3</w:t>
      </w:r>
      <w:r>
        <w:rPr>
          <w:rFonts w:hint="eastAsia" w:ascii="宋体" w:hAnsi="宋体" w:eastAsia="宋体" w:cs="宋体"/>
          <w:b/>
          <w:color w:val="auto"/>
          <w:highlight w:val="none"/>
        </w:rPr>
        <w:t>. 确定中标供应商</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pageBreakBefore w:val="0"/>
        <w:shd w:val="clear"/>
        <w:kinsoku/>
        <w:wordWrap/>
        <w:overflowPunct/>
        <w:topLinePunct w:val="0"/>
        <w:bidi w:val="0"/>
        <w:snapToGrid/>
        <w:spacing w:before="0" w:beforeAutospacing="0" w:line="360" w:lineRule="auto"/>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cs="宋体"/>
          <w:b/>
          <w:color w:val="auto"/>
          <w:szCs w:val="24"/>
          <w:highlight w:val="none"/>
          <w:lang w:val="en-US" w:eastAsia="zh-CN"/>
        </w:rPr>
        <w:t>4</w:t>
      </w:r>
      <w:r>
        <w:rPr>
          <w:rFonts w:hint="eastAsia" w:ascii="宋体" w:hAnsi="宋体" w:eastAsia="宋体" w:cs="宋体"/>
          <w:b/>
          <w:color w:val="auto"/>
          <w:szCs w:val="24"/>
          <w:highlight w:val="none"/>
        </w:rPr>
        <w:t>. 中标通知与中标结果公告</w:t>
      </w:r>
    </w:p>
    <w:p>
      <w:pPr>
        <w:pageBreakBefore w:val="0"/>
        <w:widowControl/>
        <w:shd w:val="clear" w:color="auto"/>
        <w:kinsoku/>
        <w:wordWrap/>
        <w:overflowPunct/>
        <w:topLinePunct w:val="0"/>
        <w:bidi w:val="0"/>
        <w:snapToGrid/>
        <w:spacing w:beforeAutospacing="0" w:line="360" w:lineRule="auto"/>
        <w:ind w:left="0" w:leftChars="0"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p>
    <w:p>
      <w:pPr>
        <w:pageBreakBefore w:val="0"/>
        <w:widowControl/>
        <w:shd w:val="clear" w:color="auto"/>
        <w:kinsoku/>
        <w:wordWrap/>
        <w:overflowPunct/>
        <w:topLinePunct w:val="0"/>
        <w:bidi w:val="0"/>
        <w:snapToGrid/>
        <w:spacing w:beforeAutospacing="0" w:line="360" w:lineRule="auto"/>
        <w:ind w:left="0" w:leftChars="0"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的名称、地址、联系方式，项目名称和项目编号，中标人名称、地址和中标金额，主要中标标的的名称、服务范围、服务要求、服务时间、服务标准，开标记录、</w:t>
      </w:r>
      <w:bookmarkStart w:id="16" w:name="_Hlk101184471"/>
      <w:r>
        <w:rPr>
          <w:rFonts w:hint="eastAsia" w:ascii="宋体" w:hAnsi="宋体" w:eastAsia="宋体" w:cs="宋体"/>
          <w:color w:val="auto"/>
          <w:sz w:val="24"/>
          <w:highlight w:val="none"/>
        </w:rPr>
        <w:t>资格审查情况、评审专家抽取规则、符合性审查情况、</w:t>
      </w:r>
      <w:bookmarkEnd w:id="16"/>
      <w:r>
        <w:rPr>
          <w:rFonts w:hint="eastAsia" w:ascii="宋体" w:hAnsi="宋体" w:eastAsia="宋体" w:cs="宋体"/>
          <w:color w:val="auto"/>
          <w:sz w:val="24"/>
          <w:highlight w:val="none"/>
        </w:rPr>
        <w:t>未中标情况说明、中标公告期限以及评审专家名单、评分汇总及明细。</w:t>
      </w:r>
    </w:p>
    <w:p>
      <w:pPr>
        <w:pageBreakBefore w:val="0"/>
        <w:widowControl/>
        <w:shd w:val="clear" w:color="auto"/>
        <w:kinsoku/>
        <w:wordWrap/>
        <w:overflowPunct/>
        <w:topLinePunct w:val="0"/>
        <w:bidi w:val="0"/>
        <w:snapToGrid/>
        <w:spacing w:beforeAutospacing="0" w:line="360" w:lineRule="auto"/>
        <w:ind w:left="0" w:leftChars="0"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.3公告期限为1个工作日。</w:t>
      </w:r>
    </w:p>
    <w:p>
      <w:pPr>
        <w:pageBreakBefore w:val="0"/>
        <w:shd w:val="clear"/>
        <w:kinsoku/>
        <w:wordWrap/>
        <w:overflowPunct/>
        <w:topLinePunct w:val="0"/>
        <w:bidi w:val="0"/>
        <w:snapToGrid/>
        <w:spacing w:beforeAutospacing="0" w:line="360" w:lineRule="auto"/>
        <w:ind w:left="0" w:leftChars="0"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4"/>
        <w:pageBreakBefore w:val="0"/>
        <w:shd w:val="clear"/>
        <w:kinsoku/>
        <w:wordWrap/>
        <w:overflowPunct/>
        <w:topLinePunct w:val="0"/>
        <w:bidi w:val="0"/>
        <w:snapToGrid/>
        <w:spacing w:beforeAutospacing="0" w:line="360" w:lineRule="auto"/>
        <w:ind w:left="479" w:leftChars="0"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5</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合同主要条款详见第五部分拟签订的合同文本。</w:t>
      </w:r>
    </w:p>
    <w:p>
      <w:pPr>
        <w:pStyle w:val="24"/>
        <w:pageBreakBefore w:val="0"/>
        <w:shd w:val="clear"/>
        <w:kinsoku/>
        <w:wordWrap/>
        <w:overflowPunct/>
        <w:topLinePunct w:val="0"/>
        <w:bidi w:val="0"/>
        <w:snapToGrid/>
        <w:spacing w:beforeAutospacing="0" w:line="360" w:lineRule="auto"/>
        <w:ind w:left="479" w:leftChars="0"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6</w:t>
      </w:r>
      <w:r>
        <w:rPr>
          <w:rFonts w:hint="eastAsia" w:ascii="宋体" w:hAnsi="宋体" w:eastAsia="宋体" w:cs="宋体"/>
          <w:b/>
          <w:color w:val="auto"/>
          <w:highlight w:val="none"/>
        </w:rPr>
        <w:t>. 合同的签订</w:t>
      </w:r>
    </w:p>
    <w:p>
      <w:pPr>
        <w:pageBreakBefore w:val="0"/>
        <w:widowControl/>
        <w:shd w:val="clear" w:color="auto"/>
        <w:kinsoku/>
        <w:wordWrap/>
        <w:overflowPunct/>
        <w:topLinePunct w:val="0"/>
        <w:bidi w:val="0"/>
        <w:snapToGrid/>
        <w:spacing w:beforeAutospacing="0" w:line="360" w:lineRule="auto"/>
        <w:ind w:left="0" w:leftChars="0"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eastAsia="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6</w:t>
      </w:r>
      <w:r>
        <w:rPr>
          <w:rFonts w:hint="eastAsia" w:ascii="宋体" w:hAnsi="宋体" w:eastAsia="宋体" w:cs="宋体"/>
          <w:color w:val="auto"/>
          <w:highlight w:val="none"/>
        </w:rPr>
        <w:t>.3如签订合同并生效后，供应商无故拒绝或延期，除按照合同条款处理外，列入不良行为记录一次，并给予通报。</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6</w:t>
      </w:r>
      <w:r>
        <w:rPr>
          <w:rFonts w:hint="eastAsia" w:ascii="宋体" w:hAnsi="宋体" w:eastAsia="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6</w:t>
      </w:r>
      <w:r>
        <w:rPr>
          <w:rFonts w:hint="eastAsia" w:ascii="宋体" w:hAnsi="宋体" w:eastAsia="宋体" w:cs="宋体"/>
          <w:color w:val="auto"/>
          <w:highlight w:val="none"/>
        </w:rPr>
        <w:t>.5采购合同由采购人与中标供应商根据招标文件、投标文件等内容通过政府采购电子交易平台在线签订，自动备案。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由采购人自行选择线上签订或线下签订</w:t>
      </w:r>
      <w:r>
        <w:rPr>
          <w:rFonts w:hint="eastAsia" w:ascii="宋体" w:hAnsi="宋体" w:eastAsia="宋体" w:cs="宋体"/>
          <w:color w:val="auto"/>
          <w:highlight w:val="none"/>
          <w:lang w:eastAsia="zh-CN"/>
        </w:rPr>
        <w:t>）</w:t>
      </w:r>
    </w:p>
    <w:p>
      <w:pPr>
        <w:pStyle w:val="24"/>
        <w:pageBreakBefore w:val="0"/>
        <w:shd w:val="clear"/>
        <w:kinsoku/>
        <w:wordWrap/>
        <w:overflowPunct/>
        <w:topLinePunct w:val="0"/>
        <w:bidi w:val="0"/>
        <w:snapToGrid/>
        <w:spacing w:beforeAutospacing="0" w:line="360" w:lineRule="auto"/>
        <w:ind w:left="479" w:leftChars="0"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7</w:t>
      </w:r>
      <w:r>
        <w:rPr>
          <w:rFonts w:hint="eastAsia" w:ascii="宋体" w:hAnsi="宋体" w:eastAsia="宋体" w:cs="宋体"/>
          <w:b/>
          <w:color w:val="auto"/>
          <w:highlight w:val="none"/>
        </w:rPr>
        <w:t>. 履约保证金</w:t>
      </w:r>
    </w:p>
    <w:p>
      <w:pPr>
        <w:pageBreakBefore w:val="0"/>
        <w:shd w:val="clear"/>
        <w:tabs>
          <w:tab w:val="left" w:pos="0"/>
        </w:tabs>
        <w:kinsoku/>
        <w:wordWrap/>
        <w:overflowPunct/>
        <w:topLinePunct w:val="0"/>
        <w:bidi w:val="0"/>
        <w:snapToGrid/>
        <w:spacing w:beforeAutospacing="0" w:line="360" w:lineRule="auto"/>
        <w:ind w:left="0" w:leftChars="0" w:firstLine="482"/>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pageBreakBefore w:val="0"/>
        <w:shd w:val="clear"/>
        <w:kinsoku/>
        <w:wordWrap/>
        <w:overflowPunct/>
        <w:topLinePunct w:val="0"/>
        <w:bidi w:val="0"/>
        <w:snapToGrid/>
        <w:spacing w:beforeAutospacing="0" w:line="360" w:lineRule="auto"/>
        <w:ind w:left="0" w:leftChars="0" w:firstLine="480" w:firstLineChars="200"/>
        <w:textAlignment w:val="auto"/>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pageBreakBefore w:val="0"/>
        <w:shd w:val="clear"/>
        <w:kinsoku/>
        <w:wordWrap/>
        <w:overflowPunct/>
        <w:topLinePunct w:val="0"/>
        <w:bidi w:val="0"/>
        <w:snapToGrid/>
        <w:spacing w:beforeAutospacing="0" w:line="360" w:lineRule="auto"/>
        <w:ind w:left="479" w:leftChars="0" w:hanging="479" w:hangingChars="199"/>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28.预付款</w:t>
      </w:r>
    </w:p>
    <w:p>
      <w:pPr>
        <w:pageBreakBefore w:val="0"/>
        <w:shd w:val="clear"/>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ageBreakBefore w:val="0"/>
        <w:shd w:val="clear"/>
        <w:kinsoku/>
        <w:wordWrap/>
        <w:overflowPunct/>
        <w:topLinePunct w:val="0"/>
        <w:bidi w:val="0"/>
        <w:snapToGrid/>
        <w:spacing w:beforeAutospacing="0" w:line="360" w:lineRule="auto"/>
        <w:ind w:left="0" w:leftChars="0"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1"/>
        <w:pageBreakBefore w:val="0"/>
        <w:shd w:val="clear"/>
        <w:kinsoku/>
        <w:wordWrap/>
        <w:overflowPunct/>
        <w:topLinePunct w:val="0"/>
        <w:bidi w:val="0"/>
        <w:snapToGrid/>
        <w:spacing w:before="0" w:beforeAutospacing="0" w:line="360" w:lineRule="auto"/>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bCs/>
          <w:color w:val="auto"/>
          <w:sz w:val="24"/>
          <w:szCs w:val="20"/>
          <w:highlight w:val="none"/>
        </w:rPr>
        <w:t>2</w:t>
      </w:r>
      <w:r>
        <w:rPr>
          <w:rFonts w:hint="eastAsia" w:ascii="宋体" w:hAnsi="宋体" w:cs="宋体"/>
          <w:b/>
          <w:bCs/>
          <w:color w:val="auto"/>
          <w:sz w:val="24"/>
          <w:szCs w:val="24"/>
          <w:highlight w:val="none"/>
          <w:lang w:val="en-US" w:eastAsia="zh-CN"/>
        </w:rPr>
        <w:t>9</w:t>
      </w:r>
      <w:r>
        <w:rPr>
          <w:rFonts w:hint="eastAsia" w:ascii="宋体" w:hAnsi="宋体" w:eastAsia="宋体" w:cs="宋体"/>
          <w:b/>
          <w:color w:val="auto"/>
          <w:szCs w:val="24"/>
          <w:highlight w:val="none"/>
        </w:rPr>
        <w:t>. 电子交易活动的中止</w:t>
      </w:r>
    </w:p>
    <w:p>
      <w:pPr>
        <w:pStyle w:val="131"/>
        <w:pageBreakBefore w:val="0"/>
        <w:shd w:val="clear"/>
        <w:kinsoku/>
        <w:wordWrap/>
        <w:overflowPunct/>
        <w:topLinePunct w:val="0"/>
        <w:bidi w:val="0"/>
        <w:snapToGrid/>
        <w:spacing w:before="0" w:beforeAutospacing="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 xml:space="preserve">.1电子交易平台发生故障而无法登录访问的； </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.2电子交易平台应用或数据库出现错误，不能进行正常操作的；</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.3电子交易平台发现严重安全漏洞，有潜在泄密危险的；</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 xml:space="preserve">.4病毒发作导致不能进行正常操作的； </w:t>
      </w:r>
    </w:p>
    <w:p>
      <w:pPr>
        <w:pStyle w:val="131"/>
        <w:pageBreakBefore w:val="0"/>
        <w:shd w:val="clear"/>
        <w:kinsoku/>
        <w:wordWrap/>
        <w:overflowPunct/>
        <w:topLinePunct w:val="0"/>
        <w:bidi w:val="0"/>
        <w:snapToGrid/>
        <w:spacing w:before="0" w:beforeAutospacing="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.5其他无法保证电子交易的公平、公正和安全的情况。</w:t>
      </w:r>
    </w:p>
    <w:p>
      <w:pPr>
        <w:pStyle w:val="131"/>
        <w:pageBreakBefore w:val="0"/>
        <w:numPr>
          <w:ilvl w:val="0"/>
          <w:numId w:val="5"/>
        </w:numPr>
        <w:shd w:val="clear"/>
        <w:kinsoku/>
        <w:wordWrap/>
        <w:overflowPunct/>
        <w:topLinePunct w:val="0"/>
        <w:bidi w:val="0"/>
        <w:snapToGrid/>
        <w:spacing w:before="0" w:beforeAutospacing="0" w:line="360" w:lineRule="auto"/>
        <w:ind w:left="-432" w:leftChars="0" w:firstLine="240" w:firstLineChars="1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出现以上情形，不影响采购公平、公正性的，采购组织机构可以待上述情形消除后继续组织电子交易活动；影响或可能影响采购公平、公正性的，应当重新采购。</w:t>
      </w:r>
    </w:p>
    <w:p>
      <w:pPr>
        <w:pageBreakBefore w:val="0"/>
        <w:shd w:val="clear"/>
        <w:kinsoku/>
        <w:wordWrap/>
        <w:overflowPunct/>
        <w:topLinePunct w:val="0"/>
        <w:bidi w:val="0"/>
        <w:snapToGrid/>
        <w:spacing w:beforeAutospacing="0" w:line="360" w:lineRule="auto"/>
        <w:ind w:left="0" w:leftChars="0"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4"/>
        <w:pageBreakBefore w:val="0"/>
        <w:shd w:val="clear"/>
        <w:kinsoku/>
        <w:wordWrap/>
        <w:overflowPunct/>
        <w:topLinePunct w:val="0"/>
        <w:bidi w:val="0"/>
        <w:snapToGrid/>
        <w:spacing w:beforeAutospacing="0" w:line="360" w:lineRule="auto"/>
        <w:ind w:left="0" w:lef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cs="宋体"/>
          <w:b/>
          <w:color w:val="auto"/>
          <w:highlight w:val="none"/>
          <w:lang w:val="en-US" w:eastAsia="zh-CN"/>
        </w:rPr>
        <w:t>1</w:t>
      </w:r>
      <w:r>
        <w:rPr>
          <w:rFonts w:hint="eastAsia" w:ascii="宋体" w:hAnsi="宋体" w:eastAsia="宋体" w:cs="宋体"/>
          <w:b/>
          <w:color w:val="auto"/>
          <w:highlight w:val="none"/>
        </w:rPr>
        <w:t>.</w:t>
      </w:r>
      <w:r>
        <w:rPr>
          <w:rFonts w:hint="eastAsia" w:cs="宋体"/>
          <w:b/>
          <w:color w:val="auto"/>
          <w:highlight w:val="none"/>
          <w:lang w:val="en-US" w:eastAsia="zh-CN"/>
        </w:rPr>
        <w:t xml:space="preserve"> </w:t>
      </w:r>
      <w:r>
        <w:rPr>
          <w:rFonts w:hint="eastAsia" w:ascii="宋体" w:hAnsi="宋体" w:eastAsia="宋体" w:cs="宋体"/>
          <w:b/>
          <w:color w:val="auto"/>
          <w:highlight w:val="none"/>
        </w:rPr>
        <w:t>验收</w:t>
      </w:r>
    </w:p>
    <w:p>
      <w:pPr>
        <w:pageBreakBefore w:val="0"/>
        <w:shd w:val="clear"/>
        <w:tabs>
          <w:tab w:val="left" w:pos="0"/>
        </w:tabs>
        <w:kinsoku/>
        <w:wordWrap/>
        <w:overflowPunct/>
        <w:topLinePunct w:val="0"/>
        <w:bidi w:val="0"/>
        <w:snapToGrid/>
        <w:spacing w:beforeAutospacing="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shd w:val="clear"/>
        <w:tabs>
          <w:tab w:val="left" w:pos="0"/>
        </w:tabs>
        <w:kinsoku/>
        <w:wordWrap/>
        <w:overflowPunct/>
        <w:topLinePunct w:val="0"/>
        <w:bidi w:val="0"/>
        <w:snapToGrid/>
        <w:spacing w:beforeAutospacing="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pageBreakBefore w:val="0"/>
        <w:shd w:val="clear"/>
        <w:tabs>
          <w:tab w:val="left" w:pos="0"/>
        </w:tabs>
        <w:kinsoku/>
        <w:wordWrap/>
        <w:overflowPunct/>
        <w:topLinePunct w:val="0"/>
        <w:bidi w:val="0"/>
        <w:snapToGrid/>
        <w:spacing w:beforeAutospacing="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shd w:val="clear"/>
        <w:tabs>
          <w:tab w:val="left" w:pos="0"/>
        </w:tabs>
        <w:kinsoku/>
        <w:wordWrap/>
        <w:overflowPunct/>
        <w:topLinePunct w:val="0"/>
        <w:bidi w:val="0"/>
        <w:snapToGrid/>
        <w:spacing w:beforeAutospacing="0" w:line="360" w:lineRule="auto"/>
        <w:ind w:left="0" w:leftChars="0"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pageBreakBefore w:val="0"/>
        <w:shd w:val="clear"/>
        <w:tabs>
          <w:tab w:val="left" w:pos="0"/>
        </w:tabs>
        <w:kinsoku/>
        <w:wordWrap/>
        <w:overflowPunct/>
        <w:topLinePunct w:val="0"/>
        <w:bidi w:val="0"/>
        <w:snapToGrid/>
        <w:spacing w:beforeAutospacing="0" w:line="360" w:lineRule="auto"/>
        <w:ind w:left="0" w:leftChars="0" w:firstLine="480"/>
        <w:textAlignment w:val="auto"/>
        <w:rPr>
          <w:rFonts w:hint="eastAsia" w:ascii="宋体" w:hAnsi="宋体" w:eastAsia="宋体" w:cs="宋体"/>
          <w:color w:val="auto"/>
          <w:kern w:val="0"/>
          <w:sz w:val="24"/>
          <w:highlight w:val="none"/>
        </w:rPr>
        <w:sectPr>
          <w:pgSz w:w="11906" w:h="16838"/>
          <w:pgMar w:top="680" w:right="1418" w:bottom="468" w:left="1418" w:header="851" w:footer="992" w:gutter="0"/>
          <w:pgNumType w:fmt="decimal"/>
          <w:cols w:space="720" w:num="1"/>
          <w:docGrid w:linePitch="312" w:charSpace="0"/>
        </w:sectPr>
      </w:pPr>
      <w:bookmarkStart w:id="17" w:name="_Hlt74714665"/>
      <w:bookmarkEnd w:id="17"/>
      <w:bookmarkStart w:id="18" w:name="_Hlt68073093"/>
      <w:bookmarkEnd w:id="18"/>
      <w:bookmarkStart w:id="19" w:name="_Hlt68057669"/>
      <w:bookmarkEnd w:id="19"/>
      <w:bookmarkStart w:id="20" w:name="_Hlt74707468"/>
      <w:bookmarkEnd w:id="20"/>
      <w:bookmarkStart w:id="21" w:name="_Hlt75236290"/>
      <w:bookmarkEnd w:id="21"/>
      <w:bookmarkStart w:id="22" w:name="_Hlt68072990"/>
      <w:bookmarkEnd w:id="22"/>
      <w:bookmarkStart w:id="23" w:name="_Hlt74730295"/>
      <w:bookmarkEnd w:id="23"/>
      <w:bookmarkStart w:id="24" w:name="_Hlt68072998"/>
      <w:bookmarkEnd w:id="24"/>
      <w:bookmarkStart w:id="25" w:name="_Hlt75236101"/>
      <w:bookmarkEnd w:id="25"/>
      <w:bookmarkStart w:id="26" w:name="_Hlt68403820"/>
      <w:bookmarkEnd w:id="26"/>
      <w:bookmarkStart w:id="27" w:name="_Hlt74729768"/>
      <w:bookmarkEnd w:id="27"/>
      <w:bookmarkStart w:id="28" w:name="_Hlt75236011"/>
      <w:bookmarkEnd w:id="28"/>
    </w:p>
    <w:bookmarkEnd w:id="10"/>
    <w:bookmarkEnd w:id="11"/>
    <w:p>
      <w:pPr>
        <w:shd w:val="clear"/>
        <w:spacing w:line="360" w:lineRule="auto"/>
        <w:jc w:val="center"/>
        <w:outlineLvl w:val="0"/>
        <w:rPr>
          <w:rFonts w:hint="eastAsia" w:ascii="宋体" w:hAnsi="宋体" w:eastAsia="宋体" w:cs="宋体"/>
          <w:b/>
          <w:color w:val="auto"/>
          <w:sz w:val="36"/>
          <w:szCs w:val="36"/>
          <w:highlight w:val="none"/>
        </w:rPr>
      </w:pPr>
      <w:bookmarkStart w:id="29" w:name="第四部分"/>
      <w:r>
        <w:rPr>
          <w:rFonts w:hint="eastAsia" w:ascii="宋体" w:hAnsi="宋体" w:eastAsia="宋体" w:cs="宋体"/>
          <w:b/>
          <w:color w:val="auto"/>
          <w:sz w:val="36"/>
          <w:szCs w:val="36"/>
          <w:highlight w:val="none"/>
        </w:rPr>
        <w:t>第三部分   采购需求</w:t>
      </w:r>
    </w:p>
    <w:p>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655"/>
        <w:gridCol w:w="5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553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553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详见</w:t>
            </w:r>
            <w:r>
              <w:rPr>
                <w:rFonts w:hint="eastAsia" w:ascii="宋体" w:hAnsi="宋体" w:eastAsia="宋体" w:cs="宋体"/>
                <w:color w:val="auto"/>
                <w:sz w:val="24"/>
                <w:szCs w:val="24"/>
                <w:highlight w:val="none"/>
                <w:lang w:val="en-US" w:eastAsia="zh-CN"/>
              </w:rPr>
              <w:t>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553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详见第一部分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交付或者实施的时间和地点</w:t>
            </w:r>
          </w:p>
        </w:tc>
        <w:tc>
          <w:tcPr>
            <w:tcW w:w="5536" w:type="dxa"/>
            <w:noWrap w:val="0"/>
            <w:vAlign w:val="center"/>
          </w:tcPr>
          <w:p>
            <w:pPr>
              <w:keepNext w:val="0"/>
              <w:keepLines w:val="0"/>
              <w:pageBreakBefore w:val="0"/>
              <w:widowControl w:val="0"/>
              <w:numPr>
                <w:ilvl w:val="0"/>
                <w:numId w:val="6"/>
              </w:numPr>
              <w:shd w:val="clea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b w:val="0"/>
                <w:bCs w:val="0"/>
                <w:color w:val="auto"/>
                <w:sz w:val="24"/>
                <w:szCs w:val="24"/>
                <w:highlight w:val="none"/>
              </w:rPr>
              <w:t>：详见第一部分 招标公告</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实施地点：详见</w:t>
            </w:r>
            <w:r>
              <w:rPr>
                <w:rFonts w:hint="eastAsia" w:ascii="宋体" w:hAnsi="宋体" w:eastAsia="宋体" w:cs="宋体"/>
                <w:b w:val="0"/>
                <w:bCs w:val="0"/>
                <w:color w:val="auto"/>
                <w:sz w:val="24"/>
                <w:szCs w:val="24"/>
                <w:highlight w:val="none"/>
                <w:lang w:val="en-US" w:eastAsia="zh-CN"/>
              </w:rPr>
              <w:t>本部分</w:t>
            </w:r>
            <w:r>
              <w:rPr>
                <w:rFonts w:hint="eastAsia" w:ascii="宋体" w:hAnsi="宋体" w:eastAsia="宋体" w:cs="宋体"/>
                <w:b w:val="0"/>
                <w:bCs w:val="0"/>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需实现的功能或者目标</w:t>
            </w:r>
          </w:p>
        </w:tc>
        <w:tc>
          <w:tcPr>
            <w:tcW w:w="5536" w:type="dxa"/>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3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执行的国家相关标准、行业标准、地方标准或者其它标准、规范</w:t>
            </w:r>
          </w:p>
        </w:tc>
        <w:tc>
          <w:tcPr>
            <w:tcW w:w="553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技术规格要求</w:t>
            </w:r>
          </w:p>
        </w:tc>
        <w:tc>
          <w:tcPr>
            <w:tcW w:w="553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物理特性要求</w:t>
            </w:r>
          </w:p>
        </w:tc>
        <w:tc>
          <w:tcPr>
            <w:tcW w:w="553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质量、安全要求</w:t>
            </w:r>
          </w:p>
        </w:tc>
        <w:tc>
          <w:tcPr>
            <w:tcW w:w="553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（1）质量要求：达到国家、地方质量验收标准，一次性验收合格。</w:t>
            </w:r>
          </w:p>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（2）安全要求：合格。必须重视安全生产工作，确保不出安全生产责任事故。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tc>
        <w:tc>
          <w:tcPr>
            <w:tcW w:w="553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按照中标人提供的投标文件及中标人和采购人签订的政府采购合同为标准进行验收。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553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演示时间及地点</w:t>
            </w:r>
          </w:p>
        </w:tc>
        <w:tc>
          <w:tcPr>
            <w:tcW w:w="553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样品要求</w:t>
            </w:r>
          </w:p>
        </w:tc>
        <w:tc>
          <w:tcPr>
            <w:tcW w:w="553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65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本项目的核心产品</w:t>
            </w:r>
          </w:p>
        </w:tc>
        <w:tc>
          <w:tcPr>
            <w:tcW w:w="553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pPr>
        <w:widowControl/>
        <w:shd w:val="clear"/>
        <w:adjustRightInd/>
        <w:spacing w:line="360" w:lineRule="auto"/>
        <w:jc w:val="left"/>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br w:type="page"/>
      </w:r>
      <w:r>
        <w:rPr>
          <w:rFonts w:hint="eastAsia" w:ascii="宋体" w:hAnsi="宋体" w:eastAsia="宋体" w:cs="宋体"/>
          <w:b/>
          <w:color w:val="auto"/>
          <w:sz w:val="24"/>
          <w:highlight w:val="none"/>
        </w:rPr>
        <w:t>▲</w:t>
      </w:r>
      <w:r>
        <w:rPr>
          <w:rFonts w:hint="eastAsia" w:ascii="宋体" w:hAnsi="宋体" w:eastAsia="宋体" w:cs="宋体"/>
          <w:b/>
          <w:color w:val="auto"/>
          <w:kern w:val="0"/>
          <w:sz w:val="24"/>
          <w:szCs w:val="24"/>
          <w:highlight w:val="none"/>
        </w:rPr>
        <w:t>一、重要商务要求一览表</w:t>
      </w:r>
    </w:p>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9"/>
        <w:gridCol w:w="67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6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合同履行期限及地点</w:t>
            </w:r>
          </w:p>
        </w:tc>
        <w:tc>
          <w:tcPr>
            <w:tcW w:w="6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）合同履行期限：详见第一部分 《招标公告》。</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w:t>
            </w:r>
            <w:r>
              <w:rPr>
                <w:rFonts w:hint="eastAsia" w:ascii="宋体" w:hAnsi="宋体" w:eastAsia="宋体" w:cs="宋体"/>
                <w:color w:val="auto"/>
                <w:sz w:val="24"/>
                <w:szCs w:val="24"/>
                <w:highlight w:val="none"/>
                <w:lang w:val="en-US" w:eastAsia="zh-CN"/>
              </w:rPr>
              <w:t>海曙区</w:t>
            </w:r>
            <w:r>
              <w:rPr>
                <w:rFonts w:hint="eastAsia" w:ascii="宋体" w:hAnsi="宋体" w:eastAsia="宋体" w:cs="宋体"/>
                <w:color w:val="auto"/>
                <w:sz w:val="24"/>
                <w:szCs w:val="24"/>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2、付款方式</w:t>
            </w:r>
          </w:p>
        </w:tc>
        <w:tc>
          <w:tcPr>
            <w:tcW w:w="6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（1）合同签订后支付合同金额40%的预付款；（若在签订合同时，中标人明确表示无需预付款的，采购人可不予支付预付款。预付款支付约定以合同中约定为准。）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（2）项目竣工验收合格后支付至合同总价的80%；项目成果报告全部提交并经采购人确认后支付至结算价的100%。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w:t>
            </w:r>
          </w:p>
        </w:tc>
        <w:tc>
          <w:tcPr>
            <w:tcW w:w="6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4、质保期</w:t>
            </w:r>
          </w:p>
        </w:tc>
        <w:tc>
          <w:tcPr>
            <w:tcW w:w="6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所有点位竣工验收合格之日起一年，在质保期内，如中标人修复的管道出现质量问题，中标人须于采购人通知后2小时到达指定地点踏勘，五天内无偿完成修复。若超出规定时间，采购人有权安排第三方进行修复，所产生的费用由中标人支付，若中标人不同意或不支付，采购人有权将中标人纳入不良供应商名单，并保留追究赔偿损失的权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、合同终止</w:t>
            </w:r>
          </w:p>
        </w:tc>
        <w:tc>
          <w:tcPr>
            <w:tcW w:w="6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中标人在合同有效期内，不得无理由终止合同，确有特殊情况的，须提前两个月向采购人提出书面申请，经采购人同意后，方可终止合同。因中标人不能保证工作质量，或发生重大差错事故的，采购人可有权终止协议，中标人承担全部责任。</w:t>
            </w:r>
          </w:p>
        </w:tc>
      </w:tr>
    </w:tbl>
    <w:p>
      <w:pPr>
        <w:widowControl/>
        <w:tabs>
          <w:tab w:val="left" w:pos="1200"/>
        </w:tabs>
        <w:adjustRightInd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二、项目概况</w:t>
      </w:r>
    </w:p>
    <w:p>
      <w:pPr>
        <w:widowControl/>
        <w:adjustRightInd/>
        <w:spacing w:line="360" w:lineRule="auto"/>
        <w:ind w:firstLine="480" w:firstLineChars="200"/>
        <w:jc w:val="left"/>
        <w:outlineLvl w:val="1"/>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为避免路段管网出现裂缝、破损、管接头错位和管道腐蚀等影响管网的正常运行，减少施工给交通等因素带来的影响，采用非开挖方法对排水管道进行修复。</w:t>
      </w:r>
    </w:p>
    <w:p>
      <w:pPr>
        <w:widowControl w:val="0"/>
        <w:spacing w:after="120" w:afterLines="0"/>
        <w:ind w:left="0" w:leftChars="0"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标项一：</w:t>
      </w:r>
    </w:p>
    <w:p>
      <w:pPr>
        <w:widowControl w:val="0"/>
        <w:spacing w:after="120" w:afterLines="0"/>
        <w:ind w:left="0" w:leftChars="0"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鼓楼街道、段塘街道</w:t>
      </w:r>
    </w:p>
    <w:tbl>
      <w:tblPr>
        <w:tblStyle w:val="62"/>
        <w:tblW w:w="932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3"/>
        <w:gridCol w:w="4156"/>
        <w:gridCol w:w="1127"/>
        <w:gridCol w:w="31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服务内容</w:t>
            </w:r>
          </w:p>
        </w:tc>
        <w:tc>
          <w:tcPr>
            <w:tcW w:w="1127"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数量（处）</w:t>
            </w:r>
          </w:p>
        </w:tc>
        <w:tc>
          <w:tcPr>
            <w:tcW w:w="318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综合单价最高限价（元/处）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110</w:t>
            </w:r>
            <w:r>
              <w:rPr>
                <w:rFonts w:hint="eastAsia" w:ascii="宋体" w:hAnsi="宋体" w:eastAsia="宋体" w:cs="宋体"/>
                <w:kern w:val="0"/>
                <w:sz w:val="24"/>
                <w:szCs w:val="24"/>
                <w:highlight w:val="none"/>
              </w:rPr>
              <w:t>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318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2</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16</w:t>
            </w:r>
            <w:r>
              <w:rPr>
                <w:rFonts w:hint="eastAsia" w:ascii="宋体" w:hAnsi="宋体" w:eastAsia="宋体" w:cs="宋体"/>
                <w:kern w:val="0"/>
                <w:sz w:val="24"/>
                <w:szCs w:val="24"/>
                <w:highlight w:val="none"/>
              </w:rPr>
              <w:t>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318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3</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18</w:t>
            </w:r>
            <w:r>
              <w:rPr>
                <w:rFonts w:hint="eastAsia" w:ascii="宋体" w:hAnsi="宋体" w:eastAsia="宋体" w:cs="宋体"/>
                <w:kern w:val="0"/>
                <w:sz w:val="24"/>
                <w:szCs w:val="24"/>
                <w:highlight w:val="none"/>
              </w:rPr>
              <w:t>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318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4</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DN200排水管道点状原位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52</w:t>
            </w:r>
          </w:p>
        </w:tc>
        <w:tc>
          <w:tcPr>
            <w:tcW w:w="318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2925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5</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DN2</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318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2925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6</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2925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7</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DN300排水管道点状原位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404</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2925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8</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DN400排水管道点状原位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47</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3218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9</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DN500排水管道点状原位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24</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3539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10</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DN600排水管道点状原位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3815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700</w:t>
            </w:r>
            <w:r>
              <w:rPr>
                <w:rFonts w:hint="eastAsia" w:ascii="宋体" w:hAnsi="宋体" w:eastAsia="宋体" w:cs="宋体"/>
                <w:kern w:val="0"/>
                <w:sz w:val="24"/>
                <w:szCs w:val="24"/>
                <w:highlight w:val="none"/>
              </w:rPr>
              <w:t>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5072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34</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5301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13</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900</w:t>
            </w:r>
            <w:r>
              <w:rPr>
                <w:rFonts w:hint="eastAsia" w:ascii="宋体" w:hAnsi="宋体" w:eastAsia="宋体" w:cs="宋体"/>
                <w:kern w:val="0"/>
                <w:sz w:val="24"/>
                <w:szCs w:val="24"/>
                <w:highlight w:val="none"/>
              </w:rPr>
              <w:t>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6371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14</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DN1000排水管道点状原位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7318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8457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16</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DN1</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8457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17</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DN1</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8457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18</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4312" w:type="dxa"/>
            <w:gridSpan w:val="2"/>
            <w:noWrap w:val="0"/>
            <w:vAlign w:val="center"/>
          </w:tcPr>
          <w:p>
            <w:pPr>
              <w:widowControl/>
              <w:adjustRightInd/>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kern w:val="0"/>
                <w:sz w:val="24"/>
                <w:szCs w:val="24"/>
                <w:highlight w:val="none"/>
                <w:lang w:val="en-US" w:eastAsia="zh-CN" w:bidi="ar-SA"/>
              </w:rPr>
              <w:t>1994223元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65" w:hRule="atLeast"/>
          <w:jc w:val="center"/>
        </w:trPr>
        <w:tc>
          <w:tcPr>
            <w:tcW w:w="9321" w:type="dxa"/>
            <w:gridSpan w:val="4"/>
            <w:noWrap w:val="0"/>
            <w:vAlign w:val="center"/>
          </w:tcPr>
          <w:p>
            <w:pPr>
              <w:widowControl/>
              <w:adjustRightInd/>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病害点数量仅为预估数据，具体根据排查情况由采购人派单后予以实施，请各供应商按上述数量作为投标依据进行报价，实际操作中，数量及点位可能有所调整，请各供应商理解，风险自负，结算时根据中标单价按实结算。</w:t>
            </w:r>
          </w:p>
          <w:p>
            <w:pPr>
              <w:widowControl/>
              <w:adjustRightInd/>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2、具体详见工程量清单（附后）。</w:t>
            </w:r>
          </w:p>
        </w:tc>
      </w:tr>
    </w:tbl>
    <w:p>
      <w:pPr>
        <w:widowControl w:val="0"/>
        <w:spacing w:after="120" w:afterLines="0"/>
        <w:ind w:left="0" w:leftChars="0"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标项二：</w:t>
      </w:r>
    </w:p>
    <w:p>
      <w:pPr>
        <w:widowControl w:val="0"/>
        <w:spacing w:after="120" w:afterLines="0"/>
        <w:ind w:left="0" w:leftChars="0"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西门街道、月湖街道、望春街道、南门街道、白云街道</w:t>
      </w:r>
    </w:p>
    <w:tbl>
      <w:tblPr>
        <w:tblStyle w:val="62"/>
        <w:tblW w:w="932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3"/>
        <w:gridCol w:w="4156"/>
        <w:gridCol w:w="1127"/>
        <w:gridCol w:w="31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服务内容</w:t>
            </w:r>
          </w:p>
        </w:tc>
        <w:tc>
          <w:tcPr>
            <w:tcW w:w="1127"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数量（处）</w:t>
            </w:r>
          </w:p>
        </w:tc>
        <w:tc>
          <w:tcPr>
            <w:tcW w:w="318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综合单价最高限价（元/处）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110</w:t>
            </w:r>
            <w:r>
              <w:rPr>
                <w:rFonts w:hint="eastAsia" w:ascii="宋体" w:hAnsi="宋体" w:eastAsia="宋体" w:cs="宋体"/>
                <w:kern w:val="0"/>
                <w:sz w:val="24"/>
                <w:szCs w:val="24"/>
                <w:highlight w:val="none"/>
              </w:rPr>
              <w:t>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318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2</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16</w:t>
            </w:r>
            <w:r>
              <w:rPr>
                <w:rFonts w:hint="eastAsia" w:ascii="宋体" w:hAnsi="宋体" w:eastAsia="宋体" w:cs="宋体"/>
                <w:kern w:val="0"/>
                <w:sz w:val="24"/>
                <w:szCs w:val="24"/>
                <w:highlight w:val="none"/>
              </w:rPr>
              <w:t>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318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3</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18</w:t>
            </w:r>
            <w:r>
              <w:rPr>
                <w:rFonts w:hint="eastAsia" w:ascii="宋体" w:hAnsi="宋体" w:eastAsia="宋体" w:cs="宋体"/>
                <w:kern w:val="0"/>
                <w:sz w:val="24"/>
                <w:szCs w:val="24"/>
                <w:highlight w:val="none"/>
              </w:rPr>
              <w:t>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318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4</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DN200排水管道点状原位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48</w:t>
            </w:r>
          </w:p>
        </w:tc>
        <w:tc>
          <w:tcPr>
            <w:tcW w:w="318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2925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5</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DN2</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50</w:t>
            </w:r>
          </w:p>
        </w:tc>
        <w:tc>
          <w:tcPr>
            <w:tcW w:w="318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2925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6</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0</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2925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7</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DN300排水管道点状原位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368</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2925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8</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DN400排水管道点状原位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56</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3218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9</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DN500排水管道点状原位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46</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3539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10</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DN600排水管道点状原位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52</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3815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700</w:t>
            </w:r>
            <w:r>
              <w:rPr>
                <w:rFonts w:hint="eastAsia" w:ascii="宋体" w:hAnsi="宋体" w:eastAsia="宋体" w:cs="宋体"/>
                <w:kern w:val="0"/>
                <w:sz w:val="24"/>
                <w:szCs w:val="24"/>
                <w:highlight w:val="none"/>
              </w:rPr>
              <w:t>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5072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5301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13</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900</w:t>
            </w:r>
            <w:r>
              <w:rPr>
                <w:rFonts w:hint="eastAsia" w:ascii="宋体" w:hAnsi="宋体" w:eastAsia="宋体" w:cs="宋体"/>
                <w:kern w:val="0"/>
                <w:sz w:val="24"/>
                <w:szCs w:val="24"/>
                <w:highlight w:val="none"/>
              </w:rPr>
              <w:t>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6371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14</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DN1000排水管道点状原位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7318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8457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16</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DN1</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8457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17</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DN1</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00排水管道点状原位</w:t>
            </w:r>
            <w:r>
              <w:rPr>
                <w:rFonts w:hint="eastAsia" w:ascii="宋体" w:hAnsi="宋体" w:eastAsia="宋体" w:cs="宋体"/>
                <w:kern w:val="0"/>
                <w:sz w:val="24"/>
                <w:szCs w:val="24"/>
                <w:highlight w:val="none"/>
                <w:lang w:bidi="ar"/>
              </w:rPr>
              <w:t>固化法修复</w:t>
            </w:r>
          </w:p>
        </w:tc>
        <w:tc>
          <w:tcPr>
            <w:tcW w:w="1127"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0</w:t>
            </w:r>
          </w:p>
        </w:tc>
        <w:tc>
          <w:tcPr>
            <w:tcW w:w="318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8457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53" w:type="dxa"/>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18</w:t>
            </w:r>
          </w:p>
        </w:tc>
        <w:tc>
          <w:tcPr>
            <w:tcW w:w="4156" w:type="dxa"/>
            <w:noWrap w:val="0"/>
            <w:vAlign w:val="center"/>
          </w:tcPr>
          <w:p>
            <w:pPr>
              <w:widowControl/>
              <w:adjustRightInd/>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4312" w:type="dxa"/>
            <w:gridSpan w:val="2"/>
            <w:noWrap w:val="0"/>
            <w:vAlign w:val="center"/>
          </w:tcPr>
          <w:p>
            <w:pPr>
              <w:widowControl/>
              <w:adjustRightInd/>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kern w:val="0"/>
                <w:sz w:val="24"/>
                <w:szCs w:val="24"/>
                <w:highlight w:val="none"/>
                <w:lang w:val="en-US" w:eastAsia="zh-CN"/>
              </w:rPr>
              <w:t>1999854</w:t>
            </w:r>
            <w:r>
              <w:rPr>
                <w:rFonts w:hint="eastAsia" w:ascii="宋体" w:hAnsi="宋体" w:eastAsia="宋体" w:cs="宋体"/>
                <w:kern w:val="0"/>
                <w:sz w:val="24"/>
                <w:szCs w:val="24"/>
                <w:highlight w:val="none"/>
                <w:lang w:val="en-US" w:eastAsia="zh-CN" w:bidi="ar-SA"/>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65" w:hRule="atLeast"/>
          <w:jc w:val="center"/>
        </w:trPr>
        <w:tc>
          <w:tcPr>
            <w:tcW w:w="9321" w:type="dxa"/>
            <w:gridSpan w:val="4"/>
            <w:noWrap w:val="0"/>
            <w:vAlign w:val="center"/>
          </w:tcPr>
          <w:p>
            <w:pPr>
              <w:widowControl/>
              <w:adjustRightInd/>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病害点数量仅为预估数据，具体根据排查情况由采购人派单后予以实施，请各供应商按上述数量作为投标依据进行报价，实际操作中，数量及点位可能有所调整，请各供应商理解，风险自负，结算时根据中标单价按实结算。</w:t>
            </w:r>
          </w:p>
          <w:p>
            <w:pPr>
              <w:widowControl/>
              <w:adjustRightInd/>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2、具体详见工程量清单（附后）。</w:t>
            </w:r>
          </w:p>
        </w:tc>
      </w:tr>
    </w:tbl>
    <w:p>
      <w:pPr>
        <w:keepNext w:val="0"/>
        <w:keepLines w:val="0"/>
        <w:pageBreakBefore w:val="0"/>
        <w:widowControl/>
        <w:tabs>
          <w:tab w:val="left" w:pos="1200"/>
        </w:tabs>
        <w:kinsoku/>
        <w:wordWrap/>
        <w:overflowPunct/>
        <w:topLinePunct w:val="0"/>
        <w:autoSpaceDE/>
        <w:autoSpaceDN/>
        <w:bidi w:val="0"/>
        <w:adjustRightInd w:val="0"/>
        <w:snapToGrid/>
        <w:spacing w:line="360" w:lineRule="auto"/>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三、服务要求及工程量</w:t>
      </w:r>
    </w:p>
    <w:p>
      <w:pPr>
        <w:keepNext w:val="0"/>
        <w:keepLines w:val="0"/>
        <w:pageBreakBefore w:val="0"/>
        <w:kinsoku/>
        <w:wordWrap/>
        <w:overflowPunct/>
        <w:topLinePunct w:val="0"/>
        <w:autoSpaceDE/>
        <w:autoSpaceDN/>
        <w:bidi w:val="0"/>
        <w:snapToGrid/>
        <w:spacing w:before="0" w:after="0" w:line="360" w:lineRule="auto"/>
        <w:ind w:firstLine="472" w:firstLineChars="196"/>
        <w:jc w:val="both"/>
        <w:textAlignment w:val="auto"/>
        <w:outlineLvl w:val="1"/>
        <w:rPr>
          <w:rFonts w:hint="eastAsia" w:ascii="宋体" w:hAnsi="宋体" w:eastAsia="宋体" w:cs="宋体"/>
          <w:b/>
          <w:bCs/>
          <w:kern w:val="28"/>
          <w:sz w:val="24"/>
          <w:szCs w:val="24"/>
          <w:highlight w:val="none"/>
          <w:lang w:val="en-US" w:eastAsia="zh-CN" w:bidi="ar-SA"/>
        </w:rPr>
      </w:pPr>
      <w:bookmarkStart w:id="30" w:name="_Toc44416677"/>
      <w:r>
        <w:rPr>
          <w:rFonts w:hint="eastAsia" w:ascii="宋体" w:hAnsi="宋体" w:eastAsia="宋体" w:cs="宋体"/>
          <w:b/>
          <w:bCs/>
          <w:kern w:val="28"/>
          <w:sz w:val="24"/>
          <w:szCs w:val="24"/>
          <w:highlight w:val="none"/>
          <w:lang w:val="en-US" w:eastAsia="zh-CN" w:bidi="ar-SA"/>
        </w:rPr>
        <w:t>1、</w:t>
      </w:r>
      <w:bookmarkStart w:id="31" w:name="_Toc442114407"/>
      <w:bookmarkStart w:id="32" w:name="_Toc448836284"/>
      <w:r>
        <w:rPr>
          <w:rFonts w:hint="eastAsia" w:ascii="宋体" w:hAnsi="宋体" w:eastAsia="宋体" w:cs="宋体"/>
          <w:b/>
          <w:bCs/>
          <w:kern w:val="28"/>
          <w:sz w:val="24"/>
          <w:szCs w:val="24"/>
          <w:highlight w:val="none"/>
          <w:lang w:val="en-US" w:eastAsia="zh-CN" w:bidi="ar-SA"/>
        </w:rPr>
        <w:t>技术规范及标准</w:t>
      </w:r>
      <w:bookmarkEnd w:id="30"/>
      <w:bookmarkEnd w:id="31"/>
      <w:bookmarkEnd w:id="32"/>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包括但不仅限于以下技术规范及标准：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1.1《城镇排水管道检测与评估技术规程》CJJ181-2012；</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1.2《城镇排水管道维护安全技术规程》CJJ6-2009；</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1.3《城镇排水管道非开挖修复更新工程技术规程》CJJ/T 210-2014；</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1.4《爆炸性环境 第1部分：设备 通用要求》GB/T 3836.1-2021；</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1.5《城镇排水管渠与泵站运行、维护及安全技术规程》CJJ 68-2016；</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1.6《建设工程文件归档规范（2019年版）》GB/T50328-2014；</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1.7《城市地下管线探测技术规程》CJJ 61-2017；</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1.8《中华人民共和国道路交通安全法》；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1.9其它需执行的国家相关标准、行业标准、地方标准或者其他标准、规范。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Cs/>
          <w:kern w:val="0"/>
          <w:sz w:val="24"/>
          <w:szCs w:val="24"/>
          <w:highlight w:val="none"/>
          <w:lang w:bidi="ar"/>
        </w:rPr>
      </w:pPr>
      <w:r>
        <w:rPr>
          <w:rFonts w:hint="eastAsia" w:ascii="宋体" w:hAnsi="宋体" w:eastAsia="宋体" w:cs="宋体"/>
          <w:bCs/>
          <w:kern w:val="0"/>
          <w:sz w:val="24"/>
          <w:szCs w:val="24"/>
          <w:highlight w:val="none"/>
          <w:lang w:bidi="ar"/>
        </w:rPr>
        <w:t>上述技术规范及标准若有最新的，按照最新标准执行。</w:t>
      </w:r>
    </w:p>
    <w:p>
      <w:pPr>
        <w:keepNext w:val="0"/>
        <w:keepLines w:val="0"/>
        <w:pageBreakBefore w:val="0"/>
        <w:kinsoku/>
        <w:wordWrap/>
        <w:overflowPunct/>
        <w:topLinePunct w:val="0"/>
        <w:autoSpaceDE/>
        <w:autoSpaceDN/>
        <w:bidi w:val="0"/>
        <w:snapToGrid/>
        <w:spacing w:before="0" w:after="0" w:line="360" w:lineRule="auto"/>
        <w:ind w:firstLine="472" w:firstLineChars="196"/>
        <w:jc w:val="both"/>
        <w:textAlignment w:val="auto"/>
        <w:outlineLvl w:val="1"/>
        <w:rPr>
          <w:rFonts w:hint="eastAsia" w:ascii="宋体" w:hAnsi="宋体" w:eastAsia="宋体" w:cs="宋体"/>
          <w:b/>
          <w:bCs/>
          <w:kern w:val="28"/>
          <w:sz w:val="24"/>
          <w:szCs w:val="24"/>
          <w:highlight w:val="none"/>
          <w:lang w:val="en-US" w:eastAsia="zh-CN" w:bidi="ar-SA"/>
        </w:rPr>
      </w:pPr>
      <w:bookmarkStart w:id="33" w:name="_Toc44416678"/>
      <w:r>
        <w:rPr>
          <w:rFonts w:hint="eastAsia" w:ascii="宋体" w:hAnsi="宋体" w:eastAsia="宋体" w:cs="宋体"/>
          <w:b/>
          <w:bCs/>
          <w:kern w:val="28"/>
          <w:sz w:val="24"/>
          <w:szCs w:val="24"/>
          <w:highlight w:val="none"/>
          <w:lang w:val="en-US" w:eastAsia="zh-CN" w:bidi="ar-SA"/>
        </w:rPr>
        <w:t>2、服务要求</w:t>
      </w:r>
      <w:bookmarkEnd w:id="33"/>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highlight w:val="none"/>
        </w:rPr>
      </w:pPr>
      <w:bookmarkStart w:id="34" w:name="_Toc44416679"/>
      <w:r>
        <w:rPr>
          <w:rFonts w:hint="eastAsia" w:ascii="宋体" w:hAnsi="宋体" w:eastAsia="宋体" w:cs="宋体"/>
          <w:b/>
          <w:bCs/>
          <w:kern w:val="0"/>
          <w:sz w:val="24"/>
          <w:szCs w:val="24"/>
          <w:highlight w:val="none"/>
        </w:rPr>
        <w:t>2.1总体要求</w:t>
      </w:r>
      <w:bookmarkEnd w:id="34"/>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2.1.1本项目须达到一次性验收合格。若达不到质量要求的应予以返工，直至达到要求为止，返工所需人力、物力、工期延误等均由中标人负责。</w:t>
      </w:r>
    </w:p>
    <w:p>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2.1.2项目实施过程中围栏围护、老管道内沉积的污泥由中标人负责疏通、清淤，疏通、清淤产生的淤泥由中标人负责外运。污泥的倾倒及倾倒地点需符合各主管部门的要求并提供相关资料到采购人地方备案，如出现因污泥乱倾倒被主管部门处罚的，责任与后果由中标人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2.1.3非开挖修复前和非开挖修复完成后，中标人须用CCTV设备进行管道内窥检测，并形成修前修后管道视频资料。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2.1.4项目完成后，中标人须提供《管道修复报告》（3份纸质稿及1份电子稿）及修复前和修复后各作业管道的视频资料给采购人。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2.1.5供应商应详细了解本项目情况并到项目现场踏勘以充分了解项目中各管道的情况、道路情况、地理位置以及其他任何足以影响本次报价的内容情况，任何因供应商忽视或误解项目现场情况而造成的费用增加、索赔或工期延长的申请均不获批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2.1.6项目验收时，采购人可委托第三方机构进行抽样验收，抽检管段信息将与供应商提交信息进行比对，如发现造假、修复质量不合格等行为，采购人有权终止合同，并追究中标人相关法律责任，抽样数量由采购人确定（不少于总工程量的10%），费用由中标人自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2.1.7供应商须承诺其他本项目服务要求以外的内容满足《城镇排水管道非开挖修复更新工程技术规程》等国家相关标准、行业标准、地方标准或者其他标准、规范的要求。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highlight w:val="none"/>
        </w:rPr>
      </w:pPr>
      <w:bookmarkStart w:id="35" w:name="_Toc44416680"/>
      <w:r>
        <w:rPr>
          <w:rFonts w:hint="eastAsia" w:ascii="宋体" w:hAnsi="宋体" w:eastAsia="宋体" w:cs="宋体"/>
          <w:b/>
          <w:bCs/>
          <w:kern w:val="0"/>
          <w:sz w:val="24"/>
          <w:szCs w:val="24"/>
          <w:highlight w:val="none"/>
        </w:rPr>
        <w:t>2.2点状原位固化法施工技术要求</w:t>
      </w:r>
      <w:bookmarkEnd w:id="35"/>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2.2.1内衬管的长度应能覆盖待修复缺陷，且前后应比待修复缺陷至少长200mm；</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2.2.2浸渍树脂应符合下列规定: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（1）当采用常温固化树脂时，树脂的固化时间宜为2h~4h,且不得小于1h；</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（2）树脂的浸渍宜按《城镇排水管道非开挖修复更新工程技术规程》CJJ/T 210-2014规程第6.4节的规定进行，或根据实际情况采取特殊的浸渍工艺；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（3）软管浸渍完成后， 应立即进行修复施工，否则应将软管保存在适宜的温度下，且不应受灰尘等杂物污染。</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2.2.3软管的安装应符合下列规定: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（1）软管应绑扎在可膨胀的气囊上，气囊应由弹性材料制成，并应能承受一定的水压或气压，应有良好的密封性能；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（2）通过气囊或小车将浸渍树脂软管运送到待修复位置，并应采用电视检测(CCTV)设备实时监测、辅助定位；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（3）气囊的工作压力和修补管径范围应符合气囊设备规定的技术要求。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2.2.4软管的膨胀及固化应符合下列规定: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（1）当采用常温固化树脂时，气囊宜充</w:t>
      </w:r>
      <w:r>
        <w:rPr>
          <w:rFonts w:hint="eastAsia" w:ascii="宋体" w:hAnsi="宋体" w:eastAsia="宋体" w:cs="宋体"/>
          <w:kern w:val="0"/>
          <w:sz w:val="24"/>
          <w:szCs w:val="24"/>
          <w:highlight w:val="none"/>
          <w:lang w:val="en-US" w:eastAsia="zh-CN"/>
        </w:rPr>
        <w:t>入</w:t>
      </w:r>
      <w:r>
        <w:rPr>
          <w:rFonts w:hint="eastAsia" w:ascii="宋体" w:hAnsi="宋体" w:eastAsia="宋体" w:cs="宋体"/>
          <w:kern w:val="0"/>
          <w:sz w:val="24"/>
          <w:szCs w:val="24"/>
          <w:highlight w:val="none"/>
        </w:rPr>
        <w:t>空气进行膨胀；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（2）当采用加热固化树脂时，应先采用空气或水使软管膨胀，再置换成热蒸汽或热水进行固化；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（3）气囊内气体或水的压力应能保证软管紧贴原有管道内壁，但不得超过软管材料所能承受的最大压力；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（4）当采用常温固化树脂体系时，应根据修复段的直径、长度和现场条件确定固化时间；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（5）当采用加热固化树脂体系时，应按《城镇排水管道非开挖修复更新工程技术规程》CJJ/T 210-2014规程第6.4节的规定进行操作；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（6）固化完成后应缓慢释放气囊内的气体；当采用加热固化法，应先将气囊内气体或水的温度降到38°后，然后缓慢释放气囊内的气体或水。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2.2.5点状原位固化法应对树脂用量、软管浸渍停留时间和使用长度、气囊压力、软管固化温度、时间和压力以及内衬管冷却温度、时间、压力等进行记录和检验。</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highlight w:val="none"/>
        </w:rPr>
      </w:pPr>
      <w:bookmarkStart w:id="36" w:name="_Toc44416681"/>
      <w:r>
        <w:rPr>
          <w:rFonts w:hint="eastAsia" w:ascii="宋体" w:hAnsi="宋体" w:eastAsia="宋体" w:cs="宋体"/>
          <w:b/>
          <w:bCs/>
          <w:kern w:val="0"/>
          <w:sz w:val="24"/>
          <w:szCs w:val="24"/>
          <w:highlight w:val="none"/>
        </w:rPr>
        <w:t>2.3原位固化法施工验收要求</w:t>
      </w:r>
      <w:bookmarkEnd w:id="36"/>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2.3.1城镇排水管道非开挖修复更新工程质量验收应符合现行国家标准《给水排水管道工程施工及验收规范》GB 50268的有关规定。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2.3.2城镇排水管道非开挖修复更新工程竣工验收应符合下列规定：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（1）单位工程、分部工程、分项工程及其分项工程验收批的质量验收应全部合格；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（2）工程质量控制资料应完整；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（3）工程有关安全及使用功能的检测资料应完整；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（4）外观质量验收应符合要求。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2.3.3工程竣工验收的感观质量检查应包括下列内容：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（1）管道附属构筑物位置、外形、尺寸及渗漏水情况；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（2）管道位置、线形及渗漏水情况；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（3）合同、设计工程量的实际完成情况；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（4）检查井管口处理及渗漏水情况；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（5）相关排水管道的接入、流出及临时排水施工后处理等情况；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（6）沿线地面、周边环境情况。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2.3.4工程竣工验收的安全及使用功能检查应包括下列内容：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（1）工程内容、要求与设计文件相符情况；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（2）修复更新前、后的管道检测与评估情况；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（3）管道位置贯通测量情况；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（4）管道环向变形率情况；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（5）管道接口连接检测、修复更新有关施工检验记录等汇总管道功能性试验情况；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（6）涉及材料、结构等试件试验以及管材、型材试验的检验汇总情况；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（7）涉及土体加固、原有管道预处理以及相关管道系统临时措施恢复等情况。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2.3.5工程竣工验收的质量控制资料应包括下列内容：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（1）建设基本程序办理资料及开工报告；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（2）原有管道竣工图纸等相关资料，工程沿线勘察资料；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（3）修复更新前对原有管道的检测和评定报告及电视检测（CCTV) 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（4）设计施工图及施工组织设计（施工方案）；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（5）工程原材料、各类型材、管材等材料的质量合格证、性能检验报告、复试报告等质量保证资料；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（6）所有施工过程的施工记录及施工检验记录；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（7）所有分项工程验收批、分项工程、分部工程、单位工程的质量验收记录；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（8）修复更新后管道的检测和评定报告及电视检测（CCTV)记录；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（9）施工、监理、设计、检测等单位的工程竣工质量合格证明及总结报告；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（10）管道功能性试验（进行闭水、闭气试验或管道渗水调查检验）、管道位置贯通测量、管道环向变形率等涉及工程安全及使用功能的有关检测资料；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（11）相关工程会议纪要、设计变更、业务洽商等记录；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（12）质量事故、生产安全事故处理资料；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（13）工程竣工图和竣工报告等。</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highlight w:val="none"/>
        </w:rPr>
      </w:pPr>
      <w:bookmarkStart w:id="37" w:name="_Toc44416682"/>
      <w:r>
        <w:rPr>
          <w:rFonts w:hint="eastAsia" w:ascii="宋体" w:hAnsi="宋体" w:eastAsia="宋体" w:cs="宋体"/>
          <w:b/>
          <w:bCs/>
          <w:kern w:val="0"/>
          <w:sz w:val="24"/>
          <w:szCs w:val="24"/>
          <w:highlight w:val="none"/>
        </w:rPr>
        <w:t>2.4人员及设备要求</w:t>
      </w:r>
      <w:bookmarkEnd w:id="37"/>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2.4.1在合同履行期间，中标人须配备足够的人员和设备，合理排班，保质保量完成本项目服务。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2.4.2人员配备要求：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（1）拟派项目负责人须具有市政公用工程专业二级及以上注册建造师资格证书，并具有有效的安全生产考核合格证书（B证）（投标文件中提供资质证书复印件及项目负责人于开标前近3个月</w:t>
      </w:r>
      <w:r>
        <w:rPr>
          <w:rFonts w:hint="eastAsia" w:ascii="宋体" w:hAnsi="宋体" w:eastAsia="宋体" w:cs="宋体"/>
          <w:kern w:val="0"/>
          <w:sz w:val="24"/>
          <w:szCs w:val="24"/>
          <w:highlight w:val="none"/>
          <w:lang w:val="en-US" w:eastAsia="zh-CN"/>
        </w:rPr>
        <w:t>任意一个月</w:t>
      </w:r>
      <w:r>
        <w:rPr>
          <w:rFonts w:hint="eastAsia" w:ascii="宋体" w:hAnsi="宋体" w:eastAsia="宋体" w:cs="宋体"/>
          <w:kern w:val="0"/>
          <w:sz w:val="24"/>
          <w:szCs w:val="24"/>
          <w:highlight w:val="none"/>
        </w:rPr>
        <w:t>的社保证明复印件）；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（2）安全负责人须具备专职安全生产管理员证书（C证），须持证上岗，作业期间须到岗、到位。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上人员必须一人一岗，不得兼职。供应商应重视安全作业，除做好拟派人员的安全生产教育和培训外，还应为员工提供必要的劳动保护条件，作业期间出现安全事故或交通事故等事故的由中标人承担，与采购人无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2.4.3设备配备要求：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供应商需为本项目至少配备的设备有：</w:t>
      </w:r>
      <w:r>
        <w:rPr>
          <w:rFonts w:hint="eastAsia" w:ascii="宋体" w:hAnsi="宋体" w:eastAsia="宋体" w:cs="宋体"/>
          <w:bCs/>
          <w:kern w:val="0"/>
          <w:sz w:val="24"/>
          <w:szCs w:val="24"/>
          <w:highlight w:val="none"/>
        </w:rPr>
        <w:t>CCTV管道内窥检测设备、管道封堵设备（含</w:t>
      </w:r>
      <w:r>
        <w:rPr>
          <w:rFonts w:hint="eastAsia" w:ascii="宋体" w:hAnsi="宋体" w:eastAsia="宋体" w:cs="宋体"/>
          <w:bCs/>
          <w:kern w:val="0"/>
          <w:sz w:val="24"/>
          <w:szCs w:val="24"/>
          <w:highlight w:val="none"/>
          <w:lang w:val="en-US" w:eastAsia="zh-CN"/>
        </w:rPr>
        <w:t>DN110、DN180、</w:t>
      </w:r>
      <w:r>
        <w:rPr>
          <w:rFonts w:hint="eastAsia" w:ascii="宋体" w:hAnsi="宋体" w:eastAsia="宋体" w:cs="宋体"/>
          <w:bCs/>
          <w:kern w:val="0"/>
          <w:sz w:val="24"/>
          <w:szCs w:val="24"/>
          <w:highlight w:val="none"/>
        </w:rPr>
        <w:t>DN200、</w:t>
      </w:r>
      <w:r>
        <w:rPr>
          <w:rFonts w:hint="eastAsia" w:ascii="宋体" w:hAnsi="宋体" w:eastAsia="宋体" w:cs="宋体"/>
          <w:bCs/>
          <w:kern w:val="0"/>
          <w:sz w:val="24"/>
          <w:szCs w:val="24"/>
          <w:highlight w:val="none"/>
          <w:lang w:val="en-US" w:eastAsia="zh-CN"/>
        </w:rPr>
        <w:t>DN225、</w:t>
      </w:r>
      <w:r>
        <w:rPr>
          <w:rFonts w:hint="eastAsia" w:ascii="宋体" w:hAnsi="宋体" w:eastAsia="宋体" w:cs="宋体"/>
          <w:bCs/>
          <w:kern w:val="0"/>
          <w:sz w:val="24"/>
          <w:szCs w:val="24"/>
          <w:highlight w:val="none"/>
        </w:rPr>
        <w:t>DN300、DN400、DN500、DN600、DN700、DN800、DN900、DN1000、DN1200</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lang w:val="en-US" w:eastAsia="zh-CN"/>
        </w:rPr>
        <w:t>DN1400</w:t>
      </w:r>
      <w:r>
        <w:rPr>
          <w:rFonts w:hint="eastAsia" w:ascii="宋体" w:hAnsi="宋体" w:eastAsia="宋体" w:cs="宋体"/>
          <w:bCs/>
          <w:kern w:val="0"/>
          <w:sz w:val="24"/>
          <w:szCs w:val="24"/>
          <w:highlight w:val="none"/>
        </w:rPr>
        <w:t>）、管道非开挖修复器（修复气囊）、毒气检测仪、应急电源车设备、疏通车、吸污车、修复期间临时排水泵车设备等</w:t>
      </w: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b/>
          <w:kern w:val="0"/>
          <w:sz w:val="24"/>
          <w:szCs w:val="24"/>
          <w:highlight w:val="none"/>
        </w:rPr>
        <w:t>设备允许在中标后进行配置，其中CCTV管道内窥检测设备、管道封堵设备（</w:t>
      </w:r>
      <w:r>
        <w:rPr>
          <w:rFonts w:hint="eastAsia" w:ascii="宋体" w:hAnsi="宋体" w:eastAsia="宋体" w:cs="宋体"/>
          <w:bCs/>
          <w:kern w:val="0"/>
          <w:sz w:val="24"/>
          <w:szCs w:val="24"/>
          <w:highlight w:val="none"/>
        </w:rPr>
        <w:t>含DN110、DN180、DN200、DN225、DN300、DN400、DN500、DN600、DN700、DN800、DN900、DN1000、DN1200、DN1400</w:t>
      </w:r>
      <w:r>
        <w:rPr>
          <w:rFonts w:hint="eastAsia" w:ascii="宋体" w:hAnsi="宋体" w:eastAsia="宋体" w:cs="宋体"/>
          <w:b/>
          <w:kern w:val="0"/>
          <w:sz w:val="24"/>
          <w:szCs w:val="24"/>
          <w:highlight w:val="none"/>
        </w:rPr>
        <w:t>）、管道非开挖修复器（修复气囊）、毒气检测仪、应急电源车设备、修复期间临时排水泵车设备必须自有，疏通车、吸污车可租赁或自有，但必须根据采购人要求在开工期前全部配置完毕。（投标文件中须提供相关承诺书</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格式自拟</w:t>
      </w:r>
      <w:r>
        <w:rPr>
          <w:rFonts w:hint="eastAsia" w:ascii="宋体" w:hAnsi="宋体" w:eastAsia="宋体" w:cs="宋体"/>
          <w:b/>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2.4.4本项目实施过程中供应商须对其责任范围内出现的质量问题负责，并承担全部相关费用（如索赔、损失等）。</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highlight w:val="none"/>
        </w:rPr>
      </w:pPr>
      <w:bookmarkStart w:id="38" w:name="_Toc44416683"/>
      <w:r>
        <w:rPr>
          <w:rFonts w:hint="eastAsia" w:ascii="宋体" w:hAnsi="宋体" w:eastAsia="宋体" w:cs="宋体"/>
          <w:b/>
          <w:bCs/>
          <w:kern w:val="0"/>
          <w:sz w:val="24"/>
          <w:szCs w:val="24"/>
          <w:highlight w:val="none"/>
        </w:rPr>
        <w:t>2.5安全、文明施工及环境保护</w:t>
      </w:r>
      <w:bookmarkEnd w:id="38"/>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2.5.1为了在施工期间确保施工区域周围环境的整洁和交通正常进行，供应商必须按宁波市、区有关规定，做到“两通三无五必须”，在投标文件中提供安全生产具体措施及文明施工措施。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2.5.2中标人在签订合同的时，须与采购人签订安全生产和文明施工协议书，中标人违反规定野蛮施工的采购人有权停工整顿，一切损失由中标人负责。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2.5.3中标人需对作业人员进行安全操作规程教育，包括作业期间可能出现的交通事故等。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2.5.4中标人在施工过程中应采取保护措施，防止管线受损，其费用包含在投标总价中。若因中标人原因产生的管线损坏；影响公共安全和公共环境；采购人将按直接损失双倍金额对中标人进行扣罚。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2.5.5中标人在作业期间，应严格按照国务令第393号《建筑工程安全生产管理条例》中的规定和经批准的施工组织设计中的安全技术措施进行安全生产管理。必须设立安全生产管理机构，配备专职安全生产管理人员和足够数量的安全设备，建立并落实安全生产方面的制度和措施，并报采购人、监理单位（如有）及有关主管部门。本项目安全生产管理目标：无重大伤亡事故，无重大设备事故。供应商在投标文件中自行提供安全生产管理目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2.5.6中标人若需夜间施工的，须有切实可行的施工方案和相关预案，确保安全、文明施工，不发生扰民现象。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2.5.7噪声：中标人不得在夜间进行高噪音的机械作业，并应通过有效的管理及技术手段，控制噪音。</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2.5.8中标人违反上述情形之一的，视为违约，采购人将对中标人进行处罚，处罚金额为合同总价的1%。</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highlight w:val="none"/>
        </w:rPr>
      </w:pPr>
      <w:bookmarkStart w:id="39" w:name="_Toc44416684"/>
      <w:r>
        <w:rPr>
          <w:rFonts w:hint="eastAsia" w:ascii="宋体" w:hAnsi="宋体" w:eastAsia="宋体" w:cs="宋体"/>
          <w:b/>
          <w:bCs/>
          <w:kern w:val="0"/>
          <w:sz w:val="24"/>
          <w:szCs w:val="24"/>
          <w:highlight w:val="none"/>
        </w:rPr>
        <w:t>3、工程量清单</w:t>
      </w:r>
      <w:bookmarkEnd w:id="39"/>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详细路段和管径及点位数详见</w:t>
      </w:r>
      <w:r>
        <w:rPr>
          <w:rFonts w:hint="eastAsia" w:ascii="宋体" w:hAnsi="宋体" w:cs="宋体"/>
          <w:kern w:val="0"/>
          <w:sz w:val="24"/>
          <w:szCs w:val="24"/>
          <w:highlight w:val="none"/>
          <w:lang w:val="en-US" w:eastAsia="zh-CN"/>
        </w:rPr>
        <w:t>工程量清单</w:t>
      </w:r>
      <w:r>
        <w:rPr>
          <w:rFonts w:hint="eastAsia" w:ascii="宋体" w:hAnsi="宋体" w:eastAsia="宋体" w:cs="宋体"/>
          <w:kern w:val="0"/>
          <w:sz w:val="24"/>
          <w:szCs w:val="24"/>
          <w:highlight w:val="none"/>
        </w:rPr>
        <w:t>。</w:t>
      </w:r>
    </w:p>
    <w:p>
      <w:pPr>
        <w:keepNext w:val="0"/>
        <w:keepLines w:val="0"/>
        <w:pageBreakBefore w:val="0"/>
        <w:widowControl/>
        <w:tabs>
          <w:tab w:val="left" w:pos="1200"/>
        </w:tabs>
        <w:kinsoku/>
        <w:wordWrap/>
        <w:overflowPunct/>
        <w:topLinePunct w:val="0"/>
        <w:autoSpaceDE/>
        <w:autoSpaceDN/>
        <w:bidi w:val="0"/>
        <w:adjustRightInd w:val="0"/>
        <w:snapToGrid/>
        <w:spacing w:line="360" w:lineRule="auto"/>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四、项目相关要求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bookmarkStart w:id="40" w:name="_Toc378090017"/>
      <w:bookmarkStart w:id="41" w:name="_Toc334101538"/>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1、中标人必须为全体作业人员购买社保及人身意外险，必须重视安全生产工作，确保不出安全生产责任事故。在作业过程中如发生人员伤亡的安全生产责任事故或交通事故，由中标人承担一切责任及损失，采购人有权终止合同。</w:t>
      </w:r>
      <w:bookmarkEnd w:id="40"/>
      <w:bookmarkEnd w:id="41"/>
      <w:r>
        <w:rPr>
          <w:rFonts w:hint="eastAsia" w:ascii="宋体" w:hAnsi="宋体" w:eastAsia="宋体" w:cs="宋体"/>
          <w:kern w:val="0"/>
          <w:sz w:val="24"/>
          <w:szCs w:val="24"/>
          <w:highlight w:val="none"/>
        </w:rPr>
        <w:t>投标文件中须提供承诺书，格式自拟。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2、服务期间中标人不得随意更换项目经理，如有特殊情况需要更换，须提前书面上报采购人，且更换的项目经理仍需满足本招标文件要求，经采购人确认同意后方可执行。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bookmarkStart w:id="42" w:name="_Toc334101539"/>
      <w:bookmarkStart w:id="43" w:name="_Toc378090018"/>
      <w:r>
        <w:rPr>
          <w:rFonts w:hint="eastAsia" w:ascii="宋体" w:hAnsi="宋体" w:eastAsia="宋体" w:cs="宋体"/>
          <w:kern w:val="0"/>
          <w:sz w:val="24"/>
          <w:szCs w:val="24"/>
          <w:highlight w:val="none"/>
        </w:rPr>
        <w:t>3、</w:t>
      </w:r>
      <w:bookmarkEnd w:id="42"/>
      <w:bookmarkEnd w:id="43"/>
      <w:r>
        <w:rPr>
          <w:rFonts w:hint="eastAsia" w:ascii="宋体" w:hAnsi="宋体" w:eastAsia="宋体" w:cs="宋体"/>
          <w:kern w:val="0"/>
          <w:sz w:val="24"/>
          <w:szCs w:val="24"/>
          <w:highlight w:val="none"/>
        </w:rPr>
        <w:t>中标人须制定完整、可行、详细的养护实施方案，明确组织机构、人员配备、检测要求、质量标准、检查考核办法、安全措施、奖惩措施、应急预案等。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4、具体合同履行要求及涉及合同无法正常履行的责任和处罚方式等一切与合同履行相关的约定以采购人与中标人签订的合同为准。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5、管道非开挖修复后需对管道进行检测，检测费用须包含在投标报价中。</w:t>
      </w:r>
    </w:p>
    <w:p>
      <w:pPr>
        <w:keepNext w:val="0"/>
        <w:keepLines w:val="0"/>
        <w:pageBreakBefore w:val="0"/>
        <w:widowControl/>
        <w:tabs>
          <w:tab w:val="left" w:pos="1200"/>
        </w:tabs>
        <w:kinsoku/>
        <w:wordWrap/>
        <w:overflowPunct/>
        <w:topLinePunct w:val="0"/>
        <w:autoSpaceDE/>
        <w:autoSpaceDN/>
        <w:bidi w:val="0"/>
        <w:adjustRightInd w:val="0"/>
        <w:snapToGrid/>
        <w:spacing w:line="360" w:lineRule="auto"/>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五、违约责任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Cs w:val="22"/>
          <w:highlight w:val="none"/>
          <w:lang w:eastAsia="zh-CN"/>
        </w:rPr>
        <w:sectPr>
          <w:pgSz w:w="11906" w:h="16838"/>
          <w:pgMar w:top="1400" w:right="1587" w:bottom="1587" w:left="1587" w:header="850" w:footer="992" w:gutter="0"/>
          <w:pgNumType w:fmt="decimal"/>
          <w:cols w:space="720" w:num="1"/>
          <w:titlePg/>
          <w:docGrid w:type="lines" w:linePitch="323" w:charSpace="0"/>
        </w:sectPr>
      </w:pPr>
      <w:r>
        <w:rPr>
          <w:rFonts w:hint="eastAsia" w:ascii="宋体" w:hAnsi="宋体" w:eastAsia="宋体" w:cs="宋体"/>
          <w:kern w:val="0"/>
          <w:sz w:val="24"/>
          <w:szCs w:val="24"/>
          <w:highlight w:val="none"/>
        </w:rPr>
        <w:t>1、延误合同工期赔偿标准为1000元/天</w:t>
      </w:r>
      <w:r>
        <w:rPr>
          <w:rFonts w:hint="eastAsia" w:ascii="宋体" w:hAnsi="宋体" w:eastAsia="宋体" w:cs="宋体"/>
          <w:kern w:val="0"/>
          <w:sz w:val="24"/>
          <w:szCs w:val="24"/>
          <w:highlight w:val="none"/>
          <w:lang w:eastAsia="zh-CN"/>
        </w:rPr>
        <w:t>。</w:t>
      </w:r>
    </w:p>
    <w:p>
      <w:pPr>
        <w:widowControl w:val="0"/>
        <w:spacing w:after="120" w:afterLines="0"/>
        <w:ind w:left="0" w:leftChars="0" w:firstLine="0" w:firstLineChars="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标项一工程量清单：</w:t>
      </w:r>
    </w:p>
    <w:tbl>
      <w:tblPr>
        <w:tblStyle w:val="62"/>
        <w:tblW w:w="16416"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5"/>
        <w:gridCol w:w="450"/>
        <w:gridCol w:w="600"/>
        <w:gridCol w:w="720"/>
        <w:gridCol w:w="493"/>
        <w:gridCol w:w="493"/>
        <w:gridCol w:w="493"/>
        <w:gridCol w:w="493"/>
        <w:gridCol w:w="493"/>
        <w:gridCol w:w="493"/>
        <w:gridCol w:w="493"/>
        <w:gridCol w:w="493"/>
        <w:gridCol w:w="493"/>
        <w:gridCol w:w="493"/>
        <w:gridCol w:w="493"/>
        <w:gridCol w:w="493"/>
        <w:gridCol w:w="493"/>
        <w:gridCol w:w="493"/>
        <w:gridCol w:w="493"/>
        <w:gridCol w:w="493"/>
        <w:gridCol w:w="493"/>
        <w:gridCol w:w="493"/>
        <w:gridCol w:w="493"/>
        <w:gridCol w:w="493"/>
        <w:gridCol w:w="493"/>
        <w:gridCol w:w="493"/>
        <w:gridCol w:w="493"/>
        <w:gridCol w:w="493"/>
        <w:gridCol w:w="493"/>
        <w:gridCol w:w="493"/>
        <w:gridCol w:w="493"/>
        <w:gridCol w:w="493"/>
        <w:gridCol w:w="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序号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街道</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路名</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起止点</w:t>
            </w:r>
          </w:p>
        </w:tc>
        <w:tc>
          <w:tcPr>
            <w:tcW w:w="591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污水管径（DN）</w:t>
            </w:r>
          </w:p>
        </w:tc>
        <w:tc>
          <w:tcPr>
            <w:tcW w:w="838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雨水管径（DN）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公园路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呼童街-解放北路</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药局巷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中山东路-和义路</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德威斯医院西北侧道路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横河街-永丰路</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开明街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中山东路-和义路</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中宪巷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望京路-孝闻街</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效实巷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文昌街29弄-中宪巷</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和义路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中山东路-解放北路</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县前街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解放北路-药局巷</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孝闻巷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孝闻街-西北街</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广仁街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孝闻街-大桥街</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国医街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中山东路-和义路</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横河街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永丰路-孝闻街</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蔡家巷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中山西路-府桥街</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鼓楼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大桥街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永丰路-苍水街</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段塘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南苑街528弄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新典路-南苑街</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段塘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南苑街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通达路-鄞奉路</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段塘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启运路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通达路-环城西路</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段塘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醇德巷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芝兰堰路-南塘河</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段塘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鄞奉路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新典路-环城西路</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段塘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兰芝堰路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段塘东路-南苑街</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37</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数量合计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219</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单价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3218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3539</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3815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5301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7318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8457</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3218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3539</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3815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5072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5301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6371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7318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8457</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8457</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金额合计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102375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14625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541125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67578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7078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8457</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49725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17550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640575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83668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77858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19075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10144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180234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43908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16914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42285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59199</w:t>
            </w:r>
          </w:p>
        </w:tc>
      </w:tr>
    </w:tbl>
    <w:p>
      <w:pPr>
        <w:widowControl w:val="0"/>
        <w:spacing w:after="120" w:afterLines="0"/>
        <w:ind w:left="0" w:leftChars="0" w:firstLine="0" w:firstLineChars="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b/>
          <w:bCs/>
          <w:kern w:val="0"/>
          <w:sz w:val="24"/>
          <w:szCs w:val="24"/>
          <w:highlight w:val="none"/>
        </w:rPr>
        <w:t>注：以上清单点位位置及数量仅供参考，实际施工以甲方要求为准。数量为暂定数量，最终按实结算。</w:t>
      </w:r>
    </w:p>
    <w:p>
      <w:pPr>
        <w:widowControl/>
        <w:adjustRightInd/>
        <w:spacing w:line="312" w:lineRule="auto"/>
        <w:jc w:val="left"/>
        <w:rPr>
          <w:rFonts w:hint="eastAsia" w:ascii="宋体" w:hAnsi="宋体" w:eastAsia="宋体" w:cs="宋体"/>
          <w:kern w:val="0"/>
          <w:szCs w:val="22"/>
          <w:highlight w:val="none"/>
        </w:rPr>
      </w:pPr>
    </w:p>
    <w:p>
      <w:pPr>
        <w:widowControl w:val="0"/>
        <w:spacing w:after="120" w:afterLines="0"/>
        <w:ind w:left="0" w:leftChars="0" w:firstLine="0" w:firstLineChars="0"/>
        <w:jc w:val="both"/>
        <w:rPr>
          <w:rFonts w:hint="eastAsia" w:ascii="宋体" w:hAnsi="宋体" w:eastAsia="宋体" w:cs="宋体"/>
          <w:kern w:val="0"/>
          <w:sz w:val="21"/>
          <w:szCs w:val="22"/>
          <w:highlight w:val="none"/>
          <w:lang w:val="en-US" w:eastAsia="zh-CN" w:bidi="ar-SA"/>
        </w:rPr>
        <w:sectPr>
          <w:pgSz w:w="16838" w:h="11906" w:orient="landscape"/>
          <w:pgMar w:top="720" w:right="720" w:bottom="720" w:left="720" w:header="851" w:footer="992" w:gutter="0"/>
          <w:pgNumType w:fmt="decimal"/>
          <w:cols w:space="425" w:num="1"/>
          <w:docGrid w:type="lines" w:linePitch="312" w:charSpace="0"/>
        </w:sectPr>
      </w:pPr>
    </w:p>
    <w:p>
      <w:pPr>
        <w:widowControl w:val="0"/>
        <w:spacing w:after="120" w:afterLines="0"/>
        <w:ind w:left="0" w:leftChars="0" w:firstLine="0" w:firstLineChars="0"/>
        <w:jc w:val="both"/>
        <w:rPr>
          <w:rFonts w:hint="eastAsia" w:ascii="宋体" w:hAnsi="宋体" w:eastAsia="宋体" w:cs="宋体"/>
          <w:kern w:val="0"/>
          <w:sz w:val="21"/>
          <w:szCs w:val="22"/>
          <w:highlight w:val="none"/>
          <w:lang w:val="en-US" w:eastAsia="zh-CN" w:bidi="ar-SA"/>
        </w:rPr>
      </w:pPr>
      <w:r>
        <w:rPr>
          <w:rFonts w:hint="eastAsia" w:ascii="宋体" w:hAnsi="宋体" w:eastAsia="宋体" w:cs="宋体"/>
          <w:kern w:val="0"/>
          <w:sz w:val="21"/>
          <w:szCs w:val="22"/>
          <w:highlight w:val="none"/>
          <w:lang w:val="en-US" w:eastAsia="zh-CN" w:bidi="ar-SA"/>
        </w:rPr>
        <w:t>标项二工程量清单：</w:t>
      </w:r>
    </w:p>
    <w:tbl>
      <w:tblPr>
        <w:tblStyle w:val="62"/>
        <w:tblW w:w="16462"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5"/>
        <w:gridCol w:w="300"/>
        <w:gridCol w:w="587"/>
        <w:gridCol w:w="517"/>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序号</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街道</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路名</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起止点</w:t>
            </w:r>
          </w:p>
        </w:tc>
        <w:tc>
          <w:tcPr>
            <w:tcW w:w="610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污水管径（DN）</w:t>
            </w:r>
          </w:p>
        </w:tc>
        <w:tc>
          <w:tcPr>
            <w:tcW w:w="86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雨水管径（DN）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西门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体育场路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卖鱼路-工程学院大门</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西门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花池巷</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卖鱼路-布政巷</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西门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高塘路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永丰西路-西河街</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西门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后漕巷</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西河街-柳庄巷</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西门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胜丰路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文化路-文化巷</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西门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永丰西路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通途路-高塘路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月湖</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水仓巷</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中山西路-迎凤街</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月湖</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三支街</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长春路-镇明路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月湖</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县学街</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镇明路-解放南路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月湖</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迎凤街</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偃月街-解放南路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月湖</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陈家巷</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解放南路-镇明路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望春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新星路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后孙学校西侧-机场路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望春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新园路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望童路-中山西路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望春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徐家漕路99弄</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徐家漕路-望童路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15</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望春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真和大厦南侧道路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环城西路-丽园南路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16</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望春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中山西路1182弄</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中山西路-澄波街</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望春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环城西路北段188弄</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环城西路-弄底</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18</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望春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江星路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范江岸路-新星路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望春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金海路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悠云路-环城西路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南门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三板桥街</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长春路-马园路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21</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南门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老鄞奉路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灵桥路28弄-南永宁巷</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南门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柳汀街316弄</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柳汀街-柳汀新村</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南门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马园路支路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马园路-柳汀街316弄</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17</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南门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滨江公园</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祖关山路-永春巷</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南门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荣安世家北侧U型道路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南广场-三支街</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白云</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苍松路延伸段</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环城西路-夏禹路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白云</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地质大厦北侧道路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丽园南路-地质大厦东侧道路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28</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白云</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地质大厦东侧道路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夏禹路-气象路</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白云</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南雅街</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环城西路-海怡花园</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数量合计</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9</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39</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243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单价</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3218</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3539</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3815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5301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7318</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8457</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3218</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3539</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3815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5072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5301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6371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7318</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8457</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8457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金额合计</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40" w:lineRule="exact"/>
              <w:jc w:val="center"/>
              <w:rPr>
                <w:rFonts w:hint="eastAsia" w:ascii="宋体" w:hAnsi="宋体" w:eastAsia="宋体" w:cs="宋体"/>
                <w:i w:val="0"/>
                <w:iCs w:val="0"/>
                <w:color w:val="000000"/>
                <w:sz w:val="15"/>
                <w:szCs w:val="15"/>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26325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23400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365625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70796</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35390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114075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122850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710775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109412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127404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198380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42408</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12742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29272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r>
    </w:tbl>
    <w:p>
      <w:pPr>
        <w:pStyle w:val="2"/>
        <w:rPr>
          <w:rFonts w:hint="eastAsia" w:ascii="宋体" w:hAnsi="宋体" w:eastAsia="宋体" w:cs="宋体"/>
          <w:highlight w:val="none"/>
          <w:lang w:val="en-US" w:eastAsia="zh-CN"/>
        </w:rPr>
        <w:sectPr>
          <w:pgSz w:w="16838" w:h="11906" w:orient="landscape"/>
          <w:pgMar w:top="720" w:right="720" w:bottom="720" w:left="720" w:header="851" w:footer="992" w:gutter="0"/>
          <w:pgNumType w:fmt="decimal"/>
          <w:cols w:space="425" w:num="1"/>
          <w:docGrid w:type="lines" w:linePitch="312" w:charSpace="0"/>
        </w:sectPr>
      </w:pPr>
      <w:r>
        <w:rPr>
          <w:rFonts w:hint="eastAsia" w:ascii="宋体" w:hAnsi="宋体" w:eastAsia="宋体" w:cs="宋体"/>
          <w:b/>
          <w:bCs/>
          <w:kern w:val="0"/>
          <w:szCs w:val="21"/>
          <w:highlight w:val="none"/>
        </w:rPr>
        <w:t>注：以上清单点位位置及数量仅供参考，实际施工以甲方要求为准。数量为暂定数量，最终按实结算。</w:t>
      </w:r>
    </w:p>
    <w:p>
      <w:pPr>
        <w:shd w:val="clea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44" w:name="_Toc184312112"/>
      <w:bookmarkEnd w:id="44"/>
      <w:bookmarkStart w:id="45" w:name="_Toc184312126"/>
      <w:bookmarkEnd w:id="45"/>
      <w:bookmarkStart w:id="46" w:name="_Toc184313272"/>
      <w:bookmarkEnd w:id="46"/>
      <w:bookmarkStart w:id="47" w:name="_Toc184310294"/>
      <w:bookmarkEnd w:id="47"/>
      <w:bookmarkStart w:id="48" w:name="_Toc184310313"/>
      <w:bookmarkEnd w:id="48"/>
      <w:bookmarkStart w:id="49" w:name="_Toc184308074"/>
      <w:bookmarkEnd w:id="49"/>
      <w:bookmarkStart w:id="50" w:name="_Toc184313275"/>
      <w:bookmarkEnd w:id="50"/>
      <w:bookmarkStart w:id="51" w:name="_Toc184314429"/>
      <w:bookmarkEnd w:id="51"/>
      <w:bookmarkStart w:id="52" w:name="_Toc184313251"/>
      <w:bookmarkEnd w:id="52"/>
      <w:bookmarkStart w:id="53" w:name="_Toc184313287"/>
      <w:bookmarkEnd w:id="53"/>
      <w:bookmarkStart w:id="54" w:name="_Toc184310283"/>
      <w:bookmarkEnd w:id="54"/>
      <w:bookmarkStart w:id="55" w:name="_Toc184312128"/>
      <w:bookmarkEnd w:id="55"/>
      <w:bookmarkStart w:id="56" w:name="_Toc184312127"/>
      <w:bookmarkEnd w:id="56"/>
      <w:bookmarkStart w:id="57" w:name="_Toc184313257"/>
      <w:bookmarkEnd w:id="57"/>
      <w:bookmarkStart w:id="58" w:name="_Toc184308094"/>
      <w:bookmarkEnd w:id="58"/>
      <w:bookmarkStart w:id="59" w:name="_Toc184310293"/>
      <w:bookmarkEnd w:id="59"/>
      <w:bookmarkStart w:id="60" w:name="_Toc184314470"/>
      <w:bookmarkEnd w:id="60"/>
      <w:bookmarkStart w:id="61" w:name="_Toc184310306"/>
      <w:bookmarkEnd w:id="61"/>
      <w:bookmarkStart w:id="62" w:name="_Toc184314447"/>
      <w:bookmarkEnd w:id="62"/>
      <w:bookmarkStart w:id="63" w:name="_Toc184308079"/>
      <w:bookmarkEnd w:id="63"/>
      <w:bookmarkStart w:id="64" w:name="_Toc184308047"/>
      <w:bookmarkEnd w:id="64"/>
      <w:bookmarkStart w:id="65" w:name="_Toc184308095"/>
      <w:bookmarkEnd w:id="65"/>
      <w:bookmarkStart w:id="66" w:name="_Toc184310300"/>
      <w:bookmarkEnd w:id="66"/>
      <w:bookmarkStart w:id="67" w:name="_Toc184312081"/>
      <w:bookmarkEnd w:id="67"/>
      <w:bookmarkStart w:id="68" w:name="_Toc184310344"/>
      <w:bookmarkEnd w:id="68"/>
      <w:bookmarkStart w:id="69" w:name="_Toc184312067"/>
      <w:bookmarkEnd w:id="69"/>
      <w:bookmarkStart w:id="70" w:name="_Toc184310314"/>
      <w:bookmarkEnd w:id="70"/>
      <w:bookmarkStart w:id="71" w:name="_Toc184308046"/>
      <w:bookmarkEnd w:id="71"/>
      <w:bookmarkStart w:id="72" w:name="_Toc184308104"/>
      <w:bookmarkEnd w:id="72"/>
      <w:bookmarkStart w:id="73" w:name="_Toc184310275"/>
      <w:bookmarkEnd w:id="73"/>
      <w:bookmarkStart w:id="74" w:name="_Toc184310316"/>
      <w:bookmarkEnd w:id="74"/>
      <w:bookmarkStart w:id="75" w:name="_Toc184314473"/>
      <w:bookmarkEnd w:id="75"/>
      <w:bookmarkStart w:id="76" w:name="_Toc184313283"/>
      <w:bookmarkEnd w:id="76"/>
      <w:bookmarkStart w:id="77" w:name="_Toc184314432"/>
      <w:bookmarkEnd w:id="77"/>
      <w:bookmarkStart w:id="78" w:name="_Toc184310310"/>
      <w:bookmarkEnd w:id="78"/>
      <w:bookmarkStart w:id="79" w:name="_Toc184314459"/>
      <w:bookmarkEnd w:id="79"/>
      <w:bookmarkStart w:id="80" w:name="_Toc184312111"/>
      <w:bookmarkEnd w:id="80"/>
      <w:bookmarkStart w:id="81" w:name="_Toc184314457"/>
      <w:bookmarkEnd w:id="81"/>
      <w:bookmarkStart w:id="82" w:name="_Toc184308105"/>
      <w:bookmarkEnd w:id="82"/>
      <w:bookmarkStart w:id="83" w:name="_Toc184310320"/>
      <w:bookmarkEnd w:id="83"/>
      <w:bookmarkStart w:id="84" w:name="_Toc184312115"/>
      <w:bookmarkEnd w:id="84"/>
      <w:bookmarkStart w:id="85" w:name="_Toc184313244"/>
      <w:bookmarkEnd w:id="85"/>
      <w:bookmarkStart w:id="86" w:name="_Toc184313304"/>
      <w:bookmarkEnd w:id="86"/>
      <w:bookmarkStart w:id="87" w:name="_Toc184314465"/>
      <w:bookmarkEnd w:id="87"/>
      <w:bookmarkStart w:id="88" w:name="_Toc184312080"/>
      <w:bookmarkEnd w:id="88"/>
      <w:bookmarkStart w:id="89" w:name="_Toc184312099"/>
      <w:bookmarkEnd w:id="89"/>
      <w:bookmarkStart w:id="90" w:name="_Toc184312071"/>
      <w:bookmarkEnd w:id="90"/>
      <w:bookmarkStart w:id="91" w:name="_Toc184308063"/>
      <w:bookmarkEnd w:id="91"/>
      <w:bookmarkStart w:id="92" w:name="_Toc184312084"/>
      <w:bookmarkEnd w:id="92"/>
      <w:bookmarkStart w:id="93" w:name="_Toc184308051"/>
      <w:bookmarkEnd w:id="93"/>
      <w:bookmarkStart w:id="94" w:name="_Toc184310318"/>
      <w:bookmarkEnd w:id="94"/>
      <w:bookmarkStart w:id="95" w:name="_Toc184308091"/>
      <w:bookmarkEnd w:id="95"/>
      <w:bookmarkStart w:id="96" w:name="_Toc184310328"/>
      <w:bookmarkEnd w:id="96"/>
      <w:bookmarkStart w:id="97" w:name="_Toc184314415"/>
      <w:bookmarkEnd w:id="97"/>
      <w:bookmarkStart w:id="98" w:name="_Toc184313245"/>
      <w:bookmarkEnd w:id="98"/>
      <w:bookmarkStart w:id="99" w:name="_Toc184312135"/>
      <w:bookmarkEnd w:id="99"/>
      <w:bookmarkStart w:id="100" w:name="_Toc184312113"/>
      <w:bookmarkEnd w:id="100"/>
      <w:bookmarkStart w:id="101" w:name="_Toc184310295"/>
      <w:bookmarkEnd w:id="101"/>
      <w:bookmarkStart w:id="102" w:name="_Toc184314443"/>
      <w:bookmarkEnd w:id="102"/>
      <w:bookmarkStart w:id="103" w:name="_Toc184312136"/>
      <w:bookmarkEnd w:id="103"/>
      <w:bookmarkStart w:id="104" w:name="_Toc184312109"/>
      <w:bookmarkEnd w:id="104"/>
      <w:bookmarkStart w:id="105" w:name="_Toc184312100"/>
      <w:bookmarkEnd w:id="105"/>
      <w:bookmarkStart w:id="106" w:name="_Toc184310332"/>
      <w:bookmarkEnd w:id="106"/>
      <w:bookmarkStart w:id="107" w:name="_Toc184310330"/>
      <w:bookmarkEnd w:id="107"/>
      <w:bookmarkStart w:id="108" w:name="_Toc184312105"/>
      <w:bookmarkEnd w:id="108"/>
      <w:bookmarkStart w:id="109" w:name="_Toc184312119"/>
      <w:bookmarkEnd w:id="109"/>
      <w:bookmarkStart w:id="110" w:name="_Toc184312089"/>
      <w:bookmarkEnd w:id="110"/>
      <w:bookmarkStart w:id="111" w:name="_Toc184314480"/>
      <w:bookmarkEnd w:id="111"/>
      <w:bookmarkStart w:id="112" w:name="_Toc184312093"/>
      <w:bookmarkEnd w:id="112"/>
      <w:bookmarkStart w:id="113" w:name="_Toc184308083"/>
      <w:bookmarkEnd w:id="113"/>
      <w:bookmarkStart w:id="114" w:name="_Toc184308093"/>
      <w:bookmarkEnd w:id="114"/>
      <w:bookmarkStart w:id="115" w:name="_Toc184314472"/>
      <w:bookmarkEnd w:id="115"/>
      <w:bookmarkStart w:id="116" w:name="_Toc184314454"/>
      <w:bookmarkEnd w:id="116"/>
      <w:bookmarkStart w:id="117" w:name="_Toc184310301"/>
      <w:bookmarkEnd w:id="117"/>
      <w:bookmarkStart w:id="118" w:name="_Toc184314441"/>
      <w:bookmarkEnd w:id="118"/>
      <w:bookmarkStart w:id="119" w:name="_Toc184314444"/>
      <w:bookmarkEnd w:id="119"/>
      <w:bookmarkStart w:id="120" w:name="_Toc184313271"/>
      <w:bookmarkEnd w:id="120"/>
      <w:bookmarkStart w:id="121" w:name="_Toc184308078"/>
      <w:bookmarkEnd w:id="121"/>
      <w:bookmarkStart w:id="122" w:name="_Toc184314413"/>
      <w:bookmarkEnd w:id="122"/>
      <w:bookmarkStart w:id="123" w:name="_Toc184314450"/>
      <w:bookmarkEnd w:id="123"/>
      <w:bookmarkStart w:id="124" w:name="_Toc184312137"/>
      <w:bookmarkEnd w:id="124"/>
      <w:bookmarkStart w:id="125" w:name="_Toc184310296"/>
      <w:bookmarkEnd w:id="125"/>
      <w:bookmarkStart w:id="126" w:name="_Toc184314422"/>
      <w:bookmarkEnd w:id="126"/>
      <w:bookmarkStart w:id="127" w:name="_Toc184314481"/>
      <w:bookmarkEnd w:id="127"/>
      <w:bookmarkStart w:id="128" w:name="_Toc184314430"/>
      <w:bookmarkEnd w:id="128"/>
      <w:bookmarkStart w:id="129" w:name="_Toc184310288"/>
      <w:bookmarkEnd w:id="129"/>
      <w:bookmarkStart w:id="130" w:name="_Toc184314419"/>
      <w:bookmarkEnd w:id="130"/>
      <w:bookmarkStart w:id="131" w:name="_Toc184310303"/>
      <w:bookmarkEnd w:id="131"/>
      <w:bookmarkStart w:id="132" w:name="_Toc184308064"/>
      <w:bookmarkEnd w:id="132"/>
      <w:bookmarkStart w:id="133" w:name="_Toc184312125"/>
      <w:bookmarkEnd w:id="133"/>
      <w:bookmarkStart w:id="134" w:name="_Toc184308076"/>
      <w:bookmarkEnd w:id="134"/>
      <w:bookmarkStart w:id="135" w:name="_Toc184308107"/>
      <w:bookmarkEnd w:id="135"/>
      <w:bookmarkStart w:id="136" w:name="_Toc184314455"/>
      <w:bookmarkEnd w:id="136"/>
      <w:bookmarkStart w:id="137" w:name="_Toc184314466"/>
      <w:bookmarkEnd w:id="137"/>
      <w:bookmarkStart w:id="138" w:name="_Toc184314433"/>
      <w:bookmarkEnd w:id="138"/>
      <w:bookmarkStart w:id="139" w:name="_Toc184312076"/>
      <w:bookmarkEnd w:id="139"/>
      <w:bookmarkStart w:id="140" w:name="_Toc184308085"/>
      <w:bookmarkEnd w:id="140"/>
      <w:bookmarkStart w:id="141" w:name="_Toc184312077"/>
      <w:bookmarkEnd w:id="141"/>
      <w:bookmarkStart w:id="142" w:name="_Toc184312091"/>
      <w:bookmarkEnd w:id="142"/>
      <w:bookmarkStart w:id="143" w:name="_Toc184314438"/>
      <w:bookmarkEnd w:id="143"/>
      <w:bookmarkStart w:id="144" w:name="_Toc184313269"/>
      <w:bookmarkEnd w:id="144"/>
      <w:bookmarkStart w:id="145" w:name="_Toc184312108"/>
      <w:bookmarkEnd w:id="145"/>
      <w:bookmarkStart w:id="146" w:name="_Toc184308048"/>
      <w:bookmarkEnd w:id="146"/>
      <w:bookmarkStart w:id="147" w:name="_Toc184313270"/>
      <w:bookmarkEnd w:id="147"/>
      <w:bookmarkStart w:id="148" w:name="_Toc184308090"/>
      <w:bookmarkEnd w:id="148"/>
      <w:bookmarkStart w:id="149" w:name="_Toc184314420"/>
      <w:bookmarkEnd w:id="149"/>
      <w:bookmarkStart w:id="150" w:name="_Toc184310312"/>
      <w:bookmarkEnd w:id="150"/>
      <w:bookmarkStart w:id="151" w:name="_Toc184310302"/>
      <w:bookmarkEnd w:id="151"/>
      <w:bookmarkStart w:id="152" w:name="_Toc184314437"/>
      <w:bookmarkEnd w:id="152"/>
      <w:bookmarkStart w:id="153" w:name="_Toc184310334"/>
      <w:bookmarkEnd w:id="153"/>
      <w:bookmarkStart w:id="154" w:name="_Toc184313252"/>
      <w:bookmarkEnd w:id="154"/>
      <w:bookmarkStart w:id="155" w:name="_Toc184312097"/>
      <w:bookmarkEnd w:id="155"/>
      <w:bookmarkStart w:id="156" w:name="_Toc184308054"/>
      <w:bookmarkEnd w:id="156"/>
      <w:bookmarkStart w:id="157" w:name="_Toc184308098"/>
      <w:bookmarkEnd w:id="157"/>
      <w:bookmarkStart w:id="158" w:name="_Toc184313286"/>
      <w:bookmarkEnd w:id="158"/>
      <w:bookmarkStart w:id="159" w:name="_Toc184314451"/>
      <w:bookmarkEnd w:id="159"/>
      <w:bookmarkStart w:id="160" w:name="_Toc184308072"/>
      <w:bookmarkEnd w:id="160"/>
      <w:bookmarkStart w:id="161" w:name="_Toc184308050"/>
      <w:bookmarkEnd w:id="161"/>
      <w:bookmarkStart w:id="162" w:name="_Toc184312095"/>
      <w:bookmarkEnd w:id="162"/>
      <w:bookmarkStart w:id="163" w:name="_Toc184313297"/>
      <w:bookmarkEnd w:id="163"/>
      <w:bookmarkStart w:id="164" w:name="_Toc184312070"/>
      <w:bookmarkEnd w:id="164"/>
      <w:bookmarkStart w:id="165" w:name="_Toc184308036"/>
      <w:bookmarkEnd w:id="165"/>
      <w:bookmarkStart w:id="166" w:name="_Toc184313240"/>
      <w:bookmarkEnd w:id="166"/>
      <w:bookmarkStart w:id="167" w:name="_Toc184308039"/>
      <w:bookmarkEnd w:id="167"/>
      <w:bookmarkStart w:id="168" w:name="_Toc184308096"/>
      <w:bookmarkEnd w:id="168"/>
      <w:bookmarkStart w:id="169" w:name="_Toc184312075"/>
      <w:bookmarkEnd w:id="169"/>
      <w:bookmarkStart w:id="170" w:name="_Toc184313306"/>
      <w:bookmarkEnd w:id="170"/>
      <w:bookmarkStart w:id="171" w:name="_Toc184312130"/>
      <w:bookmarkEnd w:id="171"/>
      <w:bookmarkStart w:id="172" w:name="_Toc184310309"/>
      <w:bookmarkEnd w:id="172"/>
      <w:bookmarkStart w:id="173" w:name="_Toc184314424"/>
      <w:bookmarkEnd w:id="173"/>
      <w:bookmarkStart w:id="174" w:name="_Toc184313284"/>
      <w:bookmarkEnd w:id="174"/>
      <w:bookmarkStart w:id="175" w:name="_Toc184310324"/>
      <w:bookmarkEnd w:id="175"/>
      <w:bookmarkStart w:id="176" w:name="_Toc184314427"/>
      <w:bookmarkEnd w:id="176"/>
      <w:bookmarkStart w:id="177" w:name="_Toc184312134"/>
      <w:bookmarkEnd w:id="177"/>
      <w:bookmarkStart w:id="178" w:name="_Toc184314410"/>
      <w:bookmarkEnd w:id="178"/>
      <w:bookmarkStart w:id="179" w:name="_Toc184314440"/>
      <w:bookmarkEnd w:id="179"/>
      <w:bookmarkStart w:id="180" w:name="_Toc184308037"/>
      <w:bookmarkEnd w:id="180"/>
      <w:bookmarkStart w:id="181" w:name="_Toc184314425"/>
      <w:bookmarkEnd w:id="181"/>
      <w:bookmarkStart w:id="182" w:name="_Toc184310298"/>
      <w:bookmarkEnd w:id="182"/>
      <w:bookmarkStart w:id="183" w:name="_Toc184312117"/>
      <w:bookmarkEnd w:id="183"/>
      <w:bookmarkStart w:id="184" w:name="_Toc184310319"/>
      <w:bookmarkEnd w:id="184"/>
      <w:bookmarkStart w:id="185" w:name="_Toc184314478"/>
      <w:bookmarkEnd w:id="185"/>
      <w:bookmarkStart w:id="186" w:name="_Toc184313290"/>
      <w:bookmarkEnd w:id="186"/>
      <w:bookmarkStart w:id="187" w:name="_Toc184312085"/>
      <w:bookmarkEnd w:id="187"/>
      <w:bookmarkStart w:id="188" w:name="_Toc184308088"/>
      <w:bookmarkEnd w:id="188"/>
      <w:bookmarkStart w:id="189" w:name="_Toc184308044"/>
      <w:bookmarkEnd w:id="189"/>
      <w:bookmarkStart w:id="190" w:name="_Toc184314423"/>
      <w:bookmarkEnd w:id="190"/>
      <w:bookmarkStart w:id="191" w:name="_Toc184312073"/>
      <w:bookmarkEnd w:id="191"/>
      <w:bookmarkStart w:id="192" w:name="_Toc184312096"/>
      <w:bookmarkEnd w:id="192"/>
      <w:bookmarkStart w:id="193" w:name="_Toc184308100"/>
      <w:bookmarkEnd w:id="193"/>
      <w:bookmarkStart w:id="194" w:name="_Toc184310273"/>
      <w:bookmarkEnd w:id="194"/>
      <w:bookmarkStart w:id="195" w:name="_Toc184314476"/>
      <w:bookmarkEnd w:id="195"/>
      <w:bookmarkStart w:id="196" w:name="_Toc184312078"/>
      <w:bookmarkEnd w:id="196"/>
      <w:bookmarkStart w:id="197" w:name="_Toc184314445"/>
      <w:bookmarkEnd w:id="197"/>
      <w:bookmarkStart w:id="198" w:name="_Toc184310299"/>
      <w:bookmarkEnd w:id="198"/>
      <w:bookmarkStart w:id="199" w:name="_Toc184310341"/>
      <w:bookmarkEnd w:id="199"/>
      <w:bookmarkStart w:id="200" w:name="_Toc184310308"/>
      <w:bookmarkEnd w:id="200"/>
      <w:bookmarkStart w:id="201" w:name="_Toc184308080"/>
      <w:bookmarkEnd w:id="201"/>
      <w:bookmarkStart w:id="202" w:name="_Toc184314436"/>
      <w:bookmarkEnd w:id="202"/>
      <w:bookmarkStart w:id="203" w:name="_Toc184308082"/>
      <w:bookmarkEnd w:id="203"/>
      <w:bookmarkStart w:id="204" w:name="_Toc184308101"/>
      <w:bookmarkEnd w:id="204"/>
      <w:bookmarkStart w:id="205" w:name="_Toc184310286"/>
      <w:bookmarkEnd w:id="205"/>
      <w:bookmarkStart w:id="206" w:name="_Toc184314412"/>
      <w:bookmarkEnd w:id="206"/>
      <w:bookmarkStart w:id="207" w:name="_Toc184314416"/>
      <w:bookmarkEnd w:id="207"/>
      <w:bookmarkStart w:id="208" w:name="_Toc184314471"/>
      <w:bookmarkEnd w:id="208"/>
      <w:bookmarkStart w:id="209" w:name="_Toc184313296"/>
      <w:bookmarkEnd w:id="209"/>
      <w:bookmarkStart w:id="210" w:name="_Toc184314448"/>
      <w:bookmarkEnd w:id="210"/>
      <w:bookmarkStart w:id="211" w:name="_Toc184308077"/>
      <w:bookmarkEnd w:id="211"/>
      <w:bookmarkStart w:id="212" w:name="_Toc184313246"/>
      <w:bookmarkEnd w:id="212"/>
      <w:bookmarkStart w:id="213" w:name="_Toc184312102"/>
      <w:bookmarkEnd w:id="213"/>
      <w:bookmarkStart w:id="214" w:name="_Toc184313241"/>
      <w:bookmarkEnd w:id="214"/>
      <w:bookmarkStart w:id="215" w:name="_Toc184308065"/>
      <w:bookmarkEnd w:id="215"/>
      <w:bookmarkStart w:id="216" w:name="_Toc184310285"/>
      <w:bookmarkEnd w:id="216"/>
      <w:bookmarkStart w:id="217" w:name="_Toc184310287"/>
      <w:bookmarkEnd w:id="217"/>
      <w:bookmarkStart w:id="218" w:name="_Toc184313291"/>
      <w:bookmarkEnd w:id="218"/>
      <w:bookmarkStart w:id="219" w:name="_Toc184312104"/>
      <w:bookmarkEnd w:id="219"/>
      <w:bookmarkStart w:id="220" w:name="_Toc184310284"/>
      <w:bookmarkEnd w:id="220"/>
      <w:bookmarkStart w:id="221" w:name="_Toc184308069"/>
      <w:bookmarkEnd w:id="221"/>
      <w:bookmarkStart w:id="222" w:name="_Toc184312092"/>
      <w:bookmarkEnd w:id="222"/>
      <w:bookmarkStart w:id="223" w:name="_Toc184310331"/>
      <w:bookmarkEnd w:id="223"/>
      <w:bookmarkStart w:id="224" w:name="_Toc184312079"/>
      <w:bookmarkEnd w:id="224"/>
      <w:bookmarkStart w:id="225" w:name="_Toc184312114"/>
      <w:bookmarkEnd w:id="225"/>
      <w:bookmarkStart w:id="226" w:name="_Toc184308103"/>
      <w:bookmarkEnd w:id="226"/>
      <w:bookmarkStart w:id="227" w:name="_Toc184313255"/>
      <w:bookmarkEnd w:id="227"/>
      <w:bookmarkStart w:id="228" w:name="_Toc184308059"/>
      <w:bookmarkEnd w:id="228"/>
      <w:bookmarkStart w:id="229" w:name="_Toc184312138"/>
      <w:bookmarkEnd w:id="229"/>
      <w:bookmarkStart w:id="230" w:name="_Toc184310327"/>
      <w:bookmarkEnd w:id="230"/>
      <w:bookmarkStart w:id="231" w:name="_Toc184312090"/>
      <w:bookmarkEnd w:id="231"/>
      <w:bookmarkStart w:id="232" w:name="_Toc184313264"/>
      <w:bookmarkEnd w:id="232"/>
      <w:bookmarkStart w:id="233" w:name="_Toc184308089"/>
      <w:bookmarkEnd w:id="233"/>
      <w:bookmarkStart w:id="234" w:name="_Toc184310315"/>
      <w:bookmarkEnd w:id="234"/>
      <w:bookmarkStart w:id="235" w:name="_Toc184310290"/>
      <w:bookmarkEnd w:id="235"/>
      <w:bookmarkStart w:id="236" w:name="_Toc184314435"/>
      <w:bookmarkEnd w:id="236"/>
      <w:bookmarkStart w:id="237" w:name="_Toc184310305"/>
      <w:bookmarkEnd w:id="237"/>
      <w:bookmarkStart w:id="238" w:name="_Toc184314452"/>
      <w:bookmarkEnd w:id="238"/>
      <w:bookmarkStart w:id="239" w:name="_Toc184313268"/>
      <w:bookmarkEnd w:id="239"/>
      <w:bookmarkStart w:id="240" w:name="_Toc184308038"/>
      <w:bookmarkEnd w:id="240"/>
      <w:bookmarkStart w:id="241" w:name="_Toc184310340"/>
      <w:bookmarkEnd w:id="241"/>
      <w:bookmarkStart w:id="242" w:name="_Toc184312098"/>
      <w:bookmarkEnd w:id="242"/>
      <w:bookmarkStart w:id="243" w:name="_Toc184310322"/>
      <w:bookmarkEnd w:id="243"/>
      <w:bookmarkStart w:id="244" w:name="_Toc184313250"/>
      <w:bookmarkEnd w:id="244"/>
      <w:bookmarkStart w:id="245" w:name="_Toc184308055"/>
      <w:bookmarkEnd w:id="245"/>
      <w:bookmarkStart w:id="246" w:name="_Toc184314418"/>
      <w:bookmarkEnd w:id="246"/>
      <w:bookmarkStart w:id="247" w:name="_Toc184314461"/>
      <w:bookmarkEnd w:id="247"/>
      <w:bookmarkStart w:id="248" w:name="_Toc184313305"/>
      <w:bookmarkEnd w:id="248"/>
      <w:bookmarkStart w:id="249" w:name="_Toc184313292"/>
      <w:bookmarkEnd w:id="249"/>
      <w:bookmarkStart w:id="250" w:name="_Toc184313282"/>
      <w:bookmarkEnd w:id="250"/>
      <w:bookmarkStart w:id="251" w:name="_Toc184312106"/>
      <w:bookmarkEnd w:id="251"/>
      <w:bookmarkStart w:id="252" w:name="_Toc184310329"/>
      <w:bookmarkEnd w:id="252"/>
      <w:bookmarkStart w:id="253" w:name="_Toc184314474"/>
      <w:bookmarkEnd w:id="253"/>
      <w:bookmarkStart w:id="254" w:name="_Toc184313298"/>
      <w:bookmarkEnd w:id="254"/>
      <w:bookmarkStart w:id="255" w:name="_Toc184313289"/>
      <w:bookmarkEnd w:id="255"/>
      <w:bookmarkStart w:id="256" w:name="_Toc184312120"/>
      <w:bookmarkEnd w:id="256"/>
      <w:bookmarkStart w:id="257" w:name="_Toc184310317"/>
      <w:bookmarkEnd w:id="257"/>
      <w:bookmarkStart w:id="258" w:name="_Toc184313281"/>
      <w:bookmarkEnd w:id="258"/>
      <w:bookmarkStart w:id="259" w:name="_Toc184310321"/>
      <w:bookmarkEnd w:id="259"/>
      <w:bookmarkStart w:id="260" w:name="_Toc184308068"/>
      <w:bookmarkEnd w:id="260"/>
      <w:bookmarkStart w:id="261" w:name="_Toc184308071"/>
      <w:bookmarkEnd w:id="261"/>
      <w:bookmarkStart w:id="262" w:name="_Toc184314428"/>
      <w:bookmarkEnd w:id="262"/>
      <w:bookmarkStart w:id="263" w:name="_Toc184310304"/>
      <w:bookmarkEnd w:id="263"/>
      <w:bookmarkStart w:id="264" w:name="_Toc184308062"/>
      <w:bookmarkEnd w:id="264"/>
      <w:bookmarkStart w:id="265" w:name="_Toc184310338"/>
      <w:bookmarkEnd w:id="265"/>
      <w:bookmarkStart w:id="266" w:name="_Toc184313243"/>
      <w:bookmarkEnd w:id="266"/>
      <w:bookmarkStart w:id="267" w:name="_Toc184310326"/>
      <w:bookmarkEnd w:id="267"/>
      <w:bookmarkStart w:id="268" w:name="_Toc184313273"/>
      <w:bookmarkEnd w:id="268"/>
      <w:bookmarkStart w:id="269" w:name="_Toc184312132"/>
      <w:bookmarkEnd w:id="269"/>
      <w:bookmarkStart w:id="270" w:name="_Toc184314460"/>
      <w:bookmarkEnd w:id="270"/>
      <w:bookmarkStart w:id="271" w:name="_Toc184312107"/>
      <w:bookmarkEnd w:id="271"/>
      <w:bookmarkStart w:id="272" w:name="_Toc184308087"/>
      <w:bookmarkEnd w:id="272"/>
      <w:bookmarkStart w:id="273" w:name="_Toc184313278"/>
      <w:bookmarkEnd w:id="273"/>
      <w:bookmarkStart w:id="274" w:name="_Toc184314477"/>
      <w:bookmarkEnd w:id="274"/>
      <w:bookmarkStart w:id="275" w:name="_Toc184308040"/>
      <w:bookmarkEnd w:id="275"/>
      <w:bookmarkStart w:id="276" w:name="_Toc184308092"/>
      <w:bookmarkEnd w:id="276"/>
      <w:bookmarkStart w:id="277" w:name="_Toc184312118"/>
      <w:bookmarkEnd w:id="277"/>
      <w:bookmarkStart w:id="278" w:name="_Toc184314475"/>
      <w:bookmarkEnd w:id="278"/>
      <w:bookmarkStart w:id="279" w:name="_Toc184313259"/>
      <w:bookmarkEnd w:id="279"/>
      <w:bookmarkStart w:id="280" w:name="_Toc184312083"/>
      <w:bookmarkEnd w:id="280"/>
      <w:bookmarkStart w:id="281" w:name="_Toc184314431"/>
      <w:bookmarkEnd w:id="281"/>
      <w:bookmarkStart w:id="282" w:name="_Toc184312124"/>
      <w:bookmarkEnd w:id="282"/>
      <w:bookmarkStart w:id="283" w:name="_Toc184310339"/>
      <w:bookmarkEnd w:id="283"/>
      <w:bookmarkStart w:id="284" w:name="_Toc184308075"/>
      <w:bookmarkEnd w:id="284"/>
      <w:bookmarkStart w:id="285" w:name="_Toc184313300"/>
      <w:bookmarkEnd w:id="285"/>
      <w:bookmarkStart w:id="286" w:name="_Toc184313285"/>
      <w:bookmarkEnd w:id="286"/>
      <w:bookmarkStart w:id="287" w:name="_Toc184313310"/>
      <w:bookmarkEnd w:id="287"/>
      <w:bookmarkStart w:id="288" w:name="_Toc184308049"/>
      <w:bookmarkEnd w:id="288"/>
      <w:bookmarkStart w:id="289" w:name="_Toc184313302"/>
      <w:bookmarkEnd w:id="289"/>
      <w:bookmarkStart w:id="290" w:name="_Toc184314426"/>
      <w:bookmarkEnd w:id="290"/>
      <w:bookmarkStart w:id="291" w:name="_Toc184308108"/>
      <w:bookmarkEnd w:id="291"/>
      <w:bookmarkStart w:id="292" w:name="_Toc184313294"/>
      <w:bookmarkEnd w:id="292"/>
      <w:bookmarkStart w:id="293" w:name="_Toc184313258"/>
      <w:bookmarkEnd w:id="293"/>
      <w:bookmarkStart w:id="294" w:name="_Toc184313274"/>
      <w:bookmarkEnd w:id="294"/>
      <w:bookmarkStart w:id="295" w:name="_Toc184310278"/>
      <w:bookmarkEnd w:id="295"/>
      <w:bookmarkStart w:id="296" w:name="_Toc184312129"/>
      <w:bookmarkEnd w:id="296"/>
      <w:bookmarkStart w:id="297" w:name="_Toc184314446"/>
      <w:bookmarkEnd w:id="297"/>
      <w:bookmarkStart w:id="298" w:name="_Toc184314453"/>
      <w:bookmarkEnd w:id="298"/>
      <w:bookmarkStart w:id="299" w:name="_Toc184313256"/>
      <w:bookmarkEnd w:id="299"/>
      <w:bookmarkStart w:id="300" w:name="_Toc184312094"/>
      <w:bookmarkEnd w:id="300"/>
      <w:bookmarkStart w:id="301" w:name="_Toc184314467"/>
      <w:bookmarkEnd w:id="301"/>
      <w:bookmarkStart w:id="302" w:name="_Toc184310272"/>
      <w:bookmarkEnd w:id="302"/>
      <w:bookmarkStart w:id="303" w:name="_Toc184314417"/>
      <w:bookmarkEnd w:id="303"/>
      <w:bookmarkStart w:id="304" w:name="_Toc184310323"/>
      <w:bookmarkEnd w:id="304"/>
      <w:bookmarkStart w:id="305" w:name="_Toc184313301"/>
      <w:bookmarkEnd w:id="305"/>
      <w:bookmarkStart w:id="306" w:name="_Toc184310311"/>
      <w:bookmarkEnd w:id="306"/>
      <w:bookmarkStart w:id="307" w:name="_Toc184313295"/>
      <w:bookmarkEnd w:id="307"/>
      <w:bookmarkStart w:id="308" w:name="_Toc184310277"/>
      <w:bookmarkEnd w:id="308"/>
      <w:bookmarkStart w:id="309" w:name="_Toc184314421"/>
      <w:bookmarkEnd w:id="309"/>
      <w:bookmarkStart w:id="310" w:name="_Toc184314434"/>
      <w:bookmarkEnd w:id="310"/>
      <w:bookmarkStart w:id="311" w:name="_Toc184310292"/>
      <w:bookmarkEnd w:id="311"/>
      <w:bookmarkStart w:id="312" w:name="_Toc184313309"/>
      <w:bookmarkEnd w:id="312"/>
      <w:bookmarkStart w:id="313" w:name="_Toc184313254"/>
      <w:bookmarkEnd w:id="313"/>
      <w:bookmarkStart w:id="314" w:name="_Toc184314449"/>
      <w:bookmarkEnd w:id="314"/>
      <w:bookmarkStart w:id="315" w:name="_Toc184313308"/>
      <w:bookmarkEnd w:id="315"/>
      <w:bookmarkStart w:id="316" w:name="_Toc184314464"/>
      <w:bookmarkEnd w:id="316"/>
      <w:bookmarkStart w:id="317" w:name="_Toc184313247"/>
      <w:bookmarkEnd w:id="317"/>
      <w:bookmarkStart w:id="318" w:name="_Toc184313242"/>
      <w:bookmarkEnd w:id="318"/>
      <w:bookmarkStart w:id="319" w:name="_Toc184310307"/>
      <w:bookmarkEnd w:id="319"/>
      <w:bookmarkStart w:id="320" w:name="_Toc184314479"/>
      <w:bookmarkEnd w:id="320"/>
      <w:bookmarkStart w:id="321" w:name="_Toc184312123"/>
      <w:bookmarkEnd w:id="321"/>
      <w:bookmarkStart w:id="322" w:name="_Toc184310280"/>
      <w:bookmarkEnd w:id="322"/>
      <w:bookmarkStart w:id="323" w:name="_Toc184312086"/>
      <w:bookmarkEnd w:id="323"/>
      <w:bookmarkStart w:id="324" w:name="_Toc184313267"/>
      <w:bookmarkEnd w:id="324"/>
      <w:bookmarkStart w:id="325" w:name="_Toc184310333"/>
      <w:bookmarkEnd w:id="325"/>
      <w:bookmarkStart w:id="326" w:name="_Toc184314482"/>
      <w:bookmarkEnd w:id="326"/>
      <w:bookmarkStart w:id="327" w:name="_Toc184310282"/>
      <w:bookmarkEnd w:id="327"/>
      <w:bookmarkStart w:id="328" w:name="_Toc184310291"/>
      <w:bookmarkEnd w:id="328"/>
      <w:bookmarkStart w:id="329" w:name="_Toc184313279"/>
      <w:bookmarkEnd w:id="329"/>
      <w:bookmarkStart w:id="330" w:name="_Toc184312087"/>
      <w:bookmarkEnd w:id="330"/>
      <w:bookmarkStart w:id="331" w:name="_Toc184312101"/>
      <w:bookmarkEnd w:id="331"/>
      <w:bookmarkStart w:id="332" w:name="_Toc184312072"/>
      <w:bookmarkEnd w:id="332"/>
      <w:bookmarkStart w:id="333" w:name="_Toc184308066"/>
      <w:bookmarkEnd w:id="333"/>
      <w:bookmarkStart w:id="334" w:name="_Toc184312122"/>
      <w:bookmarkEnd w:id="334"/>
      <w:bookmarkStart w:id="335" w:name="_Toc184313249"/>
      <w:bookmarkEnd w:id="335"/>
      <w:bookmarkStart w:id="336" w:name="_Toc184312103"/>
      <w:bookmarkEnd w:id="336"/>
      <w:bookmarkStart w:id="337" w:name="_Toc184314442"/>
      <w:bookmarkEnd w:id="337"/>
      <w:bookmarkStart w:id="338" w:name="_Toc184314463"/>
      <w:bookmarkEnd w:id="338"/>
      <w:bookmarkStart w:id="339" w:name="_Toc184308041"/>
      <w:bookmarkEnd w:id="339"/>
      <w:bookmarkStart w:id="340" w:name="_Toc184310343"/>
      <w:bookmarkEnd w:id="340"/>
      <w:bookmarkStart w:id="341" w:name="_Toc184312133"/>
      <w:bookmarkEnd w:id="341"/>
      <w:bookmarkStart w:id="342" w:name="_Toc184313276"/>
      <w:bookmarkEnd w:id="342"/>
      <w:bookmarkStart w:id="343" w:name="_Toc184310289"/>
      <w:bookmarkEnd w:id="343"/>
      <w:bookmarkStart w:id="344" w:name="_Toc184312074"/>
      <w:bookmarkEnd w:id="344"/>
      <w:bookmarkStart w:id="345" w:name="_Toc184312116"/>
      <w:bookmarkEnd w:id="345"/>
      <w:bookmarkStart w:id="346" w:name="_Toc184314439"/>
      <w:bookmarkEnd w:id="346"/>
      <w:bookmarkStart w:id="347" w:name="_Toc184312082"/>
      <w:bookmarkEnd w:id="347"/>
      <w:bookmarkStart w:id="348" w:name="_Toc184308081"/>
      <w:bookmarkEnd w:id="348"/>
      <w:bookmarkStart w:id="349" w:name="_Toc184314469"/>
      <w:bookmarkEnd w:id="349"/>
      <w:bookmarkStart w:id="350" w:name="_Toc184308043"/>
      <w:bookmarkEnd w:id="350"/>
      <w:bookmarkStart w:id="351" w:name="_Toc184313248"/>
      <w:bookmarkEnd w:id="351"/>
      <w:bookmarkStart w:id="352" w:name="_Toc184313262"/>
      <w:bookmarkEnd w:id="352"/>
      <w:bookmarkStart w:id="353" w:name="_Toc184308057"/>
      <w:bookmarkEnd w:id="353"/>
      <w:bookmarkStart w:id="354" w:name="_Toc184310281"/>
      <w:bookmarkEnd w:id="354"/>
      <w:bookmarkStart w:id="355" w:name="_Toc184310279"/>
      <w:bookmarkEnd w:id="355"/>
      <w:bookmarkStart w:id="356" w:name="_Toc184310337"/>
      <w:bookmarkEnd w:id="356"/>
      <w:bookmarkStart w:id="357" w:name="_Toc184308086"/>
      <w:bookmarkEnd w:id="357"/>
      <w:bookmarkStart w:id="358" w:name="_Toc184313265"/>
      <w:bookmarkEnd w:id="358"/>
      <w:bookmarkStart w:id="359" w:name="_Toc184308042"/>
      <w:bookmarkEnd w:id="359"/>
      <w:bookmarkStart w:id="360" w:name="_Toc184314458"/>
      <w:bookmarkEnd w:id="360"/>
      <w:bookmarkStart w:id="361" w:name="_Toc184308053"/>
      <w:bookmarkEnd w:id="361"/>
      <w:bookmarkStart w:id="362" w:name="_Toc184313277"/>
      <w:bookmarkEnd w:id="362"/>
      <w:bookmarkStart w:id="363" w:name="_Toc184313266"/>
      <w:bookmarkEnd w:id="363"/>
      <w:bookmarkStart w:id="364" w:name="_Toc184310276"/>
      <w:bookmarkEnd w:id="364"/>
      <w:bookmarkStart w:id="365" w:name="_Toc184313303"/>
      <w:bookmarkEnd w:id="365"/>
      <w:bookmarkStart w:id="366" w:name="_Toc184313253"/>
      <w:bookmarkEnd w:id="366"/>
      <w:bookmarkStart w:id="367" w:name="_Toc184310274"/>
      <w:bookmarkEnd w:id="367"/>
      <w:bookmarkStart w:id="368" w:name="_Toc184313263"/>
      <w:bookmarkEnd w:id="368"/>
      <w:bookmarkStart w:id="369" w:name="_Toc184313261"/>
      <w:bookmarkEnd w:id="369"/>
      <w:bookmarkStart w:id="370" w:name="_Toc184308067"/>
      <w:bookmarkEnd w:id="370"/>
      <w:bookmarkStart w:id="371" w:name="_Toc184313260"/>
      <w:bookmarkEnd w:id="371"/>
      <w:bookmarkStart w:id="372" w:name="_Toc184308056"/>
      <w:bookmarkEnd w:id="372"/>
      <w:bookmarkStart w:id="373" w:name="_Toc184308060"/>
      <w:bookmarkEnd w:id="373"/>
      <w:bookmarkStart w:id="374" w:name="_Toc184308073"/>
      <w:bookmarkEnd w:id="374"/>
      <w:bookmarkStart w:id="375" w:name="_Toc184312139"/>
      <w:bookmarkEnd w:id="375"/>
      <w:bookmarkStart w:id="376" w:name="_Toc184313238"/>
      <w:bookmarkEnd w:id="376"/>
      <w:bookmarkStart w:id="377" w:name="_Toc184308097"/>
      <w:bookmarkEnd w:id="377"/>
      <w:bookmarkStart w:id="378" w:name="_Toc184308099"/>
      <w:bookmarkEnd w:id="378"/>
      <w:bookmarkStart w:id="379" w:name="_Toc184312110"/>
      <w:bookmarkEnd w:id="379"/>
      <w:bookmarkStart w:id="380" w:name="_Toc184313288"/>
      <w:bookmarkEnd w:id="380"/>
      <w:bookmarkStart w:id="381" w:name="_Toc184313293"/>
      <w:bookmarkEnd w:id="381"/>
      <w:bookmarkStart w:id="382" w:name="_Toc184312068"/>
      <w:bookmarkEnd w:id="382"/>
      <w:bookmarkStart w:id="383" w:name="_Toc184312131"/>
      <w:bookmarkEnd w:id="383"/>
      <w:bookmarkStart w:id="384" w:name="_Toc184313280"/>
      <w:bookmarkEnd w:id="384"/>
      <w:bookmarkStart w:id="385" w:name="_Toc184310336"/>
      <w:bookmarkEnd w:id="385"/>
      <w:bookmarkStart w:id="386" w:name="_Toc184313239"/>
      <w:bookmarkEnd w:id="386"/>
      <w:bookmarkStart w:id="387" w:name="_Toc184310342"/>
      <w:bookmarkEnd w:id="387"/>
      <w:bookmarkStart w:id="388" w:name="_Toc184308052"/>
      <w:bookmarkEnd w:id="388"/>
      <w:bookmarkStart w:id="389" w:name="_Toc184308102"/>
      <w:bookmarkEnd w:id="389"/>
      <w:bookmarkStart w:id="390" w:name="_Toc184308084"/>
      <w:bookmarkEnd w:id="390"/>
      <w:bookmarkStart w:id="391" w:name="_Toc184308045"/>
      <w:bookmarkEnd w:id="391"/>
      <w:bookmarkStart w:id="392" w:name="_Toc184314456"/>
      <w:bookmarkEnd w:id="392"/>
      <w:bookmarkStart w:id="393" w:name="_Toc184313299"/>
      <w:bookmarkEnd w:id="393"/>
      <w:bookmarkStart w:id="394" w:name="_Toc184308106"/>
      <w:bookmarkEnd w:id="394"/>
      <w:bookmarkStart w:id="395" w:name="_Toc184308070"/>
      <w:bookmarkEnd w:id="395"/>
      <w:bookmarkStart w:id="396" w:name="_Toc184314468"/>
      <w:bookmarkEnd w:id="396"/>
      <w:bookmarkStart w:id="397" w:name="_Toc184310325"/>
      <w:bookmarkEnd w:id="397"/>
      <w:bookmarkStart w:id="398" w:name="_Toc184308058"/>
      <w:bookmarkEnd w:id="398"/>
      <w:bookmarkStart w:id="399" w:name="_Toc184308061"/>
      <w:bookmarkEnd w:id="399"/>
      <w:bookmarkStart w:id="400" w:name="_Toc184312088"/>
      <w:bookmarkEnd w:id="400"/>
      <w:bookmarkStart w:id="401" w:name="_Toc184314414"/>
      <w:bookmarkEnd w:id="401"/>
      <w:bookmarkStart w:id="402" w:name="_Toc184310335"/>
      <w:bookmarkEnd w:id="402"/>
      <w:bookmarkStart w:id="403" w:name="_Toc184313307"/>
      <w:bookmarkEnd w:id="403"/>
      <w:bookmarkStart w:id="404" w:name="_Toc184310297"/>
      <w:bookmarkEnd w:id="404"/>
      <w:bookmarkStart w:id="405" w:name="_Toc184312121"/>
      <w:bookmarkEnd w:id="405"/>
      <w:bookmarkStart w:id="406" w:name="_Toc184314462"/>
      <w:bookmarkEnd w:id="406"/>
      <w:bookmarkStart w:id="407" w:name="_Toc184312069"/>
      <w:bookmarkEnd w:id="407"/>
      <w:bookmarkStart w:id="408" w:name="_Toc184314411"/>
      <w:bookmarkEnd w:id="408"/>
      <w:r>
        <w:rPr>
          <w:rFonts w:hint="eastAsia" w:ascii="宋体" w:hAnsi="宋体" w:eastAsia="宋体" w:cs="宋体"/>
          <w:b/>
          <w:color w:val="auto"/>
          <w:sz w:val="36"/>
          <w:szCs w:val="36"/>
          <w:highlight w:val="none"/>
        </w:rPr>
        <w:t>评标办法</w:t>
      </w:r>
    </w:p>
    <w:p>
      <w:pPr>
        <w:shd w:val="clear"/>
        <w:snapToGrid w:val="0"/>
        <w:spacing w:line="360" w:lineRule="auto"/>
        <w:jc w:val="center"/>
        <w:rPr>
          <w:rFonts w:hint="eastAsia" w:ascii="宋体" w:hAnsi="宋体" w:eastAsia="宋体" w:cs="宋体"/>
          <w:b/>
          <w:color w:val="auto"/>
          <w:sz w:val="32"/>
          <w:szCs w:val="20"/>
          <w:highlight w:val="none"/>
          <w:lang w:val="en-US" w:eastAsia="zh-CN"/>
        </w:rPr>
      </w:pPr>
      <w:r>
        <w:rPr>
          <w:rFonts w:hint="eastAsia" w:ascii="宋体" w:hAnsi="宋体" w:eastAsia="宋体" w:cs="宋体"/>
          <w:b/>
          <w:color w:val="auto"/>
          <w:sz w:val="32"/>
          <w:szCs w:val="20"/>
          <w:highlight w:val="none"/>
        </w:rPr>
        <w:t>评标办法前附表</w:t>
      </w:r>
      <w:r>
        <w:rPr>
          <w:rFonts w:hint="eastAsia" w:ascii="宋体" w:hAnsi="宋体" w:eastAsia="宋体" w:cs="宋体"/>
          <w:b/>
          <w:color w:val="auto"/>
          <w:sz w:val="32"/>
          <w:szCs w:val="20"/>
          <w:highlight w:val="none"/>
          <w:lang w:val="en-US" w:eastAsia="zh-CN"/>
        </w:rPr>
        <w:t>(适用于所有标项)</w:t>
      </w:r>
    </w:p>
    <w:p>
      <w:pPr>
        <w:shd w:val="clea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shd w:val="clea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shd w:val="clea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tbl>
      <w:tblPr>
        <w:tblStyle w:val="62"/>
        <w:tblW w:w="103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0"/>
        <w:gridCol w:w="1389"/>
        <w:gridCol w:w="6051"/>
        <w:gridCol w:w="939"/>
        <w:gridCol w:w="11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810" w:type="dxa"/>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评审内容</w:t>
            </w:r>
          </w:p>
        </w:tc>
        <w:tc>
          <w:tcPr>
            <w:tcW w:w="7440" w:type="dxa"/>
            <w:gridSpan w:val="2"/>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评分标准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分值</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rPr>
              <w:t>评审形式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价格分</w:t>
            </w:r>
            <w:r>
              <w:rPr>
                <w:rFonts w:hint="eastAsia" w:ascii="宋体" w:hAnsi="宋体" w:eastAsia="宋体" w:cs="宋体"/>
                <w:highlight w:val="none"/>
                <w:lang w:val="en-US" w:eastAsia="zh-CN"/>
              </w:rPr>
              <w:t>15</w:t>
            </w:r>
            <w:r>
              <w:rPr>
                <w:rFonts w:hint="eastAsia" w:ascii="宋体" w:hAnsi="宋体" w:eastAsia="宋体" w:cs="宋体"/>
                <w:highlight w:val="none"/>
              </w:rPr>
              <w:t>分</w:t>
            </w:r>
          </w:p>
        </w:tc>
        <w:tc>
          <w:tcPr>
            <w:tcW w:w="7440" w:type="dxa"/>
            <w:gridSpan w:val="2"/>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rPr>
            </w:pPr>
            <w:r>
              <w:rPr>
                <w:rFonts w:hint="eastAsia" w:ascii="宋体" w:hAnsi="宋体" w:eastAsia="宋体" w:cs="宋体"/>
                <w:highlight w:val="none"/>
              </w:rPr>
              <w:t>参与评审的价格=投标报价</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rPr>
            </w:pPr>
            <w:r>
              <w:rPr>
                <w:rFonts w:hint="eastAsia" w:ascii="宋体" w:hAnsi="宋体" w:eastAsia="宋体" w:cs="宋体"/>
                <w:highlight w:val="none"/>
              </w:rPr>
              <w:t>满足采购要求的有效投标且参与评审的价格最低的参与评审的价格为评标基准价，得</w:t>
            </w:r>
            <w:r>
              <w:rPr>
                <w:rFonts w:hint="eastAsia" w:ascii="宋体" w:hAnsi="宋体" w:eastAsia="宋体" w:cs="宋体"/>
                <w:highlight w:val="none"/>
                <w:lang w:val="en-US" w:eastAsia="zh-CN"/>
              </w:rPr>
              <w:t>15</w:t>
            </w:r>
            <w:r>
              <w:rPr>
                <w:rFonts w:hint="eastAsia" w:ascii="宋体" w:hAnsi="宋体" w:eastAsia="宋体" w:cs="宋体"/>
                <w:highlight w:val="none"/>
              </w:rPr>
              <w:t>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rPr>
            </w:pPr>
            <w:r>
              <w:rPr>
                <w:rFonts w:hint="eastAsia" w:ascii="宋体" w:hAnsi="宋体" w:eastAsia="宋体" w:cs="宋体"/>
                <w:highlight w:val="none"/>
              </w:rPr>
              <w:t>其他投标报价得分计算公式如下：投标报价得分=（评标基准价/参与评审的价格）×</w:t>
            </w:r>
            <w:r>
              <w:rPr>
                <w:rFonts w:hint="eastAsia" w:ascii="宋体" w:hAnsi="宋体" w:eastAsia="宋体" w:cs="宋体"/>
                <w:highlight w:val="none"/>
                <w:lang w:val="en-US" w:eastAsia="zh-CN"/>
              </w:rPr>
              <w:t>15</w:t>
            </w:r>
            <w:r>
              <w:rPr>
                <w:rFonts w:hint="eastAsia" w:ascii="宋体" w:hAnsi="宋体" w:eastAsia="宋体" w:cs="宋体"/>
                <w:highlight w:val="none"/>
              </w:rPr>
              <w:t>×100%。</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lang w:val="en-US"/>
              </w:rPr>
            </w:pPr>
            <w:r>
              <w:rPr>
                <w:rFonts w:hint="eastAsia" w:ascii="宋体" w:hAnsi="宋体" w:eastAsia="宋体" w:cs="宋体"/>
                <w:highlight w:val="none"/>
                <w:lang w:val="en-US" w:eastAsia="zh-CN"/>
              </w:rPr>
              <w:t>15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restart"/>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商务技术分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85</w:t>
            </w:r>
            <w:r>
              <w:rPr>
                <w:rFonts w:hint="eastAsia" w:ascii="宋体" w:hAnsi="宋体" w:eastAsia="宋体" w:cs="宋体"/>
                <w:highlight w:val="none"/>
              </w:rPr>
              <w:t>分</w:t>
            </w:r>
          </w:p>
        </w:tc>
        <w:tc>
          <w:tcPr>
            <w:tcW w:w="1389" w:type="dxa"/>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rPr>
            </w:pPr>
            <w:r>
              <w:rPr>
                <w:rFonts w:hint="eastAsia" w:ascii="宋体" w:hAnsi="宋体" w:eastAsia="宋体" w:cs="宋体"/>
                <w:highlight w:val="none"/>
                <w:lang w:val="en-US" w:eastAsia="zh-CN"/>
              </w:rPr>
              <w:t>1、项目现场情况了解及分析（5分）</w:t>
            </w: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1.1根据供应商提供的项目现场分析报告（包括项目实施位置、附近地理情况及施工影响分析等）是否全面进行评议（5分）：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项目现场分析报告全面，得5分；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项目现场分析报告较全面，得4.5分；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项目现场分析报告尚可，得4分；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项目现场分析报告一般，得3.5分；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项目现场分析报告欠全面，得3分；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项目现场分析报告不够全面，得2分；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rPr>
            </w:pPr>
            <w:r>
              <w:rPr>
                <w:rFonts w:hint="eastAsia" w:ascii="宋体" w:hAnsi="宋体" w:eastAsia="宋体" w:cs="宋体"/>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lang w:val="en-US" w:eastAsia="zh-CN"/>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1389" w:type="dxa"/>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2、重难点分析及应对方案（5分）</w:t>
            </w: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2.1根据供应商提供的针对本项目实施的重点及难点分析和应对方案是否全面进行评议（5分）：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重点及难点分析和应对方案全面，得5分；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重点及难点分析和应对方案较全面，得4.5分；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重点及难点分析和应对方案尚可，得4分；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重点及难点分析和应对方案一般，得3.5分；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重点及难点分析和应对方案欠全面，得3分；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重点及难点分析和应对方案不够全面，得2分；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lang w:val="en-US" w:eastAsia="zh-CN"/>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1389" w:type="dxa"/>
            <w:vMerge w:val="restart"/>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lang w:val="en-US" w:eastAsia="zh-CN"/>
              </w:rPr>
              <w:t>3、作业实施方案（35分）</w:t>
            </w: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3.1根据供应商提供的管道修复方案及措施是否科学进行评议（5分）：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管道修复方案及措施科学，得5分；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管道修复方案及措施较科学，得4.5分；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管道修复方案及措施尚可，得4分；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管道修复方案及措施一般，得3.5分；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管道修复方案及措施欠科学，得3分；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管道修复方案及措施不够科学，得2分；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highlight w:val="none"/>
                <w:lang w:val="en-US" w:eastAsia="zh-CN"/>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3.2根据供应商提供的管道疏通清淤方案及措施是否可行进行评议（5分）：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管道疏通清淤方案及措施可行，得5分；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管道疏通清淤方案及措施较可行，得4.5分；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管道疏通清淤方案及措施尚可，得4分；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管道疏通清淤方案及措施一般，得3.5分；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管道疏通清淤方案及措施欠可行，得3分；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管道疏通清淤方案及措施不够可行，得2分；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lang w:val="en-US" w:eastAsia="zh-CN"/>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3.3根据供应商提供的管道CCTV检测方案及措施是否完善进行评议（5分）：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管道CCTV检测方案及措施完善，得5分；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管道CCTV检测方案及措施较完善，得4.5分；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管道CCTV检测方案及措施尚可，得4分；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管道CCTV检测方案及措施一般，得3.5分；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管道CCTV检测方案及措施欠完善，得3分；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管道CCTV检测方案及措施不够完善，得2分；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lang w:val="en-US" w:eastAsia="zh-CN"/>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3.4根据供应商提供的交通组织管理方案（包括</w:t>
            </w:r>
            <w:r>
              <w:rPr>
                <w:rFonts w:hint="eastAsia" w:ascii="宋体" w:hAnsi="宋体" w:eastAsia="宋体" w:cs="宋体"/>
                <w:highlight w:val="none"/>
              </w:rPr>
              <w:t>交通疏导、交通安全保障</w:t>
            </w:r>
            <w:r>
              <w:rPr>
                <w:rFonts w:hint="eastAsia" w:ascii="宋体" w:hAnsi="宋体" w:eastAsia="宋体" w:cs="宋体"/>
                <w:highlight w:val="none"/>
                <w:lang w:val="en-US" w:eastAsia="zh-CN"/>
              </w:rPr>
              <w:t>）是否合理进行评议（5分）：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交通疏导、交通安全保障合理，得5分；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交通疏导、交通安全保障较合理，得4.5分；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交通疏导、交通安全保障尚可，得4分；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交通疏导、交通安全保障一般，得3.5分；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交通疏导、交通安全保障欠合理，得3分；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交通疏导、交通安全保障不够合理，得2分；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3.5根据供应商提供的污泥无害化处置措施及能力是否全面进行评议（5分）：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污泥无害化处置措施及能力全面，得5分；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污泥无害化处置措施及能力较全面，得4.5分；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污泥无害化处置措施及能力尚可，得4分；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污泥无害化处置措施及能力一般，得3.5分；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污泥无害化处置措施及能力欠全面，得3分；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污泥无害化处置措施及能力不够全面，得2分；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3.6根据供应商提供的进度保证措施、质量保证措施是否可行进行评议（5分）：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进度保证措施、质量保证措施可行，得5分；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进度保证措施、质量保证措施较可行，得4.5分；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进度保证措施、质量保证措施尚可，得4分；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进度保证措施、质量保证措施一般，得3.5分；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进度保证措施、质量保证措施欠可行，得3分；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进度保证措施、质量保证措施不够可行，得2分；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3.7根据供应商提供的夜间施工方案、噪音控制措施是否可行进行评议（5分）：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夜间施工方案、噪音控制措施可行，得5分；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夜间施工方案、噪音控制措施较可行，得4.5分；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夜间施工方案、噪音控制措施尚可，得4分；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夜间施工方案、噪音控制措施一般，得3.5分；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夜间施工方案、噪音控制措施欠可行，得3分；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夜间施工方案、噪音控制措施不够可行，得2分；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1389" w:type="dxa"/>
            <w:vMerge w:val="restart"/>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lang w:val="en-US" w:eastAsia="zh-CN"/>
              </w:rPr>
              <w:t>4</w:t>
            </w:r>
            <w:r>
              <w:rPr>
                <w:rFonts w:hint="eastAsia" w:ascii="宋体" w:hAnsi="宋体" w:eastAsia="宋体" w:cs="宋体"/>
                <w:highlight w:val="none"/>
              </w:rPr>
              <w:t>、服务</w:t>
            </w:r>
            <w:r>
              <w:rPr>
                <w:rFonts w:hint="eastAsia" w:ascii="宋体" w:hAnsi="宋体" w:eastAsia="宋体" w:cs="宋体"/>
                <w:highlight w:val="none"/>
                <w:lang w:val="en-US" w:eastAsia="zh-CN"/>
              </w:rPr>
              <w:t>响应及</w:t>
            </w:r>
            <w:r>
              <w:rPr>
                <w:rFonts w:hint="eastAsia" w:ascii="宋体" w:hAnsi="宋体" w:eastAsia="宋体" w:cs="宋体"/>
                <w:highlight w:val="none"/>
              </w:rPr>
              <w:t>承诺（</w:t>
            </w:r>
            <w:r>
              <w:rPr>
                <w:rFonts w:hint="eastAsia" w:ascii="宋体" w:hAnsi="宋体" w:eastAsia="宋体" w:cs="宋体"/>
                <w:highlight w:val="none"/>
                <w:lang w:val="en-US" w:eastAsia="zh-CN"/>
              </w:rPr>
              <w:t>10</w:t>
            </w:r>
            <w:r>
              <w:rPr>
                <w:rFonts w:hint="eastAsia" w:ascii="宋体" w:hAnsi="宋体" w:eastAsia="宋体" w:cs="宋体"/>
                <w:highlight w:val="none"/>
              </w:rPr>
              <w:t>分）</w:t>
            </w: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4.1</w:t>
            </w:r>
            <w:r>
              <w:rPr>
                <w:rFonts w:hint="eastAsia" w:ascii="宋体" w:hAnsi="宋体" w:eastAsia="宋体" w:cs="宋体"/>
                <w:highlight w:val="none"/>
              </w:rPr>
              <w:t>根据供应商针对本项目提供服务的便捷程度、服务响应速度</w:t>
            </w:r>
            <w:r>
              <w:rPr>
                <w:rFonts w:hint="eastAsia" w:ascii="宋体" w:hAnsi="宋体" w:eastAsia="宋体" w:cs="宋体"/>
                <w:highlight w:val="none"/>
                <w:lang w:val="en-US" w:eastAsia="zh-CN"/>
              </w:rPr>
              <w:t>是否迅速</w:t>
            </w:r>
            <w:r>
              <w:rPr>
                <w:rFonts w:hint="eastAsia" w:ascii="宋体" w:hAnsi="宋体" w:eastAsia="宋体" w:cs="宋体"/>
                <w:highlight w:val="none"/>
              </w:rPr>
              <w:t>进行评议</w:t>
            </w:r>
            <w:r>
              <w:rPr>
                <w:rFonts w:hint="eastAsia" w:ascii="宋体" w:hAnsi="宋体" w:eastAsia="宋体" w:cs="宋体"/>
                <w:highlight w:val="none"/>
                <w:lang w:val="en-US" w:eastAsia="zh-CN"/>
              </w:rPr>
              <w:t>（5分）：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服务的便捷程度</w:t>
            </w:r>
            <w:r>
              <w:rPr>
                <w:rFonts w:hint="eastAsia" w:ascii="宋体" w:hAnsi="宋体" w:eastAsia="宋体" w:cs="宋体"/>
                <w:highlight w:val="none"/>
                <w:lang w:val="en-US" w:eastAsia="zh-CN"/>
              </w:rPr>
              <w:t>高、</w:t>
            </w:r>
            <w:r>
              <w:rPr>
                <w:rFonts w:hint="eastAsia" w:ascii="宋体" w:hAnsi="宋体" w:eastAsia="宋体" w:cs="宋体"/>
                <w:highlight w:val="none"/>
              </w:rPr>
              <w:t>服务响应速度</w:t>
            </w:r>
            <w:r>
              <w:rPr>
                <w:rFonts w:hint="eastAsia" w:ascii="宋体" w:hAnsi="宋体" w:eastAsia="宋体" w:cs="宋体"/>
                <w:highlight w:val="none"/>
                <w:lang w:val="en-US" w:eastAsia="zh-CN"/>
              </w:rPr>
              <w:t>迅速，得5分；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服务的便捷程度</w:t>
            </w:r>
            <w:r>
              <w:rPr>
                <w:rFonts w:hint="eastAsia" w:ascii="宋体" w:hAnsi="宋体" w:eastAsia="宋体" w:cs="宋体"/>
                <w:highlight w:val="none"/>
                <w:lang w:val="en-US" w:eastAsia="zh-CN"/>
              </w:rPr>
              <w:t>较高、</w:t>
            </w:r>
            <w:r>
              <w:rPr>
                <w:rFonts w:hint="eastAsia" w:ascii="宋体" w:hAnsi="宋体" w:eastAsia="宋体" w:cs="宋体"/>
                <w:highlight w:val="none"/>
              </w:rPr>
              <w:t>服务响应速度</w:t>
            </w:r>
            <w:r>
              <w:rPr>
                <w:rFonts w:hint="eastAsia" w:ascii="宋体" w:hAnsi="宋体" w:eastAsia="宋体" w:cs="宋体"/>
                <w:highlight w:val="none"/>
                <w:lang w:val="en-US" w:eastAsia="zh-CN"/>
              </w:rPr>
              <w:t>较迅速，得4.5分；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服务的便捷程度</w:t>
            </w:r>
            <w:r>
              <w:rPr>
                <w:rFonts w:hint="eastAsia" w:ascii="宋体" w:hAnsi="宋体" w:eastAsia="宋体" w:cs="宋体"/>
                <w:highlight w:val="none"/>
                <w:lang w:val="en-US" w:eastAsia="zh-CN"/>
              </w:rPr>
              <w:t>、</w:t>
            </w:r>
            <w:r>
              <w:rPr>
                <w:rFonts w:hint="eastAsia" w:ascii="宋体" w:hAnsi="宋体" w:eastAsia="宋体" w:cs="宋体"/>
                <w:highlight w:val="none"/>
              </w:rPr>
              <w:t>服务响应速度</w:t>
            </w:r>
            <w:r>
              <w:rPr>
                <w:rFonts w:hint="eastAsia" w:ascii="宋体" w:hAnsi="宋体" w:eastAsia="宋体" w:cs="宋体"/>
                <w:highlight w:val="none"/>
                <w:lang w:val="en-US" w:eastAsia="zh-CN"/>
              </w:rPr>
              <w:t>尚可，得4分；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服务的便捷程度</w:t>
            </w:r>
            <w:r>
              <w:rPr>
                <w:rFonts w:hint="eastAsia" w:ascii="宋体" w:hAnsi="宋体" w:eastAsia="宋体" w:cs="宋体"/>
                <w:highlight w:val="none"/>
                <w:lang w:val="en-US" w:eastAsia="zh-CN"/>
              </w:rPr>
              <w:t>、</w:t>
            </w:r>
            <w:r>
              <w:rPr>
                <w:rFonts w:hint="eastAsia" w:ascii="宋体" w:hAnsi="宋体" w:eastAsia="宋体" w:cs="宋体"/>
                <w:highlight w:val="none"/>
              </w:rPr>
              <w:t>服务响应速度</w:t>
            </w:r>
            <w:r>
              <w:rPr>
                <w:rFonts w:hint="eastAsia" w:ascii="宋体" w:hAnsi="宋体" w:eastAsia="宋体" w:cs="宋体"/>
                <w:highlight w:val="none"/>
                <w:lang w:val="en-US" w:eastAsia="zh-CN"/>
              </w:rPr>
              <w:t>一般，得3.5分；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服务的便捷程度</w:t>
            </w:r>
            <w:r>
              <w:rPr>
                <w:rFonts w:hint="eastAsia" w:ascii="宋体" w:hAnsi="宋体" w:eastAsia="宋体" w:cs="宋体"/>
                <w:highlight w:val="none"/>
                <w:lang w:val="en-US" w:eastAsia="zh-CN"/>
              </w:rPr>
              <w:t>欠佳、</w:t>
            </w:r>
            <w:r>
              <w:rPr>
                <w:rFonts w:hint="eastAsia" w:ascii="宋体" w:hAnsi="宋体" w:eastAsia="宋体" w:cs="宋体"/>
                <w:highlight w:val="none"/>
              </w:rPr>
              <w:t>服务响应速度</w:t>
            </w:r>
            <w:r>
              <w:rPr>
                <w:rFonts w:hint="eastAsia" w:ascii="宋体" w:hAnsi="宋体" w:eastAsia="宋体" w:cs="宋体"/>
                <w:highlight w:val="none"/>
                <w:lang w:val="en-US" w:eastAsia="zh-CN"/>
              </w:rPr>
              <w:t>欠迅速，得3分；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服务的便捷程度</w:t>
            </w:r>
            <w:r>
              <w:rPr>
                <w:rFonts w:hint="eastAsia" w:ascii="宋体" w:hAnsi="宋体" w:eastAsia="宋体" w:cs="宋体"/>
                <w:highlight w:val="none"/>
                <w:lang w:val="en-US" w:eastAsia="zh-CN"/>
              </w:rPr>
              <w:t>差、</w:t>
            </w:r>
            <w:r>
              <w:rPr>
                <w:rFonts w:hint="eastAsia" w:ascii="宋体" w:hAnsi="宋体" w:eastAsia="宋体" w:cs="宋体"/>
                <w:highlight w:val="none"/>
              </w:rPr>
              <w:t>服务响应速度</w:t>
            </w:r>
            <w:r>
              <w:rPr>
                <w:rFonts w:hint="eastAsia" w:ascii="宋体" w:hAnsi="宋体" w:eastAsia="宋体" w:cs="宋体"/>
                <w:highlight w:val="none"/>
                <w:lang w:val="en-US" w:eastAsia="zh-CN"/>
              </w:rPr>
              <w:t>不够快，得2分；</w:t>
            </w:r>
          </w:p>
          <w:p>
            <w:pPr>
              <w:pStyle w:val="82"/>
              <w:rPr>
                <w:rFonts w:hint="eastAsia" w:ascii="宋体" w:hAnsi="宋体" w:eastAsia="宋体" w:cs="宋体"/>
                <w:highlight w:val="none"/>
                <w:lang w:val="en-US" w:eastAsia="zh-CN"/>
              </w:rPr>
            </w:pPr>
            <w:r>
              <w:rPr>
                <w:rFonts w:hint="eastAsia" w:ascii="宋体" w:hAnsi="宋体" w:eastAsia="宋体" w:cs="宋体"/>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4.1</w:t>
            </w:r>
            <w:r>
              <w:rPr>
                <w:rFonts w:hint="eastAsia" w:ascii="宋体" w:hAnsi="宋体" w:eastAsia="宋体" w:cs="宋体"/>
                <w:highlight w:val="none"/>
              </w:rPr>
              <w:t>根据供应商针对本项目提供服务的便捷程度、服务响应速度</w:t>
            </w:r>
            <w:r>
              <w:rPr>
                <w:rFonts w:hint="eastAsia" w:ascii="宋体" w:hAnsi="宋体" w:eastAsia="宋体" w:cs="宋体"/>
                <w:highlight w:val="none"/>
                <w:lang w:val="en-US" w:eastAsia="zh-CN"/>
              </w:rPr>
              <w:t>是否迅速</w:t>
            </w:r>
            <w:r>
              <w:rPr>
                <w:rFonts w:hint="eastAsia" w:ascii="宋体" w:hAnsi="宋体" w:eastAsia="宋体" w:cs="宋体"/>
                <w:highlight w:val="none"/>
              </w:rPr>
              <w:t>进行评议</w:t>
            </w:r>
            <w:r>
              <w:rPr>
                <w:rFonts w:hint="eastAsia" w:ascii="宋体" w:hAnsi="宋体" w:eastAsia="宋体" w:cs="宋体"/>
                <w:highlight w:val="none"/>
                <w:lang w:val="en-US" w:eastAsia="zh-CN"/>
              </w:rPr>
              <w:t>（5分）：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服务的便捷程度</w:t>
            </w:r>
            <w:r>
              <w:rPr>
                <w:rFonts w:hint="eastAsia" w:ascii="宋体" w:hAnsi="宋体" w:eastAsia="宋体" w:cs="宋体"/>
                <w:highlight w:val="none"/>
                <w:lang w:val="en-US" w:eastAsia="zh-CN"/>
              </w:rPr>
              <w:t>高、</w:t>
            </w:r>
            <w:r>
              <w:rPr>
                <w:rFonts w:hint="eastAsia" w:ascii="宋体" w:hAnsi="宋体" w:eastAsia="宋体" w:cs="宋体"/>
                <w:highlight w:val="none"/>
              </w:rPr>
              <w:t>服务响应速度</w:t>
            </w:r>
            <w:r>
              <w:rPr>
                <w:rFonts w:hint="eastAsia" w:ascii="宋体" w:hAnsi="宋体" w:eastAsia="宋体" w:cs="宋体"/>
                <w:highlight w:val="none"/>
                <w:lang w:val="en-US" w:eastAsia="zh-CN"/>
              </w:rPr>
              <w:t>迅速，得5分；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服务的便捷程度</w:t>
            </w:r>
            <w:r>
              <w:rPr>
                <w:rFonts w:hint="eastAsia" w:ascii="宋体" w:hAnsi="宋体" w:eastAsia="宋体" w:cs="宋体"/>
                <w:highlight w:val="none"/>
                <w:lang w:val="en-US" w:eastAsia="zh-CN"/>
              </w:rPr>
              <w:t>较高、</w:t>
            </w:r>
            <w:r>
              <w:rPr>
                <w:rFonts w:hint="eastAsia" w:ascii="宋体" w:hAnsi="宋体" w:eastAsia="宋体" w:cs="宋体"/>
                <w:highlight w:val="none"/>
              </w:rPr>
              <w:t>服务响应速度</w:t>
            </w:r>
            <w:r>
              <w:rPr>
                <w:rFonts w:hint="eastAsia" w:ascii="宋体" w:hAnsi="宋体" w:eastAsia="宋体" w:cs="宋体"/>
                <w:highlight w:val="none"/>
                <w:lang w:val="en-US" w:eastAsia="zh-CN"/>
              </w:rPr>
              <w:t>较迅速，得4.5分；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服务的便捷程度</w:t>
            </w:r>
            <w:r>
              <w:rPr>
                <w:rFonts w:hint="eastAsia" w:ascii="宋体" w:hAnsi="宋体" w:eastAsia="宋体" w:cs="宋体"/>
                <w:highlight w:val="none"/>
                <w:lang w:val="en-US" w:eastAsia="zh-CN"/>
              </w:rPr>
              <w:t>、</w:t>
            </w:r>
            <w:r>
              <w:rPr>
                <w:rFonts w:hint="eastAsia" w:ascii="宋体" w:hAnsi="宋体" w:eastAsia="宋体" w:cs="宋体"/>
                <w:highlight w:val="none"/>
              </w:rPr>
              <w:t>服务响应速度</w:t>
            </w:r>
            <w:r>
              <w:rPr>
                <w:rFonts w:hint="eastAsia" w:ascii="宋体" w:hAnsi="宋体" w:eastAsia="宋体" w:cs="宋体"/>
                <w:highlight w:val="none"/>
                <w:lang w:val="en-US" w:eastAsia="zh-CN"/>
              </w:rPr>
              <w:t>尚可，得4分；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服务的便捷程度</w:t>
            </w:r>
            <w:r>
              <w:rPr>
                <w:rFonts w:hint="eastAsia" w:ascii="宋体" w:hAnsi="宋体" w:eastAsia="宋体" w:cs="宋体"/>
                <w:highlight w:val="none"/>
                <w:lang w:val="en-US" w:eastAsia="zh-CN"/>
              </w:rPr>
              <w:t>、</w:t>
            </w:r>
            <w:r>
              <w:rPr>
                <w:rFonts w:hint="eastAsia" w:ascii="宋体" w:hAnsi="宋体" w:eastAsia="宋体" w:cs="宋体"/>
                <w:highlight w:val="none"/>
              </w:rPr>
              <w:t>服务响应速度</w:t>
            </w:r>
            <w:r>
              <w:rPr>
                <w:rFonts w:hint="eastAsia" w:ascii="宋体" w:hAnsi="宋体" w:eastAsia="宋体" w:cs="宋体"/>
                <w:highlight w:val="none"/>
                <w:lang w:val="en-US" w:eastAsia="zh-CN"/>
              </w:rPr>
              <w:t>一般，得3.5分；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服务的便捷程度</w:t>
            </w:r>
            <w:r>
              <w:rPr>
                <w:rFonts w:hint="eastAsia" w:ascii="宋体" w:hAnsi="宋体" w:eastAsia="宋体" w:cs="宋体"/>
                <w:highlight w:val="none"/>
                <w:lang w:val="en-US" w:eastAsia="zh-CN"/>
              </w:rPr>
              <w:t>欠佳、</w:t>
            </w:r>
            <w:r>
              <w:rPr>
                <w:rFonts w:hint="eastAsia" w:ascii="宋体" w:hAnsi="宋体" w:eastAsia="宋体" w:cs="宋体"/>
                <w:highlight w:val="none"/>
              </w:rPr>
              <w:t>服务响应速度</w:t>
            </w:r>
            <w:r>
              <w:rPr>
                <w:rFonts w:hint="eastAsia" w:ascii="宋体" w:hAnsi="宋体" w:eastAsia="宋体" w:cs="宋体"/>
                <w:highlight w:val="none"/>
                <w:lang w:val="en-US" w:eastAsia="zh-CN"/>
              </w:rPr>
              <w:t>欠迅速，得3分；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rPr>
              <w:t>服务的便捷程度</w:t>
            </w:r>
            <w:r>
              <w:rPr>
                <w:rFonts w:hint="eastAsia" w:ascii="宋体" w:hAnsi="宋体" w:eastAsia="宋体" w:cs="宋体"/>
                <w:highlight w:val="none"/>
                <w:lang w:val="en-US" w:eastAsia="zh-CN"/>
              </w:rPr>
              <w:t>差、</w:t>
            </w:r>
            <w:r>
              <w:rPr>
                <w:rFonts w:hint="eastAsia" w:ascii="宋体" w:hAnsi="宋体" w:eastAsia="宋体" w:cs="宋体"/>
                <w:highlight w:val="none"/>
              </w:rPr>
              <w:t>服务响应速度</w:t>
            </w:r>
            <w:r>
              <w:rPr>
                <w:rFonts w:hint="eastAsia" w:ascii="宋体" w:hAnsi="宋体" w:eastAsia="宋体" w:cs="宋体"/>
                <w:highlight w:val="none"/>
                <w:lang w:val="en-US" w:eastAsia="zh-CN"/>
              </w:rPr>
              <w:t>不够快，得2分；</w:t>
            </w:r>
          </w:p>
          <w:p>
            <w:pPr>
              <w:pStyle w:val="82"/>
              <w:rPr>
                <w:rFonts w:hint="eastAsia" w:ascii="宋体" w:hAnsi="宋体" w:eastAsia="宋体" w:cs="宋体"/>
                <w:highlight w:val="none"/>
                <w:lang w:val="en-US" w:eastAsia="zh-CN"/>
              </w:rPr>
            </w:pPr>
            <w:r>
              <w:rPr>
                <w:rFonts w:hint="eastAsia" w:ascii="宋体" w:hAnsi="宋体" w:eastAsia="宋体" w:cs="宋体"/>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highlight w:val="none"/>
                <w:lang w:val="en-US" w:eastAsia="zh-CN"/>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1389" w:type="dxa"/>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5、文明施工、环保措施（5分）</w:t>
            </w: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5.1根据供应商提供的文明施工、环保措施是否可行进行评议（5分）：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文明施工、环保措施可行，得5分；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文明施工、环保措施较可行，得4.5分；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文明施工、环保措施尚可，得4分；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文明施工、环保措施一般，得3.5分；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文明施工、环保措施欠可行，得3分；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文明施工、环保措施不够可行，得2分；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74"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vMerge w:val="restart"/>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、人员配备（1</w:t>
            </w:r>
            <w:r>
              <w:rPr>
                <w:rFonts w:hint="eastAsia" w:ascii="宋体" w:hAnsi="宋体" w:eastAsia="宋体" w:cs="宋体"/>
                <w:highlight w:val="none"/>
                <w:lang w:val="en-US" w:eastAsia="zh-CN"/>
              </w:rPr>
              <w:t>0</w:t>
            </w:r>
            <w:r>
              <w:rPr>
                <w:rFonts w:hint="eastAsia" w:ascii="宋体" w:hAnsi="宋体" w:eastAsia="宋体" w:cs="宋体"/>
                <w:highlight w:val="none"/>
              </w:rPr>
              <w:t>分）</w:t>
            </w:r>
          </w:p>
        </w:tc>
        <w:tc>
          <w:tcPr>
            <w:tcW w:w="6051" w:type="dxa"/>
            <w:tcBorders>
              <w:left w:val="single" w:color="auto" w:sz="4" w:space="0"/>
            </w:tcBorders>
            <w:vAlign w:val="center"/>
          </w:tcPr>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6.1评委根据供应商提供的人员安排和岗位设置是否合理进行评议：</w:t>
            </w:r>
          </w:p>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人员安排和岗位设置合理，得5分；</w:t>
            </w:r>
          </w:p>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人员安排和岗位设置较合理，得4.5分；</w:t>
            </w:r>
          </w:p>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人员安排和岗位设置尚可，得4分；</w:t>
            </w:r>
          </w:p>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人员安排和岗位设置一般，得 3.5分；</w:t>
            </w:r>
          </w:p>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人员安排和岗位设置欠合理，得3分；</w:t>
            </w:r>
          </w:p>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人员安排和岗位设置不合理，得2分；</w:t>
            </w:r>
          </w:p>
          <w:p>
            <w:pPr>
              <w:spacing w:line="280" w:lineRule="exact"/>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6051" w:type="dxa"/>
            <w:tcBorders>
              <w:left w:val="single" w:color="auto" w:sz="4" w:space="0"/>
            </w:tcBorders>
            <w:vAlign w:val="center"/>
          </w:tcPr>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6.2评委根据供应商提供的人员的相关项目经验及专业能力是否全面进行评议：</w:t>
            </w:r>
          </w:p>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人员的相关项目经验及专业能力全面，得5分；</w:t>
            </w:r>
          </w:p>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人员的相关项目经验及专业能力较全面，得4.5分；</w:t>
            </w:r>
          </w:p>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人员的相关项目经验及专业能力尚可，得4分；</w:t>
            </w:r>
          </w:p>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人员的相关项目经验及专业能力一般，得3.5分；</w:t>
            </w:r>
          </w:p>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人员的相关项目经验及专业能力欠全面，得3分；</w:t>
            </w:r>
          </w:p>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人员的相关项目经验及专业能力不全面，得 2分；</w:t>
            </w:r>
          </w:p>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5</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主观评审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vMerge w:val="restart"/>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、设备配置（</w:t>
            </w:r>
            <w:r>
              <w:rPr>
                <w:rFonts w:hint="eastAsia" w:ascii="宋体" w:hAnsi="宋体" w:eastAsia="宋体" w:cs="宋体"/>
                <w:highlight w:val="none"/>
                <w:lang w:val="en-US" w:eastAsia="zh-CN"/>
              </w:rPr>
              <w:t>11</w:t>
            </w:r>
            <w:r>
              <w:rPr>
                <w:rFonts w:hint="eastAsia" w:ascii="宋体" w:hAnsi="宋体" w:eastAsia="宋体" w:cs="宋体"/>
                <w:highlight w:val="none"/>
              </w:rPr>
              <w:t>分）</w:t>
            </w:r>
          </w:p>
        </w:tc>
        <w:tc>
          <w:tcPr>
            <w:tcW w:w="6051" w:type="dxa"/>
            <w:tcBorders>
              <w:left w:val="single" w:color="auto" w:sz="4" w:space="0"/>
            </w:tcBorders>
            <w:vAlign w:val="center"/>
          </w:tcPr>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7.1供应商自有CCTV管道内窥检测设备的，每套得0.5分，本项最高得1分。</w:t>
            </w:r>
            <w:r>
              <w:rPr>
                <w:rFonts w:hint="eastAsia" w:ascii="宋体" w:hAnsi="宋体" w:eastAsia="宋体" w:cs="宋体"/>
                <w:b/>
                <w:bCs/>
                <w:color w:val="auto"/>
                <w:sz w:val="24"/>
                <w:szCs w:val="24"/>
                <w:highlight w:val="none"/>
                <w:lang w:val="en-US" w:eastAsia="zh-CN"/>
              </w:rPr>
              <w:t>注：①投标文件中提供CCTV管道内窥检测设备购置发票复印件加盖公章并提供校准检验证明材料（1、若为纸质发票的：发票需发票专用章，若为发票记账联则不需要发票专用章；2、若为电子发票的：发票需在国家税务总局全国增值税发票查验平台的查验结果截图），购置发票上的购买方应</w:t>
            </w:r>
            <w:r>
              <w:rPr>
                <w:rFonts w:hint="eastAsia" w:ascii="宋体" w:hAnsi="宋体" w:cs="宋体"/>
                <w:b/>
                <w:bCs/>
                <w:color w:val="auto"/>
                <w:sz w:val="24"/>
                <w:szCs w:val="24"/>
                <w:highlight w:val="none"/>
                <w:lang w:val="en-US" w:eastAsia="zh-CN"/>
              </w:rPr>
              <w:t>与</w:t>
            </w:r>
            <w:r>
              <w:rPr>
                <w:rFonts w:hint="eastAsia" w:ascii="宋体" w:hAnsi="宋体" w:eastAsia="宋体" w:cs="宋体"/>
                <w:b/>
                <w:bCs/>
                <w:color w:val="auto"/>
                <w:sz w:val="24"/>
                <w:szCs w:val="24"/>
                <w:highlight w:val="none"/>
                <w:lang w:val="en-US" w:eastAsia="zh-CN"/>
              </w:rPr>
              <w:t>供应商一致，否则不予认可；②提供的发票模糊不清的，则不予认可。</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1</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6051" w:type="dxa"/>
            <w:tcBorders>
              <w:left w:val="single" w:color="auto" w:sz="4" w:space="0"/>
            </w:tcBorders>
            <w:vAlign w:val="center"/>
          </w:tcPr>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7.2供应商自有管道封堵设备（</w:t>
            </w:r>
            <w:r>
              <w:rPr>
                <w:rFonts w:hint="eastAsia" w:ascii="宋体" w:hAnsi="宋体" w:eastAsia="宋体" w:cs="宋体"/>
                <w:bCs/>
                <w:kern w:val="0"/>
                <w:sz w:val="24"/>
                <w:szCs w:val="24"/>
                <w:highlight w:val="none"/>
              </w:rPr>
              <w:t>DN110、DN180、DN200、DN225、DN300、DN400、DN500、DN600、DN700、DN800、DN900、DN1000、DN1200、DN1400</w:t>
            </w:r>
            <w:r>
              <w:rPr>
                <w:rFonts w:hint="eastAsia" w:ascii="宋体" w:hAnsi="宋体" w:eastAsia="宋体" w:cs="宋体"/>
                <w:color w:val="auto"/>
                <w:sz w:val="24"/>
                <w:szCs w:val="24"/>
                <w:highlight w:val="none"/>
                <w:lang w:val="en-US" w:eastAsia="zh-CN"/>
              </w:rPr>
              <w:t>），每提供完整一套设备的得0.5分，本项最高得2分。缺1个管径视为不满足。</w:t>
            </w:r>
            <w:r>
              <w:rPr>
                <w:rFonts w:hint="eastAsia" w:ascii="宋体" w:hAnsi="宋体" w:eastAsia="宋体" w:cs="宋体"/>
                <w:b/>
                <w:bCs/>
                <w:color w:val="auto"/>
                <w:sz w:val="24"/>
                <w:szCs w:val="24"/>
                <w:highlight w:val="none"/>
                <w:lang w:val="en-US" w:eastAsia="zh-CN"/>
              </w:rPr>
              <w:t>注：①投标文件中提供管道封堵设备购置发票复印件加盖公章（1、若为纸质发票的：发票需发票专用章，若为发票记账联则不需要发票专用章；2、若为电子发票的：发票需在国家税务总局全国增值税发票查验平台的查验结果截图），购置发票上的购买方应</w:t>
            </w:r>
            <w:r>
              <w:rPr>
                <w:rFonts w:hint="eastAsia" w:ascii="宋体" w:hAnsi="宋体" w:cs="宋体"/>
                <w:b/>
                <w:bCs/>
                <w:color w:val="auto"/>
                <w:sz w:val="24"/>
                <w:szCs w:val="24"/>
                <w:highlight w:val="none"/>
                <w:lang w:val="en-US" w:eastAsia="zh-CN"/>
              </w:rPr>
              <w:t>与</w:t>
            </w:r>
            <w:r>
              <w:rPr>
                <w:rFonts w:hint="eastAsia" w:ascii="宋体" w:hAnsi="宋体" w:eastAsia="宋体" w:cs="宋体"/>
                <w:b/>
                <w:bCs/>
                <w:color w:val="auto"/>
                <w:sz w:val="24"/>
                <w:szCs w:val="24"/>
                <w:highlight w:val="none"/>
                <w:lang w:val="en-US" w:eastAsia="zh-CN"/>
              </w:rPr>
              <w:t>供应商一致，否则不予认可；②提供的发票模糊不清的，则不予认可。</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lang w:val="en-US" w:eastAsia="zh-CN"/>
              </w:rPr>
              <w:t>2</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6051" w:type="dxa"/>
            <w:tcBorders>
              <w:left w:val="single" w:color="auto" w:sz="4" w:space="0"/>
            </w:tcBorders>
            <w:vAlign w:val="center"/>
          </w:tcPr>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7.3供应商自有管道非开挖修复器（修复气囊），每套得0.5分，本项最高得1分。</w:t>
            </w:r>
            <w:r>
              <w:rPr>
                <w:rFonts w:hint="eastAsia" w:ascii="宋体" w:hAnsi="宋体" w:eastAsia="宋体" w:cs="宋体"/>
                <w:b/>
                <w:bCs/>
                <w:color w:val="auto"/>
                <w:sz w:val="24"/>
                <w:szCs w:val="24"/>
                <w:highlight w:val="none"/>
                <w:lang w:val="en-US" w:eastAsia="zh-CN"/>
              </w:rPr>
              <w:t>注：①投标文件中提供管道非开挖修复器（修复气囊）购置发票复印件加盖公章（1、若为纸质发票的：发票需发票专用章，若为发票记账联则不需要发票专用章；2、若为电子发票的：发票需在国家税务总局全国增值税发票查验平台的查验结果截图），购置发票上的购买方应</w:t>
            </w:r>
            <w:r>
              <w:rPr>
                <w:rFonts w:hint="eastAsia" w:ascii="宋体" w:hAnsi="宋体" w:cs="宋体"/>
                <w:b/>
                <w:bCs/>
                <w:color w:val="auto"/>
                <w:sz w:val="24"/>
                <w:szCs w:val="24"/>
                <w:highlight w:val="none"/>
                <w:lang w:val="en-US" w:eastAsia="zh-CN"/>
              </w:rPr>
              <w:t>与</w:t>
            </w:r>
            <w:r>
              <w:rPr>
                <w:rFonts w:hint="eastAsia" w:ascii="宋体" w:hAnsi="宋体" w:eastAsia="宋体" w:cs="宋体"/>
                <w:b/>
                <w:bCs/>
                <w:color w:val="auto"/>
                <w:sz w:val="24"/>
                <w:szCs w:val="24"/>
                <w:highlight w:val="none"/>
                <w:lang w:val="en-US" w:eastAsia="zh-CN"/>
              </w:rPr>
              <w:t>供应商一致，否则不予认可；②提供的发票模糊不清的，则不予认可。</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en-US" w:eastAsia="zh-CN" w:bidi="ar-SA"/>
              </w:rPr>
            </w:pPr>
            <w:r>
              <w:rPr>
                <w:rFonts w:hint="eastAsia" w:ascii="宋体" w:hAnsi="宋体" w:eastAsia="宋体" w:cs="宋体"/>
                <w:highlight w:val="none"/>
                <w:lang w:val="en-US" w:eastAsia="zh-CN"/>
              </w:rPr>
              <w:t>1</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6051" w:type="dxa"/>
            <w:tcBorders>
              <w:left w:val="single" w:color="auto" w:sz="4" w:space="0"/>
            </w:tcBorders>
            <w:vAlign w:val="center"/>
          </w:tcPr>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7.4供应商自有毒气检测仪，每套得0.5分，本项最高得1分。</w:t>
            </w:r>
            <w:r>
              <w:rPr>
                <w:rFonts w:hint="eastAsia" w:ascii="宋体" w:hAnsi="宋体" w:eastAsia="宋体" w:cs="宋体"/>
                <w:b/>
                <w:bCs/>
                <w:color w:val="auto"/>
                <w:sz w:val="24"/>
                <w:szCs w:val="24"/>
                <w:highlight w:val="none"/>
                <w:lang w:val="en-US" w:eastAsia="zh-CN"/>
              </w:rPr>
              <w:t>注：①投标文件中提供毒气检测仪购置发票复印件加盖公章（1、若为纸质发票的：发票需发票专用章，若为发票记账联则不需要发票专用章；2、若为电子发票的：发票需在国家税务总局全国增值税发票查验平台的查验结果截图），购置发票上的购买方应</w:t>
            </w:r>
            <w:r>
              <w:rPr>
                <w:rFonts w:hint="eastAsia" w:ascii="宋体" w:hAnsi="宋体" w:cs="宋体"/>
                <w:b/>
                <w:bCs/>
                <w:color w:val="auto"/>
                <w:sz w:val="24"/>
                <w:szCs w:val="24"/>
                <w:highlight w:val="none"/>
                <w:lang w:val="en-US" w:eastAsia="zh-CN"/>
              </w:rPr>
              <w:t>与</w:t>
            </w:r>
            <w:r>
              <w:rPr>
                <w:rFonts w:hint="eastAsia" w:ascii="宋体" w:hAnsi="宋体" w:eastAsia="宋体" w:cs="宋体"/>
                <w:b/>
                <w:bCs/>
                <w:color w:val="auto"/>
                <w:sz w:val="24"/>
                <w:szCs w:val="24"/>
                <w:highlight w:val="none"/>
                <w:lang w:val="en-US" w:eastAsia="zh-CN"/>
              </w:rPr>
              <w:t>供应商一致，否则不予认可；②提供的发票模糊不清的，则不予认可。</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4"/>
                <w:highlight w:val="none"/>
                <w:lang w:val="zh-CN" w:eastAsia="zh-CN" w:bidi="ar-SA"/>
              </w:rPr>
            </w:pPr>
            <w:r>
              <w:rPr>
                <w:rFonts w:hint="eastAsia" w:ascii="宋体" w:hAnsi="宋体" w:eastAsia="宋体" w:cs="宋体"/>
                <w:sz w:val="24"/>
                <w:szCs w:val="24"/>
                <w:highlight w:val="none"/>
                <w:lang w:val="en-US" w:eastAsia="zh-CN"/>
              </w:rPr>
              <w:t>1</w:t>
            </w:r>
          </w:p>
        </w:tc>
        <w:tc>
          <w:tcPr>
            <w:tcW w:w="119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4"/>
                <w:highlight w:val="none"/>
                <w:lang w:val="zh-CN" w:eastAsia="zh-CN" w:bidi="ar-SA"/>
              </w:rPr>
            </w:pPr>
            <w:r>
              <w:rPr>
                <w:rFonts w:hint="eastAsia" w:ascii="宋体" w:hAnsi="宋体" w:eastAsia="宋体" w:cs="宋体"/>
                <w:sz w:val="24"/>
                <w:szCs w:val="24"/>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6051" w:type="dxa"/>
            <w:tcBorders>
              <w:left w:val="single" w:color="auto" w:sz="4" w:space="0"/>
            </w:tcBorders>
            <w:vAlign w:val="center"/>
          </w:tcPr>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7.5供应商自有修复期间临时排水泵车，每套得0.5分，本项最高得1分。</w:t>
            </w:r>
            <w:r>
              <w:rPr>
                <w:rFonts w:hint="eastAsia" w:ascii="宋体" w:hAnsi="宋体" w:eastAsia="宋体" w:cs="宋体"/>
                <w:b/>
                <w:bCs/>
                <w:color w:val="auto"/>
                <w:sz w:val="24"/>
                <w:szCs w:val="24"/>
                <w:highlight w:val="none"/>
                <w:lang w:val="en-US" w:eastAsia="zh-CN"/>
              </w:rPr>
              <w:t>注：①投标文件中需提供排水泵车行驶证复印件及购车发票复印件并加盖公章，行驶证中的所有人和发票中的购买方应与供应商名称一致，否则不予认可（1、若为纸质发票的：发票需发票专用章，若为发票记账联则不需要发票专用章；2、若为电子发票的：发票需在国家税务总局全国增值税发票查验平台的查验结果截图）；②提供的发票模糊不清的，则不予认可。</w:t>
            </w:r>
            <w:r>
              <w:rPr>
                <w:rFonts w:hint="eastAsia" w:ascii="宋体" w:hAnsi="宋体" w:eastAsia="宋体" w:cs="宋体"/>
                <w:color w:val="auto"/>
                <w:sz w:val="24"/>
                <w:szCs w:val="24"/>
                <w:highlight w:val="none"/>
                <w:lang w:val="en-US" w:eastAsia="zh-CN"/>
              </w:rPr>
              <w:t xml:space="preserve"> </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4"/>
                <w:highlight w:val="none"/>
                <w:lang w:val="zh-CN" w:eastAsia="zh-CN" w:bidi="ar-SA"/>
              </w:rPr>
            </w:pPr>
            <w:r>
              <w:rPr>
                <w:rFonts w:hint="eastAsia" w:ascii="宋体" w:hAnsi="宋体" w:eastAsia="宋体" w:cs="宋体"/>
                <w:sz w:val="24"/>
                <w:szCs w:val="24"/>
                <w:highlight w:val="none"/>
                <w:lang w:val="en-US" w:eastAsia="zh-CN"/>
              </w:rPr>
              <w:t>1</w:t>
            </w:r>
          </w:p>
        </w:tc>
        <w:tc>
          <w:tcPr>
            <w:tcW w:w="119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4"/>
                <w:highlight w:val="none"/>
                <w:lang w:val="zh-CN" w:eastAsia="zh-CN" w:bidi="ar-SA"/>
              </w:rPr>
            </w:pPr>
            <w:r>
              <w:rPr>
                <w:rFonts w:hint="eastAsia" w:ascii="宋体" w:hAnsi="宋体" w:eastAsia="宋体" w:cs="宋体"/>
                <w:sz w:val="24"/>
                <w:szCs w:val="24"/>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6051" w:type="dxa"/>
            <w:tcBorders>
              <w:left w:val="single" w:color="auto" w:sz="4" w:space="0"/>
            </w:tcBorders>
            <w:vAlign w:val="center"/>
          </w:tcPr>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7.6供应商自有应急电源车，每套得0.5分，本项最高得1分。</w:t>
            </w:r>
            <w:r>
              <w:rPr>
                <w:rFonts w:hint="eastAsia" w:ascii="宋体" w:hAnsi="宋体" w:eastAsia="宋体" w:cs="宋体"/>
                <w:b/>
                <w:bCs/>
                <w:color w:val="auto"/>
                <w:sz w:val="24"/>
                <w:szCs w:val="24"/>
                <w:highlight w:val="none"/>
                <w:lang w:val="en-US" w:eastAsia="zh-CN"/>
              </w:rPr>
              <w:t>注：①投标文件中需提供应急电源车行驶证复印件及购车发票复印件并加盖公章，行驶证中的所有人和发票中的购买方应与供应商名称一致，否则不予认可（1、若为纸质发票的：发票需发票专用章，若为发票记账联则不需要发票专用章；2、若为电子发票的：发票需在国家税务总局全国增值税发票查验平台的查验结果截图）；②提供的发票模糊不清的，则不予认可。</w:t>
            </w:r>
            <w:r>
              <w:rPr>
                <w:rFonts w:hint="eastAsia" w:ascii="宋体" w:hAnsi="宋体" w:eastAsia="宋体" w:cs="宋体"/>
                <w:color w:val="auto"/>
                <w:sz w:val="24"/>
                <w:szCs w:val="24"/>
                <w:highlight w:val="none"/>
                <w:lang w:val="en-US" w:eastAsia="zh-CN"/>
              </w:rPr>
              <w:t xml:space="preserve"> </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4"/>
                <w:highlight w:val="none"/>
                <w:lang w:val="zh-CN" w:eastAsia="zh-CN" w:bidi="ar-SA"/>
              </w:rPr>
            </w:pPr>
            <w:r>
              <w:rPr>
                <w:rFonts w:hint="eastAsia" w:ascii="宋体" w:hAnsi="宋体" w:eastAsia="宋体" w:cs="宋体"/>
                <w:sz w:val="24"/>
                <w:szCs w:val="24"/>
                <w:highlight w:val="none"/>
                <w:lang w:val="en-US" w:eastAsia="zh-CN"/>
              </w:rPr>
              <w:t>1</w:t>
            </w:r>
          </w:p>
        </w:tc>
        <w:tc>
          <w:tcPr>
            <w:tcW w:w="119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4"/>
                <w:highlight w:val="none"/>
                <w:lang w:val="zh-CN" w:eastAsia="zh-CN" w:bidi="ar-SA"/>
              </w:rPr>
            </w:pPr>
            <w:r>
              <w:rPr>
                <w:rFonts w:hint="eastAsia" w:ascii="宋体" w:hAnsi="宋体" w:eastAsia="宋体" w:cs="宋体"/>
                <w:sz w:val="24"/>
                <w:szCs w:val="24"/>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6051" w:type="dxa"/>
            <w:tcBorders>
              <w:left w:val="single" w:color="auto" w:sz="4" w:space="0"/>
            </w:tcBorders>
            <w:vAlign w:val="center"/>
          </w:tcPr>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7.7供应商自有疏通车的，每辆得1分，本项最高得2分。</w:t>
            </w:r>
            <w:r>
              <w:rPr>
                <w:rFonts w:hint="eastAsia" w:ascii="宋体" w:hAnsi="宋体" w:eastAsia="宋体" w:cs="宋体"/>
                <w:b/>
                <w:bCs/>
                <w:color w:val="auto"/>
                <w:sz w:val="24"/>
                <w:szCs w:val="24"/>
                <w:highlight w:val="none"/>
                <w:lang w:val="en-US" w:eastAsia="zh-CN"/>
              </w:rPr>
              <w:t>注：①投标文件中需提供疏通车行驶证复印件及购车发票复印件并加盖公章，行驶证中的所有人和发票中的购买方应与供应商名称一致，否则不予认可（1、若为纸质发票的：发票需发票专用章，若为发票记账联则不需要发票专用章；2、若为电子发票的：发票需在国家税务总局全国增值税发票查验平台的查验结果截图）；②提供的发票模糊不清的，则不予认可。③投标文件中需提供含车辆车牌的证明图片，彩色打印并加盖公章，照片需清晰，则不予认可。</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4"/>
                <w:highlight w:val="none"/>
                <w:lang w:val="zh-CN" w:eastAsia="zh-CN" w:bidi="ar-SA"/>
              </w:rPr>
            </w:pPr>
            <w:r>
              <w:rPr>
                <w:rFonts w:hint="eastAsia" w:ascii="宋体" w:hAnsi="宋体" w:eastAsia="宋体" w:cs="宋体"/>
                <w:sz w:val="24"/>
                <w:szCs w:val="24"/>
                <w:highlight w:val="none"/>
                <w:lang w:val="en-US" w:eastAsia="zh-CN"/>
              </w:rPr>
              <w:t>2</w:t>
            </w:r>
          </w:p>
        </w:tc>
        <w:tc>
          <w:tcPr>
            <w:tcW w:w="119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4"/>
                <w:highlight w:val="none"/>
                <w:lang w:val="zh-CN" w:eastAsia="zh-CN" w:bidi="ar-SA"/>
              </w:rPr>
            </w:pPr>
            <w:r>
              <w:rPr>
                <w:rFonts w:hint="eastAsia" w:ascii="宋体" w:hAnsi="宋体" w:eastAsia="宋体" w:cs="宋体"/>
                <w:sz w:val="24"/>
                <w:szCs w:val="24"/>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val="en-US" w:eastAsia="zh-CN"/>
              </w:rPr>
            </w:pPr>
          </w:p>
        </w:tc>
        <w:tc>
          <w:tcPr>
            <w:tcW w:w="6051" w:type="dxa"/>
            <w:tcBorders>
              <w:left w:val="single" w:color="auto" w:sz="4" w:space="0"/>
            </w:tcBorders>
            <w:vAlign w:val="center"/>
          </w:tcPr>
          <w:p>
            <w:pPr>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7.8供应商自有吸污车的，每辆得1分，本项最高得2分。</w:t>
            </w:r>
            <w:r>
              <w:rPr>
                <w:rFonts w:hint="eastAsia" w:ascii="宋体" w:hAnsi="宋体" w:eastAsia="宋体" w:cs="宋体"/>
                <w:b/>
                <w:bCs/>
                <w:color w:val="auto"/>
                <w:sz w:val="24"/>
                <w:szCs w:val="24"/>
                <w:highlight w:val="none"/>
                <w:lang w:val="en-US" w:eastAsia="zh-CN"/>
              </w:rPr>
              <w:t>注：①投标文件中需提供吸污车行驶证复印件及购车发票复印件并加盖公章，行驶证中的所有人和发票中的购买方应与供应商名称一致，否则不予认可（1、若为纸质发票的：发票需发票专用章，若为发票记账联则不需要发票专用章；2、若为电子发票的：发票需在国家税务总局全国增值税发票查验平台的查验结果截图）；②提供的发票模糊不清的，则不予认可。③投标文件中需提供含车辆车牌的证明图片，彩色打印并加盖公章，照片需清晰，则不予认可。</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4"/>
                <w:highlight w:val="none"/>
                <w:lang w:val="zh-CN" w:eastAsia="zh-CN" w:bidi="ar-SA"/>
              </w:rPr>
            </w:pPr>
            <w:r>
              <w:rPr>
                <w:rFonts w:hint="eastAsia" w:ascii="宋体" w:hAnsi="宋体" w:eastAsia="宋体" w:cs="宋体"/>
                <w:sz w:val="24"/>
                <w:szCs w:val="24"/>
                <w:highlight w:val="none"/>
                <w:lang w:val="en-US" w:eastAsia="zh-CN"/>
              </w:rPr>
              <w:t>2</w:t>
            </w:r>
          </w:p>
        </w:tc>
        <w:tc>
          <w:tcPr>
            <w:tcW w:w="119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napToGrid w:val="0"/>
                <w:kern w:val="2"/>
                <w:sz w:val="24"/>
                <w:szCs w:val="24"/>
                <w:highlight w:val="none"/>
                <w:lang w:val="zh-CN" w:eastAsia="zh-CN" w:bidi="ar-SA"/>
              </w:rPr>
            </w:pPr>
            <w:r>
              <w:rPr>
                <w:rFonts w:hint="eastAsia" w:ascii="宋体" w:hAnsi="宋体" w:eastAsia="宋体" w:cs="宋体"/>
                <w:sz w:val="24"/>
                <w:szCs w:val="24"/>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vMerge w:val="restart"/>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8</w:t>
            </w:r>
            <w:r>
              <w:rPr>
                <w:rFonts w:hint="eastAsia" w:ascii="宋体" w:hAnsi="宋体" w:eastAsia="宋体" w:cs="宋体"/>
                <w:highlight w:val="none"/>
              </w:rPr>
              <w:t>、履约能力（3分）</w:t>
            </w: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8.1</w:t>
            </w:r>
            <w:r>
              <w:rPr>
                <w:rFonts w:hint="eastAsia" w:ascii="宋体" w:hAnsi="宋体" w:eastAsia="宋体" w:cs="宋体"/>
                <w:highlight w:val="none"/>
              </w:rPr>
              <w:t>供应商具有有效质量管理体系认证证书的得1分。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rPr>
              <w:t>注：投标文件中须提供证书复印件，未提供不得分。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1</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8.2</w:t>
            </w:r>
            <w:r>
              <w:rPr>
                <w:rFonts w:hint="eastAsia" w:ascii="宋体" w:hAnsi="宋体" w:eastAsia="宋体" w:cs="宋体"/>
                <w:highlight w:val="none"/>
              </w:rPr>
              <w:t>供应商具有有效环境管理体系认证证书的得1分。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rPr>
              <w:t>注：投标文件中须提供证书复印件，未提供不得分。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1</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vMerge w:val="continue"/>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8.3</w:t>
            </w:r>
            <w:r>
              <w:rPr>
                <w:rFonts w:hint="eastAsia" w:ascii="宋体" w:hAnsi="宋体" w:eastAsia="宋体" w:cs="宋体"/>
                <w:highlight w:val="none"/>
              </w:rPr>
              <w:t>供应商具有有效职业健康安全管理体系认证证书的得1分。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rPr>
              <w:t>注：投标文件中须提供证书复印件，未提供不得分。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1</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0" w:type="dxa"/>
            <w:vMerge w:val="continue"/>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c>
          <w:tcPr>
            <w:tcW w:w="1389" w:type="dxa"/>
            <w:tcBorders>
              <w:righ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9</w:t>
            </w:r>
            <w:r>
              <w:rPr>
                <w:rFonts w:hint="eastAsia" w:ascii="宋体" w:hAnsi="宋体" w:eastAsia="宋体" w:cs="宋体"/>
                <w:highlight w:val="none"/>
              </w:rPr>
              <w:t>、业绩（</w:t>
            </w:r>
            <w:r>
              <w:rPr>
                <w:rFonts w:hint="eastAsia" w:ascii="宋体" w:hAnsi="宋体" w:eastAsia="宋体" w:cs="宋体"/>
                <w:highlight w:val="none"/>
                <w:lang w:val="en-US" w:eastAsia="zh-CN"/>
              </w:rPr>
              <w:t>1</w:t>
            </w:r>
            <w:r>
              <w:rPr>
                <w:rFonts w:hint="eastAsia" w:ascii="宋体" w:hAnsi="宋体" w:eastAsia="宋体" w:cs="宋体"/>
                <w:highlight w:val="none"/>
              </w:rPr>
              <w:t>分）</w:t>
            </w:r>
          </w:p>
        </w:tc>
        <w:tc>
          <w:tcPr>
            <w:tcW w:w="6051" w:type="dxa"/>
            <w:tcBorders>
              <w:left w:val="single" w:color="auto" w:sz="4" w:space="0"/>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rPr>
              <w:t>供应商自202</w:t>
            </w:r>
            <w:r>
              <w:rPr>
                <w:rFonts w:hint="eastAsia" w:ascii="宋体" w:hAnsi="宋体" w:eastAsia="宋体" w:cs="宋体"/>
                <w:highlight w:val="none"/>
                <w:lang w:val="en-US" w:eastAsia="zh-CN"/>
              </w:rPr>
              <w:t>1</w:t>
            </w:r>
            <w:r>
              <w:rPr>
                <w:rFonts w:hint="eastAsia" w:ascii="宋体" w:hAnsi="宋体" w:eastAsia="宋体" w:cs="宋体"/>
                <w:highlight w:val="none"/>
              </w:rPr>
              <w:t>年1月1日（以合同签订时间为准）以来</w:t>
            </w:r>
            <w:r>
              <w:rPr>
                <w:rFonts w:hint="eastAsia" w:ascii="宋体" w:hAnsi="宋体" w:eastAsia="宋体" w:cs="宋体"/>
                <w:highlight w:val="none"/>
                <w:lang w:val="en-US" w:eastAsia="zh-CN"/>
              </w:rPr>
              <w:t>承接过类似管网非开挖修复项目</w:t>
            </w:r>
            <w:r>
              <w:rPr>
                <w:rFonts w:hint="eastAsia" w:ascii="宋体" w:hAnsi="宋体" w:eastAsia="宋体" w:cs="宋体"/>
                <w:highlight w:val="none"/>
              </w:rPr>
              <w:t>的，每</w:t>
            </w:r>
            <w:r>
              <w:rPr>
                <w:rFonts w:hint="eastAsia" w:ascii="宋体" w:hAnsi="宋体" w:eastAsia="宋体" w:cs="宋体"/>
                <w:highlight w:val="none"/>
                <w:lang w:val="en-US" w:eastAsia="zh-CN"/>
              </w:rPr>
              <w:t>提供</w:t>
            </w:r>
            <w:r>
              <w:rPr>
                <w:rFonts w:hint="eastAsia" w:ascii="宋体" w:hAnsi="宋体" w:eastAsia="宋体" w:cs="宋体"/>
                <w:highlight w:val="none"/>
              </w:rPr>
              <w:t>1个得</w:t>
            </w:r>
            <w:r>
              <w:rPr>
                <w:rFonts w:hint="eastAsia" w:ascii="宋体" w:hAnsi="宋体" w:eastAsia="宋体" w:cs="宋体"/>
                <w:highlight w:val="none"/>
                <w:lang w:val="en-US" w:eastAsia="zh-CN"/>
              </w:rPr>
              <w:t>0.5</w:t>
            </w:r>
            <w:r>
              <w:rPr>
                <w:rFonts w:hint="eastAsia" w:ascii="宋体" w:hAnsi="宋体" w:eastAsia="宋体" w:cs="宋体"/>
                <w:highlight w:val="none"/>
              </w:rPr>
              <w:t>分，最高得</w:t>
            </w:r>
            <w:r>
              <w:rPr>
                <w:rFonts w:hint="eastAsia" w:ascii="宋体" w:hAnsi="宋体" w:eastAsia="宋体" w:cs="宋体"/>
                <w:highlight w:val="none"/>
                <w:lang w:val="en-US" w:eastAsia="zh-CN"/>
              </w:rPr>
              <w:t>1</w:t>
            </w:r>
            <w:r>
              <w:rPr>
                <w:rFonts w:hint="eastAsia" w:ascii="宋体" w:hAnsi="宋体" w:eastAsia="宋体" w:cs="宋体"/>
                <w:highlight w:val="none"/>
              </w:rPr>
              <w:t>分。</w:t>
            </w:r>
          </w:p>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b/>
                <w:bCs/>
                <w:highlight w:val="none"/>
              </w:rPr>
              <w:t>注：投标文件中须同时提供中标（成交）通知书复印件和合同复印件</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同一招标项目的续签合同不累计得分，</w:t>
            </w:r>
            <w:bookmarkStart w:id="409" w:name="_Hlk127789018"/>
            <w:r>
              <w:rPr>
                <w:rFonts w:hint="eastAsia" w:ascii="宋体" w:hAnsi="宋体" w:eastAsia="宋体" w:cs="宋体"/>
                <w:b/>
                <w:bCs/>
                <w:highlight w:val="none"/>
                <w:lang w:val="en-US" w:eastAsia="zh-CN"/>
              </w:rPr>
              <w:t>如合同中不能体现类似管网非开挖修复项目</w:t>
            </w:r>
            <w:bookmarkEnd w:id="409"/>
            <w:r>
              <w:rPr>
                <w:rFonts w:hint="eastAsia" w:ascii="宋体" w:hAnsi="宋体" w:eastAsia="宋体" w:cs="宋体"/>
                <w:b/>
                <w:bCs/>
                <w:highlight w:val="none"/>
                <w:lang w:val="en-US" w:eastAsia="zh-CN"/>
              </w:rPr>
              <w:t>内容的，须提供业主证明资料，相关资料</w:t>
            </w:r>
            <w:r>
              <w:rPr>
                <w:rFonts w:hint="eastAsia" w:ascii="宋体" w:hAnsi="宋体" w:eastAsia="宋体" w:cs="宋体"/>
                <w:b/>
                <w:bCs/>
                <w:highlight w:val="none"/>
              </w:rPr>
              <w:t>未提供或提供不全的不得分。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8250" w:type="dxa"/>
            <w:gridSpan w:val="3"/>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总分</w:t>
            </w:r>
          </w:p>
        </w:tc>
        <w:tc>
          <w:tcPr>
            <w:tcW w:w="939"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100分</w:t>
            </w:r>
          </w:p>
        </w:tc>
        <w:tc>
          <w:tcPr>
            <w:tcW w:w="119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p>
        </w:tc>
      </w:tr>
    </w:tbl>
    <w:p>
      <w:pPr>
        <w:shd w:val="clea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投标人编制投标文件（商务技术文件部分）时，建议按此目录（序号和内容）提供评标标准相应的商务技术资料。小数点后保留一位数。</w:t>
      </w:r>
    </w:p>
    <w:p>
      <w:pPr>
        <w:shd w:val="clea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hd w:val="clear"/>
        <w:spacing w:line="360" w:lineRule="auto"/>
        <w:ind w:firstLine="472" w:firstLineChars="196"/>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本项目按照标项号的前后顺序（即先评审标项一，再评审标项二）进行评审，一家供应商最多只能作为一个标项的第一中标候选人，若某一供应商被推荐为标项一的第一中标候选人，则不再进入标项二的报价评审，以此类推。</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hd w:val="clear"/>
        <w:spacing w:line="360" w:lineRule="auto"/>
        <w:ind w:firstLine="472" w:firstLineChars="196"/>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rPr>
        <w:t>3.4报价评审。</w:t>
      </w:r>
    </w:p>
    <w:p>
      <w:pPr>
        <w:pStyle w:val="131"/>
        <w:shd w:val="clear"/>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1"/>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1"/>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1"/>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1"/>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1"/>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hd w:val="clea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hd w:val="clea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1"/>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体协议书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w:t>
      </w:r>
      <w:r>
        <w:rPr>
          <w:rFonts w:hint="eastAsia" w:ascii="宋体" w:hAnsi="宋体" w:eastAsia="宋体" w:cs="宋体"/>
          <w:color w:val="auto"/>
          <w:kern w:val="0"/>
          <w:sz w:val="24"/>
          <w:highlight w:val="none"/>
          <w:lang w:eastAsia="zh-CN"/>
        </w:rPr>
        <w:t>，推荐3名中标候选人</w:t>
      </w:r>
      <w:r>
        <w:rPr>
          <w:rFonts w:hint="eastAsia" w:ascii="宋体" w:hAnsi="宋体" w:eastAsia="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shd w:val="clea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1"/>
        <w:shd w:val="clear"/>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hd w:val="clear"/>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4.2.6投标文件出现不是唯一的、有选择性投标报价的;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4.2.11投标人有恶意串通、妨碍其他投标人的竞争行为、损害采购人或者其他投标人的合法权益情形的；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shd w:val="clea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4.2.13 投标文件不满足招标文件的其它实质性要求的；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4.2.15</w:t>
      </w:r>
      <w:r>
        <w:rPr>
          <w:rFonts w:hint="eastAsia" w:ascii="宋体" w:hAnsi="宋体" w:eastAsia="宋体" w:cs="宋体"/>
          <w:color w:val="auto"/>
          <w:kern w:val="0"/>
          <w:sz w:val="24"/>
          <w:highlight w:val="none"/>
        </w:rPr>
        <w:t>上传投标文件同一网卡地址、同一IP地址的为无效标。</w:t>
      </w:r>
    </w:p>
    <w:p>
      <w:pPr>
        <w:pStyle w:val="24"/>
        <w:shd w:val="clear"/>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4"/>
        <w:shd w:val="clear"/>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24"/>
        <w:shd w:val="clear"/>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4"/>
        <w:shd w:val="clear"/>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410" w:name="_Toc86217003"/>
      <w:bookmarkStart w:id="411" w:name="第五部分"/>
      <w:r>
        <w:rPr>
          <w:rFonts w:hint="eastAsia" w:ascii="宋体" w:hAnsi="宋体" w:eastAsia="宋体" w:cs="宋体"/>
          <w:b/>
          <w:color w:val="auto"/>
          <w:sz w:val="36"/>
          <w:szCs w:val="36"/>
          <w:highlight w:val="none"/>
        </w:rPr>
        <w:t xml:space="preserve">    </w:t>
      </w:r>
    </w:p>
    <w:p>
      <w:pPr>
        <w:widowControl/>
        <w:shd w:val="clear"/>
        <w:adjustRightInd/>
        <w:ind w:firstLine="2168" w:firstLineChars="600"/>
        <w:jc w:val="left"/>
        <w:rPr>
          <w:rFonts w:hint="eastAsia" w:ascii="宋体" w:hAnsi="宋体" w:eastAsia="宋体" w:cs="宋体"/>
          <w:b/>
          <w:color w:val="auto"/>
          <w:sz w:val="36"/>
          <w:szCs w:val="36"/>
          <w:highlight w:val="none"/>
        </w:rPr>
        <w:sectPr>
          <w:pgSz w:w="11907" w:h="16840"/>
          <w:pgMar w:top="1474" w:right="1814" w:bottom="1474" w:left="1814" w:header="851" w:footer="851" w:gutter="0"/>
          <w:pgNumType w:fmt="decimal"/>
          <w:cols w:space="720" w:num="1"/>
        </w:sectPr>
      </w:pPr>
    </w:p>
    <w:p>
      <w:pPr>
        <w:widowControl/>
        <w:shd w:val="clear"/>
        <w:adjustRightInd/>
        <w:ind w:firstLine="2168" w:firstLineChars="6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shd w:val="clea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hd w:val="clear"/>
        <w:spacing w:line="480" w:lineRule="auto"/>
        <w:jc w:val="center"/>
        <w:rPr>
          <w:rFonts w:hint="eastAsia" w:ascii="宋体" w:hAnsi="宋体" w:eastAsia="宋体" w:cs="宋体"/>
          <w:b/>
          <w:color w:val="auto"/>
          <w:sz w:val="28"/>
          <w:szCs w:val="28"/>
          <w:highlight w:val="none"/>
        </w:rPr>
      </w:pPr>
    </w:p>
    <w:p>
      <w:pPr>
        <w:shd w:val="clear"/>
        <w:spacing w:line="480" w:lineRule="auto"/>
        <w:jc w:val="center"/>
        <w:rPr>
          <w:rFonts w:hint="eastAsia" w:ascii="宋体" w:hAnsi="宋体" w:eastAsia="宋体" w:cs="宋体"/>
          <w:b/>
          <w:color w:val="auto"/>
          <w:sz w:val="24"/>
          <w:highlight w:val="none"/>
        </w:rPr>
      </w:pPr>
    </w:p>
    <w:p>
      <w:pPr>
        <w:shd w:val="clear"/>
        <w:spacing w:line="480" w:lineRule="auto"/>
        <w:jc w:val="center"/>
        <w:rPr>
          <w:rFonts w:hint="eastAsia" w:ascii="宋体" w:hAnsi="宋体" w:eastAsia="宋体" w:cs="宋体"/>
          <w:b/>
          <w:color w:val="auto"/>
          <w:sz w:val="24"/>
          <w:highlight w:val="none"/>
        </w:rPr>
      </w:pPr>
    </w:p>
    <w:p>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700"/>
        <w:shd w:val="clear"/>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hd w:val="clear"/>
        <w:spacing w:before="120" w:line="22" w:lineRule="atLeast"/>
        <w:rPr>
          <w:rFonts w:hint="eastAsia" w:ascii="宋体" w:hAnsi="宋体" w:eastAsia="宋体" w:cs="宋体"/>
          <w:color w:val="auto"/>
          <w:sz w:val="24"/>
          <w:highlight w:val="none"/>
        </w:rPr>
      </w:pPr>
    </w:p>
    <w:p>
      <w:pPr>
        <w:pStyle w:val="4"/>
        <w:shd w:val="clear"/>
        <w:rPr>
          <w:rFonts w:hint="eastAsia" w:ascii="宋体" w:hAnsi="宋体" w:eastAsia="宋体" w:cs="宋体"/>
          <w:color w:val="auto"/>
          <w:highlight w:val="none"/>
        </w:rPr>
      </w:pPr>
    </w:p>
    <w:p>
      <w:pPr>
        <w:shd w:val="clea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2024年海曙区排水管道非开挖修复项目</w:t>
      </w:r>
    </w:p>
    <w:p>
      <w:pPr>
        <w:pStyle w:val="597"/>
        <w:shd w:val="clear"/>
        <w:spacing w:before="120" w:line="22" w:lineRule="atLeast"/>
        <w:rPr>
          <w:rFonts w:hint="eastAsia" w:ascii="宋体" w:hAnsi="宋体" w:eastAsia="宋体" w:cs="宋体"/>
          <w:color w:val="auto"/>
          <w:szCs w:val="24"/>
          <w:highlight w:val="none"/>
        </w:rPr>
      </w:pPr>
    </w:p>
    <w:p>
      <w:pPr>
        <w:pStyle w:val="597"/>
        <w:shd w:val="clear"/>
        <w:spacing w:before="120" w:line="22" w:lineRule="atLeast"/>
        <w:rPr>
          <w:rFonts w:hint="eastAsia" w:ascii="宋体" w:hAnsi="宋体" w:eastAsia="宋体" w:cs="宋体"/>
          <w:color w:val="auto"/>
          <w:szCs w:val="24"/>
          <w:highlight w:val="none"/>
        </w:rPr>
      </w:pPr>
    </w:p>
    <w:p>
      <w:pPr>
        <w:shd w:val="clear"/>
        <w:rPr>
          <w:rFonts w:hint="eastAsia" w:ascii="宋体" w:hAnsi="宋体" w:eastAsia="宋体" w:cs="宋体"/>
          <w:color w:val="auto"/>
          <w:sz w:val="24"/>
          <w:highlight w:val="none"/>
        </w:rPr>
      </w:pPr>
    </w:p>
    <w:p>
      <w:pPr>
        <w:shd w:val="clea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宁波市海曙区水务设施管理中心</w:t>
      </w:r>
      <w:r>
        <w:rPr>
          <w:rFonts w:hint="eastAsia" w:ascii="宋体" w:hAnsi="宋体" w:eastAsia="宋体" w:cs="宋体"/>
          <w:color w:val="auto"/>
          <w:sz w:val="24"/>
          <w:highlight w:val="none"/>
          <w:u w:val="single"/>
        </w:rPr>
        <w:t xml:space="preserve">   </w:t>
      </w:r>
    </w:p>
    <w:p>
      <w:pPr>
        <w:shd w:val="clear"/>
        <w:spacing w:before="120" w:line="22" w:lineRule="atLeast"/>
        <w:rPr>
          <w:rFonts w:hint="eastAsia" w:ascii="宋体" w:hAnsi="宋体" w:eastAsia="宋体" w:cs="宋体"/>
          <w:color w:val="auto"/>
          <w:sz w:val="24"/>
          <w:highlight w:val="none"/>
        </w:rPr>
      </w:pPr>
    </w:p>
    <w:p>
      <w:pPr>
        <w:shd w:val="clea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hd w:val="clear"/>
        <w:spacing w:before="120" w:line="22" w:lineRule="atLeast"/>
        <w:rPr>
          <w:rFonts w:hint="eastAsia" w:ascii="宋体" w:hAnsi="宋体" w:eastAsia="宋体" w:cs="宋体"/>
          <w:color w:val="auto"/>
          <w:sz w:val="24"/>
          <w:highlight w:val="none"/>
        </w:rPr>
      </w:pPr>
    </w:p>
    <w:p>
      <w:pPr>
        <w:shd w:val="clea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宁波市海曙区</w:t>
      </w:r>
      <w:r>
        <w:rPr>
          <w:rFonts w:hint="eastAsia" w:ascii="宋体" w:hAnsi="宋体" w:eastAsia="宋体" w:cs="宋体"/>
          <w:color w:val="auto"/>
          <w:sz w:val="24"/>
          <w:highlight w:val="none"/>
          <w:u w:val="single"/>
        </w:rPr>
        <w:t xml:space="preserve">              </w:t>
      </w:r>
    </w:p>
    <w:p>
      <w:pPr>
        <w:shd w:val="clear"/>
        <w:spacing w:before="120" w:line="22" w:lineRule="atLeast"/>
        <w:rPr>
          <w:rFonts w:hint="eastAsia" w:ascii="宋体" w:hAnsi="宋体" w:eastAsia="宋体" w:cs="宋体"/>
          <w:color w:val="auto"/>
          <w:sz w:val="24"/>
          <w:highlight w:val="none"/>
        </w:rPr>
      </w:pPr>
    </w:p>
    <w:p>
      <w:pPr>
        <w:shd w:val="clea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shd w:val="clear"/>
        <w:jc w:val="left"/>
        <w:rPr>
          <w:rFonts w:hint="eastAsia" w:ascii="宋体" w:hAnsi="宋体" w:eastAsia="宋体" w:cs="宋体"/>
          <w:color w:val="auto"/>
          <w:kern w:val="0"/>
          <w:sz w:val="24"/>
          <w:highlight w:val="none"/>
        </w:rPr>
        <w:sectPr>
          <w:pgSz w:w="11907" w:h="16840"/>
          <w:pgMar w:top="1474" w:right="1814" w:bottom="1474" w:left="1814" w:header="851" w:footer="851" w:gutter="0"/>
          <w:pgNumType w:fmt="decimal"/>
          <w:cols w:space="720" w:num="1"/>
        </w:sectPr>
      </w:pPr>
    </w:p>
    <w:p>
      <w:pPr>
        <w:shd w:val="clear"/>
        <w:rPr>
          <w:rFonts w:hint="eastAsia" w:ascii="宋体" w:hAnsi="宋体" w:eastAsia="宋体" w:cs="宋体"/>
          <w:b/>
          <w:color w:val="auto"/>
          <w:sz w:val="24"/>
          <w:highlight w:val="none"/>
        </w:rPr>
      </w:pP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lang w:val="en-US" w:eastAsia="zh-CN"/>
        </w:rPr>
        <w:t>2024</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宁波市海曙区水务设施管理中心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公开招标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2024年海曙区排水管道非开挖修复项目</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lang w:val="en-US" w:eastAsia="zh-CN"/>
        </w:rPr>
        <w:t>评标委员会</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lang w:eastAsia="zh-CN"/>
        </w:rPr>
        <w:t>宁波市海曙区水务设施管理中心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（中或者成交标供应商名称）</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hd w:val="clear"/>
        <w:spacing w:line="560" w:lineRule="exact"/>
        <w:ind w:firstLine="482" w:firstLineChars="200"/>
        <w:outlineLvl w:val="0"/>
        <w:rPr>
          <w:rFonts w:hint="eastAsia" w:ascii="宋体" w:hAnsi="宋体" w:eastAsia="宋体" w:cs="宋体"/>
          <w:color w:val="auto"/>
          <w:sz w:val="24"/>
          <w:highlight w:val="none"/>
        </w:rPr>
      </w:pPr>
      <w:bookmarkStart w:id="412" w:name="_Toc19273"/>
      <w:bookmarkStart w:id="413" w:name="_Toc20421"/>
      <w:bookmarkStart w:id="414" w:name="_Toc15367"/>
      <w:bookmarkStart w:id="415" w:name="_Toc22967"/>
      <w:bookmarkStart w:id="416" w:name="_Toc28855"/>
      <w:r>
        <w:rPr>
          <w:rFonts w:hint="eastAsia" w:ascii="宋体" w:hAnsi="宋体" w:eastAsia="宋体" w:cs="宋体"/>
          <w:b/>
          <w:color w:val="auto"/>
          <w:sz w:val="24"/>
          <w:highlight w:val="none"/>
        </w:rPr>
        <w:t>1.1 合同组成部分</w:t>
      </w:r>
      <w:bookmarkEnd w:id="412"/>
      <w:bookmarkEnd w:id="413"/>
      <w:bookmarkEnd w:id="414"/>
      <w:bookmarkEnd w:id="415"/>
      <w:bookmarkEnd w:id="416"/>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hd w:val="clear"/>
        <w:spacing w:line="560" w:lineRule="exact"/>
        <w:ind w:firstLine="482" w:firstLineChars="200"/>
        <w:outlineLvl w:val="0"/>
        <w:rPr>
          <w:rFonts w:hint="eastAsia" w:ascii="宋体" w:hAnsi="宋体" w:eastAsia="宋体" w:cs="宋体"/>
          <w:b/>
          <w:color w:val="auto"/>
          <w:sz w:val="24"/>
          <w:highlight w:val="none"/>
        </w:rPr>
      </w:pPr>
      <w:bookmarkStart w:id="417" w:name="_Toc22185"/>
      <w:bookmarkStart w:id="418" w:name="_Toc18585"/>
      <w:bookmarkStart w:id="419" w:name="_Toc6311"/>
      <w:bookmarkStart w:id="420" w:name="_Toc2918"/>
      <w:bookmarkStart w:id="421" w:name="_Toc6773"/>
      <w:r>
        <w:rPr>
          <w:rFonts w:hint="eastAsia" w:ascii="宋体" w:hAnsi="宋体" w:eastAsia="宋体" w:cs="宋体"/>
          <w:b/>
          <w:color w:val="auto"/>
          <w:sz w:val="24"/>
          <w:highlight w:val="none"/>
        </w:rPr>
        <w:t>1.2 标的</w:t>
      </w:r>
      <w:bookmarkEnd w:id="417"/>
      <w:bookmarkEnd w:id="418"/>
      <w:bookmarkEnd w:id="419"/>
      <w:bookmarkEnd w:id="420"/>
      <w:bookmarkEnd w:id="421"/>
    </w:p>
    <w:p>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lang w:val="en-US" w:eastAsia="zh-CN"/>
        </w:rPr>
        <w:t>为避免路段管网出现裂缝、破损、管接头错位和管道腐蚀等影响管网的正常运行，减少施工给交通等因素带来的影响，采用非开挖方法对排水管道进行修复</w:t>
      </w:r>
      <w:r>
        <w:rPr>
          <w:rFonts w:hint="eastAsia" w:ascii="宋体" w:hAnsi="宋体" w:eastAsia="宋体" w:cs="宋体"/>
          <w:color w:val="auto"/>
          <w:sz w:val="24"/>
          <w:highlight w:val="none"/>
        </w:rPr>
        <w:t>；</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服务标准：</w:t>
      </w:r>
    </w:p>
    <w:p>
      <w:pPr>
        <w:shd w:val="clear"/>
        <w:spacing w:line="56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包括但不仅限于以下技术规范及标准：</w:t>
      </w:r>
    </w:p>
    <w:p>
      <w:pPr>
        <w:shd w:val="clear"/>
        <w:spacing w:line="56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（1）《城镇排水管道检测与评估技术规程》CJJ181-2012；</w:t>
      </w:r>
    </w:p>
    <w:p>
      <w:pPr>
        <w:shd w:val="clear"/>
        <w:spacing w:line="56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（2）《城镇排水管道维护安全技术规程》CJJ6-2009；</w:t>
      </w:r>
    </w:p>
    <w:p>
      <w:pPr>
        <w:shd w:val="clear"/>
        <w:spacing w:line="56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（3）《城镇排水管道非开挖修复更新工程技术规程》CJJ/T 210-2014；</w:t>
      </w:r>
    </w:p>
    <w:p>
      <w:pPr>
        <w:shd w:val="clear"/>
        <w:spacing w:line="56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（4）《爆炸性气体环境用电气设备》GB3836.1-2000；</w:t>
      </w:r>
    </w:p>
    <w:p>
      <w:pPr>
        <w:shd w:val="clear"/>
        <w:spacing w:line="56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（5）《城镇排水管渠与泵站运行、维护及安全技术规程》CJJ 68-2016；</w:t>
      </w:r>
    </w:p>
    <w:p>
      <w:pPr>
        <w:shd w:val="clear"/>
        <w:spacing w:line="56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（6）《建设工程文件归档规范（2019年版）》GB/T50328-2014；</w:t>
      </w:r>
    </w:p>
    <w:p>
      <w:pPr>
        <w:shd w:val="clear"/>
        <w:spacing w:line="56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（7）《城市地下管线探测技术规程》CJJ 61-2017；</w:t>
      </w:r>
    </w:p>
    <w:p>
      <w:pPr>
        <w:shd w:val="clear"/>
        <w:spacing w:line="56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（8）《中华人民共和国道路交通安全法》；</w:t>
      </w:r>
    </w:p>
    <w:p>
      <w:pPr>
        <w:shd w:val="clear"/>
        <w:spacing w:line="56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（9）其它需执行的国家相关标准、行业标准、地方标准或者其他标准、规范。</w:t>
      </w:r>
    </w:p>
    <w:p>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上述技术规范及标准若有最新的，按照最新标准执行。</w:t>
      </w:r>
      <w:r>
        <w:rPr>
          <w:rFonts w:hint="eastAsia" w:ascii="宋体" w:hAnsi="宋体" w:eastAsia="宋体" w:cs="宋体"/>
          <w:color w:val="auto"/>
          <w:sz w:val="24"/>
          <w:highlight w:val="none"/>
        </w:rPr>
        <w:t>；</w:t>
      </w:r>
    </w:p>
    <w:p>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lang w:val="en-US" w:eastAsia="zh-CN"/>
        </w:rPr>
        <w:t xml:space="preserve"> 所有点位竣工验收合格之日起一年，在质保期内，如乙方修复的管道出现质量问题，乙方须于甲方通知后2小时到达指定地点踏勘，五天内无偿完成修复</w:t>
      </w:r>
      <w:r>
        <w:rPr>
          <w:rFonts w:hint="eastAsia" w:ascii="宋体" w:hAnsi="宋体" w:eastAsia="宋体" w:cs="宋体"/>
          <w:color w:val="auto"/>
          <w:sz w:val="24"/>
          <w:highlight w:val="none"/>
          <w:u w:val="none"/>
        </w:rPr>
        <w:t>；</w:t>
      </w:r>
    </w:p>
    <w:p>
      <w:pPr>
        <w:shd w:val="clea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hd w:val="clear"/>
        <w:spacing w:line="560" w:lineRule="exact"/>
        <w:ind w:firstLine="482" w:firstLineChars="200"/>
        <w:outlineLvl w:val="0"/>
        <w:rPr>
          <w:rFonts w:hint="eastAsia" w:ascii="宋体" w:hAnsi="宋体" w:eastAsia="宋体" w:cs="宋体"/>
          <w:b/>
          <w:color w:val="auto"/>
          <w:sz w:val="24"/>
          <w:highlight w:val="none"/>
        </w:rPr>
      </w:pPr>
      <w:bookmarkStart w:id="422" w:name="_Toc1386"/>
      <w:bookmarkStart w:id="423" w:name="_Toc4929"/>
      <w:bookmarkStart w:id="424" w:name="_Toc21124"/>
      <w:bookmarkStart w:id="425" w:name="_Toc5635"/>
      <w:bookmarkStart w:id="426" w:name="_Toc13918"/>
      <w:r>
        <w:rPr>
          <w:rFonts w:hint="eastAsia" w:ascii="宋体" w:hAnsi="宋体" w:eastAsia="宋体" w:cs="宋体"/>
          <w:b/>
          <w:color w:val="auto"/>
          <w:sz w:val="24"/>
          <w:highlight w:val="none"/>
        </w:rPr>
        <w:t>1.3 价款</w:t>
      </w:r>
      <w:bookmarkEnd w:id="422"/>
      <w:bookmarkEnd w:id="423"/>
      <w:bookmarkEnd w:id="424"/>
      <w:bookmarkEnd w:id="425"/>
      <w:bookmarkEnd w:id="426"/>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1.3.2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318"/>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318"/>
              <w:shd w:val="clear"/>
              <w:spacing w:line="560" w:lineRule="exact"/>
              <w:ind w:firstLine="200"/>
              <w:jc w:val="center"/>
              <w:rPr>
                <w:rFonts w:hint="eastAsia" w:ascii="宋体" w:hAnsi="宋体" w:eastAsia="宋体" w:cs="宋体"/>
                <w:color w:val="auto"/>
                <w:sz w:val="24"/>
                <w:szCs w:val="24"/>
                <w:highlight w:val="none"/>
              </w:rPr>
            </w:pPr>
          </w:p>
        </w:tc>
      </w:tr>
    </w:tbl>
    <w:p>
      <w:pPr>
        <w:shd w:val="clear"/>
        <w:spacing w:line="560" w:lineRule="exact"/>
        <w:ind w:firstLine="480" w:firstLineChars="200"/>
        <w:rPr>
          <w:rFonts w:hint="eastAsia" w:ascii="宋体" w:hAnsi="宋体" w:eastAsia="宋体" w:cs="宋体"/>
          <w:color w:val="auto"/>
          <w:sz w:val="24"/>
          <w:highlight w:val="none"/>
        </w:rPr>
      </w:pPr>
      <w:bookmarkStart w:id="427" w:name="_Toc14993"/>
      <w:bookmarkStart w:id="428" w:name="_Toc30506"/>
      <w:bookmarkStart w:id="429" w:name="_Toc26916"/>
      <w:bookmarkStart w:id="430" w:name="_Toc3654"/>
      <w:bookmarkStart w:id="431"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详见下表</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bookmarkEnd w:id="427"/>
    <w:bookmarkEnd w:id="428"/>
    <w:bookmarkEnd w:id="429"/>
    <w:bookmarkEnd w:id="430"/>
    <w:bookmarkEnd w:id="431"/>
    <w:tbl>
      <w:tblPr>
        <w:tblStyle w:val="62"/>
        <w:tblW w:w="905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77"/>
        <w:gridCol w:w="4147"/>
        <w:gridCol w:w="1279"/>
        <w:gridCol w:w="275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bookmarkStart w:id="432" w:name="_Toc22618"/>
            <w:bookmarkStart w:id="433" w:name="_Toc1814"/>
            <w:bookmarkStart w:id="434" w:name="_Toc10340"/>
            <w:bookmarkStart w:id="435" w:name="_Toc8772"/>
            <w:bookmarkStart w:id="436" w:name="_Toc3625"/>
            <w:bookmarkStart w:id="437" w:name="_Toc4760"/>
            <w:bookmarkStart w:id="438" w:name="_Toc31421"/>
            <w:bookmarkStart w:id="439" w:name="_Toc11108"/>
            <w:r>
              <w:rPr>
                <w:rFonts w:hint="eastAsia" w:ascii="宋体" w:hAnsi="宋体" w:eastAsia="宋体" w:cs="宋体"/>
                <w:kern w:val="0"/>
                <w:sz w:val="24"/>
                <w:szCs w:val="24"/>
                <w:highlight w:val="none"/>
              </w:rPr>
              <w:t>序号</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服务内容</w:t>
            </w:r>
          </w:p>
        </w:tc>
        <w:tc>
          <w:tcPr>
            <w:tcW w:w="127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数量（处）</w:t>
            </w:r>
          </w:p>
        </w:tc>
        <w:tc>
          <w:tcPr>
            <w:tcW w:w="275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综合单价（元/处）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110</w:t>
            </w:r>
            <w:r>
              <w:rPr>
                <w:rFonts w:hint="eastAsia" w:ascii="宋体" w:hAnsi="宋体" w:eastAsia="宋体" w:cs="宋体"/>
                <w:kern w:val="0"/>
                <w:sz w:val="24"/>
                <w:szCs w:val="24"/>
                <w:highlight w:val="none"/>
              </w:rPr>
              <w:t>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2</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16</w:t>
            </w:r>
            <w:r>
              <w:rPr>
                <w:rFonts w:hint="eastAsia" w:ascii="宋体" w:hAnsi="宋体" w:eastAsia="宋体" w:cs="宋体"/>
                <w:kern w:val="0"/>
                <w:sz w:val="24"/>
                <w:szCs w:val="24"/>
                <w:highlight w:val="none"/>
              </w:rPr>
              <w:t>0排水管道点状原位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3</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18</w:t>
            </w:r>
            <w:r>
              <w:rPr>
                <w:rFonts w:hint="eastAsia" w:ascii="宋体" w:hAnsi="宋体" w:eastAsia="宋体" w:cs="宋体"/>
                <w:kern w:val="0"/>
                <w:sz w:val="24"/>
                <w:szCs w:val="24"/>
                <w:highlight w:val="none"/>
              </w:rPr>
              <w:t>0排水管道点状原位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4</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DN200排水管道点状原位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5</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DN2</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spacing w:line="360" w:lineRule="auto"/>
              <w:jc w:val="center"/>
              <w:rPr>
                <w:rFonts w:hint="eastAsia" w:ascii="宋体" w:hAnsi="宋体" w:eastAsia="宋体" w:cs="宋体"/>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6</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0排水管道点状原位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SA"/>
              </w:rPr>
            </w:pPr>
          </w:p>
        </w:tc>
        <w:tc>
          <w:tcPr>
            <w:tcW w:w="275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7</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DN300排水管道点状原位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8</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DN400排水管道点状原位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9</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DN500排水管道点状原位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10</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DN600排水管道点状原位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700</w:t>
            </w:r>
            <w:r>
              <w:rPr>
                <w:rFonts w:hint="eastAsia" w:ascii="宋体" w:hAnsi="宋体" w:eastAsia="宋体" w:cs="宋体"/>
                <w:kern w:val="0"/>
                <w:sz w:val="24"/>
                <w:szCs w:val="24"/>
                <w:highlight w:val="none"/>
              </w:rPr>
              <w:t>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00排水管道点状原位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13</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w:t>
            </w:r>
            <w:r>
              <w:rPr>
                <w:rFonts w:hint="eastAsia" w:ascii="宋体" w:hAnsi="宋体" w:eastAsia="宋体" w:cs="宋体"/>
                <w:kern w:val="0"/>
                <w:sz w:val="24"/>
                <w:szCs w:val="24"/>
                <w:highlight w:val="none"/>
                <w:lang w:val="en-US" w:eastAsia="zh-CN"/>
              </w:rPr>
              <w:t>900</w:t>
            </w:r>
            <w:r>
              <w:rPr>
                <w:rFonts w:hint="eastAsia" w:ascii="宋体" w:hAnsi="宋体" w:eastAsia="宋体" w:cs="宋体"/>
                <w:kern w:val="0"/>
                <w:sz w:val="24"/>
                <w:szCs w:val="24"/>
                <w:highlight w:val="none"/>
              </w:rPr>
              <w:t>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14</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DN1000排水管道点状原位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00排水管道点状原位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16</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DN1</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00排水管道点状原位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rPr>
            </w:pPr>
          </w:p>
        </w:tc>
        <w:tc>
          <w:tcPr>
            <w:tcW w:w="275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8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17</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DN1</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00排水管道点状原位</w:t>
            </w:r>
            <w:r>
              <w:rPr>
                <w:rFonts w:hint="eastAsia" w:ascii="宋体" w:hAnsi="宋体" w:eastAsia="宋体" w:cs="宋体"/>
                <w:kern w:val="0"/>
                <w:sz w:val="24"/>
                <w:szCs w:val="24"/>
                <w:highlight w:val="none"/>
                <w:lang w:bidi="ar"/>
              </w:rPr>
              <w:t>固化法修复</w:t>
            </w:r>
          </w:p>
        </w:tc>
        <w:tc>
          <w:tcPr>
            <w:tcW w:w="1279" w:type="dxa"/>
            <w:tcBorders>
              <w:righ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SA"/>
              </w:rPr>
            </w:pPr>
          </w:p>
        </w:tc>
        <w:tc>
          <w:tcPr>
            <w:tcW w:w="2755" w:type="dxa"/>
            <w:tcBorders>
              <w:left w:val="single" w:color="auto" w:sz="4" w:space="0"/>
            </w:tcBorders>
            <w:noWrap w:val="0"/>
            <w:vAlign w:val="center"/>
          </w:tcPr>
          <w:p>
            <w:pPr>
              <w:widowControl/>
              <w:adjustRightInd/>
              <w:jc w:val="center"/>
              <w:textAlignment w:val="center"/>
              <w:rPr>
                <w:rFonts w:hint="eastAsia" w:ascii="宋体" w:hAnsi="宋体" w:eastAsia="宋体" w:cs="宋体"/>
                <w:kern w:val="0"/>
                <w:sz w:val="24"/>
                <w:szCs w:val="24"/>
                <w:highlight w:val="none"/>
                <w:lang w:val="en-US" w:eastAsia="zh-CN" w:bidi="ar-SA"/>
              </w:rPr>
            </w:pPr>
          </w:p>
        </w:tc>
      </w:tr>
    </w:tbl>
    <w:p>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1.4履约保证金</w:t>
      </w:r>
    </w:p>
    <w:p>
      <w:pPr>
        <w:shd w:val="clear"/>
        <w:spacing w:line="560" w:lineRule="exact"/>
        <w:ind w:firstLine="480" w:firstLineChars="200"/>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rPr>
        <w:t>乙方</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u w:val="single"/>
          <w:lang w:val="en-US" w:eastAsia="zh-CN"/>
        </w:rPr>
        <w:t xml:space="preserve">否 </w:t>
      </w:r>
      <w:r>
        <w:rPr>
          <w:rFonts w:hint="eastAsia" w:ascii="宋体" w:hAnsi="宋体" w:eastAsia="宋体" w:cs="宋体"/>
          <w:b w:val="0"/>
          <w:bCs w:val="0"/>
          <w:color w:val="auto"/>
          <w:sz w:val="24"/>
          <w:highlight w:val="none"/>
          <w:lang w:val="en-US"/>
        </w:rPr>
        <w:t>需要支付履约保证金。若需要支付履约保证金的，则：</w:t>
      </w:r>
    </w:p>
    <w:p>
      <w:pPr>
        <w:shd w:val="clea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hd w:val="clea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4"/>
        <w:shd w:val="clear"/>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hd w:val="clea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w:t>
      </w:r>
      <w:r>
        <w:rPr>
          <w:rFonts w:hint="eastAsia" w:ascii="宋体" w:hAnsi="宋体" w:eastAsia="宋体" w:cs="宋体"/>
          <w:color w:val="auto"/>
          <w:sz w:val="24"/>
          <w:szCs w:val="24"/>
          <w:highlight w:val="none"/>
          <w:lang w:val="en-US" w:eastAsia="zh-CN"/>
        </w:rPr>
        <w:t>履约保证金在乙方完成合同履约后无息退还（但如乙方未能履行合同规定的任何义务，甲方有权从履约保证金中优先扣除应由乙方承担的违约金、赔偿金以及其他款项）</w:t>
      </w:r>
      <w:r>
        <w:rPr>
          <w:rFonts w:hint="eastAsia" w:ascii="宋体" w:hAnsi="宋体" w:eastAsia="宋体" w:cs="宋体"/>
          <w:color w:val="auto"/>
          <w:kern w:val="0"/>
          <w:sz w:val="24"/>
          <w:highlight w:val="none"/>
          <w:lang w:val="en-US" w:eastAsia="zh-CN"/>
        </w:rPr>
        <w:t>。</w:t>
      </w:r>
    </w:p>
    <w:p>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32"/>
      <w:bookmarkEnd w:id="433"/>
      <w:bookmarkEnd w:id="434"/>
      <w:r>
        <w:rPr>
          <w:rFonts w:hint="eastAsia" w:ascii="宋体" w:hAnsi="宋体" w:eastAsia="宋体" w:cs="宋体"/>
          <w:b/>
          <w:color w:val="auto"/>
          <w:sz w:val="24"/>
          <w:highlight w:val="none"/>
        </w:rPr>
        <w:t>预付款</w:t>
      </w:r>
    </w:p>
    <w:p>
      <w:pPr>
        <w:pStyle w:val="958"/>
        <w:shd w:val="clear"/>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需要支付预付款。若需要支付预付款的，则：</w:t>
      </w:r>
    </w:p>
    <w:p>
      <w:pPr>
        <w:pStyle w:val="958"/>
        <w:shd w:val="clear"/>
        <w:spacing w:before="0" w:beforeAutospacing="0" w:after="0" w:afterAutospacing="0"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58"/>
        <w:shd w:val="clear"/>
        <w:spacing w:before="0" w:beforeAutospacing="0" w:after="0" w:afterAutospacing="0" w:line="360" w:lineRule="auto"/>
        <w:ind w:firstLine="480"/>
        <w:rPr>
          <w:rFonts w:hint="eastAsia" w:ascii="宋体" w:hAnsi="宋体" w:eastAsia="宋体" w:cs="宋体"/>
          <w:b w:val="0"/>
          <w:bCs/>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val="0"/>
          <w:bCs/>
          <w:i w:val="0"/>
          <w:iCs/>
          <w:color w:val="auto"/>
          <w:highlight w:val="none"/>
          <w:u w:val="single"/>
          <w:lang w:val="en-US" w:eastAsia="zh-CN"/>
        </w:rPr>
        <w:t>/</w:t>
      </w:r>
      <w:r>
        <w:rPr>
          <w:rFonts w:hint="eastAsia" w:ascii="宋体" w:hAnsi="宋体" w:eastAsia="宋体" w:cs="宋体"/>
          <w:b w:val="0"/>
          <w:bCs/>
          <w:color w:val="auto"/>
          <w:highlight w:val="none"/>
          <w:u w:val="single"/>
        </w:rPr>
        <w:t xml:space="preserve">     </w:t>
      </w:r>
      <w:r>
        <w:rPr>
          <w:rFonts w:hint="eastAsia" w:ascii="宋体" w:hAnsi="宋体" w:eastAsia="宋体" w:cs="宋体"/>
          <w:b w:val="0"/>
          <w:bCs/>
          <w:color w:val="auto"/>
          <w:highlight w:val="none"/>
        </w:rPr>
        <w:t>；</w:t>
      </w:r>
    </w:p>
    <w:p>
      <w:pPr>
        <w:pStyle w:val="958"/>
        <w:keepNext w:val="0"/>
        <w:keepLines w:val="0"/>
        <w:pageBreakBefore w:val="0"/>
        <w:shd w:val="clear"/>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1.5.3预付款的担保措施详见</w:t>
      </w:r>
      <w:r>
        <w:rPr>
          <w:rFonts w:hint="eastAsia" w:ascii="宋体" w:hAnsi="宋体" w:eastAsia="宋体" w:cs="宋体"/>
          <w:b w:val="0"/>
          <w:bCs/>
          <w:color w:val="auto"/>
          <w:highlight w:val="none"/>
          <w:u w:val="single"/>
        </w:rPr>
        <w:t xml:space="preserve">  </w:t>
      </w:r>
      <w:r>
        <w:rPr>
          <w:rFonts w:hint="eastAsia" w:ascii="宋体" w:hAnsi="宋体" w:eastAsia="宋体" w:cs="宋体"/>
          <w:b w:val="0"/>
          <w:bCs/>
          <w:color w:val="auto"/>
          <w:highlight w:val="none"/>
          <w:u w:val="single"/>
          <w:lang w:val="en-US" w:eastAsia="zh-CN"/>
        </w:rPr>
        <w:t xml:space="preserve"> </w:t>
      </w:r>
      <w:r>
        <w:rPr>
          <w:rFonts w:hint="eastAsia" w:ascii="宋体" w:hAnsi="宋体" w:eastAsia="宋体" w:cs="宋体"/>
          <w:b w:val="0"/>
          <w:bCs/>
          <w:color w:val="auto"/>
          <w:highlight w:val="none"/>
          <w:u w:val="single"/>
        </w:rPr>
        <w:t xml:space="preserve"> </w:t>
      </w:r>
      <w:r>
        <w:rPr>
          <w:rFonts w:hint="eastAsia" w:ascii="宋体" w:hAnsi="宋体" w:eastAsia="宋体" w:cs="宋体"/>
          <w:b w:val="0"/>
          <w:bCs/>
          <w:color w:val="auto"/>
          <w:highlight w:val="none"/>
          <w:u w:val="single"/>
          <w:lang w:val="en-US" w:eastAsia="zh-CN"/>
        </w:rPr>
        <w:t>/</w:t>
      </w:r>
      <w:r>
        <w:rPr>
          <w:rFonts w:hint="eastAsia" w:ascii="宋体" w:hAnsi="宋体" w:eastAsia="宋体" w:cs="宋体"/>
          <w:b w:val="0"/>
          <w:bCs/>
          <w:color w:val="auto"/>
          <w:highlight w:val="none"/>
          <w:u w:val="single"/>
        </w:rPr>
        <w:t xml:space="preserve">    </w:t>
      </w:r>
      <w:r>
        <w:rPr>
          <w:rFonts w:hint="eastAsia" w:ascii="宋体" w:hAnsi="宋体" w:eastAsia="宋体" w:cs="宋体"/>
          <w:b w:val="0"/>
          <w:bCs/>
          <w:color w:val="auto"/>
          <w:highlight w:val="none"/>
        </w:rPr>
        <w:t>。</w:t>
      </w:r>
    </w:p>
    <w:p>
      <w:pPr>
        <w:pStyle w:val="958"/>
        <w:keepNext w:val="0"/>
        <w:keepLines w:val="0"/>
        <w:pageBreakBefore w:val="0"/>
        <w:shd w:val="clear"/>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58"/>
        <w:keepNext w:val="0"/>
        <w:keepLines w:val="0"/>
        <w:pageBreakBefore w:val="0"/>
        <w:shd w:val="clear"/>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shd w:val="clear"/>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keepNext w:val="0"/>
        <w:keepLines w:val="0"/>
        <w:pageBreakBefore w:val="0"/>
        <w:shd w:val="clear"/>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35"/>
      <w:bookmarkEnd w:id="436"/>
      <w:bookmarkEnd w:id="437"/>
      <w:bookmarkEnd w:id="438"/>
      <w:bookmarkEnd w:id="439"/>
    </w:p>
    <w:p>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keepNext w:val="0"/>
        <w:keepLines w:val="0"/>
        <w:pageBreakBefore w:val="0"/>
        <w:shd w:val="clea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color w:val="auto"/>
          <w:sz w:val="24"/>
          <w:highlight w:val="none"/>
          <w:u w:val="single"/>
        </w:rPr>
      </w:pPr>
      <w:bookmarkStart w:id="440" w:name="_Toc5698"/>
      <w:bookmarkStart w:id="441" w:name="_Toc2375"/>
      <w:bookmarkStart w:id="442" w:name="_Toc3079"/>
      <w:bookmarkStart w:id="443" w:name="_Toc8586"/>
      <w:bookmarkStart w:id="444" w:name="_Toc24662"/>
      <w:r>
        <w:rPr>
          <w:rFonts w:hint="eastAsia" w:ascii="宋体" w:hAnsi="宋体" w:eastAsia="宋体" w:cs="宋体"/>
          <w:b/>
          <w:color w:val="auto"/>
          <w:sz w:val="24"/>
          <w:highlight w:val="none"/>
        </w:rPr>
        <w:t>1.8违约责任</w:t>
      </w:r>
      <w:bookmarkEnd w:id="440"/>
      <w:bookmarkEnd w:id="441"/>
      <w:bookmarkEnd w:id="442"/>
      <w:bookmarkEnd w:id="443"/>
      <w:bookmarkEnd w:id="444"/>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%计算；迟延</w:t>
      </w:r>
      <w:r>
        <w:rPr>
          <w:rFonts w:hint="eastAsia" w:ascii="宋体" w:hAnsi="宋体" w:eastAsia="宋体" w:cs="宋体"/>
          <w:color w:val="auto"/>
          <w:sz w:val="24"/>
          <w:highlight w:val="none"/>
          <w:lang w:val="en-US" w:eastAsia="zh-CN"/>
        </w:rPr>
        <w:t>超过30天</w:t>
      </w:r>
      <w:r>
        <w:rPr>
          <w:rFonts w:hint="eastAsia" w:ascii="宋体" w:hAnsi="宋体" w:eastAsia="宋体" w:cs="宋体"/>
          <w:color w:val="auto"/>
          <w:sz w:val="24"/>
          <w:highlight w:val="none"/>
        </w:rPr>
        <w:t>，甲方有权在要求乙方支付违约金的同时，书面通知乙方解除本合同；</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0.05 </w:t>
      </w:r>
      <w:r>
        <w:rPr>
          <w:rFonts w:hint="eastAsia" w:ascii="宋体" w:hAnsi="宋体" w:eastAsia="宋体" w:cs="宋体"/>
          <w:b w:val="0"/>
          <w:bCs w:val="0"/>
          <w:color w:val="auto"/>
          <w:sz w:val="24"/>
          <w:szCs w:val="24"/>
          <w:highlight w:val="none"/>
          <w:lang w:val="en-US"/>
        </w:rPr>
        <w:t>%计算；迟延</w:t>
      </w:r>
      <w:r>
        <w:rPr>
          <w:rFonts w:hint="eastAsia" w:ascii="宋体" w:hAnsi="宋体" w:eastAsia="宋体" w:cs="宋体"/>
          <w:b w:val="0"/>
          <w:bCs w:val="0"/>
          <w:color w:val="auto"/>
          <w:sz w:val="24"/>
          <w:szCs w:val="24"/>
          <w:highlight w:val="none"/>
          <w:lang w:val="en-US" w:eastAsia="zh-CN"/>
        </w:rPr>
        <w:t>超过30天</w:t>
      </w:r>
      <w:r>
        <w:rPr>
          <w:rFonts w:hint="eastAsia" w:ascii="宋体" w:hAnsi="宋体" w:eastAsia="宋体" w:cs="宋体"/>
          <w:b w:val="0"/>
          <w:bCs w:val="0"/>
          <w:color w:val="auto"/>
          <w:sz w:val="24"/>
          <w:szCs w:val="24"/>
          <w:highlight w:val="none"/>
          <w:lang w:val="en-US"/>
        </w:rPr>
        <w:t>，甲方有权在要求乙方支付违约金的同时，书面通知乙方解除本合同；</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bookmarkStart w:id="445" w:name="_Toc30329"/>
      <w:bookmarkStart w:id="446" w:name="_Toc9497"/>
      <w:bookmarkStart w:id="447" w:name="_Toc18683"/>
      <w:bookmarkStart w:id="448" w:name="_Toc26807"/>
      <w:bookmarkStart w:id="449" w:name="_Toc32454"/>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keepNext w:val="0"/>
        <w:keepLines w:val="0"/>
        <w:pageBreakBefore w:val="0"/>
        <w:widowControl w:val="0"/>
        <w:shd w:val="clear"/>
        <w:kinsoku/>
        <w:wordWrap/>
        <w:overflowPunct/>
        <w:topLinePunct w:val="0"/>
        <w:autoSpaceDE/>
        <w:autoSpaceDN/>
        <w:bidi w:val="0"/>
        <w:adjustRightInd w:val="0"/>
        <w:snapToGrid/>
        <w:spacing w:line="360" w:lineRule="auto"/>
        <w:ind w:right="-420" w:righ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45"/>
    <w:bookmarkEnd w:id="446"/>
    <w:bookmarkEnd w:id="447"/>
    <w:bookmarkEnd w:id="448"/>
    <w:bookmarkEnd w:id="449"/>
    <w:p>
      <w:pPr>
        <w:keepNext w:val="0"/>
        <w:keepLines w:val="0"/>
        <w:pageBreakBefore w:val="0"/>
        <w:widowControl w:val="0"/>
        <w:shd w:val="clear"/>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50" w:name="_Toc15583"/>
      <w:bookmarkStart w:id="451" w:name="_Toc16021"/>
      <w:bookmarkStart w:id="452" w:name="_Toc28375"/>
      <w:r>
        <w:rPr>
          <w:rFonts w:hint="eastAsia" w:ascii="宋体" w:hAnsi="宋体" w:eastAsia="宋体" w:cs="宋体"/>
          <w:b/>
          <w:color w:val="auto"/>
          <w:sz w:val="24"/>
          <w:highlight w:val="none"/>
        </w:rPr>
        <w:t>1.9合同争议的解决</w:t>
      </w:r>
      <w:bookmarkEnd w:id="450"/>
      <w:bookmarkEnd w:id="451"/>
      <w:bookmarkEnd w:id="452"/>
    </w:p>
    <w:p>
      <w:pPr>
        <w:keepNext w:val="0"/>
        <w:keepLines w:val="0"/>
        <w:pageBreakBefore w:val="0"/>
        <w:widowControl w:val="0"/>
        <w:shd w:val="clear"/>
        <w:kinsoku/>
        <w:wordWrap/>
        <w:overflowPunct/>
        <w:topLinePunct w:val="0"/>
        <w:autoSpaceDE/>
        <w:autoSpaceDN/>
        <w:bidi w:val="0"/>
        <w:adjustRightInd w:val="0"/>
        <w:snapToGrid/>
        <w:spacing w:line="360" w:lineRule="auto"/>
        <w:ind w:left="-61" w:leftChars="-29" w:right="-420" w:rightChars="-20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b/>
          <w:i/>
          <w:color w:val="auto"/>
          <w:sz w:val="24"/>
          <w:highlight w:val="none"/>
          <w:u w:val="single"/>
          <w:lang w:val="en-US" w:eastAsia="zh-CN"/>
        </w:rPr>
        <w:t>1.9.2</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keepNext w:val="0"/>
        <w:keepLines w:val="0"/>
        <w:pageBreakBefore w:val="0"/>
        <w:widowControl w:val="0"/>
        <w:shd w:val="clear"/>
        <w:kinsoku/>
        <w:wordWrap/>
        <w:overflowPunct/>
        <w:topLinePunct w:val="0"/>
        <w:autoSpaceDE/>
        <w:autoSpaceDN/>
        <w:bidi w:val="0"/>
        <w:adjustRightInd w:val="0"/>
        <w:snapToGrid/>
        <w:spacing w:line="360" w:lineRule="auto"/>
        <w:ind w:left="-420" w:leftChars="-200" w:right="-420" w:rightChars="-2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keepNext w:val="0"/>
        <w:keepLines w:val="0"/>
        <w:pageBreakBefore w:val="0"/>
        <w:widowControl w:val="0"/>
        <w:shd w:val="clear"/>
        <w:kinsoku/>
        <w:wordWrap/>
        <w:overflowPunct/>
        <w:topLinePunct w:val="0"/>
        <w:autoSpaceDE/>
        <w:autoSpaceDN/>
        <w:bidi w:val="0"/>
        <w:adjustRightInd w:val="0"/>
        <w:snapToGrid/>
        <w:spacing w:line="360" w:lineRule="auto"/>
        <w:ind w:left="-420" w:leftChars="-200" w:right="-420" w:rightChars="-2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53" w:name="_Toc11173"/>
      <w:bookmarkStart w:id="454" w:name="_Toc15322"/>
      <w:bookmarkStart w:id="455" w:name="_Toc7245"/>
      <w:r>
        <w:rPr>
          <w:rFonts w:hint="eastAsia" w:ascii="宋体" w:hAnsi="宋体" w:eastAsia="宋体" w:cs="宋体"/>
          <w:b/>
          <w:color w:val="auto"/>
          <w:sz w:val="24"/>
          <w:highlight w:val="none"/>
        </w:rPr>
        <w:t>2.0 合同生效</w:t>
      </w:r>
      <w:bookmarkEnd w:id="453"/>
      <w:bookmarkEnd w:id="454"/>
      <w:bookmarkEnd w:id="455"/>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shd w:val="clear"/>
        <w:autoSpaceDE w:val="0"/>
        <w:autoSpaceDN w:val="0"/>
        <w:spacing w:line="560" w:lineRule="exact"/>
        <w:rPr>
          <w:rFonts w:hint="eastAsia" w:ascii="宋体" w:hAnsi="宋体" w:eastAsia="宋体" w:cs="宋体"/>
          <w:color w:val="auto"/>
          <w:sz w:val="24"/>
          <w:highlight w:val="none"/>
          <w:lang w:val="zh-CN"/>
        </w:rPr>
      </w:pP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shd w:val="clear"/>
        <w:autoSpaceDE w:val="0"/>
        <w:autoSpaceDN w:val="0"/>
        <w:spacing w:line="560" w:lineRule="exact"/>
        <w:rPr>
          <w:rFonts w:hint="eastAsia" w:ascii="宋体" w:hAnsi="宋体" w:eastAsia="宋体" w:cs="宋体"/>
          <w:color w:val="auto"/>
          <w:sz w:val="24"/>
          <w:highlight w:val="none"/>
          <w:lang w:val="zh-CN"/>
        </w:rPr>
      </w:pP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shd w:val="clear"/>
        <w:autoSpaceDE w:val="0"/>
        <w:autoSpaceDN w:val="0"/>
        <w:spacing w:line="56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700"/>
        <w:shd w:val="clear"/>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hd w:val="clear"/>
        <w:spacing w:line="560" w:lineRule="exact"/>
        <w:ind w:firstLine="482" w:firstLineChars="200"/>
        <w:outlineLvl w:val="0"/>
        <w:rPr>
          <w:rFonts w:hint="eastAsia" w:ascii="宋体" w:hAnsi="宋体" w:eastAsia="宋体" w:cs="宋体"/>
          <w:b/>
          <w:color w:val="auto"/>
          <w:sz w:val="24"/>
          <w:highlight w:val="none"/>
        </w:rPr>
      </w:pPr>
      <w:bookmarkStart w:id="456" w:name="_Toc5228"/>
      <w:bookmarkStart w:id="457" w:name="_Toc25079"/>
      <w:bookmarkStart w:id="458" w:name="_Toc19680"/>
      <w:bookmarkStart w:id="459" w:name="_Toc14021"/>
      <w:bookmarkStart w:id="460" w:name="_Toc31297"/>
      <w:r>
        <w:rPr>
          <w:rFonts w:hint="eastAsia" w:ascii="宋体" w:hAnsi="宋体" w:eastAsia="宋体" w:cs="宋体"/>
          <w:b/>
          <w:color w:val="auto"/>
          <w:sz w:val="24"/>
          <w:highlight w:val="none"/>
        </w:rPr>
        <w:t>2.1 定义</w:t>
      </w:r>
      <w:bookmarkEnd w:id="456"/>
      <w:bookmarkEnd w:id="457"/>
      <w:bookmarkEnd w:id="458"/>
      <w:bookmarkEnd w:id="459"/>
      <w:bookmarkEnd w:id="460"/>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hd w:val="clear"/>
        <w:spacing w:line="560" w:lineRule="exact"/>
        <w:ind w:firstLine="482" w:firstLineChars="200"/>
        <w:outlineLvl w:val="0"/>
        <w:rPr>
          <w:rFonts w:hint="eastAsia" w:ascii="宋体" w:hAnsi="宋体" w:eastAsia="宋体" w:cs="宋体"/>
          <w:b/>
          <w:color w:val="auto"/>
          <w:sz w:val="24"/>
          <w:highlight w:val="none"/>
        </w:rPr>
      </w:pPr>
      <w:bookmarkStart w:id="461" w:name="_Toc31402"/>
      <w:bookmarkStart w:id="462" w:name="_Toc19539"/>
      <w:bookmarkStart w:id="463" w:name="_Toc3769"/>
      <w:bookmarkStart w:id="464" w:name="_Toc23289"/>
      <w:bookmarkStart w:id="465" w:name="_Toc16752"/>
      <w:r>
        <w:rPr>
          <w:rFonts w:hint="eastAsia" w:ascii="宋体" w:hAnsi="宋体" w:eastAsia="宋体" w:cs="宋体"/>
          <w:b/>
          <w:color w:val="auto"/>
          <w:sz w:val="24"/>
          <w:highlight w:val="none"/>
        </w:rPr>
        <w:t>2.2 技术规范</w:t>
      </w:r>
      <w:bookmarkEnd w:id="461"/>
      <w:bookmarkEnd w:id="462"/>
      <w:bookmarkEnd w:id="463"/>
      <w:bookmarkEnd w:id="464"/>
      <w:bookmarkEnd w:id="465"/>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hd w:val="clear"/>
        <w:spacing w:line="560" w:lineRule="exact"/>
        <w:ind w:firstLine="482" w:firstLineChars="200"/>
        <w:outlineLvl w:val="0"/>
        <w:rPr>
          <w:rFonts w:hint="eastAsia" w:ascii="宋体" w:hAnsi="宋体" w:eastAsia="宋体" w:cs="宋体"/>
          <w:b/>
          <w:color w:val="auto"/>
          <w:sz w:val="24"/>
          <w:highlight w:val="none"/>
        </w:rPr>
      </w:pPr>
      <w:bookmarkStart w:id="466" w:name="_Toc4133"/>
      <w:bookmarkStart w:id="467" w:name="_Toc27945"/>
      <w:bookmarkStart w:id="468" w:name="_Toc13673"/>
      <w:bookmarkStart w:id="469" w:name="_Toc9161"/>
      <w:bookmarkStart w:id="470" w:name="_Toc12412"/>
      <w:r>
        <w:rPr>
          <w:rFonts w:hint="eastAsia" w:ascii="宋体" w:hAnsi="宋体" w:eastAsia="宋体" w:cs="宋体"/>
          <w:b/>
          <w:color w:val="auto"/>
          <w:sz w:val="24"/>
          <w:highlight w:val="none"/>
        </w:rPr>
        <w:t>2.3 知识产权</w:t>
      </w:r>
      <w:bookmarkEnd w:id="466"/>
      <w:bookmarkEnd w:id="467"/>
      <w:bookmarkEnd w:id="468"/>
      <w:bookmarkEnd w:id="469"/>
      <w:bookmarkEnd w:id="470"/>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hd w:val="clear"/>
        <w:spacing w:line="560" w:lineRule="exact"/>
        <w:ind w:firstLine="482" w:firstLineChars="200"/>
        <w:outlineLvl w:val="0"/>
        <w:rPr>
          <w:rFonts w:hint="eastAsia" w:ascii="宋体" w:hAnsi="宋体" w:eastAsia="宋体" w:cs="宋体"/>
          <w:b/>
          <w:color w:val="auto"/>
          <w:sz w:val="24"/>
          <w:highlight w:val="none"/>
        </w:rPr>
      </w:pPr>
      <w:bookmarkStart w:id="471" w:name="_Toc22011"/>
      <w:bookmarkStart w:id="472" w:name="_Toc15447"/>
      <w:bookmarkStart w:id="473" w:name="_Toc32670"/>
      <w:bookmarkStart w:id="474" w:name="_Toc31233"/>
      <w:bookmarkStart w:id="475" w:name="_Toc26555"/>
      <w:r>
        <w:rPr>
          <w:rFonts w:hint="eastAsia" w:ascii="宋体" w:hAnsi="宋体" w:eastAsia="宋体" w:cs="宋体"/>
          <w:b/>
          <w:color w:val="auto"/>
          <w:sz w:val="24"/>
          <w:highlight w:val="none"/>
        </w:rPr>
        <w:t>2.5 结算方式和付款条件</w:t>
      </w:r>
      <w:bookmarkEnd w:id="471"/>
      <w:bookmarkEnd w:id="472"/>
      <w:bookmarkEnd w:id="473"/>
      <w:bookmarkEnd w:id="474"/>
      <w:bookmarkEnd w:id="475"/>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hd w:val="clear"/>
        <w:spacing w:line="560" w:lineRule="exact"/>
        <w:ind w:firstLine="482" w:firstLineChars="200"/>
        <w:outlineLvl w:val="0"/>
        <w:rPr>
          <w:rFonts w:hint="eastAsia" w:ascii="宋体" w:hAnsi="宋体" w:eastAsia="宋体" w:cs="宋体"/>
          <w:b/>
          <w:color w:val="auto"/>
          <w:sz w:val="24"/>
          <w:highlight w:val="none"/>
        </w:rPr>
      </w:pPr>
      <w:bookmarkStart w:id="476" w:name="_Toc13467"/>
      <w:bookmarkStart w:id="477" w:name="_Toc16163"/>
      <w:bookmarkStart w:id="478" w:name="_Toc30507"/>
      <w:bookmarkStart w:id="479" w:name="_Toc18990"/>
      <w:bookmarkStart w:id="480" w:name="_Toc13154"/>
      <w:r>
        <w:rPr>
          <w:rFonts w:hint="eastAsia" w:ascii="宋体" w:hAnsi="宋体" w:eastAsia="宋体" w:cs="宋体"/>
          <w:b/>
          <w:color w:val="auto"/>
          <w:sz w:val="24"/>
          <w:highlight w:val="none"/>
        </w:rPr>
        <w:t>2.6 技术资料和保密义务</w:t>
      </w:r>
      <w:bookmarkEnd w:id="476"/>
      <w:bookmarkEnd w:id="477"/>
      <w:bookmarkEnd w:id="478"/>
      <w:bookmarkEnd w:id="479"/>
      <w:bookmarkEnd w:id="480"/>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hd w:val="clear"/>
        <w:spacing w:line="560" w:lineRule="exact"/>
        <w:ind w:firstLine="482" w:firstLineChars="200"/>
        <w:outlineLvl w:val="0"/>
        <w:rPr>
          <w:rFonts w:hint="eastAsia" w:ascii="宋体" w:hAnsi="宋体" w:eastAsia="宋体" w:cs="宋体"/>
          <w:b/>
          <w:color w:val="auto"/>
          <w:sz w:val="24"/>
          <w:highlight w:val="none"/>
        </w:rPr>
      </w:pPr>
      <w:bookmarkStart w:id="481" w:name="_Toc19069"/>
      <w:r>
        <w:rPr>
          <w:rFonts w:hint="eastAsia" w:ascii="宋体" w:hAnsi="宋体" w:eastAsia="宋体" w:cs="宋体"/>
          <w:b/>
          <w:color w:val="auto"/>
          <w:sz w:val="24"/>
          <w:highlight w:val="none"/>
        </w:rPr>
        <w:t>2.7 质量保证</w:t>
      </w:r>
      <w:bookmarkEnd w:id="481"/>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pStyle w:val="24"/>
        <w:rPr>
          <w:rFonts w:hint="eastAsia" w:ascii="宋体" w:hAnsi="宋体" w:eastAsia="宋体" w:cs="宋体"/>
          <w:highlight w:val="none"/>
        </w:rPr>
      </w:pPr>
      <w:r>
        <w:rPr>
          <w:rFonts w:hint="eastAsia" w:ascii="宋体" w:hAnsi="宋体" w:eastAsia="宋体" w:cs="宋体"/>
          <w:highlight w:val="none"/>
          <w:lang w:val="en-US" w:eastAsia="zh-CN"/>
        </w:rPr>
        <w:t>2.7.3质保期：</w:t>
      </w:r>
      <w:r>
        <w:rPr>
          <w:rFonts w:hint="eastAsia" w:ascii="宋体" w:hAnsi="宋体" w:eastAsia="宋体" w:cs="宋体"/>
          <w:highlight w:val="none"/>
          <w:lang w:eastAsia="zh-CN"/>
        </w:rPr>
        <w:t>所有点位竣工验收合格之日起一年。在质保期内，如</w:t>
      </w:r>
      <w:r>
        <w:rPr>
          <w:rFonts w:hint="eastAsia" w:ascii="宋体" w:hAnsi="宋体" w:eastAsia="宋体" w:cs="宋体"/>
          <w:highlight w:val="none"/>
          <w:lang w:val="en-US" w:eastAsia="zh-CN"/>
        </w:rPr>
        <w:t>乙方</w:t>
      </w:r>
      <w:r>
        <w:rPr>
          <w:rFonts w:hint="eastAsia" w:ascii="宋体" w:hAnsi="宋体" w:eastAsia="宋体" w:cs="宋体"/>
          <w:highlight w:val="none"/>
          <w:lang w:eastAsia="zh-CN"/>
        </w:rPr>
        <w:t>修复的管道出现质量问题，</w:t>
      </w:r>
      <w:r>
        <w:rPr>
          <w:rFonts w:hint="eastAsia" w:ascii="宋体" w:hAnsi="宋体" w:eastAsia="宋体" w:cs="宋体"/>
          <w:highlight w:val="none"/>
          <w:lang w:val="en-US" w:eastAsia="zh-CN"/>
        </w:rPr>
        <w:t>乙方</w:t>
      </w:r>
      <w:r>
        <w:rPr>
          <w:rFonts w:hint="eastAsia" w:ascii="宋体" w:hAnsi="宋体" w:eastAsia="宋体" w:cs="宋体"/>
          <w:highlight w:val="none"/>
          <w:lang w:eastAsia="zh-CN"/>
        </w:rPr>
        <w:t>须于</w:t>
      </w:r>
      <w:r>
        <w:rPr>
          <w:rFonts w:hint="eastAsia" w:ascii="宋体" w:hAnsi="宋体" w:eastAsia="宋体" w:cs="宋体"/>
          <w:highlight w:val="none"/>
          <w:lang w:val="en-US" w:eastAsia="zh-CN"/>
        </w:rPr>
        <w:t>甲方</w:t>
      </w:r>
      <w:r>
        <w:rPr>
          <w:rFonts w:hint="eastAsia" w:ascii="宋体" w:hAnsi="宋体" w:eastAsia="宋体" w:cs="宋体"/>
          <w:highlight w:val="none"/>
          <w:lang w:eastAsia="zh-CN"/>
        </w:rPr>
        <w:t>通知后2小时到达指定地点踏勘，五天内无偿完成修复。若超出规定时间，</w:t>
      </w:r>
      <w:r>
        <w:rPr>
          <w:rFonts w:hint="eastAsia" w:ascii="宋体" w:hAnsi="宋体" w:eastAsia="宋体" w:cs="宋体"/>
          <w:highlight w:val="none"/>
          <w:lang w:val="en-US" w:eastAsia="zh-CN"/>
        </w:rPr>
        <w:t>甲方</w:t>
      </w:r>
      <w:r>
        <w:rPr>
          <w:rFonts w:hint="eastAsia" w:ascii="宋体" w:hAnsi="宋体" w:eastAsia="宋体" w:cs="宋体"/>
          <w:highlight w:val="none"/>
          <w:lang w:eastAsia="zh-CN"/>
        </w:rPr>
        <w:t>有权安排第三方进行修复，所产生的费用</w:t>
      </w:r>
      <w:r>
        <w:rPr>
          <w:rFonts w:hint="eastAsia" w:ascii="宋体" w:hAnsi="宋体" w:eastAsia="宋体" w:cs="宋体"/>
          <w:highlight w:val="none"/>
          <w:lang w:val="en-US" w:eastAsia="zh-CN"/>
        </w:rPr>
        <w:t>由乙方</w:t>
      </w:r>
      <w:r>
        <w:rPr>
          <w:rFonts w:hint="eastAsia" w:ascii="宋体" w:hAnsi="宋体" w:eastAsia="宋体" w:cs="宋体"/>
          <w:highlight w:val="none"/>
          <w:lang w:eastAsia="zh-CN"/>
        </w:rPr>
        <w:t>支付，若</w:t>
      </w:r>
      <w:r>
        <w:rPr>
          <w:rFonts w:hint="eastAsia" w:ascii="宋体" w:hAnsi="宋体" w:eastAsia="宋体" w:cs="宋体"/>
          <w:highlight w:val="none"/>
          <w:lang w:val="en-US" w:eastAsia="zh-CN"/>
        </w:rPr>
        <w:t>乙方</w:t>
      </w:r>
      <w:r>
        <w:rPr>
          <w:rFonts w:hint="eastAsia" w:ascii="宋体" w:hAnsi="宋体" w:eastAsia="宋体" w:cs="宋体"/>
          <w:highlight w:val="none"/>
          <w:lang w:eastAsia="zh-CN"/>
        </w:rPr>
        <w:t>不同意或不支付，</w:t>
      </w:r>
      <w:r>
        <w:rPr>
          <w:rFonts w:hint="eastAsia" w:ascii="宋体" w:hAnsi="宋体" w:eastAsia="宋体" w:cs="宋体"/>
          <w:highlight w:val="none"/>
          <w:lang w:val="en-US" w:eastAsia="zh-CN"/>
        </w:rPr>
        <w:t>甲方</w:t>
      </w:r>
      <w:r>
        <w:rPr>
          <w:rFonts w:hint="eastAsia" w:ascii="宋体" w:hAnsi="宋体" w:eastAsia="宋体" w:cs="宋体"/>
          <w:highlight w:val="none"/>
          <w:lang w:eastAsia="zh-CN"/>
        </w:rPr>
        <w:t>有权将</w:t>
      </w:r>
      <w:r>
        <w:rPr>
          <w:rFonts w:hint="eastAsia" w:ascii="宋体" w:hAnsi="宋体" w:eastAsia="宋体" w:cs="宋体"/>
          <w:highlight w:val="none"/>
          <w:lang w:val="en-US" w:eastAsia="zh-CN"/>
        </w:rPr>
        <w:t>乙方</w:t>
      </w:r>
      <w:r>
        <w:rPr>
          <w:rFonts w:hint="eastAsia" w:ascii="宋体" w:hAnsi="宋体" w:eastAsia="宋体" w:cs="宋体"/>
          <w:highlight w:val="none"/>
          <w:lang w:eastAsia="zh-CN"/>
        </w:rPr>
        <w:t>纳入不良供应商名单，并保留追究赔偿损失的权利。</w:t>
      </w:r>
    </w:p>
    <w:p>
      <w:pPr>
        <w:shd w:val="clear"/>
        <w:spacing w:line="560" w:lineRule="exact"/>
        <w:ind w:firstLine="482" w:firstLineChars="200"/>
        <w:outlineLvl w:val="0"/>
        <w:rPr>
          <w:rFonts w:hint="eastAsia" w:ascii="宋体" w:hAnsi="宋体" w:eastAsia="宋体" w:cs="宋体"/>
          <w:b/>
          <w:color w:val="auto"/>
          <w:sz w:val="24"/>
          <w:highlight w:val="none"/>
        </w:rPr>
      </w:pPr>
      <w:bookmarkStart w:id="482" w:name="_Toc22267"/>
      <w:r>
        <w:rPr>
          <w:rFonts w:hint="eastAsia" w:ascii="宋体" w:hAnsi="宋体" w:eastAsia="宋体" w:cs="宋体"/>
          <w:b/>
          <w:color w:val="auto"/>
          <w:sz w:val="24"/>
          <w:highlight w:val="none"/>
        </w:rPr>
        <w:t>2.8 延迟履行</w:t>
      </w:r>
      <w:bookmarkEnd w:id="482"/>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hd w:val="clear"/>
        <w:spacing w:line="560" w:lineRule="exact"/>
        <w:ind w:firstLine="482" w:firstLineChars="200"/>
        <w:outlineLvl w:val="0"/>
        <w:rPr>
          <w:rFonts w:hint="eastAsia" w:ascii="宋体" w:hAnsi="宋体" w:eastAsia="宋体" w:cs="宋体"/>
          <w:b/>
          <w:color w:val="auto"/>
          <w:sz w:val="24"/>
          <w:highlight w:val="none"/>
        </w:rPr>
      </w:pPr>
      <w:bookmarkStart w:id="483" w:name="_Toc10611"/>
      <w:r>
        <w:rPr>
          <w:rFonts w:hint="eastAsia" w:ascii="宋体" w:hAnsi="宋体" w:eastAsia="宋体" w:cs="宋体"/>
          <w:b/>
          <w:color w:val="auto"/>
          <w:sz w:val="24"/>
          <w:highlight w:val="none"/>
        </w:rPr>
        <w:t>2.9 合同变更</w:t>
      </w:r>
      <w:bookmarkEnd w:id="483"/>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hd w:val="clear"/>
        <w:spacing w:line="560" w:lineRule="exact"/>
        <w:ind w:firstLine="482" w:firstLineChars="200"/>
        <w:outlineLvl w:val="0"/>
        <w:rPr>
          <w:rFonts w:hint="eastAsia" w:ascii="宋体" w:hAnsi="宋体" w:eastAsia="宋体" w:cs="宋体"/>
          <w:b/>
          <w:color w:val="auto"/>
          <w:sz w:val="24"/>
          <w:highlight w:val="none"/>
        </w:rPr>
      </w:pPr>
      <w:bookmarkStart w:id="484" w:name="_Toc26689"/>
      <w:bookmarkStart w:id="485" w:name="_Toc23368"/>
      <w:bookmarkStart w:id="486" w:name="_Toc21830"/>
      <w:bookmarkStart w:id="487" w:name="_Toc42"/>
      <w:bookmarkStart w:id="488" w:name="_Toc10663"/>
      <w:r>
        <w:rPr>
          <w:rFonts w:hint="eastAsia" w:ascii="宋体" w:hAnsi="宋体" w:eastAsia="宋体" w:cs="宋体"/>
          <w:b/>
          <w:color w:val="auto"/>
          <w:sz w:val="24"/>
          <w:highlight w:val="none"/>
        </w:rPr>
        <w:t>2.10 合同转让和分包</w:t>
      </w:r>
      <w:bookmarkEnd w:id="484"/>
      <w:bookmarkEnd w:id="485"/>
      <w:bookmarkEnd w:id="486"/>
      <w:bookmarkEnd w:id="487"/>
      <w:bookmarkEnd w:id="488"/>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hd w:val="clear"/>
        <w:spacing w:line="560" w:lineRule="exact"/>
        <w:ind w:firstLine="482" w:firstLineChars="200"/>
        <w:outlineLvl w:val="0"/>
        <w:rPr>
          <w:rFonts w:hint="eastAsia" w:ascii="宋体" w:hAnsi="宋体" w:eastAsia="宋体" w:cs="宋体"/>
          <w:b/>
          <w:color w:val="auto"/>
          <w:sz w:val="24"/>
          <w:highlight w:val="none"/>
        </w:rPr>
      </w:pPr>
      <w:bookmarkStart w:id="489" w:name="_Toc32494"/>
      <w:bookmarkStart w:id="490" w:name="_Toc14371"/>
      <w:bookmarkStart w:id="491" w:name="_Toc26633"/>
      <w:bookmarkStart w:id="492" w:name="_Toc25571"/>
      <w:bookmarkStart w:id="493" w:name="_Toc4720"/>
      <w:r>
        <w:rPr>
          <w:rFonts w:hint="eastAsia" w:ascii="宋体" w:hAnsi="宋体" w:eastAsia="宋体" w:cs="宋体"/>
          <w:b/>
          <w:color w:val="auto"/>
          <w:sz w:val="24"/>
          <w:highlight w:val="none"/>
        </w:rPr>
        <w:t>2.11 不可抗力</w:t>
      </w:r>
      <w:bookmarkEnd w:id="489"/>
      <w:bookmarkEnd w:id="490"/>
      <w:bookmarkEnd w:id="491"/>
      <w:bookmarkEnd w:id="492"/>
      <w:bookmarkEnd w:id="493"/>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hd w:val="clear"/>
        <w:spacing w:line="560" w:lineRule="exact"/>
        <w:ind w:firstLine="482" w:firstLineChars="200"/>
        <w:outlineLvl w:val="0"/>
        <w:rPr>
          <w:rFonts w:hint="eastAsia" w:ascii="宋体" w:hAnsi="宋体" w:eastAsia="宋体" w:cs="宋体"/>
          <w:b/>
          <w:color w:val="auto"/>
          <w:sz w:val="24"/>
          <w:highlight w:val="none"/>
        </w:rPr>
      </w:pPr>
      <w:bookmarkStart w:id="494" w:name="_Toc3638"/>
      <w:bookmarkStart w:id="495" w:name="_Toc23854"/>
      <w:bookmarkStart w:id="496" w:name="_Toc25783"/>
      <w:bookmarkStart w:id="497" w:name="_Toc24465"/>
      <w:bookmarkStart w:id="498" w:name="_Toc14115"/>
      <w:r>
        <w:rPr>
          <w:rFonts w:hint="eastAsia" w:ascii="宋体" w:hAnsi="宋体" w:eastAsia="宋体" w:cs="宋体"/>
          <w:b/>
          <w:color w:val="auto"/>
          <w:sz w:val="24"/>
          <w:highlight w:val="none"/>
        </w:rPr>
        <w:t>2.12 税费</w:t>
      </w:r>
      <w:bookmarkEnd w:id="494"/>
      <w:bookmarkEnd w:id="495"/>
      <w:bookmarkEnd w:id="496"/>
      <w:bookmarkEnd w:id="497"/>
      <w:bookmarkEnd w:id="498"/>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hd w:val="clear"/>
        <w:spacing w:line="560" w:lineRule="exact"/>
        <w:ind w:firstLine="482" w:firstLineChars="200"/>
        <w:outlineLvl w:val="0"/>
        <w:rPr>
          <w:rFonts w:hint="eastAsia" w:ascii="宋体" w:hAnsi="宋体" w:eastAsia="宋体" w:cs="宋体"/>
          <w:b/>
          <w:color w:val="auto"/>
          <w:sz w:val="24"/>
          <w:highlight w:val="none"/>
        </w:rPr>
      </w:pPr>
      <w:bookmarkStart w:id="499" w:name="_Toc26883"/>
      <w:bookmarkStart w:id="500" w:name="_Toc14814"/>
      <w:bookmarkStart w:id="501" w:name="_Toc7315"/>
      <w:bookmarkStart w:id="502" w:name="_Toc30105"/>
      <w:bookmarkStart w:id="503" w:name="_Toc25525"/>
      <w:r>
        <w:rPr>
          <w:rFonts w:hint="eastAsia" w:ascii="宋体" w:hAnsi="宋体" w:eastAsia="宋体" w:cs="宋体"/>
          <w:b/>
          <w:color w:val="auto"/>
          <w:sz w:val="24"/>
          <w:highlight w:val="none"/>
        </w:rPr>
        <w:t>2.13 乙方破产</w:t>
      </w:r>
      <w:bookmarkEnd w:id="499"/>
      <w:bookmarkEnd w:id="500"/>
      <w:bookmarkEnd w:id="501"/>
      <w:bookmarkEnd w:id="502"/>
      <w:bookmarkEnd w:id="503"/>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hd w:val="clear"/>
        <w:spacing w:line="560" w:lineRule="exact"/>
        <w:ind w:firstLine="482" w:firstLineChars="200"/>
        <w:outlineLvl w:val="0"/>
        <w:rPr>
          <w:rFonts w:hint="eastAsia" w:ascii="宋体" w:hAnsi="宋体" w:eastAsia="宋体" w:cs="宋体"/>
          <w:b/>
          <w:color w:val="auto"/>
          <w:sz w:val="24"/>
          <w:highlight w:val="none"/>
        </w:rPr>
      </w:pPr>
      <w:bookmarkStart w:id="504" w:name="_Toc2016"/>
      <w:bookmarkStart w:id="505" w:name="_Toc23323"/>
      <w:bookmarkStart w:id="506" w:name="_Toc1123"/>
      <w:r>
        <w:rPr>
          <w:rFonts w:hint="eastAsia" w:ascii="宋体" w:hAnsi="宋体" w:eastAsia="宋体" w:cs="宋体"/>
          <w:b/>
          <w:color w:val="auto"/>
          <w:sz w:val="24"/>
          <w:highlight w:val="none"/>
        </w:rPr>
        <w:t>2.14 合同中止、终止</w:t>
      </w:r>
      <w:bookmarkEnd w:id="504"/>
      <w:bookmarkEnd w:id="505"/>
      <w:bookmarkEnd w:id="506"/>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hd w:val="clear"/>
        <w:spacing w:line="560" w:lineRule="exact"/>
        <w:ind w:firstLine="482" w:firstLineChars="200"/>
        <w:outlineLvl w:val="0"/>
        <w:rPr>
          <w:rFonts w:hint="eastAsia" w:ascii="宋体" w:hAnsi="宋体" w:eastAsia="宋体" w:cs="宋体"/>
          <w:b/>
          <w:color w:val="auto"/>
          <w:sz w:val="24"/>
          <w:highlight w:val="none"/>
        </w:rPr>
      </w:pPr>
      <w:bookmarkStart w:id="507" w:name="_Toc17363"/>
      <w:bookmarkStart w:id="508" w:name="_Toc1969"/>
      <w:bookmarkStart w:id="509" w:name="_Toc14525"/>
      <w:r>
        <w:rPr>
          <w:rFonts w:hint="eastAsia" w:ascii="宋体" w:hAnsi="宋体" w:eastAsia="宋体" w:cs="宋体"/>
          <w:b/>
          <w:color w:val="auto"/>
          <w:sz w:val="24"/>
          <w:highlight w:val="none"/>
        </w:rPr>
        <w:t>2.15 检验和验收</w:t>
      </w:r>
      <w:bookmarkEnd w:id="507"/>
      <w:bookmarkEnd w:id="508"/>
      <w:bookmarkEnd w:id="509"/>
    </w:p>
    <w:p>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hd w:val="clear"/>
        <w:spacing w:line="560" w:lineRule="exact"/>
        <w:ind w:firstLine="482" w:firstLineChars="200"/>
        <w:outlineLvl w:val="0"/>
        <w:rPr>
          <w:rFonts w:hint="eastAsia" w:ascii="宋体" w:hAnsi="宋体" w:eastAsia="宋体" w:cs="宋体"/>
          <w:b/>
          <w:color w:val="auto"/>
          <w:sz w:val="24"/>
          <w:highlight w:val="none"/>
        </w:rPr>
      </w:pPr>
      <w:bookmarkStart w:id="510" w:name="_Toc9808"/>
      <w:bookmarkStart w:id="511" w:name="_Toc12666"/>
      <w:bookmarkStart w:id="512" w:name="_Toc25198"/>
      <w:bookmarkStart w:id="513" w:name="_Toc31892"/>
      <w:bookmarkStart w:id="514" w:name="_Toc2308"/>
      <w:r>
        <w:rPr>
          <w:rFonts w:hint="eastAsia" w:ascii="宋体" w:hAnsi="宋体" w:eastAsia="宋体" w:cs="宋体"/>
          <w:b/>
          <w:color w:val="auto"/>
          <w:sz w:val="24"/>
          <w:highlight w:val="none"/>
        </w:rPr>
        <w:t>2.16 通知和送达</w:t>
      </w:r>
      <w:bookmarkEnd w:id="510"/>
      <w:bookmarkEnd w:id="511"/>
      <w:bookmarkEnd w:id="512"/>
      <w:bookmarkEnd w:id="513"/>
      <w:bookmarkEnd w:id="514"/>
    </w:p>
    <w:p>
      <w:pPr>
        <w:shd w:val="clear"/>
        <w:spacing w:line="560" w:lineRule="exact"/>
        <w:ind w:firstLine="480" w:firstLineChars="200"/>
        <w:rPr>
          <w:rFonts w:hint="eastAsia" w:ascii="宋体" w:hAnsi="宋体" w:eastAsia="宋体" w:cs="宋体"/>
          <w:color w:val="auto"/>
          <w:sz w:val="24"/>
          <w:highlight w:val="none"/>
        </w:rPr>
      </w:pPr>
      <w:bookmarkStart w:id="515" w:name="_Toc27674"/>
      <w:bookmarkStart w:id="516"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5"/>
      <w:bookmarkEnd w:id="516"/>
    </w:p>
    <w:p>
      <w:pPr>
        <w:shd w:val="clear"/>
        <w:spacing w:line="560" w:lineRule="exact"/>
        <w:ind w:firstLine="482" w:firstLineChars="200"/>
        <w:outlineLvl w:val="0"/>
        <w:rPr>
          <w:rFonts w:hint="eastAsia" w:ascii="宋体" w:hAnsi="宋体" w:eastAsia="宋体" w:cs="宋体"/>
          <w:b/>
          <w:color w:val="auto"/>
          <w:sz w:val="24"/>
          <w:highlight w:val="none"/>
        </w:rPr>
      </w:pPr>
      <w:bookmarkStart w:id="517" w:name="_Toc20808"/>
      <w:bookmarkStart w:id="518" w:name="_Toc12254"/>
      <w:bookmarkStart w:id="519" w:name="_Toc5063"/>
      <w:bookmarkStart w:id="520" w:name="_Toc27644"/>
      <w:bookmarkStart w:id="521" w:name="_Toc28906"/>
      <w:r>
        <w:rPr>
          <w:rFonts w:hint="eastAsia" w:ascii="宋体" w:hAnsi="宋体" w:eastAsia="宋体" w:cs="宋体"/>
          <w:b/>
          <w:color w:val="auto"/>
          <w:sz w:val="24"/>
          <w:highlight w:val="none"/>
        </w:rPr>
        <w:t>2.17 合同使用的文字和适用的法律</w:t>
      </w:r>
      <w:bookmarkEnd w:id="517"/>
      <w:bookmarkEnd w:id="518"/>
      <w:bookmarkEnd w:id="519"/>
      <w:bookmarkEnd w:id="520"/>
      <w:bookmarkEnd w:id="521"/>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hd w:val="clear"/>
        <w:spacing w:line="560" w:lineRule="exact"/>
        <w:ind w:firstLine="482" w:firstLineChars="200"/>
        <w:outlineLvl w:val="0"/>
        <w:rPr>
          <w:rFonts w:hint="eastAsia" w:ascii="宋体" w:hAnsi="宋体" w:eastAsia="宋体" w:cs="宋体"/>
          <w:b/>
          <w:color w:val="auto"/>
          <w:sz w:val="24"/>
          <w:highlight w:val="none"/>
        </w:rPr>
      </w:pPr>
      <w:bookmarkStart w:id="522" w:name="_Toc4355"/>
      <w:bookmarkStart w:id="523" w:name="_Toc18540"/>
      <w:bookmarkStart w:id="524" w:name="_Toc30599"/>
      <w:r>
        <w:rPr>
          <w:rFonts w:hint="eastAsia" w:ascii="宋体" w:hAnsi="宋体" w:eastAsia="宋体" w:cs="宋体"/>
          <w:b/>
          <w:color w:val="auto"/>
          <w:sz w:val="24"/>
          <w:highlight w:val="none"/>
        </w:rPr>
        <w:t>2.18 计量单位</w:t>
      </w:r>
      <w:bookmarkEnd w:id="522"/>
      <w:bookmarkEnd w:id="523"/>
      <w:bookmarkEnd w:id="524"/>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hd w:val="clea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25" w:name="_Toc331685784"/>
      <w:r>
        <w:rPr>
          <w:rFonts w:hint="eastAsia" w:ascii="宋体" w:hAnsi="宋体" w:eastAsia="宋体" w:cs="宋体"/>
          <w:b/>
          <w:color w:val="auto"/>
          <w:sz w:val="24"/>
          <w:highlight w:val="none"/>
        </w:rPr>
        <w:t xml:space="preserve"> </w:t>
      </w:r>
      <w:bookmarkEnd w:id="525"/>
      <w:r>
        <w:rPr>
          <w:rFonts w:hint="eastAsia" w:ascii="宋体" w:hAnsi="宋体" w:eastAsia="宋体" w:cs="宋体"/>
          <w:b/>
          <w:color w:val="auto"/>
          <w:sz w:val="24"/>
          <w:highlight w:val="none"/>
        </w:rPr>
        <w:t>第三部分  合同专用条款</w:t>
      </w:r>
    </w:p>
    <w:p>
      <w:pPr>
        <w:shd w:val="clea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kern w:val="0"/>
                <w:sz w:val="24"/>
                <w:szCs w:val="24"/>
                <w:highlight w:val="none"/>
              </w:rPr>
              <w:t>结算时根据</w:t>
            </w:r>
            <w:r>
              <w:rPr>
                <w:rFonts w:hint="eastAsia" w:ascii="宋体" w:hAnsi="宋体" w:eastAsia="宋体" w:cs="宋体"/>
                <w:kern w:val="0"/>
                <w:sz w:val="24"/>
                <w:szCs w:val="24"/>
                <w:highlight w:val="none"/>
                <w:lang w:val="en-US" w:eastAsia="zh-CN"/>
              </w:rPr>
              <w:t>合同综合</w:t>
            </w:r>
            <w:r>
              <w:rPr>
                <w:rFonts w:hint="eastAsia" w:ascii="宋体" w:hAnsi="宋体" w:eastAsia="宋体" w:cs="宋体"/>
                <w:kern w:val="0"/>
                <w:sz w:val="24"/>
                <w:szCs w:val="24"/>
                <w:highlight w:val="none"/>
              </w:rPr>
              <w:t>单价按实结算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合同签订后支付合同金额40%的预付款；（若在签订合同时，乙方明确表示无需预付款的，甲方可不予支付预付款。预付款支付约定以合同中约定为准。）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自合同生效之日起90天完成非开挖修复并出具管道修复报告及修复前和修复后各作业管道的视频资料（即CCTV检测）。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pPr>
              <w:shd w:val="clea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szCs w:val="24"/>
                <w:highlight w:val="none"/>
                <w:lang w:val="en-US" w:eastAsia="zh-CN"/>
              </w:rPr>
              <w:t>海曙区</w:t>
            </w:r>
            <w:r>
              <w:rPr>
                <w:rFonts w:hint="eastAsia" w:ascii="宋体" w:hAnsi="宋体" w:eastAsia="宋体" w:cs="宋体"/>
                <w:color w:val="auto"/>
                <w:sz w:val="24"/>
                <w:szCs w:val="24"/>
                <w:highlight w:val="none"/>
                <w:lang w:eastAsia="zh-CN"/>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kern w:val="0"/>
                <w:sz w:val="24"/>
                <w:szCs w:val="24"/>
                <w:highlight w:val="none"/>
              </w:rPr>
              <w:t>项目完成后，</w:t>
            </w:r>
            <w:r>
              <w:rPr>
                <w:rFonts w:hint="eastAsia" w:ascii="宋体" w:hAns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须提供《管道修复报告》（3份纸质稿及1份电子稿）及修复前和修复后各作业管道的视频资料给</w:t>
            </w:r>
            <w:r>
              <w:rPr>
                <w:rFonts w:hint="eastAsia" w:ascii="宋体" w:hAns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pPr>
              <w:pStyle w:val="60"/>
              <w:ind w:left="0" w:leftChars="0" w:firstLine="0" w:firstLineChars="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乙方必须为全体作业人员购买社保及人身意外险，必须重视安全生产工作，确保不出安全生产责任事故。合同履约期间，乙方未按照甲方要求进行安全作业的，每发现一次扣1000元；在作业过程中如发生人员伤亡的安全生产责任事故或交通事故，由乙方承担一切责任及损失，如甲方承担责任的，可以向乙方追偿。甲方有权解除合同。</w:t>
            </w:r>
          </w:p>
          <w:p>
            <w:pPr>
              <w:pStyle w:val="60"/>
              <w:ind w:left="0" w:leftChars="0" w:firstLine="0" w:firstLineChars="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）合同执行过程中，乙方如有弄虚作假行为，甲方有权单方面解除合同，由此引起的所有损失由乙方承担。</w:t>
            </w:r>
          </w:p>
          <w:p>
            <w:pPr>
              <w:pStyle w:val="60"/>
              <w:ind w:left="0" w:leftChars="0" w:firstLine="0" w:firstLineChars="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）乙方违反</w:t>
            </w:r>
            <w:r>
              <w:rPr>
                <w:rFonts w:hint="eastAsia" w:ascii="宋体" w:hAnsi="宋体" w:eastAsia="宋体" w:cs="宋体"/>
                <w:highlight w:val="none"/>
                <w:lang w:val="en-US" w:eastAsia="zh-CN"/>
              </w:rPr>
              <w:t>下述</w:t>
            </w:r>
            <w:r>
              <w:rPr>
                <w:rFonts w:hint="eastAsia" w:ascii="宋体" w:hAnsi="宋体" w:eastAsia="宋体" w:cs="宋体"/>
                <w:highlight w:val="none"/>
                <w:lang w:eastAsia="zh-CN"/>
              </w:rPr>
              <w:t>情形之一的，视为违约，每次乙方向甲方支付合同总价1%的违约金。</w:t>
            </w:r>
          </w:p>
          <w:p>
            <w:pPr>
              <w:pStyle w:val="60"/>
              <w:ind w:left="0" w:leftChars="0" w:firstLine="0" w:firstLineChars="0"/>
              <w:rPr>
                <w:rFonts w:hint="eastAsia" w:ascii="宋体" w:hAnsi="宋体" w:eastAsia="宋体" w:cs="宋体"/>
                <w:highlight w:val="none"/>
                <w:lang w:eastAsia="zh-CN"/>
              </w:rPr>
            </w:pPr>
            <w:r>
              <w:rPr>
                <w:rFonts w:hint="eastAsia" w:ascii="宋体" w:hAnsi="宋体" w:eastAsia="宋体" w:cs="宋体"/>
                <w:highlight w:val="none"/>
                <w:lang w:eastAsia="zh-CN"/>
              </w:rPr>
              <w:t>1）为了在施工期间确保施工区域周围环境的整洁和交通正常进行，乙方必须按宁波市、区有关规定，做到“两通三无五必须”。</w:t>
            </w:r>
          </w:p>
          <w:p>
            <w:pPr>
              <w:pStyle w:val="60"/>
              <w:ind w:left="0" w:leftChars="0" w:firstLine="0" w:firstLineChars="0"/>
              <w:rPr>
                <w:rFonts w:hint="eastAsia" w:ascii="宋体" w:hAnsi="宋体" w:eastAsia="宋体" w:cs="宋体"/>
                <w:highlight w:val="none"/>
                <w:lang w:eastAsia="zh-CN"/>
              </w:rPr>
            </w:pPr>
            <w:r>
              <w:rPr>
                <w:rFonts w:hint="eastAsia" w:ascii="宋体" w:hAnsi="宋体" w:eastAsia="宋体" w:cs="宋体"/>
                <w:highlight w:val="none"/>
                <w:lang w:eastAsia="zh-CN"/>
              </w:rPr>
              <w:t>2）乙方违反规定野蛮施工的甲方有权停工整顿，一切损失由乙方负责。</w:t>
            </w:r>
          </w:p>
          <w:p>
            <w:pPr>
              <w:pStyle w:val="60"/>
              <w:ind w:left="0" w:leftChars="0" w:firstLine="0" w:firstLineChars="0"/>
              <w:rPr>
                <w:rFonts w:hint="eastAsia" w:ascii="宋体" w:hAnsi="宋体" w:eastAsia="宋体" w:cs="宋体"/>
                <w:highlight w:val="none"/>
                <w:lang w:eastAsia="zh-CN"/>
              </w:rPr>
            </w:pPr>
            <w:r>
              <w:rPr>
                <w:rFonts w:hint="eastAsia" w:ascii="宋体" w:hAnsi="宋体" w:eastAsia="宋体" w:cs="宋体"/>
                <w:highlight w:val="none"/>
                <w:lang w:eastAsia="zh-CN"/>
              </w:rPr>
              <w:t>3）乙方需对作业人员进行安全操作规程教育，包括作业期间可能出现的交通事故等。</w:t>
            </w:r>
          </w:p>
          <w:p>
            <w:pPr>
              <w:pStyle w:val="60"/>
              <w:ind w:left="0" w:leftChars="0" w:firstLine="0" w:firstLineChars="0"/>
              <w:rPr>
                <w:rFonts w:hint="eastAsia" w:ascii="宋体" w:hAnsi="宋体" w:eastAsia="宋体" w:cs="宋体"/>
                <w:highlight w:val="none"/>
                <w:lang w:eastAsia="zh-CN"/>
              </w:rPr>
            </w:pPr>
            <w:r>
              <w:rPr>
                <w:rFonts w:hint="eastAsia" w:ascii="宋体" w:hAnsi="宋体" w:eastAsia="宋体" w:cs="宋体"/>
                <w:highlight w:val="none"/>
                <w:lang w:eastAsia="zh-CN"/>
              </w:rPr>
              <w:t>4）乙方在施工过程中应采取保护措施，防止管线受损，其费用包含在投标总价中。若因乙方原因产生的管线损坏；影响公共安全和公共环境；甲方将按直接损失双倍金额对乙方进行扣罚。</w:t>
            </w:r>
          </w:p>
          <w:p>
            <w:pPr>
              <w:pStyle w:val="60"/>
              <w:ind w:left="0" w:leftChars="0" w:firstLine="0" w:firstLineChars="0"/>
              <w:rPr>
                <w:rFonts w:hint="eastAsia" w:ascii="宋体" w:hAnsi="宋体" w:eastAsia="宋体" w:cs="宋体"/>
                <w:highlight w:val="none"/>
                <w:lang w:eastAsia="zh-CN"/>
              </w:rPr>
            </w:pPr>
            <w:r>
              <w:rPr>
                <w:rFonts w:hint="eastAsia" w:ascii="宋体" w:hAnsi="宋体" w:eastAsia="宋体" w:cs="宋体"/>
                <w:highlight w:val="none"/>
                <w:lang w:eastAsia="zh-CN"/>
              </w:rPr>
              <w:t>5）乙方在作业期间，应严格按照国务令第393号《建筑工程安全生产管理条例》中的规定和经批准的施工组织设计中的安全技术措施进行安全生产管理。必须设立安全生产管理机构，配备专职安全生产管理人员和足够数量的安全设备，建立并落实安全生产方面的制度和措施，并报甲方、监理单位（如有）及有关主管部门。本工程安全生产管理目标：无重大伤亡事故，无重大设备事故。</w:t>
            </w:r>
          </w:p>
          <w:p>
            <w:pPr>
              <w:pStyle w:val="60"/>
              <w:ind w:left="0" w:leftChars="0" w:firstLine="0" w:firstLineChars="0"/>
              <w:rPr>
                <w:rFonts w:hint="eastAsia" w:ascii="宋体" w:hAnsi="宋体" w:eastAsia="宋体" w:cs="宋体"/>
                <w:highlight w:val="none"/>
                <w:lang w:eastAsia="zh-CN"/>
              </w:rPr>
            </w:pPr>
            <w:r>
              <w:rPr>
                <w:rFonts w:hint="eastAsia" w:ascii="宋体" w:hAnsi="宋体" w:eastAsia="宋体" w:cs="宋体"/>
                <w:highlight w:val="none"/>
                <w:lang w:eastAsia="zh-CN"/>
              </w:rPr>
              <w:t>6）乙方若需夜间施工的，须有切实可行的施工方案和相关预案，确保安全、文明施工，不发生扰民现象。</w:t>
            </w:r>
          </w:p>
          <w:p>
            <w:pPr>
              <w:pStyle w:val="60"/>
              <w:ind w:left="0" w:leftChars="0" w:firstLine="0" w:firstLineChars="0"/>
              <w:rPr>
                <w:rFonts w:hint="eastAsia" w:ascii="宋体" w:hAnsi="宋体" w:eastAsia="宋体" w:cs="宋体"/>
                <w:highlight w:val="none"/>
                <w:lang w:eastAsia="zh-CN"/>
              </w:rPr>
            </w:pPr>
            <w:r>
              <w:rPr>
                <w:rFonts w:hint="eastAsia" w:ascii="宋体" w:hAnsi="宋体" w:eastAsia="宋体" w:cs="宋体"/>
                <w:highlight w:val="none"/>
                <w:lang w:eastAsia="zh-CN"/>
              </w:rPr>
              <w:t>7）噪声：乙方不得在夜间进行高噪音的机械作业，并应通过有效的管理及技术手段，控制噪音。</w:t>
            </w:r>
          </w:p>
          <w:p>
            <w:pPr>
              <w:pStyle w:val="60"/>
              <w:ind w:left="0" w:leftChars="0" w:firstLine="0" w:firstLineChars="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）延误合同工期赔偿标准为1000元/天，延误超过15天的，甲方有权解除本合同。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宁波市海曙区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pPr>
              <w:shd w:val="clea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合同涉及技术成果归甲方所有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项目竣工验收合格后支付至合同总价的80%；项目成果报告全部提交并经甲方确认后支付至结算价的100%。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vAlign w:val="top"/>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bCs/>
                <w:kern w:val="0"/>
                <w:sz w:val="24"/>
                <w:szCs w:val="24"/>
                <w:highlight w:val="none"/>
              </w:rPr>
              <w:t>项目验收时，</w:t>
            </w:r>
            <w:r>
              <w:rPr>
                <w:rFonts w:hint="eastAsia" w:ascii="宋体" w:hAnsi="宋体" w:eastAsia="宋体" w:cs="宋体"/>
                <w:bCs/>
                <w:kern w:val="0"/>
                <w:sz w:val="24"/>
                <w:szCs w:val="24"/>
                <w:highlight w:val="none"/>
                <w:lang w:val="en-US" w:eastAsia="zh-CN"/>
              </w:rPr>
              <w:t>甲方</w:t>
            </w:r>
            <w:r>
              <w:rPr>
                <w:rFonts w:hint="eastAsia" w:ascii="宋体" w:hAnsi="宋体" w:eastAsia="宋体" w:cs="宋体"/>
                <w:bCs/>
                <w:kern w:val="0"/>
                <w:sz w:val="24"/>
                <w:szCs w:val="24"/>
                <w:highlight w:val="none"/>
              </w:rPr>
              <w:t>可委托第三方机构进行抽样验收</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lang w:val="en-US" w:eastAsia="zh-CN"/>
              </w:rPr>
              <w:t>验收标准详见招标文件</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，抽检管段信息将与</w:t>
            </w:r>
            <w:r>
              <w:rPr>
                <w:rFonts w:hint="eastAsia" w:ascii="宋体" w:hAnsi="宋体" w:eastAsia="宋体" w:cs="宋体"/>
                <w:bCs/>
                <w:kern w:val="0"/>
                <w:sz w:val="24"/>
                <w:szCs w:val="24"/>
                <w:highlight w:val="none"/>
                <w:lang w:val="en-US" w:eastAsia="zh-CN"/>
              </w:rPr>
              <w:t>乙方</w:t>
            </w:r>
            <w:r>
              <w:rPr>
                <w:rFonts w:hint="eastAsia" w:ascii="宋体" w:hAnsi="宋体" w:eastAsia="宋体" w:cs="宋体"/>
                <w:bCs/>
                <w:kern w:val="0"/>
                <w:sz w:val="24"/>
                <w:szCs w:val="24"/>
                <w:highlight w:val="none"/>
              </w:rPr>
              <w:t>提交信息进行比对，如发现造假、修复质量不合格等行为，</w:t>
            </w:r>
            <w:r>
              <w:rPr>
                <w:rFonts w:hint="eastAsia" w:ascii="宋体" w:hAnsi="宋体" w:eastAsia="宋体" w:cs="宋体"/>
                <w:bCs/>
                <w:kern w:val="0"/>
                <w:sz w:val="24"/>
                <w:szCs w:val="24"/>
                <w:highlight w:val="none"/>
                <w:lang w:val="en-US" w:eastAsia="zh-CN"/>
              </w:rPr>
              <w:t>甲方</w:t>
            </w:r>
            <w:r>
              <w:rPr>
                <w:rFonts w:hint="eastAsia" w:ascii="宋体" w:hAnsi="宋体" w:eastAsia="宋体" w:cs="宋体"/>
                <w:bCs/>
                <w:kern w:val="0"/>
                <w:sz w:val="24"/>
                <w:szCs w:val="24"/>
                <w:highlight w:val="none"/>
              </w:rPr>
              <w:t>有权终止合同，并追究</w:t>
            </w:r>
            <w:r>
              <w:rPr>
                <w:rFonts w:hint="eastAsia" w:ascii="宋体" w:hAnsi="宋体" w:eastAsia="宋体" w:cs="宋体"/>
                <w:bCs/>
                <w:kern w:val="0"/>
                <w:sz w:val="24"/>
                <w:szCs w:val="24"/>
                <w:highlight w:val="none"/>
                <w:lang w:val="en-US" w:eastAsia="zh-CN"/>
              </w:rPr>
              <w:t>乙方</w:t>
            </w:r>
            <w:r>
              <w:rPr>
                <w:rFonts w:hint="eastAsia" w:ascii="宋体" w:hAnsi="宋体" w:eastAsia="宋体" w:cs="宋体"/>
                <w:bCs/>
                <w:kern w:val="0"/>
                <w:sz w:val="24"/>
                <w:szCs w:val="24"/>
                <w:highlight w:val="none"/>
              </w:rPr>
              <w:t>相关法律责任，抽样数量由</w:t>
            </w:r>
            <w:r>
              <w:rPr>
                <w:rFonts w:hint="eastAsia" w:ascii="宋体" w:hAnsi="宋体" w:eastAsia="宋体" w:cs="宋体"/>
                <w:bCs/>
                <w:kern w:val="0"/>
                <w:sz w:val="24"/>
                <w:szCs w:val="24"/>
                <w:highlight w:val="none"/>
                <w:lang w:val="en-US" w:eastAsia="zh-CN"/>
              </w:rPr>
              <w:t>甲方</w:t>
            </w:r>
            <w:r>
              <w:rPr>
                <w:rFonts w:hint="eastAsia" w:ascii="宋体" w:hAnsi="宋体" w:eastAsia="宋体" w:cs="宋体"/>
                <w:bCs/>
                <w:kern w:val="0"/>
                <w:sz w:val="24"/>
                <w:szCs w:val="24"/>
                <w:highlight w:val="none"/>
              </w:rPr>
              <w:t>确定（不少于总工程量的10%），费用由</w:t>
            </w:r>
            <w:r>
              <w:rPr>
                <w:rFonts w:hint="eastAsia" w:ascii="宋体" w:hAnsi="宋体" w:eastAsia="宋体" w:cs="宋体"/>
                <w:bCs/>
                <w:kern w:val="0"/>
                <w:sz w:val="24"/>
                <w:szCs w:val="24"/>
                <w:highlight w:val="none"/>
                <w:lang w:val="en-US" w:eastAsia="zh-CN"/>
              </w:rPr>
              <w:t>乙方</w:t>
            </w:r>
            <w:r>
              <w:rPr>
                <w:rFonts w:hint="eastAsia" w:ascii="宋体" w:hAnsi="宋体" w:eastAsia="宋体" w:cs="宋体"/>
                <w:bCs/>
                <w:kern w:val="0"/>
                <w:sz w:val="24"/>
                <w:szCs w:val="24"/>
                <w:highlight w:val="none"/>
              </w:rPr>
              <w:t>自理。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535" w:type="pct"/>
            <w:tcBorders>
              <w:lef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vAlign w:val="center"/>
          </w:tcPr>
          <w:p>
            <w:pPr>
              <w:keepNext w:val="0"/>
              <w:keepLines w:val="0"/>
              <w:pageBreakBefore w:val="0"/>
              <w:widowControl w:val="0"/>
              <w:shd w:val="clear"/>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一式</w:t>
            </w:r>
            <w:r>
              <w:rPr>
                <w:rFonts w:hint="eastAsia" w:ascii="宋体" w:hAnsi="宋体" w:cs="宋体"/>
                <w:color w:val="auto"/>
                <w:sz w:val="24"/>
                <w:highlight w:val="none"/>
                <w:u w:val="single"/>
                <w:lang w:val="en-US" w:eastAsia="zh-CN"/>
              </w:rPr>
              <w:t>陆</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双方各执</w:t>
            </w:r>
            <w:r>
              <w:rPr>
                <w:rFonts w:hint="eastAsia" w:ascii="宋体" w:hAnsi="宋体" w:cs="宋体"/>
                <w:color w:val="auto"/>
                <w:sz w:val="24"/>
                <w:highlight w:val="none"/>
                <w:u w:val="single"/>
                <w:lang w:val="en-US" w:eastAsia="zh-CN"/>
              </w:rPr>
              <w:t>叁</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w:t>
            </w:r>
          </w:p>
        </w:tc>
      </w:tr>
    </w:tbl>
    <w:p>
      <w:pPr>
        <w:widowControl/>
        <w:shd w:val="clear"/>
        <w:adjustRightInd/>
        <w:jc w:val="center"/>
        <w:rPr>
          <w:rFonts w:hint="eastAsia" w:ascii="宋体" w:hAnsi="宋体" w:eastAsia="宋体" w:cs="宋体"/>
          <w:b/>
          <w:color w:val="auto"/>
          <w:sz w:val="36"/>
          <w:szCs w:val="20"/>
          <w:highlight w:val="none"/>
        </w:rPr>
        <w:sectPr>
          <w:headerReference r:id="rId12" w:type="first"/>
          <w:footerReference r:id="rId14" w:type="first"/>
          <w:headerReference r:id="rId11" w:type="default"/>
          <w:footerReference r:id="rId13" w:type="default"/>
          <w:pgSz w:w="11906" w:h="16838"/>
          <w:pgMar w:top="1276" w:right="1418" w:bottom="1247" w:left="1418" w:header="851" w:footer="737" w:gutter="0"/>
          <w:pgNumType w:fmt="decimal"/>
          <w:cols w:space="720" w:num="1"/>
          <w:titlePg/>
          <w:docGrid w:linePitch="312" w:charSpace="0"/>
        </w:sectPr>
      </w:pPr>
    </w:p>
    <w:bookmarkEnd w:id="410"/>
    <w:bookmarkEnd w:id="411"/>
    <w:p>
      <w:pPr>
        <w:widowControl/>
        <w:numPr>
          <w:ilvl w:val="0"/>
          <w:numId w:val="7"/>
        </w:numPr>
        <w:shd w:val="clear"/>
        <w:adjustRightInd/>
        <w:jc w:val="center"/>
        <w:rPr>
          <w:rFonts w:hint="eastAsia" w:ascii="宋体" w:hAnsi="宋体" w:cs="宋体"/>
          <w:b/>
          <w:color w:val="auto"/>
          <w:sz w:val="36"/>
          <w:szCs w:val="20"/>
          <w:highlight w:val="none"/>
          <w:lang w:val="en-US" w:eastAsia="zh-CN"/>
        </w:rPr>
      </w:pPr>
      <w:r>
        <w:rPr>
          <w:rFonts w:hint="eastAsia" w:ascii="宋体" w:hAnsi="宋体" w:cs="宋体"/>
          <w:b/>
          <w:color w:val="auto"/>
          <w:sz w:val="36"/>
          <w:szCs w:val="20"/>
          <w:highlight w:val="none"/>
          <w:lang w:val="en-US" w:eastAsia="zh-CN"/>
        </w:rPr>
        <w:t>投标文件格式及附件</w:t>
      </w:r>
    </w:p>
    <w:p>
      <w:pPr>
        <w:tabs>
          <w:tab w:val="left" w:pos="7320"/>
        </w:tabs>
        <w:rPr>
          <w:rFonts w:ascii="宋体" w:hAnsi="宋体" w:cs="仿宋"/>
          <w:b/>
          <w:sz w:val="28"/>
          <w:highlight w:val="none"/>
        </w:rPr>
      </w:pPr>
      <w:r>
        <w:rPr>
          <w:rFonts w:ascii="宋体" w:hAnsi="宋体" w:cs="仿宋"/>
          <w:sz w:val="24"/>
          <w:highlight w:val="none"/>
        </w:rPr>
        <w:t>投标文件的封面格式：</w:t>
      </w:r>
    </w:p>
    <w:p>
      <w:pPr>
        <w:snapToGrid w:val="0"/>
        <w:spacing w:line="360" w:lineRule="auto"/>
        <w:jc w:val="center"/>
        <w:rPr>
          <w:rFonts w:ascii="宋体" w:hAnsi="宋体" w:cs="仿宋"/>
          <w:b/>
          <w:sz w:val="30"/>
          <w:highlight w:val="none"/>
        </w:rPr>
      </w:pPr>
    </w:p>
    <w:p>
      <w:pPr>
        <w:pStyle w:val="2"/>
        <w:rPr>
          <w:rFonts w:ascii="宋体" w:hAnsi="宋体" w:cs="仿宋"/>
          <w:b/>
          <w:sz w:val="30"/>
          <w:highlight w:val="none"/>
        </w:rPr>
      </w:pPr>
    </w:p>
    <w:p>
      <w:pPr>
        <w:pStyle w:val="2"/>
        <w:rPr>
          <w:rFonts w:ascii="宋体" w:hAnsi="宋体" w:cs="仿宋"/>
          <w:b/>
          <w:sz w:val="30"/>
          <w:highlight w:val="none"/>
        </w:rPr>
      </w:pPr>
    </w:p>
    <w:p>
      <w:pPr>
        <w:snapToGrid w:val="0"/>
        <w:spacing w:line="360" w:lineRule="auto"/>
        <w:jc w:val="center"/>
        <w:rPr>
          <w:rFonts w:ascii="宋体" w:hAnsi="宋体" w:cs="仿宋"/>
          <w:sz w:val="30"/>
          <w:highlight w:val="none"/>
        </w:rPr>
      </w:pPr>
      <w:r>
        <w:rPr>
          <w:rFonts w:ascii="宋体" w:hAnsi="宋体" w:cs="仿宋"/>
          <w:b/>
          <w:sz w:val="30"/>
          <w:highlight w:val="none"/>
        </w:rPr>
        <w:t>投 标 文 件</w:t>
      </w:r>
    </w:p>
    <w:p>
      <w:pPr>
        <w:snapToGrid w:val="0"/>
        <w:spacing w:line="360" w:lineRule="auto"/>
        <w:jc w:val="center"/>
        <w:rPr>
          <w:rFonts w:ascii="宋体" w:hAnsi="宋体" w:cs="仿宋"/>
          <w:b/>
          <w:sz w:val="30"/>
          <w:highlight w:val="none"/>
        </w:rPr>
      </w:pPr>
    </w:p>
    <w:p>
      <w:pPr>
        <w:pStyle w:val="700"/>
        <w:widowControl/>
        <w:spacing w:line="360" w:lineRule="auto"/>
        <w:ind w:firstLine="1243" w:firstLineChars="444"/>
        <w:rPr>
          <w:rFonts w:ascii="宋体" w:hAnsi="宋体" w:cs="仿宋"/>
          <w:sz w:val="28"/>
          <w:highlight w:val="none"/>
        </w:rPr>
      </w:pPr>
    </w:p>
    <w:p>
      <w:pPr>
        <w:pStyle w:val="700"/>
        <w:widowControl/>
        <w:spacing w:line="360" w:lineRule="auto"/>
        <w:ind w:firstLine="1243" w:firstLineChars="444"/>
        <w:rPr>
          <w:rFonts w:ascii="宋体" w:hAnsi="宋体" w:cs="仿宋"/>
          <w:sz w:val="28"/>
          <w:highlight w:val="none"/>
        </w:rPr>
      </w:pPr>
    </w:p>
    <w:p>
      <w:pPr>
        <w:pStyle w:val="700"/>
        <w:widowControl/>
        <w:spacing w:line="360" w:lineRule="auto"/>
        <w:ind w:firstLine="1243" w:firstLineChars="444"/>
        <w:rPr>
          <w:rFonts w:ascii="宋体" w:hAnsi="宋体" w:cs="仿宋"/>
          <w:sz w:val="28"/>
          <w:highlight w:val="none"/>
        </w:rPr>
      </w:pPr>
      <w:r>
        <w:rPr>
          <w:rFonts w:ascii="宋体" w:hAnsi="宋体" w:cs="仿宋"/>
          <w:sz w:val="28"/>
          <w:highlight w:val="none"/>
        </w:rPr>
        <w:t>项目名称：</w:t>
      </w:r>
    </w:p>
    <w:p>
      <w:pPr>
        <w:pStyle w:val="700"/>
        <w:widowControl/>
        <w:spacing w:line="360" w:lineRule="auto"/>
        <w:ind w:firstLine="1243" w:firstLineChars="444"/>
        <w:rPr>
          <w:rFonts w:ascii="宋体" w:hAnsi="宋体" w:cs="仿宋"/>
          <w:sz w:val="28"/>
          <w:highlight w:val="none"/>
        </w:rPr>
      </w:pPr>
      <w:r>
        <w:rPr>
          <w:rFonts w:ascii="宋体" w:hAnsi="宋体" w:cs="仿宋"/>
          <w:sz w:val="28"/>
          <w:highlight w:val="none"/>
        </w:rPr>
        <w:t>招标编号：</w:t>
      </w:r>
    </w:p>
    <w:p>
      <w:pPr>
        <w:pStyle w:val="700"/>
        <w:widowControl/>
        <w:spacing w:line="360" w:lineRule="auto"/>
        <w:ind w:firstLine="1243" w:firstLineChars="444"/>
        <w:rPr>
          <w:rFonts w:hint="eastAsia" w:ascii="宋体" w:hAnsi="宋体" w:eastAsia="宋体" w:cs="仿宋"/>
          <w:sz w:val="28"/>
          <w:highlight w:val="none"/>
          <w:lang w:val="en-US" w:eastAsia="zh-CN"/>
        </w:rPr>
      </w:pPr>
      <w:r>
        <w:rPr>
          <w:rFonts w:hint="eastAsia" w:ascii="宋体" w:hAnsi="宋体" w:cs="仿宋"/>
          <w:sz w:val="28"/>
          <w:highlight w:val="none"/>
          <w:lang w:val="en-US" w:eastAsia="zh-CN"/>
        </w:rPr>
        <w:t>标    项：</w:t>
      </w:r>
    </w:p>
    <w:p>
      <w:pPr>
        <w:pStyle w:val="700"/>
        <w:widowControl/>
        <w:spacing w:line="360" w:lineRule="auto"/>
        <w:ind w:firstLine="1243" w:firstLineChars="444"/>
        <w:rPr>
          <w:rFonts w:hint="default" w:ascii="宋体" w:hAnsi="宋体" w:eastAsia="宋体" w:cs="仿宋"/>
          <w:sz w:val="28"/>
          <w:highlight w:val="none"/>
          <w:lang w:val="en-US" w:eastAsia="zh-CN"/>
        </w:rPr>
      </w:pPr>
      <w:r>
        <w:rPr>
          <w:rFonts w:ascii="宋体" w:hAnsi="宋体" w:cs="仿宋"/>
          <w:sz w:val="28"/>
          <w:highlight w:val="none"/>
        </w:rPr>
        <w:t>投标文件名称：</w:t>
      </w:r>
      <w:r>
        <w:rPr>
          <w:rFonts w:hint="eastAsia" w:ascii="宋体" w:hAnsi="宋体" w:cs="仿宋"/>
          <w:sz w:val="28"/>
          <w:highlight w:val="none"/>
          <w:lang w:val="en-US" w:eastAsia="zh-CN"/>
        </w:rPr>
        <w:t>资格文件/商务技术文件/报价文件</w:t>
      </w:r>
    </w:p>
    <w:p>
      <w:pPr>
        <w:pStyle w:val="700"/>
        <w:widowControl/>
        <w:spacing w:line="360" w:lineRule="auto"/>
        <w:ind w:firstLine="1243" w:firstLineChars="444"/>
        <w:rPr>
          <w:rFonts w:ascii="宋体" w:hAnsi="宋体" w:cs="仿宋"/>
          <w:sz w:val="28"/>
          <w:highlight w:val="none"/>
        </w:rPr>
      </w:pPr>
      <w:r>
        <w:rPr>
          <w:rFonts w:ascii="宋体" w:hAnsi="宋体" w:cs="仿宋"/>
          <w:sz w:val="28"/>
          <w:highlight w:val="none"/>
        </w:rPr>
        <w:t>投标人名称：</w:t>
      </w:r>
    </w:p>
    <w:p>
      <w:pPr>
        <w:pStyle w:val="700"/>
        <w:widowControl/>
        <w:spacing w:line="360" w:lineRule="auto"/>
        <w:ind w:firstLine="1243" w:firstLineChars="444"/>
        <w:rPr>
          <w:rFonts w:ascii="宋体" w:hAnsi="宋体" w:cs="仿宋"/>
          <w:sz w:val="28"/>
          <w:highlight w:val="none"/>
        </w:rPr>
      </w:pPr>
      <w:r>
        <w:rPr>
          <w:rFonts w:ascii="宋体" w:hAnsi="宋体" w:cs="仿宋"/>
          <w:sz w:val="28"/>
          <w:highlight w:val="none"/>
        </w:rPr>
        <w:t>投标人地址：</w:t>
      </w:r>
    </w:p>
    <w:p>
      <w:pPr>
        <w:pStyle w:val="700"/>
        <w:widowControl/>
        <w:spacing w:line="360" w:lineRule="auto"/>
        <w:ind w:firstLine="1243" w:firstLineChars="444"/>
        <w:rPr>
          <w:rFonts w:ascii="宋体" w:hAnsi="宋体" w:cs="仿宋"/>
          <w:sz w:val="28"/>
          <w:highlight w:val="none"/>
        </w:rPr>
      </w:pPr>
      <w:r>
        <w:rPr>
          <w:rFonts w:ascii="宋体" w:hAnsi="宋体" w:cs="仿宋"/>
          <w:sz w:val="28"/>
          <w:highlight w:val="none"/>
        </w:rPr>
        <w:t xml:space="preserve">    </w:t>
      </w:r>
    </w:p>
    <w:p>
      <w:pPr>
        <w:pStyle w:val="700"/>
        <w:widowControl/>
        <w:spacing w:line="360" w:lineRule="auto"/>
        <w:ind w:firstLine="1243" w:firstLineChars="444"/>
        <w:rPr>
          <w:rFonts w:ascii="宋体" w:hAnsi="宋体" w:cs="仿宋"/>
          <w:sz w:val="28"/>
          <w:highlight w:val="none"/>
        </w:rPr>
      </w:pPr>
    </w:p>
    <w:p>
      <w:pPr>
        <w:pStyle w:val="700"/>
        <w:widowControl/>
        <w:spacing w:line="360" w:lineRule="auto"/>
        <w:rPr>
          <w:rFonts w:ascii="宋体" w:hAnsi="宋体" w:cs="仿宋"/>
          <w:sz w:val="28"/>
          <w:highlight w:val="none"/>
        </w:rPr>
      </w:pPr>
      <w:r>
        <w:rPr>
          <w:rFonts w:ascii="宋体" w:hAnsi="宋体" w:cs="仿宋"/>
          <w:sz w:val="28"/>
          <w:highlight w:val="none"/>
        </w:rPr>
        <w:t xml:space="preserve"> 投标人名称（盖章）：</w:t>
      </w:r>
    </w:p>
    <w:p>
      <w:pPr>
        <w:pStyle w:val="700"/>
        <w:widowControl/>
        <w:spacing w:line="360" w:lineRule="auto"/>
        <w:ind w:left="0" w:leftChars="0" w:firstLine="1120" w:firstLineChars="400"/>
        <w:rPr>
          <w:rFonts w:ascii="宋体" w:hAnsi="宋体" w:cs="仿宋"/>
          <w:sz w:val="28"/>
          <w:highlight w:val="none"/>
        </w:rPr>
      </w:pPr>
      <w:r>
        <w:rPr>
          <w:rFonts w:ascii="宋体" w:hAnsi="宋体" w:cs="仿宋"/>
          <w:sz w:val="28"/>
          <w:highlight w:val="none"/>
        </w:rPr>
        <w:t>法定代表人（或被授权代表）盖章（或签字）：</w:t>
      </w:r>
    </w:p>
    <w:p>
      <w:pPr>
        <w:pStyle w:val="700"/>
        <w:widowControl/>
        <w:spacing w:line="360" w:lineRule="auto"/>
        <w:ind w:left="0" w:leftChars="0" w:firstLine="0" w:firstLineChars="0"/>
        <w:jc w:val="center"/>
        <w:rPr>
          <w:rFonts w:ascii="宋体" w:hAnsi="宋体" w:cs="仿宋"/>
          <w:sz w:val="28"/>
          <w:highlight w:val="none"/>
        </w:rPr>
      </w:pPr>
      <w:r>
        <w:rPr>
          <w:rFonts w:ascii="宋体" w:hAnsi="宋体" w:cs="仿宋"/>
          <w:sz w:val="28"/>
          <w:highlight w:val="none"/>
        </w:rPr>
        <w:t>年  月  日</w:t>
      </w:r>
    </w:p>
    <w:p>
      <w:pPr>
        <w:widowControl/>
        <w:numPr>
          <w:ilvl w:val="0"/>
          <w:numId w:val="0"/>
        </w:numPr>
        <w:shd w:val="clear"/>
        <w:adjustRightInd/>
        <w:jc w:val="both"/>
        <w:rPr>
          <w:rFonts w:hint="default" w:ascii="宋体" w:hAnsi="宋体" w:cs="宋体"/>
          <w:b/>
          <w:color w:val="auto"/>
          <w:sz w:val="36"/>
          <w:szCs w:val="20"/>
          <w:highlight w:val="none"/>
          <w:lang w:val="en-US" w:eastAsia="zh-CN"/>
        </w:rPr>
      </w:pPr>
    </w:p>
    <w:p>
      <w:pPr>
        <w:shd w:val="clear"/>
        <w:spacing w:line="360" w:lineRule="auto"/>
        <w:jc w:val="center"/>
        <w:outlineLvl w:val="0"/>
        <w:rPr>
          <w:rFonts w:hint="eastAsia" w:ascii="宋体" w:hAnsi="宋体" w:eastAsia="宋体" w:cs="宋体"/>
          <w:b/>
          <w:color w:val="auto"/>
          <w:kern w:val="0"/>
          <w:sz w:val="36"/>
          <w:szCs w:val="36"/>
          <w:highlight w:val="none"/>
        </w:rPr>
        <w:sectPr>
          <w:pgSz w:w="11906" w:h="16838"/>
          <w:pgMar w:top="1276" w:right="1418" w:bottom="1247" w:left="1418" w:header="851" w:footer="992" w:gutter="0"/>
          <w:pgNumType w:fmt="decimal"/>
          <w:cols w:space="720" w:num="1"/>
          <w:titlePg/>
          <w:docGrid w:linePitch="312" w:charSpace="0"/>
        </w:sectPr>
      </w:pPr>
    </w:p>
    <w:p>
      <w:pPr>
        <w:shd w:val="clear"/>
        <w:spacing w:line="360" w:lineRule="auto"/>
        <w:jc w:val="center"/>
        <w:outlineLvl w:val="0"/>
        <w:rPr>
          <w:rFonts w:hint="eastAsia" w:ascii="宋体" w:hAnsi="宋体" w:eastAsia="宋体" w:cs="宋体"/>
          <w:b/>
          <w:color w:val="auto"/>
          <w:kern w:val="0"/>
          <w:sz w:val="36"/>
          <w:szCs w:val="36"/>
          <w:highlight w:val="none"/>
          <w:lang w:eastAsia="zh-CN"/>
        </w:rPr>
      </w:pPr>
      <w:r>
        <w:rPr>
          <w:rFonts w:hint="eastAsia" w:ascii="宋体" w:hAnsi="宋体" w:eastAsia="宋体" w:cs="宋体"/>
          <w:b/>
          <w:color w:val="auto"/>
          <w:kern w:val="0"/>
          <w:sz w:val="36"/>
          <w:szCs w:val="36"/>
          <w:highlight w:val="none"/>
        </w:rPr>
        <w:t>资格文件部分</w:t>
      </w:r>
    </w:p>
    <w:p>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w:t>
      </w:r>
      <w:r>
        <w:rPr>
          <w:rFonts w:hint="eastAsia" w:ascii="宋体" w:hAnsi="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录</w:t>
      </w:r>
    </w:p>
    <w:p>
      <w:pPr>
        <w:shd w:val="clear"/>
        <w:spacing w:line="360" w:lineRule="auto"/>
        <w:jc w:val="center"/>
        <w:outlineLvl w:val="0"/>
        <w:rPr>
          <w:rFonts w:hint="eastAsia" w:ascii="宋体" w:hAnsi="宋体" w:eastAsia="宋体" w:cs="宋体"/>
          <w:b/>
          <w:color w:val="auto"/>
          <w:kern w:val="0"/>
          <w:sz w:val="36"/>
          <w:szCs w:val="36"/>
          <w:highlight w:val="none"/>
        </w:rPr>
      </w:pPr>
    </w:p>
    <w:p>
      <w:pPr>
        <w:pStyle w:val="2"/>
        <w:rPr>
          <w:rFonts w:hint="eastAsia" w:ascii="宋体" w:hAnsi="宋体" w:cs="宋体"/>
          <w:color w:val="auto"/>
          <w:sz w:val="24"/>
          <w:highlight w:val="none"/>
          <w:lang w:eastAsia="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1</w:t>
      </w:r>
      <w:r>
        <w:rPr>
          <w:rFonts w:hint="eastAsia" w:hAnsi="宋体" w:cs="宋体"/>
          <w:color w:val="auto"/>
          <w:sz w:val="24"/>
          <w:highlight w:val="none"/>
          <w:lang w:eastAsia="zh-CN"/>
        </w:rPr>
        <w:t>）</w:t>
      </w:r>
      <w:r>
        <w:rPr>
          <w:rFonts w:hint="eastAsia" w:ascii="宋体" w:hAnsi="宋体" w:cs="宋体"/>
          <w:color w:val="auto"/>
          <w:sz w:val="24"/>
          <w:highlight w:val="none"/>
          <w:lang w:eastAsia="zh-CN"/>
        </w:rPr>
        <w:t>封面</w:t>
      </w:r>
    </w:p>
    <w:p>
      <w:pPr>
        <w:pStyle w:val="2"/>
        <w:rPr>
          <w:rFonts w:hint="eastAsia" w:ascii="宋体" w:hAnsi="宋体" w:cs="宋体"/>
          <w:color w:val="auto"/>
          <w:sz w:val="24"/>
          <w:highlight w:val="none"/>
          <w:lang w:eastAsia="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2</w:t>
      </w:r>
      <w:r>
        <w:rPr>
          <w:rFonts w:hint="eastAsia" w:hAnsi="宋体" w:cs="宋体"/>
          <w:color w:val="auto"/>
          <w:sz w:val="24"/>
          <w:highlight w:val="none"/>
          <w:lang w:eastAsia="zh-CN"/>
        </w:rPr>
        <w:t>）</w:t>
      </w:r>
      <w:r>
        <w:rPr>
          <w:rFonts w:hint="eastAsia" w:ascii="宋体" w:hAnsi="宋体" w:cs="宋体"/>
          <w:color w:val="auto"/>
          <w:sz w:val="24"/>
          <w:highlight w:val="none"/>
          <w:lang w:eastAsia="zh-CN"/>
        </w:rPr>
        <w:t>有效的企业法人营业执照（或事业法人登记证）、其他组织（个体工商户）的营业执照或者民办非企业单位登记证书；如果有名称变更的，应提供由行政主管部门出具的变更证明文件。</w:t>
      </w:r>
    </w:p>
    <w:p>
      <w:pPr>
        <w:pStyle w:val="2"/>
        <w:rPr>
          <w:rFonts w:hint="eastAsia" w:ascii="宋体" w:hAnsi="宋体" w:cs="宋体"/>
          <w:color w:val="auto"/>
          <w:sz w:val="24"/>
          <w:highlight w:val="none"/>
          <w:lang w:eastAsia="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3</w:t>
      </w:r>
      <w:r>
        <w:rPr>
          <w:rFonts w:hint="eastAsia" w:hAnsi="宋体" w:cs="宋体"/>
          <w:color w:val="auto"/>
          <w:sz w:val="24"/>
          <w:highlight w:val="none"/>
          <w:lang w:eastAsia="zh-CN"/>
        </w:rPr>
        <w:t>）</w:t>
      </w:r>
      <w:r>
        <w:rPr>
          <w:rFonts w:hint="eastAsia" w:ascii="宋体" w:hAnsi="宋体" w:cs="宋体"/>
          <w:color w:val="auto"/>
          <w:sz w:val="24"/>
          <w:highlight w:val="none"/>
          <w:lang w:eastAsia="zh-CN"/>
        </w:rPr>
        <w:t>符合参加政府采购活动应当具备的一般条件的承诺函；</w:t>
      </w:r>
    </w:p>
    <w:p>
      <w:pPr>
        <w:pStyle w:val="2"/>
        <w:rPr>
          <w:rFonts w:hint="eastAsia" w:ascii="宋体" w:hAnsi="宋体" w:cs="宋体"/>
          <w:color w:val="auto"/>
          <w:sz w:val="24"/>
          <w:highlight w:val="none"/>
          <w:lang w:eastAsia="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4</w:t>
      </w:r>
      <w:r>
        <w:rPr>
          <w:rFonts w:hint="eastAsia" w:hAnsi="宋体" w:cs="宋体"/>
          <w:color w:val="auto"/>
          <w:sz w:val="24"/>
          <w:highlight w:val="none"/>
          <w:lang w:eastAsia="zh-CN"/>
        </w:rPr>
        <w:t>）</w:t>
      </w:r>
      <w:r>
        <w:rPr>
          <w:rFonts w:hint="eastAsia" w:ascii="宋体" w:hAnsi="宋体" w:cs="宋体"/>
          <w:color w:val="auto"/>
          <w:sz w:val="24"/>
          <w:highlight w:val="none"/>
          <w:lang w:eastAsia="zh-CN"/>
        </w:rPr>
        <w:t>联合体协议书（如果有)；</w:t>
      </w:r>
    </w:p>
    <w:p>
      <w:pPr>
        <w:pStyle w:val="2"/>
        <w:rPr>
          <w:rFonts w:hint="eastAsia" w:ascii="宋体" w:hAnsi="宋体" w:cs="宋体"/>
          <w:color w:val="auto"/>
          <w:sz w:val="24"/>
          <w:highlight w:val="none"/>
          <w:lang w:eastAsia="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5</w:t>
      </w:r>
      <w:r>
        <w:rPr>
          <w:rFonts w:hint="eastAsia" w:hAnsi="宋体" w:cs="宋体"/>
          <w:color w:val="auto"/>
          <w:sz w:val="24"/>
          <w:highlight w:val="none"/>
          <w:lang w:eastAsia="zh-CN"/>
        </w:rPr>
        <w:t>）</w:t>
      </w:r>
      <w:r>
        <w:rPr>
          <w:rFonts w:hint="eastAsia" w:ascii="宋体" w:hAnsi="宋体" w:cs="宋体"/>
          <w:color w:val="auto"/>
          <w:sz w:val="24"/>
          <w:highlight w:val="none"/>
          <w:lang w:eastAsia="zh-CN"/>
        </w:rPr>
        <w:t>投标人自觉抵制政府采购领域商业贿赂行为承诺书；</w:t>
      </w:r>
    </w:p>
    <w:p>
      <w:pPr>
        <w:pStyle w:val="2"/>
        <w:rPr>
          <w:rFonts w:hint="eastAsia" w:ascii="宋体" w:hAnsi="宋体" w:cs="宋体"/>
          <w:color w:val="auto"/>
          <w:sz w:val="24"/>
          <w:highlight w:val="none"/>
          <w:lang w:eastAsia="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6</w:t>
      </w:r>
      <w:r>
        <w:rPr>
          <w:rFonts w:hint="eastAsia" w:hAnsi="宋体" w:cs="宋体"/>
          <w:color w:val="auto"/>
          <w:sz w:val="24"/>
          <w:highlight w:val="none"/>
          <w:lang w:eastAsia="zh-CN"/>
        </w:rPr>
        <w:t>）</w:t>
      </w:r>
      <w:r>
        <w:rPr>
          <w:rFonts w:hint="eastAsia" w:ascii="宋体" w:hAnsi="宋体" w:cs="宋体"/>
          <w:color w:val="auto"/>
          <w:sz w:val="24"/>
          <w:highlight w:val="none"/>
          <w:lang w:eastAsia="zh-CN"/>
        </w:rPr>
        <w:t>中小企业声明函或残疾人福利性单位声明函或监狱企业证明材料；</w:t>
      </w:r>
    </w:p>
    <w:p>
      <w:pPr>
        <w:pStyle w:val="2"/>
        <w:rPr>
          <w:rFonts w:hint="eastAsia"/>
          <w:highlight w:val="none"/>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7</w:t>
      </w:r>
      <w:r>
        <w:rPr>
          <w:rFonts w:hint="eastAsia" w:hAnsi="宋体" w:cs="宋体"/>
          <w:color w:val="auto"/>
          <w:sz w:val="24"/>
          <w:highlight w:val="none"/>
          <w:lang w:eastAsia="zh-CN"/>
        </w:rPr>
        <w:t>）</w:t>
      </w:r>
      <w:r>
        <w:rPr>
          <w:rFonts w:hint="eastAsia" w:ascii="宋体" w:hAnsi="宋体" w:cs="宋体"/>
          <w:color w:val="auto"/>
          <w:sz w:val="24"/>
          <w:highlight w:val="none"/>
          <w:lang w:eastAsia="zh-CN"/>
        </w:rPr>
        <w:t>投标人认为有必要提供的其他证明资料。</w:t>
      </w:r>
    </w:p>
    <w:p>
      <w:pPr>
        <w:shd w:val="clear"/>
        <w:snapToGrid w:val="0"/>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napToGrid w:val="0"/>
        <w:spacing w:line="360" w:lineRule="auto"/>
        <w:ind w:right="48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color w:val="auto"/>
          <w:kern w:val="0"/>
          <w:sz w:val="24"/>
          <w:highlight w:val="none"/>
          <w:lang w:val="en-US" w:eastAsia="zh-CN"/>
        </w:rPr>
        <w:t>一、</w:t>
      </w:r>
      <w:r>
        <w:rPr>
          <w:rFonts w:hint="eastAsia" w:ascii="宋体" w:hAnsi="宋体" w:eastAsia="宋体" w:cs="宋体"/>
          <w:b/>
          <w:color w:val="auto"/>
          <w:kern w:val="0"/>
          <w:sz w:val="24"/>
          <w:szCs w:val="24"/>
          <w:highlight w:val="none"/>
          <w:lang w:eastAsia="zh-CN"/>
        </w:rPr>
        <w:t>有效的企业法人营业执照（或事业法人登记证）、其他组织（个体工商户）的营业执照或者民办非企业单位登记证书；如果有名称变更的，应提供由行政主管部门出具的变更证明文件。</w:t>
      </w:r>
      <w:r>
        <w:rPr>
          <w:rFonts w:hint="eastAsia" w:ascii="宋体" w:hAnsi="宋体" w:eastAsia="宋体" w:cs="宋体"/>
          <w:b/>
          <w:color w:val="auto"/>
          <w:kern w:val="0"/>
          <w:sz w:val="32"/>
          <w:szCs w:val="32"/>
          <w:highlight w:val="none"/>
        </w:rPr>
        <w:t xml:space="preserve">  </w:t>
      </w:r>
    </w:p>
    <w:p>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 符合参加政府采购活动应当具备的一般条件的承诺函</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宁波市海曙区水务设施管理中心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浙江绿邦招标代理有限公司</w:t>
      </w:r>
      <w:r>
        <w:rPr>
          <w:rFonts w:hint="eastAsia" w:ascii="宋体" w:hAnsi="宋体" w:eastAsia="宋体" w:cs="宋体"/>
          <w:color w:val="auto"/>
          <w:sz w:val="24"/>
          <w:highlight w:val="none"/>
        </w:rPr>
        <w:t>：</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2024年海曙区排水管道非开挖修复项目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】政府采购活动，郑重承诺：</w:t>
      </w:r>
    </w:p>
    <w:p>
      <w:pPr>
        <w:shd w:val="clea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重大税收违法失信主体</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、政府采购严重违法失信行为记录名单。</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hd w:val="clear"/>
        <w:snapToGrid w:val="0"/>
        <w:spacing w:line="360" w:lineRule="auto"/>
        <w:ind w:firstLine="5520" w:firstLineChars="2300"/>
        <w:rPr>
          <w:rFonts w:hint="eastAsia" w:ascii="宋体" w:hAnsi="宋体" w:eastAsia="宋体" w:cs="宋体"/>
          <w:color w:val="auto"/>
          <w:kern w:val="0"/>
          <w:sz w:val="24"/>
          <w:highlight w:val="none"/>
          <w:lang w:val="zh-CN"/>
        </w:rPr>
      </w:pPr>
    </w:p>
    <w:p>
      <w:pPr>
        <w:shd w:val="clear"/>
        <w:snapToGrid w:val="0"/>
        <w:spacing w:line="360" w:lineRule="auto"/>
        <w:ind w:firstLine="5520" w:firstLineChars="2300"/>
        <w:rPr>
          <w:rFonts w:hint="eastAsia" w:ascii="宋体" w:hAnsi="宋体" w:eastAsia="宋体" w:cs="宋体"/>
          <w:color w:val="auto"/>
          <w:kern w:val="0"/>
          <w:sz w:val="24"/>
          <w:highlight w:val="none"/>
          <w:lang w:val="zh-CN"/>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投标人（加盖公章）： </w:t>
      </w:r>
    </w:p>
    <w:p>
      <w:pPr>
        <w:pStyle w:val="6"/>
        <w:spacing w:line="360" w:lineRule="auto"/>
        <w:ind w:right="-252"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法定代表人/负责人或授权委托人（签字或盖章）： </w:t>
      </w:r>
    </w:p>
    <w:p>
      <w:pPr>
        <w:shd w:val="clea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2"/>
          <w:sz w:val="24"/>
          <w:szCs w:val="24"/>
          <w:highlight w:val="none"/>
        </w:rPr>
        <w:t>日期：          年        月        日</w:t>
      </w: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widowControl/>
        <w:shd w:val="clear"/>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hd w:val="clear"/>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、联合</w:t>
      </w:r>
      <w:r>
        <w:rPr>
          <w:rFonts w:hint="eastAsia" w:ascii="宋体" w:hAnsi="宋体" w:cs="宋体"/>
          <w:b/>
          <w:color w:val="auto"/>
          <w:kern w:val="0"/>
          <w:sz w:val="32"/>
          <w:szCs w:val="32"/>
          <w:highlight w:val="none"/>
          <w:lang w:val="en-US" w:eastAsia="zh-CN"/>
        </w:rPr>
        <w:t>体</w:t>
      </w:r>
      <w:r>
        <w:rPr>
          <w:rFonts w:hint="eastAsia" w:ascii="宋体" w:hAnsi="宋体" w:eastAsia="宋体" w:cs="宋体"/>
          <w:b/>
          <w:color w:val="auto"/>
          <w:kern w:val="0"/>
          <w:sz w:val="32"/>
          <w:szCs w:val="32"/>
          <w:highlight w:val="none"/>
        </w:rPr>
        <w:t>协议</w:t>
      </w:r>
      <w:r>
        <w:rPr>
          <w:rFonts w:hint="eastAsia" w:ascii="宋体" w:hAnsi="宋体" w:cs="宋体"/>
          <w:b/>
          <w:color w:val="auto"/>
          <w:kern w:val="0"/>
          <w:sz w:val="32"/>
          <w:szCs w:val="32"/>
          <w:highlight w:val="none"/>
          <w:lang w:val="en-US" w:eastAsia="zh-CN"/>
        </w:rPr>
        <w:t>书</w:t>
      </w:r>
      <w:r>
        <w:rPr>
          <w:rFonts w:hint="eastAsia" w:ascii="宋体" w:hAnsi="宋体" w:eastAsia="宋体" w:cs="宋体"/>
          <w:b/>
          <w:color w:val="auto"/>
          <w:kern w:val="0"/>
          <w:sz w:val="32"/>
          <w:szCs w:val="32"/>
          <w:highlight w:val="none"/>
        </w:rPr>
        <w:t>（如果有）</w:t>
      </w:r>
    </w:p>
    <w:p>
      <w:pPr>
        <w:keepNext w:val="0"/>
        <w:keepLines w:val="0"/>
        <w:pageBreakBefore w:val="0"/>
        <w:widowControl/>
        <w:shd w:val="clear"/>
        <w:kinsoku/>
        <w:wordWrap/>
        <w:overflowPunct/>
        <w:topLinePunct w:val="0"/>
        <w:bidi w:val="0"/>
        <w:adjustRightInd w:val="0"/>
        <w:snapToGrid/>
        <w:spacing w:line="360"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（以联合体形式投标的，提供联合体协议书；本项目不接受联合体投标或者投标人不以联合体形式投标的，则不需要提供）</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2024年海曙区排水管道非开挖修复项目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26" w:name="_Hlk101131882"/>
      <w:r>
        <w:rPr>
          <w:rFonts w:hint="eastAsia" w:ascii="宋体" w:hAnsi="宋体" w:eastAsia="宋体" w:cs="宋体"/>
          <w:color w:val="auto"/>
          <w:kern w:val="0"/>
          <w:sz w:val="24"/>
          <w:highlight w:val="none"/>
          <w:u w:val="single"/>
        </w:rPr>
        <w:t>联合体成员X,……</w:t>
      </w:r>
      <w:bookmarkEnd w:id="526"/>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27"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体协议书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27"/>
      <w:r>
        <w:rPr>
          <w:rFonts w:hint="eastAsia" w:ascii="宋体" w:hAnsi="宋体" w:eastAsia="宋体" w:cs="宋体"/>
          <w:b/>
          <w:color w:val="auto"/>
          <w:kern w:val="0"/>
          <w:sz w:val="24"/>
          <w:highlight w:val="none"/>
          <w:lang w:val="zh-CN"/>
        </w:rPr>
        <w:t>）</w:t>
      </w:r>
    </w:p>
    <w:p>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28"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要求以联合体形式参加的项目或采购包，供应商按招标文件第一部分招标公告申请人的资格要求中规定的联合体协议书中中小企业、小微企业合同金额应当达到的比例要求填写。</w:t>
      </w:r>
      <w:r>
        <w:rPr>
          <w:rFonts w:hint="eastAsia" w:ascii="宋体" w:hAnsi="宋体" w:eastAsia="宋体" w:cs="宋体"/>
          <w:b/>
          <w:bCs/>
          <w:color w:val="auto"/>
          <w:kern w:val="0"/>
          <w:sz w:val="24"/>
          <w:highlight w:val="none"/>
          <w:lang w:val="zh-CN"/>
        </w:rPr>
        <w:t>）</w:t>
      </w:r>
      <w:bookmarkEnd w:id="528"/>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联合体成员名称(公章)：</w:t>
      </w:r>
    </w:p>
    <w:p>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联合体成员名称(公章)：</w:t>
      </w:r>
    </w:p>
    <w:p>
      <w:pPr>
        <w:shd w:val="clea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widowControl/>
        <w:shd w:val="clear"/>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注：按本格式和要求提供。</w:t>
      </w:r>
    </w:p>
    <w:p>
      <w:pPr>
        <w:shd w:val="clea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pPr>
        <w:widowControl/>
        <w:shd w:val="clear"/>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lang w:val="en-US" w:eastAsia="zh-CN"/>
        </w:rPr>
        <w:t>、投标人</w:t>
      </w:r>
      <w:r>
        <w:rPr>
          <w:rFonts w:hint="eastAsia" w:ascii="宋体" w:hAnsi="宋体" w:eastAsia="宋体" w:cs="宋体"/>
          <w:b/>
          <w:color w:val="auto"/>
          <w:kern w:val="0"/>
          <w:sz w:val="32"/>
          <w:szCs w:val="32"/>
          <w:highlight w:val="none"/>
        </w:rPr>
        <w:t>自觉抵制政府采购领域</w:t>
      </w:r>
    </w:p>
    <w:p>
      <w:pPr>
        <w:widowControl/>
        <w:shd w:val="clear"/>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商业贿赂行为承诺书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宁波市海曙区水务设施管理中心、浙江绿邦招标代理有限公司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一、依法参与政府采购活动，遵纪守法，诚信经营，公平竞争。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二、不向采购单位、采购代理机构和政府采购评审专家提供任何形式的商业贿赂；对索取或接受商业贿赂的单位和个人，及时向财政部门和纪检监察机关举报。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三、不以提供虚假资质文件等形式参与政府采购活动，不以虚假材料谋取中标。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四、不采取不正当手段诋毁、排挤其他供应商，与其他参与政府采购活动供应商保持良性的竞争关系。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五、不与采购单位、采购代理机构和政府采购评审专家恶意串通，自觉维护政府采购公平竞争的市场秩序。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六、不与其他供应商串通采取围标、陪标等商业欺诈手段谋取中标，积极维护国家利益、社会公共利益和采购单位的合法权益。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七、严格履行政府采购合同约定义务，不在政府采购合同执行过程中采取降低质量或标准、减少数量、拖延交付时间等方式损害采购单位的利益，并自觉承担违约责任。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八、自觉接受并积极配合财政部门和纪检监察机关依法实施的监督检查，如实反映情况，及时提供有关证明材料。</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投标人（加盖公章）： </w:t>
      </w:r>
    </w:p>
    <w:p>
      <w:pPr>
        <w:pStyle w:val="6"/>
        <w:spacing w:line="360" w:lineRule="auto"/>
        <w:ind w:right="-252"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法定代表人/负责人或授权委托人（签字或盖章）： </w:t>
      </w:r>
    </w:p>
    <w:p>
      <w:pPr>
        <w:shd w:val="clear"/>
        <w:snapToGrid w:val="0"/>
        <w:spacing w:line="360" w:lineRule="auto"/>
        <w:ind w:right="480"/>
        <w:jc w:val="both"/>
        <w:rPr>
          <w:rFonts w:hint="eastAsia" w:ascii="宋体" w:hAnsi="宋体" w:eastAsia="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kern w:val="2"/>
          <w:sz w:val="24"/>
          <w:szCs w:val="24"/>
          <w:highlight w:val="none"/>
        </w:rPr>
        <w:t>日期：          年        月        日</w:t>
      </w:r>
    </w:p>
    <w:p>
      <w:pPr>
        <w:shd w:val="clear"/>
        <w:snapToGrid w:val="0"/>
        <w:spacing w:line="360" w:lineRule="auto"/>
        <w:ind w:right="480"/>
        <w:jc w:val="center"/>
        <w:rPr>
          <w:rFonts w:hint="eastAsia" w:ascii="宋体" w:hAnsi="宋体" w:eastAsia="宋体" w:cs="宋体"/>
          <w:b/>
          <w:color w:val="auto"/>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32"/>
          <w:szCs w:val="32"/>
          <w:highlight w:val="none"/>
        </w:rPr>
        <w:t>中小企业声明函</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宁波市海曙区水务设施管理中心</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eastAsia="zh-CN"/>
        </w:rPr>
        <w:t>2024年海曙区排水管道非开挖修复项目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hd w:val="clear"/>
        <w:spacing w:line="360" w:lineRule="auto"/>
        <w:ind w:right="1760"/>
        <w:jc w:val="right"/>
        <w:rPr>
          <w:rFonts w:hint="eastAsia" w:ascii="宋体" w:hAnsi="宋体" w:eastAsia="宋体" w:cs="宋体"/>
          <w:color w:val="auto"/>
          <w:sz w:val="24"/>
          <w:highlight w:val="none"/>
        </w:rPr>
      </w:pPr>
    </w:p>
    <w:p>
      <w:pPr>
        <w:shd w:val="clear"/>
        <w:spacing w:line="360" w:lineRule="auto"/>
        <w:ind w:right="1760"/>
        <w:jc w:val="right"/>
        <w:rPr>
          <w:rFonts w:hint="eastAsia" w:ascii="宋体" w:hAnsi="宋体" w:eastAsia="宋体" w:cs="宋体"/>
          <w:color w:val="auto"/>
          <w:sz w:val="24"/>
          <w:highlight w:val="none"/>
        </w:rPr>
      </w:pPr>
    </w:p>
    <w:p>
      <w:pPr>
        <w:shd w:val="clea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cs="宋体"/>
          <w:color w:val="auto"/>
          <w:sz w:val="24"/>
          <w:highlight w:val="none"/>
          <w:lang w:val="en-US" w:eastAsia="zh-CN"/>
        </w:rPr>
        <w:t>盖章</w:t>
      </w:r>
      <w:r>
        <w:rPr>
          <w:rFonts w:hint="eastAsia" w:ascii="宋体" w:hAnsi="宋体" w:eastAsia="宋体" w:cs="宋体"/>
          <w:color w:val="auto"/>
          <w:sz w:val="24"/>
          <w:highlight w:val="none"/>
        </w:rPr>
        <w:t>）：</w:t>
      </w:r>
    </w:p>
    <w:p>
      <w:pPr>
        <w:shd w:val="clear"/>
        <w:spacing w:line="360" w:lineRule="auto"/>
        <w:ind w:right="1120" w:firstLine="4920" w:firstLineChars="20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hd w:val="clear"/>
        <w:spacing w:line="360" w:lineRule="auto"/>
        <w:ind w:right="1120" w:firstLine="4920" w:firstLineChars="2050"/>
        <w:rPr>
          <w:rFonts w:hint="eastAsia" w:ascii="宋体" w:hAnsi="宋体" w:eastAsia="宋体" w:cs="宋体"/>
          <w:color w:val="auto"/>
          <w:sz w:val="24"/>
          <w:highlight w:val="none"/>
        </w:rPr>
      </w:pPr>
    </w:p>
    <w:p>
      <w:pPr>
        <w:shd w:val="clear"/>
        <w:spacing w:line="360" w:lineRule="auto"/>
        <w:ind w:right="1120" w:firstLine="4920" w:firstLineChars="2050"/>
        <w:rPr>
          <w:rFonts w:hint="eastAsia" w:ascii="宋体" w:hAnsi="宋体" w:eastAsia="宋体" w:cs="宋体"/>
          <w:color w:val="auto"/>
          <w:sz w:val="24"/>
          <w:highlight w:val="none"/>
        </w:rPr>
      </w:pPr>
    </w:p>
    <w:p>
      <w:pPr>
        <w:shd w:val="clear"/>
        <w:spacing w:line="360" w:lineRule="auto"/>
        <w:ind w:right="1120" w:firstLine="4920" w:firstLineChars="2050"/>
        <w:rPr>
          <w:rFonts w:hint="eastAsia" w:ascii="宋体" w:hAnsi="宋体" w:eastAsia="宋体" w:cs="宋体"/>
          <w:color w:val="auto"/>
          <w:sz w:val="24"/>
          <w:highlight w:val="none"/>
        </w:rPr>
      </w:pPr>
    </w:p>
    <w:p>
      <w:pPr>
        <w:shd w:val="clea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hd w:val="clear"/>
        <w:spacing w:line="360" w:lineRule="auto"/>
        <w:ind w:right="420"/>
        <w:rPr>
          <w:rFonts w:hint="eastAsia" w:ascii="宋体" w:hAnsi="宋体" w:eastAsia="宋体" w:cs="宋体"/>
          <w:color w:val="auto"/>
          <w:sz w:val="24"/>
          <w:highlight w:val="none"/>
        </w:rPr>
      </w:pPr>
    </w:p>
    <w:p>
      <w:pPr>
        <w:shd w:val="clear"/>
        <w:spacing w:line="360" w:lineRule="auto"/>
        <w:ind w:right="42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p>
    <w:p>
      <w:pPr>
        <w:shd w:val="clear"/>
        <w:spacing w:line="360" w:lineRule="auto"/>
        <w:ind w:right="420" w:firstLine="480" w:firstLineChars="200"/>
        <w:rPr>
          <w:rFonts w:hint="eastAsia" w:ascii="宋体" w:hAnsi="宋体" w:eastAsia="宋体" w:cs="宋体"/>
          <w:color w:val="auto"/>
          <w:sz w:val="24"/>
          <w:highlight w:val="none"/>
          <w:lang w:val="en-US" w:eastAsia="zh-CN"/>
        </w:rPr>
      </w:pPr>
    </w:p>
    <w:p>
      <w:pPr>
        <w:shd w:val="clear"/>
        <w:spacing w:line="360" w:lineRule="auto"/>
        <w:ind w:right="420" w:firstLine="480" w:firstLineChars="200"/>
        <w:rPr>
          <w:rFonts w:hint="eastAsia" w:ascii="宋体" w:hAnsi="宋体" w:eastAsia="宋体" w:cs="宋体"/>
          <w:color w:val="auto"/>
          <w:sz w:val="24"/>
          <w:highlight w:val="none"/>
          <w:lang w:val="en-US" w:eastAsia="zh-CN"/>
        </w:rPr>
      </w:pPr>
    </w:p>
    <w:p>
      <w:pPr>
        <w:shd w:val="clear"/>
        <w:spacing w:line="360" w:lineRule="auto"/>
        <w:ind w:right="420" w:firstLine="480" w:firstLineChars="200"/>
        <w:rPr>
          <w:rFonts w:hint="eastAsia" w:ascii="宋体" w:hAnsi="宋体" w:eastAsia="宋体" w:cs="宋体"/>
          <w:color w:val="auto"/>
          <w:sz w:val="24"/>
          <w:highlight w:val="none"/>
          <w:lang w:val="en-US" w:eastAsia="zh-CN"/>
        </w:rPr>
      </w:pPr>
    </w:p>
    <w:p>
      <w:pPr>
        <w:shd w:val="clear"/>
        <w:spacing w:line="360" w:lineRule="auto"/>
        <w:ind w:right="420"/>
        <w:rPr>
          <w:rFonts w:hint="eastAsia" w:ascii="宋体" w:hAnsi="宋体" w:eastAsia="宋体" w:cs="宋体"/>
          <w:color w:val="auto"/>
          <w:sz w:val="24"/>
          <w:highlight w:val="none"/>
          <w:lang w:val="en-US" w:eastAsia="zh-CN"/>
        </w:rPr>
      </w:pPr>
    </w:p>
    <w:p>
      <w:pPr>
        <w:shd w:val="clear"/>
        <w:spacing w:line="360" w:lineRule="auto"/>
        <w:ind w:right="420" w:firstLine="3614" w:firstLineChars="1000"/>
        <w:rPr>
          <w:rFonts w:hint="eastAsia" w:ascii="宋体" w:hAnsi="宋体" w:eastAsia="宋体" w:cs="宋体"/>
          <w:b/>
          <w:color w:val="auto"/>
          <w:kern w:val="0"/>
          <w:sz w:val="36"/>
          <w:szCs w:val="36"/>
          <w:highlight w:val="none"/>
        </w:rPr>
        <w:sectPr>
          <w:pgSz w:w="11906" w:h="16838"/>
          <w:pgMar w:top="1276" w:right="1418" w:bottom="1247" w:left="1418" w:header="851" w:footer="992" w:gutter="0"/>
          <w:pgNumType w:fmt="decimal"/>
          <w:cols w:space="720" w:num="1"/>
          <w:titlePg/>
          <w:docGrid w:linePitch="312" w:charSpace="0"/>
        </w:sectPr>
      </w:pPr>
    </w:p>
    <w:p>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lang w:eastAsia="zh-CN"/>
        </w:rPr>
        <w:t>、</w:t>
      </w:r>
      <w:r>
        <w:rPr>
          <w:rFonts w:hint="eastAsia" w:ascii="宋体" w:hAnsi="宋体" w:eastAsia="宋体" w:cs="宋体"/>
          <w:b/>
          <w:color w:val="auto"/>
          <w:spacing w:val="6"/>
          <w:sz w:val="32"/>
          <w:szCs w:val="32"/>
          <w:highlight w:val="none"/>
        </w:rPr>
        <w:t>残疾人福利性单位声明函</w:t>
      </w:r>
    </w:p>
    <w:p>
      <w:pPr>
        <w:shd w:val="clear"/>
        <w:spacing w:line="360" w:lineRule="auto"/>
        <w:rPr>
          <w:rFonts w:hint="eastAsia" w:ascii="宋体" w:hAnsi="宋体" w:eastAsia="宋体" w:cs="宋体"/>
          <w:b/>
          <w:color w:val="auto"/>
          <w:spacing w:val="6"/>
          <w:sz w:val="30"/>
          <w:szCs w:val="30"/>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adjustRightInd w:val="0"/>
        <w:snapToGrid w:val="0"/>
        <w:spacing w:line="360" w:lineRule="auto"/>
        <w:ind w:left="3360" w:leftChars="16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法定代表人或其授权委托人（签名或印章）：</w:t>
      </w:r>
    </w:p>
    <w:p>
      <w:pPr>
        <w:adjustRightInd w:val="0"/>
        <w:snapToGrid w:val="0"/>
        <w:spacing w:line="360" w:lineRule="auto"/>
        <w:ind w:left="3360" w:leftChars="16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投标人（盖章）：</w:t>
      </w:r>
    </w:p>
    <w:p>
      <w:pPr>
        <w:shd w:val="clear"/>
        <w:spacing w:line="360" w:lineRule="auto"/>
        <w:ind w:right="420" w:firstLine="3360" w:firstLineChars="1400"/>
        <w:rPr>
          <w:rFonts w:hint="eastAsia" w:ascii="宋体" w:hAnsi="宋体" w:eastAsia="宋体" w:cs="宋体"/>
          <w:b/>
          <w:color w:val="auto"/>
          <w:kern w:val="0"/>
          <w:sz w:val="36"/>
          <w:szCs w:val="36"/>
          <w:highlight w:val="none"/>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p>
    <w:p>
      <w:pPr>
        <w:shd w:val="clear"/>
        <w:spacing w:line="360" w:lineRule="auto"/>
        <w:ind w:right="420"/>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b/>
          <w:color w:val="auto"/>
          <w:kern w:val="0"/>
          <w:sz w:val="36"/>
          <w:szCs w:val="36"/>
          <w:highlight w:val="none"/>
        </w:rPr>
        <w:t>商务技术文件部分</w:t>
      </w:r>
    </w:p>
    <w:p>
      <w:pPr>
        <w:shd w:val="clea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hd w:val="clea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封面</w:t>
      </w:r>
    </w:p>
    <w:p>
      <w:pPr>
        <w:shd w:val="clea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（2）投标函</w:t>
      </w:r>
    </w:p>
    <w:p>
      <w:pPr>
        <w:shd w:val="clea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（3）法定代表人身份证明</w:t>
      </w:r>
    </w:p>
    <w:p>
      <w:pPr>
        <w:shd w:val="clea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（4）法定代表人授权委托书</w:t>
      </w:r>
    </w:p>
    <w:p>
      <w:pPr>
        <w:shd w:val="clea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（5）投标人基本情况表</w:t>
      </w:r>
    </w:p>
    <w:p>
      <w:pPr>
        <w:shd w:val="clea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（6）评标标准相应的商务技术资料</w:t>
      </w:r>
    </w:p>
    <w:p>
      <w:pPr>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拟派项目负责人简历表</w:t>
      </w:r>
    </w:p>
    <w:p>
      <w:pPr>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（8）拟派人员一览表</w:t>
      </w:r>
    </w:p>
    <w:p>
      <w:pPr>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（9）类似项目业绩一览表</w:t>
      </w:r>
    </w:p>
    <w:p>
      <w:pPr>
        <w:shd w:val="clea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（10）招标需求偏离表</w:t>
      </w:r>
    </w:p>
    <w:p>
      <w:pPr>
        <w:shd w:val="clea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投标人认为有必要提供的其他证明资料</w:t>
      </w: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pStyle w:val="2"/>
        <w:rPr>
          <w:rFonts w:hint="eastAsia"/>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widowControl/>
        <w:shd w:val="clear"/>
        <w:adjustRightInd/>
        <w:jc w:val="left"/>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宁波市海曙区水务设施管理中心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浙江绿邦招标代理有限公司</w:t>
      </w:r>
      <w:r>
        <w:rPr>
          <w:rFonts w:hint="eastAsia" w:ascii="宋体" w:hAnsi="宋体" w:eastAsia="宋体" w:cs="宋体"/>
          <w:color w:val="auto"/>
          <w:sz w:val="24"/>
          <w:highlight w:val="none"/>
        </w:rPr>
        <w:t>：</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2024年海曙区排水管道非开挖修复项目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】招标的有关活动，并对此项目进行投标。为此：</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12.1.1封面</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12.1.2有效的企业法人营业执照（或事业法人登记证）、其他组织（个体工商户）的营业执照或者民办非企业单位登记证书；如果有名称变更的，应提供由行政主管部门出具的变更证明文件。</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12.1.3符合参加政府采购活动应当具备的一般条件的承诺函（</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12.1.4联合体协议书（如果有)（</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12.1.5投标人自觉抵制政府采购领域商业贿赂行为承诺书（</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12.1.6中小企业声明函（</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格式）或残疾人福利性单位声明函（</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格式）或监狱企业证明材料（</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12.1.7</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认为有必要提供的其他证明资料。</w:t>
      </w:r>
    </w:p>
    <w:p>
      <w:pPr>
        <w:shd w:val="clea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sz w:val="24"/>
          <w:highlight w:val="none"/>
          <w:lang w:val="en-US" w:eastAsia="zh-CN"/>
        </w:rPr>
        <w:t>封面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2.2.2投标函（</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r>
        <w:rPr>
          <w:rFonts w:hint="eastAsia" w:ascii="宋体" w:hAnsi="宋体" w:cs="宋体"/>
          <w:color w:val="auto"/>
          <w:sz w:val="24"/>
          <w:highlight w:val="none"/>
          <w:lang w:val="en-US" w:eastAsia="zh-CN"/>
        </w:rPr>
        <w:t>法定代表人身份证明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cs="宋体"/>
          <w:color w:val="auto"/>
          <w:sz w:val="24"/>
          <w:highlight w:val="none"/>
          <w:lang w:val="en-US" w:eastAsia="zh-CN"/>
        </w:rPr>
        <w:t>法定代表人授权委托书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w:t>
      </w:r>
      <w:r>
        <w:rPr>
          <w:rFonts w:hint="eastAsia" w:ascii="宋体" w:hAnsi="宋体" w:cs="宋体"/>
          <w:color w:val="auto"/>
          <w:sz w:val="24"/>
          <w:highlight w:val="none"/>
          <w:lang w:val="en-US" w:eastAsia="zh-CN"/>
        </w:rPr>
        <w:t>投标人基本情况表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评标标准相应的商务技术资料（格式自拟）</w:t>
      </w:r>
      <w:r>
        <w:rPr>
          <w:rFonts w:hint="eastAsia" w:ascii="宋体" w:hAnsi="宋体" w:eastAsia="宋体" w:cs="宋体"/>
          <w:color w:val="auto"/>
          <w:sz w:val="24"/>
          <w:highlight w:val="none"/>
        </w:rPr>
        <w:t>；</w:t>
      </w:r>
    </w:p>
    <w:p>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7拟派项目负责人简历表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zh-CN"/>
        </w:rPr>
        <w:t>；</w:t>
      </w:r>
    </w:p>
    <w:p>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2.2.8</w:t>
      </w:r>
      <w:r>
        <w:rPr>
          <w:rFonts w:hint="eastAsia" w:ascii="宋体" w:hAnsi="宋体" w:eastAsia="宋体" w:cs="宋体"/>
          <w:color w:val="auto"/>
          <w:sz w:val="24"/>
          <w:highlight w:val="none"/>
          <w:lang w:val="en-US" w:eastAsia="zh-CN"/>
        </w:rPr>
        <w:t>拟派人员一览表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zh-CN"/>
        </w:rPr>
        <w:t>；</w:t>
      </w:r>
    </w:p>
    <w:p>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2.2.9类似项目业绩一览表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zh-CN"/>
        </w:rPr>
        <w:t>；</w:t>
      </w:r>
    </w:p>
    <w:p>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2.2.10招标需求偏离表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zh-CN"/>
        </w:rPr>
        <w:t>；</w:t>
      </w:r>
    </w:p>
    <w:p>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2.2.11</w:t>
      </w:r>
      <w:r>
        <w:rPr>
          <w:rFonts w:hint="eastAsia" w:ascii="宋体" w:hAnsi="宋体" w:cs="宋体"/>
          <w:color w:val="auto"/>
          <w:sz w:val="24"/>
          <w:highlight w:val="none"/>
          <w:lang w:val="en-US" w:eastAsia="zh-CN"/>
        </w:rPr>
        <w:t>供应商认为有必要提供的其他证明资料。</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r>
        <w:rPr>
          <w:rFonts w:hint="eastAsia" w:ascii="宋体" w:hAnsi="宋体" w:eastAsia="宋体" w:cs="宋体"/>
          <w:color w:val="auto"/>
          <w:sz w:val="24"/>
          <w:highlight w:val="none"/>
          <w:lang w:eastAsia="zh-CN"/>
        </w:rPr>
        <w:t>：</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2.3.1封面</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2.3.2投标分项报价表（</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格式）；</w:t>
      </w:r>
    </w:p>
    <w:p>
      <w:pPr>
        <w:shd w:val="clea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2.3.3供应商认为有必要提供的其他证明资料。</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hd w:val="clea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hd w:val="clea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hd w:val="clear"/>
        <w:snapToGrid w:val="0"/>
        <w:spacing w:line="360" w:lineRule="auto"/>
        <w:jc w:val="center"/>
        <w:rPr>
          <w:rFonts w:hint="eastAsia" w:ascii="宋体" w:hAnsi="宋体" w:eastAsia="宋体" w:cs="宋体"/>
          <w:b/>
          <w:color w:val="auto"/>
          <w:kern w:val="0"/>
          <w:sz w:val="32"/>
          <w:szCs w:val="32"/>
          <w:highlight w:val="none"/>
        </w:rPr>
      </w:pPr>
    </w:p>
    <w:p>
      <w:pPr>
        <w:shd w:val="clear"/>
        <w:snapToGrid w:val="0"/>
        <w:spacing w:line="360" w:lineRule="auto"/>
        <w:rPr>
          <w:rFonts w:hint="eastAsia" w:ascii="宋体" w:hAnsi="宋体" w:eastAsia="宋体" w:cs="宋体"/>
          <w:color w:val="auto"/>
          <w:sz w:val="24"/>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pStyle w:val="2"/>
        <w:rPr>
          <w:rFonts w:hint="eastAsia"/>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法定代表人身份证明</w:t>
      </w:r>
    </w:p>
    <w:p>
      <w:pPr>
        <w:snapToGrid w:val="0"/>
        <w:spacing w:line="440" w:lineRule="exact"/>
        <w:jc w:val="center"/>
        <w:outlineLvl w:val="9"/>
        <w:rPr>
          <w:rFonts w:hint="eastAsia" w:ascii="宋体" w:hAnsi="宋体" w:eastAsia="宋体" w:cs="宋体"/>
          <w:b/>
          <w:color w:val="auto"/>
          <w:sz w:val="24"/>
          <w:szCs w:val="24"/>
          <w:highlight w:val="none"/>
        </w:rPr>
      </w:pPr>
    </w:p>
    <w:p>
      <w:pPr>
        <w:wordWrap w:val="0"/>
        <w:topLinePunct/>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p>
      <w:pPr>
        <w:wordWrap w:val="0"/>
        <w:topLinePunct/>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wordWrap w:val="0"/>
        <w:topLinePunct/>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wordWrap w:val="0"/>
        <w:topLinePunct/>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wordWrap w:val="0"/>
        <w:topLinePunct/>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wordWrap w:val="0"/>
        <w:topLinePunct/>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周岁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pPr>
        <w:wordWrap w:val="0"/>
        <w:topLinePunct/>
        <w:snapToGrid w:val="0"/>
        <w:spacing w:line="440" w:lineRule="exact"/>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wordWrap w:val="0"/>
        <w:topLinePunct/>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w:t>
      </w:r>
    </w:p>
    <w:p>
      <w:pPr>
        <w:wordWrap w:val="0"/>
        <w:topLinePunct/>
        <w:snapToGrid w:val="0"/>
        <w:spacing w:line="440" w:lineRule="exact"/>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wordWrap w:val="0"/>
        <w:topLinePunct/>
        <w:snapToGrid w:val="0"/>
        <w:spacing w:line="440" w:lineRule="exact"/>
        <w:ind w:firstLine="480" w:firstLineChars="200"/>
        <w:outlineLvl w:val="9"/>
        <w:rPr>
          <w:rFonts w:hint="eastAsia" w:ascii="宋体" w:hAnsi="宋体" w:eastAsia="宋体" w:cs="宋体"/>
          <w:color w:val="auto"/>
          <w:sz w:val="24"/>
          <w:szCs w:val="24"/>
          <w:highlight w:val="none"/>
        </w:rPr>
      </w:pPr>
    </w:p>
    <w:p>
      <w:pPr>
        <w:wordWrap w:val="0"/>
        <w:topLinePunct/>
        <w:snapToGrid w:val="0"/>
        <w:spacing w:line="440" w:lineRule="exact"/>
        <w:ind w:firstLine="480" w:firstLineChars="200"/>
        <w:outlineLvl w:val="9"/>
        <w:rPr>
          <w:rFonts w:hint="eastAsia" w:ascii="宋体" w:hAnsi="宋体" w:eastAsia="宋体" w:cs="宋体"/>
          <w:color w:val="auto"/>
          <w:sz w:val="24"/>
          <w:szCs w:val="24"/>
          <w:highlight w:val="none"/>
        </w:rPr>
      </w:pPr>
    </w:p>
    <w:p>
      <w:pPr>
        <w:wordWrap w:val="0"/>
        <w:topLinePunct/>
        <w:snapToGrid w:val="0"/>
        <w:spacing w:line="440" w:lineRule="exact"/>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pPr>
        <w:wordWrap w:val="0"/>
        <w:topLinePunct/>
        <w:snapToGrid w:val="0"/>
        <w:spacing w:line="440" w:lineRule="exact"/>
        <w:ind w:firstLine="5160" w:firstLineChars="2150"/>
        <w:outlineLvl w:val="9"/>
        <w:rPr>
          <w:rFonts w:hint="eastAsia" w:ascii="宋体" w:hAnsi="宋体" w:eastAsia="宋体" w:cs="宋体"/>
          <w:color w:val="auto"/>
          <w:sz w:val="24"/>
          <w:szCs w:val="24"/>
          <w:highlight w:val="none"/>
          <w:u w:val="single"/>
        </w:rPr>
      </w:pPr>
    </w:p>
    <w:p>
      <w:pPr>
        <w:wordWrap w:val="0"/>
        <w:topLinePunct/>
        <w:snapToGrid w:val="0"/>
        <w:spacing w:line="440" w:lineRule="exact"/>
        <w:ind w:firstLine="4200" w:firstLineChars="17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440" w:lineRule="exact"/>
        <w:outlineLvl w:val="9"/>
        <w:rPr>
          <w:rFonts w:hint="eastAsia" w:ascii="宋体" w:hAnsi="宋体" w:eastAsia="宋体" w:cs="宋体"/>
          <w:color w:val="auto"/>
          <w:sz w:val="24"/>
          <w:szCs w:val="24"/>
          <w:highlight w:val="none"/>
        </w:rPr>
      </w:pPr>
    </w:p>
    <w:p>
      <w:pPr>
        <w:snapToGrid w:val="0"/>
        <w:spacing w:line="440" w:lineRule="exact"/>
        <w:outlineLvl w:val="9"/>
        <w:rPr>
          <w:rFonts w:hint="eastAsia" w:ascii="宋体" w:hAnsi="宋体" w:eastAsia="宋体" w:cs="宋体"/>
          <w:b/>
          <w:color w:val="auto"/>
          <w:sz w:val="24"/>
          <w:szCs w:val="24"/>
          <w:highlight w:val="none"/>
        </w:rPr>
      </w:pPr>
    </w:p>
    <w:p>
      <w:pPr>
        <w:snapToGrid w:val="0"/>
        <w:spacing w:line="440" w:lineRule="exact"/>
        <w:outlineLvl w:val="9"/>
        <w:rPr>
          <w:rFonts w:hint="eastAsia" w:ascii="宋体" w:hAnsi="宋体" w:eastAsia="宋体" w:cs="宋体"/>
          <w:b/>
          <w:color w:val="auto"/>
          <w:sz w:val="24"/>
          <w:szCs w:val="24"/>
          <w:highlight w:val="none"/>
        </w:rPr>
      </w:pPr>
    </w:p>
    <w:p>
      <w:pPr>
        <w:shd w:val="clear"/>
        <w:jc w:val="center"/>
        <w:rPr>
          <w:rFonts w:hint="eastAsia" w:ascii="宋体" w:hAnsi="宋体" w:eastAsia="宋体" w:cs="宋体"/>
          <w:b/>
          <w:color w:val="auto"/>
          <w:kern w:val="0"/>
          <w:sz w:val="24"/>
          <w:szCs w:val="24"/>
          <w:highlight w:val="none"/>
          <w:lang w:val="zh-CN"/>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b/>
          <w:color w:val="auto"/>
          <w:sz w:val="24"/>
          <w:szCs w:val="24"/>
          <w:highlight w:val="none"/>
        </w:rPr>
        <w:t>注：后附法定代表人的身份证复印件（正反两面）。</w:t>
      </w:r>
    </w:p>
    <w:p>
      <w:pPr>
        <w:shd w:val="clea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三、法定代表人授权委托书</w:t>
      </w:r>
    </w:p>
    <w:p>
      <w:pPr>
        <w:snapToGrid w:val="0"/>
        <w:spacing w:line="440" w:lineRule="exact"/>
        <w:jc w:val="center"/>
        <w:outlineLvl w:val="9"/>
        <w:rPr>
          <w:rFonts w:hint="eastAsia" w:ascii="宋体" w:hAnsi="宋体" w:eastAsia="宋体" w:cs="宋体"/>
          <w:b/>
          <w:color w:val="auto"/>
          <w:szCs w:val="21"/>
          <w:highlight w:val="none"/>
        </w:rPr>
      </w:pPr>
    </w:p>
    <w:p>
      <w:pPr>
        <w:snapToGrid w:val="0"/>
        <w:spacing w:line="440" w:lineRule="exact"/>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bCs/>
          <w:color w:val="auto"/>
          <w:sz w:val="24"/>
          <w:szCs w:val="24"/>
          <w:highlight w:val="none"/>
          <w:u w:val="single"/>
          <w:lang w:eastAsia="zh-CN"/>
        </w:rPr>
        <w:t>宁波市海曙区水务设施管理中心、浙江绿邦招标代理有限公司</w:t>
      </w:r>
      <w:r>
        <w:rPr>
          <w:rFonts w:hint="eastAsia" w:ascii="宋体" w:hAnsi="宋体" w:eastAsia="宋体" w:cs="宋体"/>
          <w:b/>
          <w:color w:val="auto"/>
          <w:sz w:val="24"/>
          <w:szCs w:val="24"/>
          <w:highlight w:val="none"/>
        </w:rPr>
        <w:t>：</w:t>
      </w:r>
    </w:p>
    <w:p>
      <w:pPr>
        <w:snapToGrid w:val="0"/>
        <w:spacing w:line="440" w:lineRule="exact"/>
        <w:ind w:firstLine="580" w:firstLineChars="242"/>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580" w:firstLineChars="24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360" w:lineRule="auto"/>
        <w:ind w:firstLine="580" w:firstLineChars="24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在撤销授权的书面通知以前，本授权书一直有效。</w:t>
      </w:r>
      <w:r>
        <w:rPr>
          <w:rFonts w:hint="eastAsia" w:ascii="宋体" w:hAnsi="宋体" w:eastAsia="宋体" w:cs="宋体"/>
          <w:color w:val="auto"/>
          <w:sz w:val="24"/>
          <w:szCs w:val="24"/>
          <w:highlight w:val="none"/>
        </w:rPr>
        <w:t>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napToGrid w:val="0"/>
        <w:spacing w:line="440" w:lineRule="exact"/>
        <w:outlineLvl w:val="9"/>
        <w:rPr>
          <w:rFonts w:hint="eastAsia" w:ascii="宋体" w:hAnsi="宋体" w:eastAsia="宋体" w:cs="宋体"/>
          <w:color w:val="auto"/>
          <w:sz w:val="24"/>
          <w:szCs w:val="24"/>
          <w:highlight w:val="none"/>
        </w:rPr>
      </w:pPr>
    </w:p>
    <w:p>
      <w:pPr>
        <w:snapToGrid w:val="0"/>
        <w:spacing w:line="440" w:lineRule="exact"/>
        <w:outlineLvl w:val="9"/>
        <w:rPr>
          <w:rFonts w:hint="eastAsia" w:ascii="宋体" w:hAnsi="宋体" w:eastAsia="宋体" w:cs="宋体"/>
          <w:color w:val="auto"/>
          <w:sz w:val="24"/>
          <w:szCs w:val="24"/>
          <w:highlight w:val="none"/>
        </w:rPr>
      </w:pPr>
    </w:p>
    <w:p>
      <w:pPr>
        <w:snapToGrid w:val="0"/>
        <w:spacing w:line="440" w:lineRule="exact"/>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法定代表人（签名或盖章）：</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firstLine="960" w:firstLineChars="4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投标人名称（加盖公章）：</w:t>
      </w:r>
    </w:p>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snapToGrid w:val="0"/>
        <w:spacing w:line="440" w:lineRule="exact"/>
        <w:ind w:firstLine="3600" w:firstLineChars="1500"/>
        <w:outlineLvl w:val="9"/>
        <w:rPr>
          <w:rFonts w:hint="eastAsia" w:ascii="宋体" w:hAnsi="宋体" w:eastAsia="宋体" w:cs="宋体"/>
          <w:color w:val="auto"/>
          <w:sz w:val="24"/>
          <w:szCs w:val="24"/>
          <w:highlight w:val="none"/>
        </w:rPr>
      </w:pPr>
    </w:p>
    <w:p>
      <w:pPr>
        <w:snapToGrid w:val="0"/>
        <w:spacing w:line="440" w:lineRule="exact"/>
        <w:outlineLvl w:val="9"/>
        <w:rPr>
          <w:rFonts w:hint="eastAsia" w:ascii="宋体" w:hAnsi="宋体" w:eastAsia="宋体" w:cs="宋体"/>
          <w:color w:val="auto"/>
          <w:sz w:val="24"/>
          <w:szCs w:val="24"/>
          <w:highlight w:val="none"/>
        </w:rPr>
      </w:pPr>
    </w:p>
    <w:p>
      <w:pPr>
        <w:snapToGrid w:val="0"/>
        <w:spacing w:line="440" w:lineRule="exact"/>
        <w:outlineLvl w:val="9"/>
        <w:rPr>
          <w:rFonts w:hint="eastAsia" w:ascii="宋体" w:hAnsi="宋体" w:eastAsia="宋体" w:cs="宋体"/>
          <w:color w:val="auto"/>
          <w:sz w:val="24"/>
          <w:szCs w:val="24"/>
          <w:highlight w:val="none"/>
        </w:rPr>
      </w:pPr>
    </w:p>
    <w:p>
      <w:pPr>
        <w:snapToGrid w:val="0"/>
        <w:spacing w:line="440" w:lineRule="exact"/>
        <w:outlineLvl w:val="9"/>
        <w:rPr>
          <w:rFonts w:hint="eastAsia" w:ascii="宋体" w:hAnsi="宋体" w:eastAsia="宋体" w:cs="宋体"/>
          <w:color w:val="auto"/>
          <w:sz w:val="24"/>
          <w:szCs w:val="24"/>
          <w:highlight w:val="none"/>
        </w:rPr>
      </w:pPr>
    </w:p>
    <w:p>
      <w:pPr>
        <w:shd w:val="clea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sz w:val="24"/>
          <w:szCs w:val="24"/>
          <w:highlight w:val="none"/>
        </w:rPr>
        <w:t>注：后附法定代表人和被授权人的身份证复印件（正反两面）。</w:t>
      </w:r>
    </w:p>
    <w:p>
      <w:pPr>
        <w:shd w:val="clear"/>
        <w:snapToGrid w:val="0"/>
        <w:spacing w:line="360" w:lineRule="auto"/>
        <w:rPr>
          <w:rFonts w:hint="eastAsia" w:ascii="宋体" w:hAnsi="宋体" w:eastAsia="宋体" w:cs="宋体"/>
          <w:color w:val="auto"/>
          <w:sz w:val="24"/>
          <w:szCs w:val="24"/>
          <w:highlight w:val="none"/>
        </w:rPr>
      </w:pPr>
    </w:p>
    <w:p>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shd w:val="clear"/>
        <w:autoSpaceDE w:val="0"/>
        <w:autoSpaceDN w:val="0"/>
        <w:spacing w:line="360" w:lineRule="auto"/>
        <w:jc w:val="center"/>
        <w:rPr>
          <w:rFonts w:hint="eastAsia" w:ascii="宋体" w:hAnsi="宋体" w:eastAsia="宋体" w:cs="宋体"/>
          <w:b/>
          <w:color w:val="auto"/>
          <w:kern w:val="0"/>
          <w:sz w:val="32"/>
          <w:szCs w:val="32"/>
          <w:highlight w:val="none"/>
          <w:lang w:val="zh-CN"/>
        </w:rPr>
      </w:pPr>
    </w:p>
    <w:p>
      <w:pPr>
        <w:shd w:val="clear"/>
        <w:autoSpaceDE w:val="0"/>
        <w:autoSpaceDN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pPr>
        <w:numPr>
          <w:ilvl w:val="0"/>
          <w:numId w:val="8"/>
        </w:numPr>
        <w:shd w:val="clear"/>
        <w:ind w:left="3150" w:leftChars="0" w:firstLineChars="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投标人基本情况表</w:t>
      </w:r>
    </w:p>
    <w:p>
      <w:pPr>
        <w:widowControl w:val="0"/>
        <w:numPr>
          <w:ilvl w:val="0"/>
          <w:numId w:val="0"/>
        </w:numPr>
        <w:shd w:val="clear"/>
        <w:adjustRightInd w:val="0"/>
        <w:jc w:val="center"/>
        <w:rPr>
          <w:rFonts w:hint="eastAsia" w:ascii="宋体" w:hAnsi="宋体" w:eastAsia="宋体" w:cs="宋体"/>
          <w:b/>
          <w:color w:val="auto"/>
          <w:kern w:val="0"/>
          <w:sz w:val="32"/>
          <w:szCs w:val="32"/>
          <w:highlight w:val="none"/>
          <w:lang w:val="en-US" w:eastAsia="zh-CN"/>
        </w:rPr>
      </w:pPr>
    </w:p>
    <w:tbl>
      <w:tblPr>
        <w:tblStyle w:val="6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1179"/>
        <w:gridCol w:w="1101"/>
        <w:gridCol w:w="9"/>
        <w:gridCol w:w="675"/>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申请人名称</w:t>
            </w:r>
          </w:p>
        </w:tc>
        <w:tc>
          <w:tcPr>
            <w:tcW w:w="7264" w:type="dxa"/>
            <w:gridSpan w:val="8"/>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656" w:type="dxa"/>
            <w:gridSpan w:val="4"/>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01"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507"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08"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748"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01"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507"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908"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748"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01"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507"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264" w:type="dxa"/>
            <w:gridSpan w:val="8"/>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916" w:type="dxa"/>
            <w:gridSpan w:val="2"/>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61"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79"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110" w:type="dxa"/>
            <w:gridSpan w:val="2"/>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675"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2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916" w:type="dxa"/>
            <w:gridSpan w:val="2"/>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61"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79"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110" w:type="dxa"/>
            <w:gridSpan w:val="2"/>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675"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2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477"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4787" w:type="dxa"/>
            <w:gridSpan w:val="5"/>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2477"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79" w:type="dxa"/>
            <w:vMerge w:val="restart"/>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785"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82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477"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79" w:type="dxa"/>
            <w:vMerge w:val="continue"/>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85"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82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477"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79" w:type="dxa"/>
            <w:vMerge w:val="continue"/>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85"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182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477"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79" w:type="dxa"/>
            <w:vMerge w:val="continue"/>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85"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82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477"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79" w:type="dxa"/>
            <w:vMerge w:val="continue"/>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85" w:type="dxa"/>
            <w:gridSpan w:val="3"/>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82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664"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264" w:type="dxa"/>
            <w:gridSpan w:val="8"/>
            <w:noWrap w:val="0"/>
            <w:tcMar>
              <w:left w:w="28" w:type="dxa"/>
              <w:right w:w="28" w:type="dxa"/>
            </w:tcMar>
            <w:vAlign w:val="center"/>
          </w:tcPr>
          <w:p>
            <w:pPr>
              <w:snapToGrid w:val="0"/>
              <w:spacing w:line="440" w:lineRule="exac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664"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64" w:type="dxa"/>
            <w:gridSpan w:val="8"/>
            <w:noWrap w:val="0"/>
            <w:tcMar>
              <w:left w:w="28" w:type="dxa"/>
              <w:right w:w="28" w:type="dxa"/>
            </w:tcMar>
            <w:vAlign w:val="center"/>
          </w:tcPr>
          <w:p>
            <w:pPr>
              <w:snapToGrid w:val="0"/>
              <w:spacing w:line="440" w:lineRule="exact"/>
              <w:outlineLvl w:val="9"/>
              <w:rPr>
                <w:rFonts w:hint="eastAsia" w:ascii="宋体" w:hAnsi="宋体" w:eastAsia="宋体" w:cs="宋体"/>
                <w:color w:val="auto"/>
                <w:sz w:val="24"/>
                <w:szCs w:val="24"/>
                <w:highlight w:val="none"/>
              </w:rPr>
            </w:pPr>
          </w:p>
        </w:tc>
      </w:tr>
    </w:tbl>
    <w:p>
      <w:pPr>
        <w:widowControl w:val="0"/>
        <w:numPr>
          <w:ilvl w:val="0"/>
          <w:numId w:val="0"/>
        </w:numPr>
        <w:shd w:val="clear"/>
        <w:adjustRightInd w:val="0"/>
        <w:jc w:val="center"/>
        <w:rPr>
          <w:rFonts w:hint="eastAsia" w:ascii="宋体" w:hAnsi="宋体" w:eastAsia="宋体" w:cs="宋体"/>
          <w:b/>
          <w:color w:val="auto"/>
          <w:kern w:val="0"/>
          <w:sz w:val="32"/>
          <w:szCs w:val="32"/>
          <w:highlight w:val="none"/>
          <w:lang w:val="en-US" w:eastAsia="zh-CN"/>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pPr>
        <w:shd w:val="clea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五、评标标准相应的商务技术资料（格式自拟）</w:t>
      </w:r>
    </w:p>
    <w:p>
      <w:pPr>
        <w:numPr>
          <w:ilvl w:val="0"/>
          <w:numId w:val="0"/>
        </w:numPr>
        <w:shd w:val="clea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numPr>
          <w:ilvl w:val="0"/>
          <w:numId w:val="0"/>
        </w:numPr>
        <w:shd w:val="clear"/>
        <w:jc w:val="left"/>
        <w:rPr>
          <w:rFonts w:hint="eastAsia" w:ascii="宋体" w:hAnsi="宋体" w:eastAsia="宋体" w:cs="宋体"/>
          <w:b/>
          <w:color w:val="auto"/>
          <w:sz w:val="24"/>
          <w:highlight w:val="none"/>
          <w:lang w:val="en-US" w:eastAsia="zh-CN"/>
        </w:rPr>
      </w:pPr>
    </w:p>
    <w:p>
      <w:pPr>
        <w:numPr>
          <w:ilvl w:val="0"/>
          <w:numId w:val="0"/>
        </w:numPr>
        <w:shd w:val="clear"/>
        <w:jc w:val="center"/>
        <w:rPr>
          <w:rFonts w:hint="default"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六、拟派项目负责人简历表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1278"/>
        <w:gridCol w:w="2008"/>
        <w:gridCol w:w="914"/>
        <w:gridCol w:w="172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24"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c>
          <w:tcPr>
            <w:tcW w:w="1278"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性别</w:t>
            </w:r>
          </w:p>
        </w:tc>
        <w:tc>
          <w:tcPr>
            <w:tcW w:w="2008" w:type="dxa"/>
            <w:noWrap w:val="0"/>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914" w:type="dxa"/>
            <w:noWrap w:val="0"/>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728"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824"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c>
          <w:tcPr>
            <w:tcW w:w="1278"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技术职称</w:t>
            </w:r>
          </w:p>
        </w:tc>
        <w:tc>
          <w:tcPr>
            <w:tcW w:w="2008" w:type="dxa"/>
            <w:noWrap w:val="0"/>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914" w:type="dxa"/>
            <w:noWrap w:val="0"/>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728"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w:t>
            </w:r>
          </w:p>
          <w:p>
            <w:pPr>
              <w:snapToGrid w:val="0"/>
              <w:spacing w:line="44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时间</w:t>
            </w:r>
          </w:p>
        </w:tc>
        <w:tc>
          <w:tcPr>
            <w:tcW w:w="3102" w:type="dxa"/>
            <w:gridSpan w:val="2"/>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c>
          <w:tcPr>
            <w:tcW w:w="2008" w:type="dxa"/>
            <w:noWrap w:val="0"/>
            <w:vAlign w:val="center"/>
          </w:tcPr>
          <w:p>
            <w:pPr>
              <w:snapToGrid w:val="0"/>
              <w:spacing w:line="44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w:t>
            </w:r>
          </w:p>
        </w:tc>
        <w:tc>
          <w:tcPr>
            <w:tcW w:w="2642" w:type="dxa"/>
            <w:gridSpan w:val="2"/>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6"/>
            <w:noWrap w:val="0"/>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7752" w:type="dxa"/>
            <w:gridSpan w:val="5"/>
            <w:noWrap w:val="0"/>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c>
          <w:tcPr>
            <w:tcW w:w="7752" w:type="dxa"/>
            <w:gridSpan w:val="5"/>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c>
          <w:tcPr>
            <w:tcW w:w="7752" w:type="dxa"/>
            <w:gridSpan w:val="5"/>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c>
          <w:tcPr>
            <w:tcW w:w="7752" w:type="dxa"/>
            <w:gridSpan w:val="5"/>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c>
          <w:tcPr>
            <w:tcW w:w="7752" w:type="dxa"/>
            <w:gridSpan w:val="5"/>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c>
          <w:tcPr>
            <w:tcW w:w="7752" w:type="dxa"/>
            <w:gridSpan w:val="5"/>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c>
          <w:tcPr>
            <w:tcW w:w="7752" w:type="dxa"/>
            <w:gridSpan w:val="5"/>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c>
          <w:tcPr>
            <w:tcW w:w="7752" w:type="dxa"/>
            <w:gridSpan w:val="5"/>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c>
          <w:tcPr>
            <w:tcW w:w="7752" w:type="dxa"/>
            <w:gridSpan w:val="5"/>
            <w:noWrap w:val="0"/>
            <w:vAlign w:val="center"/>
          </w:tcPr>
          <w:p>
            <w:pPr>
              <w:snapToGrid w:val="0"/>
              <w:spacing w:line="440" w:lineRule="exact"/>
              <w:jc w:val="center"/>
              <w:outlineLvl w:val="9"/>
              <w:rPr>
                <w:rFonts w:hint="eastAsia" w:ascii="宋体" w:hAnsi="宋体" w:eastAsia="宋体" w:cs="宋体"/>
                <w:b/>
                <w:color w:val="auto"/>
                <w:sz w:val="24"/>
                <w:szCs w:val="24"/>
                <w:highlight w:val="none"/>
              </w:rPr>
            </w:pPr>
          </w:p>
        </w:tc>
      </w:tr>
    </w:tbl>
    <w:p>
      <w:pPr>
        <w:numPr>
          <w:ilvl w:val="0"/>
          <w:numId w:val="0"/>
        </w:numPr>
        <w:shd w:val="clear"/>
        <w:jc w:val="both"/>
        <w:rPr>
          <w:rFonts w:hint="default" w:ascii="宋体" w:hAnsi="宋体" w:cs="宋体"/>
          <w:b/>
          <w:color w:val="auto"/>
          <w:kern w:val="0"/>
          <w:sz w:val="24"/>
          <w:szCs w:val="24"/>
          <w:highlight w:val="none"/>
          <w:lang w:val="en-US" w:eastAsia="zh-CN"/>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b/>
          <w:bCs/>
          <w:color w:val="auto"/>
          <w:sz w:val="24"/>
          <w:szCs w:val="24"/>
          <w:highlight w:val="none"/>
        </w:rPr>
        <w:t>注：</w:t>
      </w:r>
      <w:r>
        <w:rPr>
          <w:rFonts w:hint="eastAsia" w:ascii="宋体" w:hAnsi="宋体" w:cs="宋体"/>
          <w:b/>
          <w:bCs/>
          <w:color w:val="auto"/>
          <w:sz w:val="24"/>
          <w:szCs w:val="24"/>
          <w:highlight w:val="none"/>
          <w:lang w:val="en-US" w:eastAsia="zh-CN"/>
        </w:rPr>
        <w:t>后附注册建造师证、安全生产考核合格证（B证）、社保证明资料</w:t>
      </w:r>
      <w:r>
        <w:rPr>
          <w:rFonts w:hint="eastAsia" w:ascii="宋体" w:hAnsi="宋体" w:eastAsia="宋体" w:cs="宋体"/>
          <w:b/>
          <w:bCs/>
          <w:color w:val="auto"/>
          <w:sz w:val="24"/>
          <w:szCs w:val="24"/>
          <w:highlight w:val="none"/>
        </w:rPr>
        <w:t>。</w:t>
      </w:r>
    </w:p>
    <w:p>
      <w:pPr>
        <w:numPr>
          <w:ilvl w:val="0"/>
          <w:numId w:val="0"/>
        </w:numPr>
        <w:shd w:val="clea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七、拟派人员一览表</w:t>
      </w:r>
    </w:p>
    <w:tbl>
      <w:tblPr>
        <w:tblStyle w:val="62"/>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7"/>
        <w:gridCol w:w="720"/>
        <w:gridCol w:w="1620"/>
        <w:gridCol w:w="1000"/>
        <w:gridCol w:w="25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17" w:type="dxa"/>
            <w:noWrap w:val="0"/>
            <w:tcMar>
              <w:left w:w="28" w:type="dxa"/>
              <w:right w:w="28" w:type="dxa"/>
            </w:tcMar>
            <w:vAlign w:val="center"/>
          </w:tcPr>
          <w:p>
            <w:pPr>
              <w:snapToGrid w:val="0"/>
              <w:spacing w:line="44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720" w:type="dxa"/>
            <w:noWrap w:val="0"/>
            <w:tcMar>
              <w:left w:w="28" w:type="dxa"/>
              <w:right w:w="28" w:type="dxa"/>
            </w:tcMar>
            <w:vAlign w:val="center"/>
          </w:tcPr>
          <w:p>
            <w:pPr>
              <w:snapToGrid w:val="0"/>
              <w:spacing w:line="44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年龄</w:t>
            </w:r>
          </w:p>
        </w:tc>
        <w:tc>
          <w:tcPr>
            <w:tcW w:w="1620" w:type="dxa"/>
            <w:noWrap w:val="0"/>
            <w:tcMar>
              <w:left w:w="28" w:type="dxa"/>
              <w:right w:w="28" w:type="dxa"/>
            </w:tcMar>
            <w:vAlign w:val="center"/>
          </w:tcPr>
          <w:p>
            <w:pPr>
              <w:snapToGrid w:val="0"/>
              <w:spacing w:line="44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身份证号码</w:t>
            </w:r>
          </w:p>
        </w:tc>
        <w:tc>
          <w:tcPr>
            <w:tcW w:w="1000" w:type="dxa"/>
            <w:noWrap w:val="0"/>
            <w:tcMar>
              <w:left w:w="28" w:type="dxa"/>
              <w:right w:w="28" w:type="dxa"/>
            </w:tcMar>
            <w:vAlign w:val="center"/>
          </w:tcPr>
          <w:p>
            <w:pPr>
              <w:snapToGrid w:val="0"/>
              <w:spacing w:line="44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职称</w:t>
            </w:r>
          </w:p>
        </w:tc>
        <w:tc>
          <w:tcPr>
            <w:tcW w:w="2520" w:type="dxa"/>
            <w:noWrap w:val="0"/>
            <w:tcMar>
              <w:left w:w="28" w:type="dxa"/>
              <w:right w:w="28" w:type="dxa"/>
            </w:tcMar>
            <w:vAlign w:val="center"/>
          </w:tcPr>
          <w:p>
            <w:pPr>
              <w:snapToGrid w:val="0"/>
              <w:spacing w:line="44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本项目拟担任职务</w:t>
            </w:r>
          </w:p>
        </w:tc>
        <w:tc>
          <w:tcPr>
            <w:tcW w:w="1080" w:type="dxa"/>
            <w:noWrap w:val="0"/>
            <w:tcMar>
              <w:left w:w="28" w:type="dxa"/>
              <w:right w:w="28" w:type="dxa"/>
            </w:tcMar>
            <w:vAlign w:val="center"/>
          </w:tcPr>
          <w:p>
            <w:pPr>
              <w:snapToGrid w:val="0"/>
              <w:spacing w:line="44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17"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7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0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5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8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17"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7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0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5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8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17"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7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0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5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8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17"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7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0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5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8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17"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7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0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5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8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17"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0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8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217"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7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0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5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8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217"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7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0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5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8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217"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7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0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5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8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217"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7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0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52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080" w:type="dxa"/>
            <w:noWrap w:val="0"/>
            <w:tcMar>
              <w:left w:w="28" w:type="dxa"/>
              <w:right w:w="28"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bl>
    <w:p>
      <w:pPr>
        <w:snapToGrid w:val="0"/>
        <w:spacing w:line="440" w:lineRule="exact"/>
        <w:ind w:left="339" w:hanging="339" w:hangingChars="161"/>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后附人员</w:t>
      </w:r>
      <w:r>
        <w:rPr>
          <w:rFonts w:hint="eastAsia" w:ascii="宋体" w:hAnsi="宋体" w:eastAsia="宋体" w:cs="宋体"/>
          <w:b/>
          <w:bCs/>
          <w:color w:val="auto"/>
          <w:sz w:val="24"/>
          <w:szCs w:val="24"/>
          <w:highlight w:val="none"/>
        </w:rPr>
        <w:t>相关证明</w:t>
      </w:r>
      <w:r>
        <w:rPr>
          <w:rFonts w:hint="eastAsia" w:ascii="宋体" w:hAnsi="宋体" w:cs="宋体"/>
          <w:b/>
          <w:bCs/>
          <w:color w:val="auto"/>
          <w:sz w:val="24"/>
          <w:szCs w:val="24"/>
          <w:highlight w:val="none"/>
          <w:lang w:val="en-US" w:eastAsia="zh-CN"/>
        </w:rPr>
        <w:t>资料</w:t>
      </w:r>
      <w:r>
        <w:rPr>
          <w:rFonts w:hint="eastAsia" w:ascii="宋体" w:hAnsi="宋体" w:eastAsia="宋体" w:cs="宋体"/>
          <w:b/>
          <w:bCs/>
          <w:color w:val="auto"/>
          <w:sz w:val="24"/>
          <w:szCs w:val="24"/>
          <w:highlight w:val="none"/>
        </w:rPr>
        <w:t>。</w:t>
      </w:r>
    </w:p>
    <w:p>
      <w:pPr>
        <w:snapToGrid w:val="0"/>
        <w:spacing w:line="440" w:lineRule="exact"/>
        <w:outlineLvl w:val="9"/>
        <w:rPr>
          <w:rFonts w:hint="eastAsia" w:ascii="宋体" w:hAnsi="宋体" w:eastAsia="宋体" w:cs="宋体"/>
          <w:color w:val="auto"/>
          <w:sz w:val="24"/>
          <w:szCs w:val="24"/>
          <w:highlight w:val="none"/>
          <w:shd w:val="pct10" w:color="auto" w:fill="FFFFFF"/>
        </w:rPr>
      </w:pPr>
    </w:p>
    <w:p>
      <w:pPr>
        <w:snapToGrid w:val="0"/>
        <w:spacing w:line="440" w:lineRule="exact"/>
        <w:outlineLvl w:val="9"/>
        <w:rPr>
          <w:rFonts w:hint="eastAsia" w:ascii="宋体" w:hAnsi="宋体" w:eastAsia="宋体" w:cs="宋体"/>
          <w:color w:val="auto"/>
          <w:sz w:val="24"/>
          <w:szCs w:val="24"/>
          <w:highlight w:val="none"/>
          <w:shd w:val="pct10" w:color="auto" w:fill="FFFFFF"/>
        </w:rPr>
      </w:pPr>
    </w:p>
    <w:p>
      <w:pPr>
        <w:snapToGrid w:val="0"/>
        <w:spacing w:line="440" w:lineRule="exact"/>
        <w:ind w:firstLine="240" w:firstLineChars="1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投标人名称（加盖公章）：</w:t>
      </w:r>
      <w:r>
        <w:rPr>
          <w:rFonts w:hint="eastAsia" w:ascii="宋体" w:hAnsi="宋体" w:eastAsia="宋体" w:cs="宋体"/>
          <w:color w:val="auto"/>
          <w:sz w:val="24"/>
          <w:szCs w:val="24"/>
          <w:highlight w:val="none"/>
          <w:u w:val="single"/>
        </w:rPr>
        <w:t xml:space="preserve">                        </w:t>
      </w:r>
    </w:p>
    <w:p>
      <w:pPr>
        <w:snapToGrid w:val="0"/>
        <w:spacing w:line="440" w:lineRule="exact"/>
        <w:ind w:firstLine="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法定代表人或其委托代理人（签字或盖章）：</w:t>
      </w:r>
      <w:r>
        <w:rPr>
          <w:rFonts w:hint="eastAsia" w:ascii="宋体" w:hAnsi="宋体" w:eastAsia="宋体" w:cs="宋体"/>
          <w:color w:val="auto"/>
          <w:sz w:val="24"/>
          <w:szCs w:val="24"/>
          <w:highlight w:val="none"/>
          <w:u w:val="single"/>
        </w:rPr>
        <w:t xml:space="preserve">             </w:t>
      </w:r>
    </w:p>
    <w:p>
      <w:pPr>
        <w:numPr>
          <w:ilvl w:val="0"/>
          <w:numId w:val="0"/>
        </w:numPr>
        <w:shd w:val="clear"/>
        <w:jc w:val="center"/>
        <w:rPr>
          <w:rFonts w:hint="eastAsia" w:ascii="宋体" w:hAnsi="宋体" w:cs="宋体"/>
          <w:b/>
          <w:color w:val="auto"/>
          <w:kern w:val="0"/>
          <w:sz w:val="24"/>
          <w:szCs w:val="24"/>
          <w:highlight w:val="none"/>
          <w:lang w:val="en-US" w:eastAsia="zh-CN"/>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 xml:space="preserve">                                              年    月    日</w:t>
      </w:r>
    </w:p>
    <w:p>
      <w:pPr>
        <w:numPr>
          <w:ilvl w:val="0"/>
          <w:numId w:val="0"/>
        </w:numPr>
        <w:shd w:val="clear"/>
        <w:jc w:val="center"/>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en-US" w:eastAsia="zh-CN"/>
        </w:rPr>
        <w:t>类似项目业绩一览表</w:t>
      </w:r>
    </w:p>
    <w:tbl>
      <w:tblPr>
        <w:tblStyle w:val="62"/>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70"/>
        <w:gridCol w:w="2183"/>
        <w:gridCol w:w="1668"/>
        <w:gridCol w:w="1337"/>
        <w:gridCol w:w="1738"/>
        <w:gridCol w:w="115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770" w:type="dxa"/>
            <w:tcBorders>
              <w:top w:val="single" w:color="auto" w:sz="4" w:space="0"/>
              <w:bottom w:val="single" w:color="auto" w:sz="4" w:space="0"/>
            </w:tcBorders>
            <w:noWrap w:val="0"/>
            <w:tcMar>
              <w:left w:w="0" w:type="dxa"/>
              <w:right w:w="0" w:type="dxa"/>
            </w:tcMar>
            <w:vAlign w:val="center"/>
          </w:tcPr>
          <w:p>
            <w:pPr>
              <w:snapToGrid w:val="0"/>
              <w:spacing w:line="440" w:lineRule="exact"/>
              <w:ind w:left="-115"/>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183" w:type="dxa"/>
            <w:tcBorders>
              <w:top w:val="single" w:color="auto" w:sz="4" w:space="0"/>
              <w:bottom w:val="single" w:color="auto" w:sz="4" w:space="0"/>
            </w:tcBorders>
            <w:noWrap w:val="0"/>
            <w:tcMar>
              <w:left w:w="0" w:type="dxa"/>
              <w:right w:w="0" w:type="dxa"/>
            </w:tcMar>
            <w:vAlign w:val="center"/>
          </w:tcPr>
          <w:p>
            <w:pPr>
              <w:snapToGrid w:val="0"/>
              <w:spacing w:line="44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668" w:type="dxa"/>
            <w:tcBorders>
              <w:top w:val="single" w:color="auto" w:sz="4" w:space="0"/>
              <w:bottom w:val="single" w:color="auto" w:sz="4" w:space="0"/>
            </w:tcBorders>
            <w:noWrap w:val="0"/>
            <w:tcMar>
              <w:left w:w="0" w:type="dxa"/>
              <w:right w:w="0" w:type="dxa"/>
            </w:tcMar>
            <w:vAlign w:val="center"/>
          </w:tcPr>
          <w:p>
            <w:pPr>
              <w:snapToGrid w:val="0"/>
              <w:spacing w:line="440" w:lineRule="exact"/>
              <w:ind w:left="-115"/>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业主名称</w:t>
            </w:r>
          </w:p>
        </w:tc>
        <w:tc>
          <w:tcPr>
            <w:tcW w:w="1337" w:type="dxa"/>
            <w:tcBorders>
              <w:top w:val="single" w:color="auto" w:sz="4" w:space="0"/>
              <w:bottom w:val="single" w:color="auto" w:sz="4" w:space="0"/>
            </w:tcBorders>
            <w:noWrap w:val="0"/>
            <w:tcMar>
              <w:left w:w="0" w:type="dxa"/>
              <w:right w:w="0" w:type="dxa"/>
            </w:tcMar>
            <w:vAlign w:val="center"/>
          </w:tcPr>
          <w:p>
            <w:pPr>
              <w:snapToGrid w:val="0"/>
              <w:spacing w:line="440" w:lineRule="exact"/>
              <w:ind w:left="-115"/>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tc>
        <w:tc>
          <w:tcPr>
            <w:tcW w:w="1738" w:type="dxa"/>
            <w:tcBorders>
              <w:top w:val="single" w:color="auto" w:sz="4" w:space="0"/>
              <w:bottom w:val="single" w:color="auto" w:sz="4" w:space="0"/>
            </w:tcBorders>
            <w:noWrap w:val="0"/>
            <w:tcMar>
              <w:left w:w="0" w:type="dxa"/>
              <w:right w:w="0" w:type="dxa"/>
            </w:tcMar>
            <w:vAlign w:val="center"/>
          </w:tcPr>
          <w:p>
            <w:pPr>
              <w:snapToGrid w:val="0"/>
              <w:spacing w:line="440" w:lineRule="exact"/>
              <w:ind w:left="-115"/>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合同签订时间</w:t>
            </w:r>
          </w:p>
        </w:tc>
        <w:tc>
          <w:tcPr>
            <w:tcW w:w="1150" w:type="dxa"/>
            <w:tcBorders>
              <w:top w:val="single" w:color="auto" w:sz="4" w:space="0"/>
              <w:bottom w:val="single" w:color="auto" w:sz="4" w:space="0"/>
            </w:tcBorders>
            <w:noWrap w:val="0"/>
            <w:tcMar>
              <w:left w:w="0" w:type="dxa"/>
              <w:right w:w="0" w:type="dxa"/>
            </w:tcMar>
            <w:vAlign w:val="center"/>
          </w:tcPr>
          <w:p>
            <w:pPr>
              <w:snapToGrid w:val="0"/>
              <w:spacing w:line="440" w:lineRule="exact"/>
              <w:ind w:left="-115"/>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70" w:type="dxa"/>
            <w:tcBorders>
              <w:top w:val="single" w:color="auto" w:sz="4" w:space="0"/>
            </w:tcBorders>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183" w:type="dxa"/>
            <w:tcBorders>
              <w:top w:val="single" w:color="auto" w:sz="4" w:space="0"/>
            </w:tcBorders>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68" w:type="dxa"/>
            <w:tcBorders>
              <w:top w:val="single" w:color="auto" w:sz="4" w:space="0"/>
            </w:tcBorders>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337" w:type="dxa"/>
            <w:tcBorders>
              <w:top w:val="single" w:color="auto" w:sz="4" w:space="0"/>
            </w:tcBorders>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38" w:type="dxa"/>
            <w:tcBorders>
              <w:top w:val="single" w:color="auto" w:sz="4" w:space="0"/>
            </w:tcBorders>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50" w:type="dxa"/>
            <w:tcBorders>
              <w:top w:val="single" w:color="auto" w:sz="4" w:space="0"/>
            </w:tcBorders>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7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183"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6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337"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3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5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7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183"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6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337"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3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5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7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183"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6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337"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3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5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7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183"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6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337"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3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5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7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183"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6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337"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3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5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7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183"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6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337"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3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5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7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183"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6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337"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3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5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7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183"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6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337"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3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5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7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183"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6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337"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3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5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7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2183"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66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337"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738"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c>
          <w:tcPr>
            <w:tcW w:w="1150" w:type="dxa"/>
            <w:noWrap w:val="0"/>
            <w:tcMar>
              <w:left w:w="0" w:type="dxa"/>
              <w:right w:w="0" w:type="dxa"/>
            </w:tcMar>
            <w:vAlign w:val="center"/>
          </w:tcPr>
          <w:p>
            <w:pPr>
              <w:snapToGrid w:val="0"/>
              <w:spacing w:line="440" w:lineRule="exact"/>
              <w:jc w:val="center"/>
              <w:outlineLvl w:val="9"/>
              <w:rPr>
                <w:rFonts w:hint="eastAsia" w:ascii="宋体" w:hAnsi="宋体" w:eastAsia="宋体" w:cs="宋体"/>
                <w:color w:val="auto"/>
                <w:sz w:val="24"/>
                <w:szCs w:val="24"/>
                <w:highlight w:val="none"/>
              </w:rPr>
            </w:pPr>
          </w:p>
        </w:tc>
      </w:tr>
    </w:tbl>
    <w:p>
      <w:pPr>
        <w:snapToGrid w:val="0"/>
        <w:spacing w:line="440" w:lineRule="exact"/>
        <w:ind w:left="339" w:hanging="388" w:hangingChars="161"/>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注：根据评分标准要求提供</w:t>
      </w: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rPr>
        <w:t>。</w:t>
      </w:r>
    </w:p>
    <w:p>
      <w:pPr>
        <w:snapToGrid w:val="0"/>
        <w:spacing w:line="440" w:lineRule="exact"/>
        <w:ind w:firstLine="200"/>
        <w:outlineLvl w:val="9"/>
        <w:rPr>
          <w:rFonts w:hint="eastAsia" w:ascii="宋体" w:hAnsi="宋体" w:eastAsia="宋体" w:cs="宋体"/>
          <w:color w:val="auto"/>
          <w:sz w:val="24"/>
          <w:szCs w:val="24"/>
          <w:highlight w:val="none"/>
        </w:rPr>
      </w:pPr>
    </w:p>
    <w:p>
      <w:pPr>
        <w:snapToGrid w:val="0"/>
        <w:spacing w:line="440" w:lineRule="exact"/>
        <w:jc w:val="right"/>
        <w:outlineLvl w:val="9"/>
        <w:rPr>
          <w:rFonts w:hint="eastAsia" w:ascii="宋体" w:hAnsi="宋体" w:eastAsia="宋体" w:cs="宋体"/>
          <w:color w:val="auto"/>
          <w:sz w:val="24"/>
          <w:szCs w:val="24"/>
          <w:highlight w:val="none"/>
        </w:rPr>
      </w:pPr>
    </w:p>
    <w:p>
      <w:pPr>
        <w:snapToGrid w:val="0"/>
        <w:spacing w:line="440" w:lineRule="exact"/>
        <w:ind w:firstLine="240" w:firstLineChars="1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投标人名称（加盖公章）：</w:t>
      </w:r>
      <w:r>
        <w:rPr>
          <w:rFonts w:hint="eastAsia" w:ascii="宋体" w:hAnsi="宋体" w:eastAsia="宋体" w:cs="宋体"/>
          <w:color w:val="auto"/>
          <w:sz w:val="24"/>
          <w:szCs w:val="24"/>
          <w:highlight w:val="none"/>
          <w:u w:val="single"/>
        </w:rPr>
        <w:t xml:space="preserve">                        </w:t>
      </w:r>
    </w:p>
    <w:p>
      <w:pPr>
        <w:snapToGrid w:val="0"/>
        <w:spacing w:line="440" w:lineRule="exact"/>
        <w:ind w:firstLine="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法定代表人或其委托代理人（签字或盖章）：</w:t>
      </w:r>
      <w:r>
        <w:rPr>
          <w:rFonts w:hint="eastAsia" w:ascii="宋体" w:hAnsi="宋体" w:eastAsia="宋体" w:cs="宋体"/>
          <w:color w:val="auto"/>
          <w:sz w:val="24"/>
          <w:szCs w:val="24"/>
          <w:highlight w:val="none"/>
          <w:u w:val="single"/>
        </w:rPr>
        <w:t xml:space="preserve">             </w:t>
      </w:r>
    </w:p>
    <w:p>
      <w:pPr>
        <w:shd w:val="clear"/>
        <w:jc w:val="center"/>
        <w:rPr>
          <w:rFonts w:hint="eastAsia" w:ascii="宋体" w:hAnsi="宋体" w:eastAsia="宋体" w:cs="宋体"/>
          <w:b/>
          <w:color w:val="auto"/>
          <w:kern w:val="0"/>
          <w:sz w:val="24"/>
          <w:szCs w:val="24"/>
          <w:highlight w:val="none"/>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 xml:space="preserve">                                              年    月    日</w:t>
      </w:r>
    </w:p>
    <w:p>
      <w:pPr>
        <w:numPr>
          <w:ilvl w:val="0"/>
          <w:numId w:val="0"/>
        </w:numPr>
        <w:shd w:val="clear"/>
        <w:jc w:val="center"/>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en-US" w:eastAsia="zh-CN"/>
        </w:rPr>
        <w:t>招标需求偏离表</w:t>
      </w:r>
    </w:p>
    <w:p>
      <w:pPr>
        <w:snapToGrid w:val="0"/>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 xml:space="preserve">编号： </w:t>
      </w:r>
    </w:p>
    <w:p>
      <w:pPr>
        <w:snapToGrid w:val="0"/>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2"/>
        <w:tblW w:w="0" w:type="auto"/>
        <w:tblInd w:w="-2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1"/>
        <w:gridCol w:w="3253"/>
        <w:gridCol w:w="3420"/>
        <w:gridCol w:w="15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3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25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3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招标文件</w:t>
            </w:r>
            <w:r>
              <w:rPr>
                <w:rFonts w:hint="eastAsia" w:ascii="宋体" w:hAnsi="宋体" w:eastAsia="宋体" w:cs="宋体"/>
                <w:b/>
                <w:color w:val="auto"/>
                <w:sz w:val="24"/>
                <w:szCs w:val="24"/>
                <w:highlight w:val="none"/>
              </w:rPr>
              <w:t>要求</w:t>
            </w:r>
          </w:p>
        </w:tc>
        <w:tc>
          <w:tcPr>
            <w:tcW w:w="342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3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投标响应</w:t>
            </w:r>
          </w:p>
        </w:tc>
        <w:tc>
          <w:tcPr>
            <w:tcW w:w="15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360" w:lineRule="exact"/>
              <w:jc w:val="center"/>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偏离</w:t>
            </w:r>
            <w:r>
              <w:rPr>
                <w:rFonts w:hint="eastAsia" w:ascii="宋体" w:hAnsi="宋体" w:eastAsia="宋体" w:cs="宋体"/>
                <w:b/>
                <w:color w:val="auto"/>
                <w:sz w:val="24"/>
                <w:szCs w:val="24"/>
                <w:highlight w:val="none"/>
                <w:lang w:val="en-US" w:eastAsia="zh-CN"/>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outlineLvl w:val="9"/>
              <w:rPr>
                <w:rFonts w:hint="eastAsia" w:ascii="宋体" w:hAnsi="宋体" w:eastAsia="宋体" w:cs="宋体"/>
                <w:color w:val="auto"/>
                <w:sz w:val="24"/>
                <w:szCs w:val="24"/>
                <w:highlight w:val="none"/>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outlineLvl w:val="9"/>
              <w:rPr>
                <w:rFonts w:hint="eastAsia" w:ascii="宋体" w:hAnsi="宋体" w:eastAsia="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outlineLvl w:val="9"/>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outlineLvl w:val="9"/>
              <w:rPr>
                <w:rFonts w:hint="eastAsia" w:ascii="宋体" w:hAnsi="宋体" w:eastAsia="宋体" w:cs="宋体"/>
                <w:color w:val="auto"/>
                <w:sz w:val="24"/>
                <w:szCs w:val="24"/>
                <w:highlight w:val="none"/>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outlineLvl w:val="9"/>
              <w:rPr>
                <w:rFonts w:hint="eastAsia" w:ascii="宋体" w:hAnsi="宋体" w:eastAsia="宋体" w:cs="宋体"/>
                <w:b/>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outlineLvl w:val="9"/>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outlineLvl w:val="9"/>
              <w:rPr>
                <w:rFonts w:hint="eastAsia" w:ascii="宋体" w:hAnsi="宋体" w:eastAsia="宋体" w:cs="宋体"/>
                <w:color w:val="auto"/>
                <w:sz w:val="24"/>
                <w:szCs w:val="24"/>
                <w:highlight w:val="none"/>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outlineLvl w:val="9"/>
              <w:rPr>
                <w:rFonts w:hint="eastAsia" w:ascii="宋体" w:hAnsi="宋体" w:eastAsia="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outlineLvl w:val="9"/>
              <w:rPr>
                <w:rFonts w:hint="eastAsia" w:ascii="宋体" w:hAnsi="宋体" w:eastAsia="宋体" w:cs="宋体"/>
                <w:color w:val="auto"/>
                <w:sz w:val="24"/>
                <w:szCs w:val="24"/>
                <w:highlight w:val="none"/>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outlineLvl w:val="9"/>
              <w:rPr>
                <w:rFonts w:hint="eastAsia" w:ascii="宋体" w:hAnsi="宋体" w:eastAsia="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outlineLvl w:val="9"/>
              <w:rPr>
                <w:rFonts w:hint="eastAsia" w:ascii="宋体" w:hAnsi="宋体" w:eastAsia="宋体" w:cs="宋体"/>
                <w:color w:val="auto"/>
                <w:sz w:val="24"/>
                <w:szCs w:val="24"/>
                <w:highlight w:val="none"/>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outlineLvl w:val="9"/>
              <w:rPr>
                <w:rFonts w:hint="eastAsia" w:ascii="宋体" w:hAnsi="宋体" w:eastAsia="宋体" w:cs="宋体"/>
                <w:b/>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outlineLvl w:val="9"/>
              <w:rPr>
                <w:rFonts w:hint="eastAsia" w:ascii="宋体" w:hAnsi="宋体" w:eastAsia="宋体" w:cs="宋体"/>
                <w:color w:val="auto"/>
                <w:sz w:val="24"/>
                <w:szCs w:val="24"/>
                <w:highlight w:val="none"/>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outlineLvl w:val="9"/>
              <w:rPr>
                <w:rFonts w:hint="eastAsia" w:ascii="宋体" w:hAnsi="宋体" w:eastAsia="宋体" w:cs="宋体"/>
                <w:b/>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outlineLvl w:val="9"/>
              <w:rPr>
                <w:rFonts w:hint="eastAsia" w:ascii="宋体" w:hAnsi="宋体" w:eastAsia="宋体" w:cs="宋体"/>
                <w:b/>
                <w:color w:val="auto"/>
                <w:sz w:val="24"/>
                <w:szCs w:val="24"/>
                <w:highlight w:val="none"/>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outlineLvl w:val="9"/>
              <w:rPr>
                <w:rFonts w:hint="eastAsia" w:ascii="宋体" w:hAnsi="宋体" w:eastAsia="宋体" w:cs="宋体"/>
                <w:b/>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outlineLvl w:val="9"/>
              <w:rPr>
                <w:rFonts w:hint="eastAsia" w:ascii="宋体" w:hAnsi="宋体" w:eastAsia="宋体" w:cs="宋体"/>
                <w:color w:val="auto"/>
                <w:sz w:val="24"/>
                <w:szCs w:val="24"/>
                <w:highlight w:val="none"/>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outlineLvl w:val="9"/>
              <w:rPr>
                <w:rFonts w:hint="eastAsia" w:ascii="宋体" w:hAnsi="宋体" w:eastAsia="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outlineLvl w:val="9"/>
              <w:rPr>
                <w:rFonts w:hint="eastAsia" w:ascii="宋体" w:hAnsi="宋体" w:eastAsia="宋体" w:cs="宋体"/>
                <w:color w:val="auto"/>
                <w:sz w:val="24"/>
                <w:szCs w:val="24"/>
                <w:highlight w:val="none"/>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outlineLvl w:val="9"/>
              <w:rPr>
                <w:rFonts w:hint="eastAsia" w:ascii="宋体" w:hAnsi="宋体" w:eastAsia="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c>
          <w:tcPr>
            <w:tcW w:w="32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outlineLvl w:val="9"/>
              <w:rPr>
                <w:rFonts w:hint="eastAsia" w:ascii="宋体" w:hAnsi="宋体" w:eastAsia="宋体" w:cs="宋体"/>
                <w:b/>
                <w:color w:val="auto"/>
                <w:sz w:val="24"/>
                <w:szCs w:val="24"/>
                <w:highlight w:val="none"/>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outlineLvl w:val="9"/>
              <w:rPr>
                <w:rFonts w:hint="eastAsia" w:ascii="宋体" w:hAnsi="宋体" w:eastAsia="宋体" w:cs="宋体"/>
                <w:b/>
                <w:bCs/>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outlineLvl w:val="9"/>
              <w:rPr>
                <w:rFonts w:hint="eastAsia" w:ascii="宋体" w:hAnsi="宋体" w:eastAsia="宋体" w:cs="宋体"/>
                <w:b/>
                <w:color w:val="auto"/>
                <w:sz w:val="24"/>
                <w:szCs w:val="24"/>
                <w:highlight w:val="none"/>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outlineLvl w:val="9"/>
              <w:rPr>
                <w:rFonts w:hint="eastAsia" w:ascii="宋体" w:hAnsi="宋体" w:eastAsia="宋体" w:cs="宋体"/>
                <w:b/>
                <w:bCs/>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center"/>
              <w:outlineLvl w:val="9"/>
              <w:rPr>
                <w:rFonts w:hint="eastAsia" w:ascii="宋体" w:hAnsi="宋体" w:eastAsia="宋体" w:cs="宋体"/>
                <w:color w:val="auto"/>
                <w:sz w:val="24"/>
                <w:szCs w:val="24"/>
                <w:highlight w:val="none"/>
              </w:rPr>
            </w:pPr>
          </w:p>
        </w:tc>
      </w:tr>
    </w:tbl>
    <w:p>
      <w:pPr>
        <w:snapToGrid w:val="0"/>
        <w:spacing w:line="440" w:lineRule="exact"/>
        <w:ind w:left="645" w:hanging="736" w:hangingChars="30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要求具体见</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第三部分 招标需求中所有条款的内容</w:t>
      </w:r>
      <w:r>
        <w:rPr>
          <w:rFonts w:hint="eastAsia" w:ascii="宋体" w:hAnsi="宋体" w:eastAsia="宋体" w:cs="宋体"/>
          <w:color w:val="auto"/>
          <w:sz w:val="24"/>
          <w:szCs w:val="24"/>
          <w:highlight w:val="none"/>
        </w:rPr>
        <w:t>；</w:t>
      </w:r>
    </w:p>
    <w:p>
      <w:pPr>
        <w:numPr>
          <w:ilvl w:val="0"/>
          <w:numId w:val="9"/>
        </w:numPr>
        <w:snapToGrid w:val="0"/>
        <w:spacing w:line="440" w:lineRule="exact"/>
        <w:ind w:left="729" w:leftChars="227" w:hanging="252" w:hangingChars="10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是否偏离应在本表空白处醒目地注明“正偏离或无偏离或负偏离”等字样。</w:t>
      </w:r>
    </w:p>
    <w:p>
      <w:pPr>
        <w:numPr>
          <w:ilvl w:val="0"/>
          <w:numId w:val="0"/>
        </w:numPr>
        <w:snapToGrid w:val="0"/>
        <w:spacing w:line="440" w:lineRule="exact"/>
        <w:ind w:leftChars="122" w:firstLine="240" w:firstLineChars="1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3、投标人承诺：除上表列出的偏离外，供应商响应招标文件的全部招标需求。 </w:t>
      </w:r>
    </w:p>
    <w:p>
      <w:pPr>
        <w:snapToGrid w:val="0"/>
        <w:spacing w:line="440" w:lineRule="exact"/>
        <w:jc w:val="right"/>
        <w:outlineLvl w:val="9"/>
        <w:rPr>
          <w:rFonts w:hint="eastAsia" w:ascii="宋体" w:hAnsi="宋体" w:eastAsia="宋体" w:cs="宋体"/>
          <w:color w:val="auto"/>
          <w:sz w:val="24"/>
          <w:szCs w:val="24"/>
          <w:highlight w:val="none"/>
        </w:rPr>
      </w:pPr>
    </w:p>
    <w:p>
      <w:pPr>
        <w:snapToGrid w:val="0"/>
        <w:spacing w:line="440" w:lineRule="exact"/>
        <w:jc w:val="right"/>
        <w:outlineLvl w:val="9"/>
        <w:rPr>
          <w:rFonts w:hint="eastAsia" w:ascii="宋体" w:hAnsi="宋体" w:eastAsia="宋体" w:cs="宋体"/>
          <w:color w:val="auto"/>
          <w:sz w:val="24"/>
          <w:szCs w:val="24"/>
          <w:highlight w:val="none"/>
        </w:rPr>
      </w:pPr>
    </w:p>
    <w:p>
      <w:pPr>
        <w:snapToGrid w:val="0"/>
        <w:spacing w:line="440" w:lineRule="exact"/>
        <w:ind w:firstLine="240" w:firstLineChars="1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投标人名称（加盖公章）：</w:t>
      </w:r>
      <w:r>
        <w:rPr>
          <w:rFonts w:hint="eastAsia" w:ascii="宋体" w:hAnsi="宋体" w:eastAsia="宋体" w:cs="宋体"/>
          <w:color w:val="auto"/>
          <w:sz w:val="24"/>
          <w:szCs w:val="24"/>
          <w:highlight w:val="none"/>
          <w:u w:val="single"/>
        </w:rPr>
        <w:t xml:space="preserve">                        </w:t>
      </w:r>
    </w:p>
    <w:p>
      <w:pPr>
        <w:snapToGrid w:val="0"/>
        <w:spacing w:line="440" w:lineRule="exact"/>
        <w:ind w:firstLine="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法定代表人或其委托代理人（签字或盖章）：</w:t>
      </w:r>
      <w:r>
        <w:rPr>
          <w:rFonts w:hint="eastAsia" w:ascii="宋体" w:hAnsi="宋体" w:eastAsia="宋体" w:cs="宋体"/>
          <w:color w:val="auto"/>
          <w:sz w:val="24"/>
          <w:szCs w:val="24"/>
          <w:highlight w:val="none"/>
          <w:u w:val="single"/>
        </w:rPr>
        <w:t xml:space="preserve">             </w:t>
      </w:r>
    </w:p>
    <w:p>
      <w:pPr>
        <w:shd w:val="clear"/>
        <w:jc w:val="center"/>
        <w:rPr>
          <w:rFonts w:hint="eastAsia" w:ascii="宋体" w:hAnsi="宋体" w:eastAsia="宋体" w:cs="宋体"/>
          <w:b/>
          <w:color w:val="auto"/>
          <w:kern w:val="0"/>
          <w:sz w:val="24"/>
          <w:szCs w:val="24"/>
          <w:highlight w:val="none"/>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 xml:space="preserve">                                              年    月    日</w:t>
      </w:r>
    </w:p>
    <w:p>
      <w:pPr>
        <w:shd w:val="clear"/>
        <w:spacing w:line="360" w:lineRule="auto"/>
        <w:jc w:val="center"/>
        <w:outlineLvl w:val="0"/>
        <w:rPr>
          <w:rFonts w:hint="eastAsia" w:ascii="宋体" w:hAnsi="宋体" w:eastAsia="宋体" w:cs="宋体"/>
          <w:b/>
          <w:color w:val="auto"/>
          <w:kern w:val="0"/>
          <w:sz w:val="36"/>
          <w:szCs w:val="36"/>
          <w:highlight w:val="none"/>
          <w:lang w:eastAsia="zh-CN"/>
        </w:rPr>
      </w:pPr>
      <w:r>
        <w:rPr>
          <w:rFonts w:hint="eastAsia" w:ascii="宋体" w:hAnsi="宋体" w:eastAsia="宋体" w:cs="宋体"/>
          <w:b/>
          <w:color w:val="auto"/>
          <w:kern w:val="0"/>
          <w:sz w:val="36"/>
          <w:szCs w:val="36"/>
          <w:highlight w:val="none"/>
        </w:rPr>
        <w:t>报价文件部分</w:t>
      </w:r>
    </w:p>
    <w:p>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hd w:val="clear"/>
        <w:spacing w:line="360" w:lineRule="auto"/>
        <w:jc w:val="center"/>
        <w:outlineLvl w:val="0"/>
        <w:rPr>
          <w:rFonts w:hint="eastAsia" w:ascii="宋体" w:hAnsi="宋体" w:eastAsia="宋体" w:cs="宋体"/>
          <w:b/>
          <w:color w:val="auto"/>
          <w:kern w:val="0"/>
          <w:sz w:val="36"/>
          <w:szCs w:val="36"/>
          <w:highlight w:val="none"/>
        </w:rPr>
      </w:pPr>
    </w:p>
    <w:p>
      <w:pPr>
        <w:numPr>
          <w:ilvl w:val="0"/>
          <w:numId w:val="10"/>
        </w:numPr>
        <w:shd w:val="clear"/>
        <w:snapToGrid w:val="0"/>
        <w:spacing w:line="360" w:lineRule="auto"/>
        <w:ind w:left="210" w:leftChars="0" w:firstLine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封面</w:t>
      </w:r>
    </w:p>
    <w:p>
      <w:pPr>
        <w:numPr>
          <w:ilvl w:val="0"/>
          <w:numId w:val="10"/>
        </w:numPr>
        <w:shd w:val="clear"/>
        <w:snapToGrid w:val="0"/>
        <w:spacing w:line="360" w:lineRule="auto"/>
        <w:ind w:left="210" w:leftChars="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w:t>
      </w:r>
    </w:p>
    <w:p>
      <w:pPr>
        <w:numPr>
          <w:ilvl w:val="0"/>
          <w:numId w:val="10"/>
        </w:numPr>
        <w:shd w:val="clear"/>
        <w:snapToGrid w:val="0"/>
        <w:spacing w:line="360" w:lineRule="auto"/>
        <w:ind w:left="210" w:leftChars="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投标分项报价表</w:t>
      </w:r>
    </w:p>
    <w:p>
      <w:pPr>
        <w:numPr>
          <w:ilvl w:val="0"/>
          <w:numId w:val="10"/>
        </w:numPr>
        <w:shd w:val="clear"/>
        <w:snapToGrid w:val="0"/>
        <w:spacing w:line="360" w:lineRule="auto"/>
        <w:ind w:left="210" w:leftChars="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供应商认为有必要提供的其他证明资料</w:t>
      </w: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pStyle w:val="61"/>
        <w:rPr>
          <w:rFonts w:hint="eastAsia" w:ascii="宋体" w:hAnsi="宋体" w:eastAsia="宋体" w:cs="宋体"/>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pStyle w:val="691"/>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pPr>
        <w:pStyle w:val="691"/>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rPr>
        <w:t>一、开标一览表</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标项一</w:t>
      </w:r>
      <w:r>
        <w:rPr>
          <w:rFonts w:hint="eastAsia" w:ascii="宋体" w:hAnsi="宋体" w:eastAsia="宋体" w:cs="宋体"/>
          <w:color w:val="auto"/>
          <w:kern w:val="2"/>
          <w:sz w:val="32"/>
          <w:szCs w:val="32"/>
          <w:highlight w:val="none"/>
          <w:lang w:eastAsia="zh-CN"/>
        </w:rPr>
        <w:t>）</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宁波市海曙区水务设施管理中心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浙江绿邦招标代理有限公司</w:t>
      </w:r>
      <w:r>
        <w:rPr>
          <w:rFonts w:hint="eastAsia" w:ascii="宋体" w:hAnsi="宋体" w:eastAsia="宋体" w:cs="宋体"/>
          <w:color w:val="auto"/>
          <w:kern w:val="0"/>
          <w:sz w:val="24"/>
          <w:highlight w:val="none"/>
          <w:lang w:val="zh-CN"/>
        </w:rPr>
        <w:t>：</w:t>
      </w:r>
    </w:p>
    <w:p>
      <w:pPr>
        <w:shd w:val="clea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按你方招标文件要求，我们，本投标文件签字方，谨此向你方发出要约如下：如你方接受本投标，我方承诺按照如下开标一览表的价格完成</w:t>
      </w:r>
      <w:r>
        <w:rPr>
          <w:rFonts w:hint="eastAsia" w:ascii="宋体" w:hAnsi="宋体" w:eastAsia="宋体" w:cs="宋体"/>
          <w:color w:val="auto"/>
          <w:sz w:val="24"/>
          <w:highlight w:val="none"/>
          <w:lang w:eastAsia="zh-CN"/>
        </w:rPr>
        <w:t>2024年海曙区排水管道非开挖修复项目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hd w:val="clear"/>
        <w:snapToGrid w:val="0"/>
        <w:spacing w:line="360" w:lineRule="auto"/>
        <w:ind w:left="480"/>
        <w:jc w:val="center"/>
        <w:rPr>
          <w:rFonts w:hint="eastAsia" w:ascii="宋体" w:hAnsi="宋体" w:eastAsia="宋体" w:cs="宋体"/>
          <w:b/>
          <w:color w:val="auto"/>
          <w:kern w:val="0"/>
          <w:sz w:val="24"/>
          <w:highlight w:val="none"/>
          <w:lang w:val="zh-CN" w:eastAsia="zh-CN"/>
        </w:rPr>
      </w:pPr>
      <w:r>
        <w:rPr>
          <w:rFonts w:hint="eastAsia" w:ascii="宋体" w:hAnsi="宋体" w:eastAsia="宋体" w:cs="宋体"/>
          <w:b/>
          <w:color w:val="auto"/>
          <w:kern w:val="0"/>
          <w:sz w:val="24"/>
          <w:highlight w:val="none"/>
          <w:lang w:val="zh-CN"/>
        </w:rPr>
        <w:t>开标一览表（</w:t>
      </w:r>
      <w:r>
        <w:rPr>
          <w:rFonts w:hint="eastAsia" w:ascii="宋体" w:hAnsi="宋体" w:eastAsia="宋体" w:cs="宋体"/>
          <w:b/>
          <w:color w:val="auto"/>
          <w:kern w:val="0"/>
          <w:sz w:val="24"/>
          <w:highlight w:val="none"/>
          <w:lang w:val="en-US" w:eastAsia="zh-CN"/>
        </w:rPr>
        <w:t>标项一</w:t>
      </w:r>
      <w:r>
        <w:rPr>
          <w:rFonts w:hint="eastAsia" w:ascii="宋体" w:hAnsi="宋体" w:eastAsia="宋体" w:cs="宋体"/>
          <w:b/>
          <w:color w:val="auto"/>
          <w:kern w:val="0"/>
          <w:sz w:val="24"/>
          <w:highlight w:val="none"/>
          <w:lang w:val="zh-CN"/>
        </w:rPr>
        <w:t>）</w:t>
      </w:r>
    </w:p>
    <w:tbl>
      <w:tblPr>
        <w:tblStyle w:val="62"/>
        <w:tblW w:w="10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3584"/>
        <w:gridCol w:w="3015"/>
        <w:gridCol w:w="2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szCs w:val="21"/>
                <w:highlight w:val="none"/>
              </w:rPr>
            </w:pPr>
            <w:r>
              <w:rPr>
                <w:rFonts w:hint="eastAsia" w:ascii="宋体" w:hAnsi="宋体" w:eastAsia="宋体" w:cs="宋体"/>
                <w:color w:val="000000"/>
                <w:highlight w:val="none"/>
              </w:rPr>
              <w:t>序号</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szCs w:val="21"/>
                <w:highlight w:val="none"/>
              </w:rPr>
            </w:pPr>
            <w:r>
              <w:rPr>
                <w:rFonts w:hint="eastAsia" w:ascii="宋体" w:hAnsi="宋体" w:eastAsia="宋体" w:cs="宋体"/>
                <w:color w:val="000000"/>
                <w:highlight w:val="none"/>
              </w:rPr>
              <w:t>项目名称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服务期限</w:t>
            </w:r>
          </w:p>
        </w:tc>
        <w:tc>
          <w:tcPr>
            <w:tcW w:w="2811"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791" w:type="dxa"/>
            <w:tcBorders>
              <w:top w:val="single" w:color="auto" w:sz="4" w:space="0"/>
              <w:left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szCs w:val="21"/>
                <w:highlight w:val="none"/>
              </w:rPr>
            </w:pPr>
            <w:r>
              <w:rPr>
                <w:rFonts w:hint="eastAsia" w:ascii="宋体" w:hAnsi="宋体" w:eastAsia="宋体" w:cs="宋体"/>
                <w:color w:val="000000"/>
                <w:highlight w:val="none"/>
              </w:rPr>
              <w:t>1</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highlight w:val="none"/>
              </w:rPr>
            </w:pPr>
            <w:r>
              <w:rPr>
                <w:rFonts w:hint="eastAsia" w:ascii="宋体" w:hAnsi="宋体" w:eastAsia="宋体" w:cs="宋体"/>
                <w:color w:val="000000"/>
                <w:highlight w:val="none"/>
                <w:lang w:eastAsia="zh-CN"/>
              </w:rPr>
              <w:t>2024年海曙区排水管道非开挖修复项目（</w:t>
            </w:r>
            <w:r>
              <w:rPr>
                <w:rFonts w:hint="eastAsia" w:ascii="宋体" w:hAnsi="宋体" w:eastAsia="宋体" w:cs="宋体"/>
                <w:color w:val="000000"/>
                <w:highlight w:val="none"/>
                <w:lang w:val="en-US" w:eastAsia="zh-CN"/>
              </w:rPr>
              <w:t>标项一</w:t>
            </w:r>
            <w:r>
              <w:rPr>
                <w:rFonts w:hint="eastAsia" w:ascii="宋体" w:hAnsi="宋体" w:eastAsia="宋体" w:cs="宋体"/>
                <w:color w:val="000000"/>
                <w:highlight w:val="none"/>
                <w:lang w:eastAsia="zh-CN"/>
              </w:rPr>
              <w:t>）</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szCs w:val="21"/>
                <w:highlight w:val="none"/>
                <w:lang w:val="en-US" w:eastAsia="zh-CN"/>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投标声明</w:t>
            </w:r>
          </w:p>
        </w:tc>
        <w:tc>
          <w:tcPr>
            <w:tcW w:w="9410" w:type="dxa"/>
            <w:gridSpan w:val="3"/>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rPr>
                <w:rFonts w:hint="eastAsia" w:ascii="宋体" w:hAnsi="宋体" w:eastAsia="宋体" w:cs="宋体"/>
                <w:color w:val="000000"/>
                <w:szCs w:val="21"/>
                <w:highlight w:val="none"/>
              </w:rPr>
            </w:pPr>
          </w:p>
        </w:tc>
      </w:tr>
    </w:tbl>
    <w:p>
      <w:pPr>
        <w:shd w:val="clea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hd w:val="clea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hd w:val="clear"/>
        <w:snapToGrid w:val="0"/>
        <w:spacing w:line="360" w:lineRule="auto"/>
        <w:ind w:firstLine="480" w:firstLineChars="200"/>
        <w:jc w:val="left"/>
        <w:rPr>
          <w:rFonts w:hint="eastAsia" w:ascii="宋体" w:hAnsi="宋体" w:eastAsia="宋体" w:cs="宋体"/>
          <w:color w:val="auto"/>
          <w:kern w:val="2"/>
          <w:sz w:val="32"/>
          <w:szCs w:val="32"/>
          <w:highlight w:val="none"/>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pPr>
        <w:pStyle w:val="691"/>
        <w:keepNext w:val="0"/>
        <w:pageBreakBefore w:val="0"/>
        <w:numPr>
          <w:ilvl w:val="0"/>
          <w:numId w:val="0"/>
        </w:numPr>
        <w:tabs>
          <w:tab w:val="clear" w:pos="720"/>
        </w:tabs>
        <w:snapToGrid w:val="0"/>
        <w:spacing w:before="120" w:after="12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二、</w:t>
      </w:r>
      <w:r>
        <w:rPr>
          <w:rFonts w:hint="eastAsia" w:ascii="宋体" w:hAnsi="宋体" w:eastAsia="宋体" w:cs="宋体"/>
          <w:color w:val="auto"/>
          <w:sz w:val="32"/>
          <w:szCs w:val="32"/>
          <w:highlight w:val="none"/>
        </w:rPr>
        <w:t>投标分项报价表</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标项一</w:t>
      </w:r>
      <w:r>
        <w:rPr>
          <w:rFonts w:hint="eastAsia" w:ascii="宋体" w:hAnsi="宋体" w:eastAsia="宋体" w:cs="宋体"/>
          <w:color w:val="auto"/>
          <w:sz w:val="32"/>
          <w:szCs w:val="32"/>
          <w:highlight w:val="none"/>
          <w:lang w:eastAsia="zh-CN"/>
        </w:rPr>
        <w:t>）</w:t>
      </w:r>
    </w:p>
    <w:p>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宁波市海曙区水务设施管理中心、浙江绿邦招标代理有限公司：</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按你方招标文件要求，我们，本投标文件签字方，谨此向你方发出要约如下：如你方接受本投标，我方承诺按照如下投标分项报价表的价格完成</w:t>
      </w:r>
      <w:r>
        <w:rPr>
          <w:rFonts w:hint="eastAsia" w:ascii="宋体" w:hAnsi="宋体" w:eastAsia="宋体" w:cs="宋体"/>
          <w:color w:val="auto"/>
          <w:sz w:val="24"/>
          <w:highlight w:val="none"/>
          <w:lang w:eastAsia="zh-CN"/>
        </w:rPr>
        <w:t>2024年海曙区排水管道非开挖修复项目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】的实施。</w:t>
      </w:r>
    </w:p>
    <w:tbl>
      <w:tblPr>
        <w:tblStyle w:val="62"/>
        <w:tblW w:w="0" w:type="auto"/>
        <w:jc w:val="center"/>
        <w:tblLayout w:type="fixed"/>
        <w:tblCellMar>
          <w:top w:w="0" w:type="dxa"/>
          <w:left w:w="108" w:type="dxa"/>
          <w:bottom w:w="0" w:type="dxa"/>
          <w:right w:w="108" w:type="dxa"/>
        </w:tblCellMar>
      </w:tblPr>
      <w:tblGrid>
        <w:gridCol w:w="810"/>
        <w:gridCol w:w="4253"/>
        <w:gridCol w:w="992"/>
        <w:gridCol w:w="1120"/>
        <w:gridCol w:w="1351"/>
      </w:tblGrid>
      <w:tr>
        <w:tblPrEx>
          <w:tblCellMar>
            <w:top w:w="0" w:type="dxa"/>
            <w:left w:w="108" w:type="dxa"/>
            <w:bottom w:w="0" w:type="dxa"/>
            <w:right w:w="108" w:type="dxa"/>
          </w:tblCellMar>
        </w:tblPrEx>
        <w:trPr>
          <w:trHeight w:val="72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kern w:val="0"/>
                <w:szCs w:val="21"/>
                <w:highlight w:val="none"/>
              </w:rPr>
            </w:pPr>
            <w:r>
              <w:rPr>
                <w:rFonts w:hint="eastAsia" w:ascii="宋体" w:hAnsi="宋体" w:eastAsia="宋体" w:cs="宋体"/>
                <w:color w:val="auto"/>
                <w:kern w:val="0"/>
                <w:szCs w:val="21"/>
                <w:highlight w:val="none"/>
              </w:rPr>
              <w:t>序号</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服务内容</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1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kern w:val="0"/>
                <w:szCs w:val="21"/>
                <w:highlight w:val="none"/>
              </w:rPr>
            </w:pPr>
            <w:r>
              <w:rPr>
                <w:rFonts w:hint="eastAsia" w:ascii="宋体" w:hAnsi="宋体" w:eastAsia="宋体" w:cs="宋体"/>
                <w:color w:val="auto"/>
                <w:kern w:val="0"/>
                <w:szCs w:val="21"/>
                <w:highlight w:val="none"/>
                <w:lang w:val="en-US" w:eastAsia="zh-CN"/>
              </w:rPr>
              <w:t>综合</w:t>
            </w:r>
            <w:r>
              <w:rPr>
                <w:rFonts w:hint="eastAsia" w:ascii="宋体" w:hAnsi="宋体" w:eastAsia="宋体" w:cs="宋体"/>
                <w:color w:val="auto"/>
                <w:kern w:val="0"/>
                <w:szCs w:val="21"/>
                <w:highlight w:val="none"/>
              </w:rPr>
              <w:t>单价（元</w:t>
            </w:r>
            <w:r>
              <w:rPr>
                <w:rFonts w:hint="eastAsia" w:ascii="宋体" w:hAnsi="宋体" w:eastAsia="宋体" w:cs="宋体"/>
                <w:color w:val="auto"/>
                <w:kern w:val="0"/>
                <w:szCs w:val="21"/>
                <w:highlight w:val="none"/>
                <w:lang w:val="en-US" w:eastAsia="zh-CN"/>
              </w:rPr>
              <w:t>/处</w:t>
            </w:r>
            <w:r>
              <w:rPr>
                <w:rFonts w:hint="eastAsia" w:ascii="宋体" w:hAnsi="宋体" w:eastAsia="宋体" w:cs="宋体"/>
                <w:color w:val="auto"/>
                <w:kern w:val="0"/>
                <w:szCs w:val="21"/>
                <w:highlight w:val="none"/>
              </w:rPr>
              <w:t>）</w:t>
            </w:r>
          </w:p>
        </w:tc>
        <w:tc>
          <w:tcPr>
            <w:tcW w:w="13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kern w:val="0"/>
                <w:szCs w:val="21"/>
                <w:highlight w:val="none"/>
              </w:rPr>
            </w:pPr>
            <w:r>
              <w:rPr>
                <w:rFonts w:hint="eastAsia" w:ascii="宋体" w:hAnsi="宋体" w:eastAsia="宋体" w:cs="宋体"/>
                <w:color w:val="auto"/>
                <w:spacing w:val="20"/>
                <w:kern w:val="0"/>
                <w:szCs w:val="21"/>
                <w:highlight w:val="none"/>
              </w:rPr>
              <w:t>合计</w:t>
            </w:r>
            <w:r>
              <w:rPr>
                <w:rFonts w:hint="eastAsia" w:ascii="宋体" w:hAnsi="宋体" w:eastAsia="宋体" w:cs="宋体"/>
                <w:color w:val="auto"/>
                <w:kern w:val="0"/>
                <w:szCs w:val="21"/>
                <w:highlight w:val="none"/>
              </w:rPr>
              <w:t>（元）</w:t>
            </w: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1</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DN110排水管道点状原位固化法修复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1</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2</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DN160排水管道点状原位固化法修复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4</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3</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DN180排水管道点状原位固化法修复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1</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4</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DN200排水管道点状原位固化法修复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52</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5</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DN225排水管道点状原位固化法修复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11</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6</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DN250排水管道点状原位固化法修复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2</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7</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DN300排水管道点状原位固化法修复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404</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8</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DN400排水管道点状原位固化法修复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47</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9</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DN500排水管道点状原位固化法修复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24</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10</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DN600排水管道点状原位固化法修复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5</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11</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DN700排水管道点状原位固化法修复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2</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DN800排水管道点状原位固化法修复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34</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DN900排水管道点状原位固化法修复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0</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DN1000排水管道点状原位固化法修复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6</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DN1100排水管道点状原位固化法修复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3</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DN1200排水管道点状原位固化法修复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5</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DN1400排水管道点状原位固化法修复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7</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jc w:val="center"/>
        </w:trPr>
        <w:tc>
          <w:tcPr>
            <w:tcW w:w="50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6" w:lineRule="auto"/>
              <w:jc w:val="center"/>
              <w:rPr>
                <w:rFonts w:hint="eastAsia" w:ascii="宋体" w:hAnsi="宋体" w:eastAsia="宋体" w:cs="宋体"/>
                <w:b/>
                <w:color w:val="auto"/>
                <w:kern w:val="0"/>
                <w:szCs w:val="21"/>
                <w:highlight w:val="none"/>
                <w:lang w:val="en-US"/>
              </w:rPr>
            </w:pPr>
            <w:r>
              <w:rPr>
                <w:rFonts w:hint="eastAsia" w:ascii="宋体" w:hAnsi="宋体" w:eastAsia="宋体" w:cs="宋体"/>
                <w:b/>
                <w:bCs/>
                <w:color w:val="000000"/>
                <w:highlight w:val="none"/>
                <w:lang w:val="en-US" w:eastAsia="zh-CN"/>
              </w:rPr>
              <w:t>投标总价</w:t>
            </w:r>
          </w:p>
        </w:tc>
        <w:tc>
          <w:tcPr>
            <w:tcW w:w="3463"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36" w:lineRule="auto"/>
              <w:jc w:val="center"/>
              <w:rPr>
                <w:rFonts w:hint="eastAsia" w:ascii="宋体" w:hAnsi="宋体" w:eastAsia="宋体" w:cs="宋体"/>
                <w:color w:val="auto"/>
                <w:spacing w:val="20"/>
                <w:kern w:val="0"/>
                <w:szCs w:val="21"/>
                <w:highlight w:val="none"/>
              </w:rPr>
            </w:pPr>
          </w:p>
        </w:tc>
      </w:tr>
    </w:tbl>
    <w:p>
      <w:pPr>
        <w:widowControl/>
        <w:adjustRightInd/>
        <w:spacing w:line="360" w:lineRule="auto"/>
        <w:ind w:firstLine="210" w:firstLineChars="100"/>
        <w:jc w:val="left"/>
        <w:rPr>
          <w:rFonts w:hint="eastAsia" w:ascii="宋体" w:hAnsi="宋体" w:eastAsia="宋体" w:cs="宋体"/>
          <w:b/>
          <w:color w:val="auto"/>
          <w:kern w:val="0"/>
          <w:sz w:val="36"/>
          <w:szCs w:val="36"/>
          <w:highlight w:val="none"/>
        </w:rPr>
      </w:pPr>
      <w:r>
        <w:rPr>
          <w:rFonts w:hint="eastAsia" w:ascii="宋体" w:hAnsi="宋体" w:eastAsia="宋体" w:cs="宋体"/>
          <w:color w:val="auto"/>
          <w:kern w:val="0"/>
          <w:szCs w:val="20"/>
          <w:highlight w:val="none"/>
        </w:rPr>
        <w:t>备注：1）本表格供参考，供应商可根据项目实际情况自拟表格。</w:t>
      </w:r>
    </w:p>
    <w:p>
      <w:pPr>
        <w:pStyle w:val="3"/>
        <w:keepNext w:val="0"/>
        <w:keepLines w:val="0"/>
        <w:pageBreakBefore/>
        <w:widowControl/>
        <w:shd w:val="clear"/>
        <w:spacing w:before="100" w:beforeAutospacing="1" w:after="100" w:afterAutospacing="1" w:line="360" w:lineRule="auto"/>
        <w:ind w:left="1290" w:firstLine="3092" w:firstLineChars="700"/>
        <w:rPr>
          <w:rFonts w:hint="eastAsia" w:ascii="宋体" w:hAnsi="宋体" w:eastAsia="宋体" w:cs="宋体"/>
          <w:color w:val="auto"/>
          <w:highlight w:val="none"/>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decimal"/>
          <w:cols w:space="720" w:num="1"/>
          <w:titlePg/>
          <w:docGrid w:linePitch="312" w:charSpace="0"/>
        </w:sectPr>
      </w:pPr>
    </w:p>
    <w:p>
      <w:pPr>
        <w:pStyle w:val="691"/>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rPr>
        <w:t>一、开标一览表</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标项二</w:t>
      </w:r>
      <w:r>
        <w:rPr>
          <w:rFonts w:hint="eastAsia" w:ascii="宋体" w:hAnsi="宋体" w:eastAsia="宋体" w:cs="宋体"/>
          <w:color w:val="auto"/>
          <w:kern w:val="2"/>
          <w:sz w:val="32"/>
          <w:szCs w:val="32"/>
          <w:highlight w:val="none"/>
          <w:lang w:eastAsia="zh-CN"/>
        </w:rPr>
        <w:t>）</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宁波市海曙区水务设施管理中心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浙江绿邦招标代理有限公司</w:t>
      </w:r>
      <w:r>
        <w:rPr>
          <w:rFonts w:hint="eastAsia" w:ascii="宋体" w:hAnsi="宋体" w:eastAsia="宋体" w:cs="宋体"/>
          <w:color w:val="auto"/>
          <w:kern w:val="0"/>
          <w:sz w:val="24"/>
          <w:highlight w:val="none"/>
          <w:lang w:val="zh-CN"/>
        </w:rPr>
        <w:t>：</w:t>
      </w:r>
    </w:p>
    <w:p>
      <w:pPr>
        <w:shd w:val="clea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按你方招标文件要求，我们，本投标文件签字方，谨此向你方发出要约如下：如你方接受本投标，我方承诺按照如下开标一览表的价格完成</w:t>
      </w:r>
      <w:r>
        <w:rPr>
          <w:rFonts w:hint="eastAsia" w:ascii="宋体" w:hAnsi="宋体" w:eastAsia="宋体" w:cs="宋体"/>
          <w:color w:val="auto"/>
          <w:sz w:val="24"/>
          <w:highlight w:val="none"/>
          <w:lang w:eastAsia="zh-CN"/>
        </w:rPr>
        <w:t>2024年海曙区排水管道非开挖修复项目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hd w:val="clear"/>
        <w:snapToGrid w:val="0"/>
        <w:spacing w:line="360" w:lineRule="auto"/>
        <w:ind w:left="480"/>
        <w:jc w:val="center"/>
        <w:rPr>
          <w:rFonts w:hint="eastAsia" w:ascii="宋体" w:hAnsi="宋体" w:eastAsia="宋体" w:cs="宋体"/>
          <w:b/>
          <w:color w:val="auto"/>
          <w:kern w:val="0"/>
          <w:sz w:val="24"/>
          <w:highlight w:val="none"/>
          <w:lang w:val="zh-CN" w:eastAsia="zh-CN"/>
        </w:rPr>
      </w:pPr>
      <w:r>
        <w:rPr>
          <w:rFonts w:hint="eastAsia" w:ascii="宋体" w:hAnsi="宋体" w:eastAsia="宋体" w:cs="宋体"/>
          <w:b/>
          <w:color w:val="auto"/>
          <w:kern w:val="0"/>
          <w:sz w:val="24"/>
          <w:highlight w:val="none"/>
          <w:lang w:val="zh-CN"/>
        </w:rPr>
        <w:t>开标一览表（</w:t>
      </w:r>
      <w:r>
        <w:rPr>
          <w:rFonts w:hint="eastAsia" w:ascii="宋体" w:hAnsi="宋体" w:eastAsia="宋体" w:cs="宋体"/>
          <w:b/>
          <w:color w:val="auto"/>
          <w:kern w:val="0"/>
          <w:sz w:val="24"/>
          <w:highlight w:val="none"/>
          <w:lang w:val="en-US" w:eastAsia="zh-CN"/>
        </w:rPr>
        <w:t>标项二</w:t>
      </w:r>
      <w:r>
        <w:rPr>
          <w:rFonts w:hint="eastAsia" w:ascii="宋体" w:hAnsi="宋体" w:eastAsia="宋体" w:cs="宋体"/>
          <w:b/>
          <w:color w:val="auto"/>
          <w:kern w:val="0"/>
          <w:sz w:val="24"/>
          <w:highlight w:val="none"/>
          <w:lang w:val="zh-CN"/>
        </w:rPr>
        <w:t>）</w:t>
      </w:r>
    </w:p>
    <w:tbl>
      <w:tblPr>
        <w:tblStyle w:val="62"/>
        <w:tblW w:w="10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3584"/>
        <w:gridCol w:w="3015"/>
        <w:gridCol w:w="2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szCs w:val="21"/>
                <w:highlight w:val="none"/>
              </w:rPr>
            </w:pPr>
            <w:r>
              <w:rPr>
                <w:rFonts w:hint="eastAsia" w:ascii="宋体" w:hAnsi="宋体" w:eastAsia="宋体" w:cs="宋体"/>
                <w:color w:val="000000"/>
                <w:highlight w:val="none"/>
              </w:rPr>
              <w:t>序号</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szCs w:val="21"/>
                <w:highlight w:val="none"/>
              </w:rPr>
            </w:pPr>
            <w:r>
              <w:rPr>
                <w:rFonts w:hint="eastAsia" w:ascii="宋体" w:hAnsi="宋体" w:eastAsia="宋体" w:cs="宋体"/>
                <w:color w:val="000000"/>
                <w:highlight w:val="none"/>
              </w:rPr>
              <w:t>项目名称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服务期限</w:t>
            </w:r>
          </w:p>
        </w:tc>
        <w:tc>
          <w:tcPr>
            <w:tcW w:w="2811"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791" w:type="dxa"/>
            <w:tcBorders>
              <w:top w:val="single" w:color="auto" w:sz="4" w:space="0"/>
              <w:left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szCs w:val="21"/>
                <w:highlight w:val="none"/>
              </w:rPr>
            </w:pPr>
            <w:r>
              <w:rPr>
                <w:rFonts w:hint="eastAsia" w:ascii="宋体" w:hAnsi="宋体" w:eastAsia="宋体" w:cs="宋体"/>
                <w:color w:val="000000"/>
                <w:highlight w:val="none"/>
              </w:rPr>
              <w:t>1</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highlight w:val="none"/>
              </w:rPr>
            </w:pPr>
            <w:r>
              <w:rPr>
                <w:rFonts w:hint="eastAsia" w:ascii="宋体" w:hAnsi="宋体" w:eastAsia="宋体" w:cs="宋体"/>
                <w:color w:val="000000"/>
                <w:highlight w:val="none"/>
                <w:lang w:eastAsia="zh-CN"/>
              </w:rPr>
              <w:t>2024年海曙区排水管道非开挖修复项目（</w:t>
            </w:r>
            <w:r>
              <w:rPr>
                <w:rFonts w:hint="eastAsia" w:ascii="宋体" w:hAnsi="宋体" w:eastAsia="宋体" w:cs="宋体"/>
                <w:color w:val="000000"/>
                <w:highlight w:val="none"/>
                <w:lang w:val="en-US" w:eastAsia="zh-CN"/>
              </w:rPr>
              <w:t>标项二</w:t>
            </w:r>
            <w:r>
              <w:rPr>
                <w:rFonts w:hint="eastAsia" w:ascii="宋体" w:hAnsi="宋体" w:eastAsia="宋体" w:cs="宋体"/>
                <w:color w:val="000000"/>
                <w:highlight w:val="none"/>
                <w:lang w:eastAsia="zh-CN"/>
              </w:rPr>
              <w:t>）</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szCs w:val="21"/>
                <w:highlight w:val="none"/>
                <w:lang w:val="en-US" w:eastAsia="zh-CN"/>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投标声明</w:t>
            </w:r>
          </w:p>
        </w:tc>
        <w:tc>
          <w:tcPr>
            <w:tcW w:w="9410" w:type="dxa"/>
            <w:gridSpan w:val="3"/>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before="50" w:after="50"/>
              <w:rPr>
                <w:rFonts w:hint="eastAsia" w:ascii="宋体" w:hAnsi="宋体" w:eastAsia="宋体" w:cs="宋体"/>
                <w:color w:val="000000"/>
                <w:szCs w:val="21"/>
                <w:highlight w:val="none"/>
              </w:rPr>
            </w:pPr>
          </w:p>
        </w:tc>
      </w:tr>
    </w:tbl>
    <w:p>
      <w:pPr>
        <w:shd w:val="clea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hd w:val="clea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hd w:val="clear"/>
        <w:snapToGrid w:val="0"/>
        <w:spacing w:line="360" w:lineRule="auto"/>
        <w:ind w:firstLine="480" w:firstLineChars="200"/>
        <w:jc w:val="left"/>
        <w:rPr>
          <w:rFonts w:hint="eastAsia" w:ascii="宋体" w:hAnsi="宋体" w:eastAsia="宋体" w:cs="宋体"/>
          <w:color w:val="auto"/>
          <w:kern w:val="2"/>
          <w:sz w:val="32"/>
          <w:szCs w:val="32"/>
          <w:highlight w:val="none"/>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pPr>
        <w:pStyle w:val="691"/>
        <w:keepNext w:val="0"/>
        <w:pageBreakBefore w:val="0"/>
        <w:numPr>
          <w:ilvl w:val="0"/>
          <w:numId w:val="0"/>
        </w:numPr>
        <w:tabs>
          <w:tab w:val="clear" w:pos="720"/>
        </w:tabs>
        <w:snapToGrid w:val="0"/>
        <w:spacing w:before="120" w:after="12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二、</w:t>
      </w:r>
      <w:r>
        <w:rPr>
          <w:rFonts w:hint="eastAsia" w:ascii="宋体" w:hAnsi="宋体" w:eastAsia="宋体" w:cs="宋体"/>
          <w:color w:val="auto"/>
          <w:sz w:val="32"/>
          <w:szCs w:val="32"/>
          <w:highlight w:val="none"/>
        </w:rPr>
        <w:t>投标分项报价表</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标项二</w:t>
      </w:r>
      <w:r>
        <w:rPr>
          <w:rFonts w:hint="eastAsia" w:ascii="宋体" w:hAnsi="宋体" w:eastAsia="宋体" w:cs="宋体"/>
          <w:color w:val="auto"/>
          <w:sz w:val="32"/>
          <w:szCs w:val="32"/>
          <w:highlight w:val="none"/>
          <w:lang w:eastAsia="zh-CN"/>
        </w:rPr>
        <w:t>）</w:t>
      </w:r>
    </w:p>
    <w:p>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宁波市海曙区水务设施管理中心、浙江绿邦招标代理有限公司：</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按你方招标文件要求，我们，本投标文件签字方，谨此向你方发出要约如下：如你方接受本投标，我方承诺按照如下投标分项报价表的价格完成</w:t>
      </w:r>
      <w:r>
        <w:rPr>
          <w:rFonts w:hint="eastAsia" w:ascii="宋体" w:hAnsi="宋体" w:eastAsia="宋体" w:cs="宋体"/>
          <w:color w:val="auto"/>
          <w:sz w:val="24"/>
          <w:highlight w:val="none"/>
          <w:lang w:eastAsia="zh-CN"/>
        </w:rPr>
        <w:t>2024年海曙区排水管道非开挖修复项目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kern w:val="0"/>
          <w:sz w:val="24"/>
          <w:highlight w:val="non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】的实施。</w:t>
      </w:r>
    </w:p>
    <w:tbl>
      <w:tblPr>
        <w:tblStyle w:val="62"/>
        <w:tblW w:w="0" w:type="auto"/>
        <w:jc w:val="center"/>
        <w:tblLayout w:type="fixed"/>
        <w:tblCellMar>
          <w:top w:w="0" w:type="dxa"/>
          <w:left w:w="108" w:type="dxa"/>
          <w:bottom w:w="0" w:type="dxa"/>
          <w:right w:w="108" w:type="dxa"/>
        </w:tblCellMar>
      </w:tblPr>
      <w:tblGrid>
        <w:gridCol w:w="810"/>
        <w:gridCol w:w="4253"/>
        <w:gridCol w:w="992"/>
        <w:gridCol w:w="1120"/>
        <w:gridCol w:w="1351"/>
      </w:tblGrid>
      <w:tr>
        <w:tblPrEx>
          <w:tblCellMar>
            <w:top w:w="0" w:type="dxa"/>
            <w:left w:w="108" w:type="dxa"/>
            <w:bottom w:w="0" w:type="dxa"/>
            <w:right w:w="108" w:type="dxa"/>
          </w:tblCellMar>
        </w:tblPrEx>
        <w:trPr>
          <w:trHeight w:val="72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kern w:val="0"/>
                <w:szCs w:val="21"/>
                <w:highlight w:val="none"/>
              </w:rPr>
            </w:pPr>
            <w:r>
              <w:rPr>
                <w:rFonts w:hint="eastAsia" w:ascii="宋体" w:hAnsi="宋体" w:eastAsia="宋体" w:cs="宋体"/>
                <w:color w:val="auto"/>
                <w:kern w:val="0"/>
                <w:szCs w:val="21"/>
                <w:highlight w:val="none"/>
              </w:rPr>
              <w:t>序号</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服务内容</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1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kern w:val="0"/>
                <w:szCs w:val="21"/>
                <w:highlight w:val="none"/>
              </w:rPr>
            </w:pPr>
            <w:r>
              <w:rPr>
                <w:rFonts w:hint="eastAsia" w:ascii="宋体" w:hAnsi="宋体" w:eastAsia="宋体" w:cs="宋体"/>
                <w:color w:val="auto"/>
                <w:kern w:val="0"/>
                <w:szCs w:val="21"/>
                <w:highlight w:val="none"/>
                <w:lang w:val="en-US" w:eastAsia="zh-CN"/>
              </w:rPr>
              <w:t>综合</w:t>
            </w:r>
            <w:r>
              <w:rPr>
                <w:rFonts w:hint="eastAsia" w:ascii="宋体" w:hAnsi="宋体" w:eastAsia="宋体" w:cs="宋体"/>
                <w:color w:val="auto"/>
                <w:kern w:val="0"/>
                <w:szCs w:val="21"/>
                <w:highlight w:val="none"/>
              </w:rPr>
              <w:t>单价（元</w:t>
            </w:r>
            <w:r>
              <w:rPr>
                <w:rFonts w:hint="eastAsia" w:ascii="宋体" w:hAnsi="宋体" w:eastAsia="宋体" w:cs="宋体"/>
                <w:color w:val="auto"/>
                <w:kern w:val="0"/>
                <w:szCs w:val="21"/>
                <w:highlight w:val="none"/>
                <w:lang w:val="en-US" w:eastAsia="zh-CN"/>
              </w:rPr>
              <w:t>/处</w:t>
            </w:r>
            <w:r>
              <w:rPr>
                <w:rFonts w:hint="eastAsia" w:ascii="宋体" w:hAnsi="宋体" w:eastAsia="宋体" w:cs="宋体"/>
                <w:color w:val="auto"/>
                <w:kern w:val="0"/>
                <w:szCs w:val="21"/>
                <w:highlight w:val="none"/>
              </w:rPr>
              <w:t>）</w:t>
            </w:r>
          </w:p>
        </w:tc>
        <w:tc>
          <w:tcPr>
            <w:tcW w:w="13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kern w:val="0"/>
                <w:szCs w:val="21"/>
                <w:highlight w:val="none"/>
              </w:rPr>
            </w:pPr>
            <w:r>
              <w:rPr>
                <w:rFonts w:hint="eastAsia" w:ascii="宋体" w:hAnsi="宋体" w:eastAsia="宋体" w:cs="宋体"/>
                <w:color w:val="auto"/>
                <w:spacing w:val="20"/>
                <w:kern w:val="0"/>
                <w:szCs w:val="21"/>
                <w:highlight w:val="none"/>
              </w:rPr>
              <w:t>合计</w:t>
            </w:r>
            <w:r>
              <w:rPr>
                <w:rFonts w:hint="eastAsia" w:ascii="宋体" w:hAnsi="宋体" w:eastAsia="宋体" w:cs="宋体"/>
                <w:color w:val="auto"/>
                <w:kern w:val="0"/>
                <w:szCs w:val="21"/>
                <w:highlight w:val="none"/>
              </w:rPr>
              <w:t>（元）</w:t>
            </w: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1</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DN110排水管道点状原位固化法修复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1</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2</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DN160排水管道点状原位固化法修复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8</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3</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DN180排水管道点状原位固化法修复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2</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4</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DN200排水管道点状原位固化法修复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48</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5</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DN225排水管道点状原位固化法修复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50</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6</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DN250排水管道点状原位固化法修复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0</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7</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DN300排水管道点状原位固化法修复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368</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8</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DN400排水管道点状原位固化法修复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56</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9</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DN500排水管道点状原位固化法修复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46</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10</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DN600排水管道点状原位固化法修复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52</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11</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DN700排水管道点状原位固化法修复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0</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DN800排水管道点状原位固化法修复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8</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DN900排水管道点状原位固化法修复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2</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42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DN1000排水管道点状原位固化法修复</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4</w:t>
            </w:r>
          </w:p>
        </w:tc>
        <w:tc>
          <w:tcPr>
            <w:tcW w:w="112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4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DN1100排水管道点状原位固化法修复</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0</w:t>
            </w:r>
          </w:p>
        </w:tc>
        <w:tc>
          <w:tcPr>
            <w:tcW w:w="11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4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DN1200排水管道点状原位固化法修复</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0</w:t>
            </w:r>
          </w:p>
        </w:tc>
        <w:tc>
          <w:tcPr>
            <w:tcW w:w="11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trHeight w:val="39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4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DN1400排水管道点状原位固化法修复</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val="en-US" w:eastAsia="zh-CN"/>
              </w:rPr>
              <w:t>0</w:t>
            </w:r>
          </w:p>
        </w:tc>
        <w:tc>
          <w:tcPr>
            <w:tcW w:w="11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jc w:val="center"/>
        </w:trPr>
        <w:tc>
          <w:tcPr>
            <w:tcW w:w="50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6" w:lineRule="auto"/>
              <w:jc w:val="center"/>
              <w:rPr>
                <w:rFonts w:hint="eastAsia" w:ascii="宋体" w:hAnsi="宋体" w:eastAsia="宋体" w:cs="宋体"/>
                <w:b/>
                <w:color w:val="auto"/>
                <w:kern w:val="0"/>
                <w:szCs w:val="21"/>
                <w:highlight w:val="none"/>
                <w:lang w:val="en-US"/>
              </w:rPr>
            </w:pPr>
            <w:r>
              <w:rPr>
                <w:rFonts w:hint="eastAsia" w:ascii="宋体" w:hAnsi="宋体" w:eastAsia="宋体" w:cs="宋体"/>
                <w:b/>
                <w:bCs/>
                <w:color w:val="000000"/>
                <w:highlight w:val="none"/>
                <w:lang w:val="en-US" w:eastAsia="zh-CN"/>
              </w:rPr>
              <w:t>投标总价</w:t>
            </w:r>
          </w:p>
        </w:tc>
        <w:tc>
          <w:tcPr>
            <w:tcW w:w="3463"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36" w:lineRule="auto"/>
              <w:jc w:val="center"/>
              <w:rPr>
                <w:rFonts w:hint="eastAsia" w:ascii="宋体" w:hAnsi="宋体" w:eastAsia="宋体" w:cs="宋体"/>
                <w:color w:val="auto"/>
                <w:spacing w:val="20"/>
                <w:kern w:val="0"/>
                <w:szCs w:val="21"/>
                <w:highlight w:val="none"/>
              </w:rPr>
            </w:pPr>
          </w:p>
        </w:tc>
      </w:tr>
      <w:tr>
        <w:tblPrEx>
          <w:tblCellMar>
            <w:top w:w="0" w:type="dxa"/>
            <w:left w:w="108" w:type="dxa"/>
            <w:bottom w:w="0" w:type="dxa"/>
            <w:right w:w="108" w:type="dxa"/>
          </w:tblCellMar>
        </w:tblPrEx>
        <w:trPr>
          <w:jc w:val="center"/>
        </w:trPr>
        <w:tc>
          <w:tcPr>
            <w:tcW w:w="8526" w:type="dxa"/>
            <w:gridSpan w:val="5"/>
            <w:tcBorders>
              <w:top w:val="single" w:color="auto" w:sz="4" w:space="0"/>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36" w:lineRule="auto"/>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0"/>
                <w:szCs w:val="20"/>
                <w:highlight w:val="none"/>
              </w:rPr>
              <w:t>备注：1）本表格供参考，供应商可根据项目实际情况自拟表格。</w:t>
            </w:r>
          </w:p>
        </w:tc>
      </w:tr>
    </w:tbl>
    <w:p>
      <w:pPr>
        <w:pStyle w:val="3"/>
        <w:keepNext w:val="0"/>
        <w:keepLines w:val="0"/>
        <w:pageBreakBefore/>
        <w:widowControl/>
        <w:shd w:val="clear"/>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hd w:val="clea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hint="eastAsia" w:ascii="宋体" w:hAnsi="宋体" w:eastAsia="宋体" w:cs="宋体"/>
          <w:color w:val="auto"/>
          <w:sz w:val="30"/>
          <w:szCs w:val="30"/>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left"/>
        <w:rPr>
          <w:rFonts w:hint="eastAsia" w:ascii="宋体" w:hAnsi="宋体" w:eastAsia="宋体" w:cs="宋体"/>
          <w:b/>
          <w:color w:val="auto"/>
          <w:spacing w:val="6"/>
          <w:sz w:val="32"/>
          <w:szCs w:val="32"/>
          <w:highlight w:val="none"/>
        </w:rPr>
      </w:pPr>
    </w:p>
    <w:p>
      <w:pPr>
        <w:shd w:val="clear"/>
        <w:spacing w:line="360" w:lineRule="auto"/>
        <w:jc w:val="left"/>
        <w:rPr>
          <w:rFonts w:hint="eastAsia" w:ascii="宋体" w:hAnsi="宋体" w:eastAsia="宋体" w:cs="宋体"/>
          <w:b/>
          <w:color w:val="auto"/>
          <w:spacing w:val="6"/>
          <w:sz w:val="32"/>
          <w:szCs w:val="32"/>
          <w:highlight w:val="none"/>
        </w:rPr>
      </w:pPr>
    </w:p>
    <w:p>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hd w:val="clear"/>
        <w:spacing w:line="360" w:lineRule="auto"/>
        <w:jc w:val="center"/>
        <w:rPr>
          <w:rFonts w:hint="eastAsia" w:ascii="宋体" w:hAnsi="宋体" w:eastAsia="宋体" w:cs="宋体"/>
          <w:b/>
          <w:color w:val="auto"/>
          <w:sz w:val="24"/>
          <w:highlight w:val="none"/>
        </w:rPr>
      </w:pPr>
    </w:p>
    <w:p>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hd w:val="clea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hd w:val="clea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hint="eastAsia" w:ascii="宋体" w:hAnsi="宋体" w:eastAsia="宋体" w:cs="宋体"/>
          <w:b/>
          <w:color w:val="auto"/>
          <w:sz w:val="24"/>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left"/>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pPr>
        <w:shd w:val="clear"/>
        <w:spacing w:line="360" w:lineRule="auto"/>
        <w:rPr>
          <w:rFonts w:hint="eastAsia" w:ascii="宋体" w:hAnsi="宋体" w:eastAsia="宋体" w:cs="宋体"/>
          <w:color w:val="auto"/>
          <w:sz w:val="24"/>
          <w:highlight w:val="none"/>
          <w:u w:val="single"/>
        </w:rPr>
      </w:pP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宁波市海曙区水务设施管理中心</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浙江绿邦招标代理有限公司</w:t>
      </w:r>
      <w:r>
        <w:rPr>
          <w:rFonts w:hint="eastAsia" w:ascii="宋体" w:hAnsi="宋体" w:eastAsia="宋体" w:cs="宋体"/>
          <w:color w:val="auto"/>
          <w:sz w:val="24"/>
          <w:highlight w:val="none"/>
          <w:u w:val="single"/>
        </w:rPr>
        <w:t>：</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2024年海曙区排水管道非开挖修复项目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2023NBHSWT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hd w:val="clear"/>
        <w:spacing w:line="360" w:lineRule="auto"/>
        <w:ind w:firstLine="494"/>
        <w:rPr>
          <w:rFonts w:hint="eastAsia" w:ascii="宋体" w:hAnsi="宋体" w:eastAsia="宋体" w:cs="宋体"/>
          <w:color w:val="auto"/>
          <w:sz w:val="24"/>
          <w:highlight w:val="none"/>
        </w:rPr>
      </w:pPr>
    </w:p>
    <w:p>
      <w:pPr>
        <w:shd w:val="clear"/>
        <w:spacing w:line="360" w:lineRule="auto"/>
        <w:ind w:firstLine="494"/>
        <w:rPr>
          <w:rFonts w:hint="eastAsia" w:ascii="宋体" w:hAnsi="宋体" w:eastAsia="宋体" w:cs="宋体"/>
          <w:color w:val="auto"/>
          <w:sz w:val="24"/>
          <w:highlight w:val="none"/>
        </w:rPr>
      </w:pPr>
    </w:p>
    <w:p>
      <w:pPr>
        <w:shd w:val="clear"/>
        <w:spacing w:line="360" w:lineRule="auto"/>
        <w:ind w:firstLine="494"/>
        <w:rPr>
          <w:rFonts w:hint="eastAsia" w:ascii="宋体" w:hAnsi="宋体" w:eastAsia="宋体" w:cs="宋体"/>
          <w:color w:val="auto"/>
          <w:sz w:val="24"/>
          <w:highlight w:val="none"/>
        </w:rPr>
      </w:pPr>
    </w:p>
    <w:p>
      <w:pPr>
        <w:shd w:val="clear"/>
        <w:spacing w:line="360" w:lineRule="auto"/>
        <w:ind w:firstLine="494"/>
        <w:rPr>
          <w:rFonts w:hint="eastAsia" w:ascii="宋体" w:hAnsi="宋体" w:eastAsia="宋体" w:cs="宋体"/>
          <w:color w:val="auto"/>
          <w:sz w:val="24"/>
          <w:highlight w:val="none"/>
        </w:rPr>
      </w:pPr>
    </w:p>
    <w:p>
      <w:pPr>
        <w:shd w:val="clea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shd w:val="clea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hd w:val="clea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hd w:val="clea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widowControl/>
        <w:shd w:val="clear"/>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pStyle w:val="2"/>
        <w:shd w:val="clear"/>
        <w:rPr>
          <w:rFonts w:hint="eastAsia" w:ascii="宋体" w:hAnsi="宋体" w:eastAsia="宋体" w:cs="宋体"/>
          <w:color w:val="auto"/>
          <w:highlight w:val="none"/>
        </w:rPr>
        <w:sectPr>
          <w:pgSz w:w="11906" w:h="16838"/>
          <w:pgMar w:top="1276" w:right="1418" w:bottom="1247" w:left="1418" w:header="851" w:footer="992" w:gutter="0"/>
          <w:pgNumType w:fmt="decimal"/>
          <w:cols w:space="720" w:num="1"/>
          <w:titlePg/>
          <w:docGrid w:linePitch="312" w:charSpace="0"/>
        </w:sectPr>
      </w:pPr>
    </w:p>
    <w:tbl>
      <w:tblPr>
        <w:tblStyle w:val="62"/>
        <w:tblpPr w:leftFromText="180" w:rightFromText="180" w:vertAnchor="page" w:horzAnchor="margin" w:tblpXSpec="center" w:tblpY="886"/>
        <w:tblW w:w="15318" w:type="dxa"/>
        <w:jc w:val="center"/>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tblPrEx>
          <w:tblCellMar>
            <w:top w:w="0" w:type="dxa"/>
            <w:left w:w="108" w:type="dxa"/>
            <w:bottom w:w="0" w:type="dxa"/>
            <w:right w:w="108" w:type="dxa"/>
          </w:tblCellMar>
        </w:tblPrEx>
        <w:trPr>
          <w:trHeight w:val="420" w:hRule="atLeast"/>
          <w:jc w:val="center"/>
        </w:trPr>
        <w:tc>
          <w:tcPr>
            <w:tcW w:w="15318" w:type="dxa"/>
            <w:gridSpan w:val="10"/>
            <w:tcBorders>
              <w:top w:val="nil"/>
              <w:left w:val="nil"/>
              <w:bottom w:val="nil"/>
              <w:right w:val="nil"/>
            </w:tcBorders>
            <w:noWrap w:val="0"/>
            <w:vAlign w:val="bottom"/>
          </w:tcPr>
          <w:p>
            <w:pPr>
              <w:jc w:val="center"/>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中小微行业划型标准规定（根据工信部联企业〔2011〕300号制定）【以文件规定为准】</w:t>
            </w:r>
          </w:p>
        </w:tc>
      </w:tr>
      <w:tr>
        <w:tblPrEx>
          <w:tblCellMar>
            <w:top w:w="0" w:type="dxa"/>
            <w:left w:w="108" w:type="dxa"/>
            <w:bottom w:w="0" w:type="dxa"/>
            <w:right w:w="108" w:type="dxa"/>
          </w:tblCellMar>
        </w:tblPrEx>
        <w:trPr>
          <w:trHeight w:val="305" w:hRule="atLeast"/>
          <w:jc w:val="center"/>
        </w:trPr>
        <w:tc>
          <w:tcPr>
            <w:tcW w:w="2376" w:type="dxa"/>
            <w:vMerge w:val="restart"/>
            <w:tcBorders>
              <w:top w:val="single" w:color="auto" w:sz="8" w:space="0"/>
              <w:left w:val="single" w:color="auto" w:sz="8" w:space="0"/>
              <w:bottom w:val="single" w:color="000000" w:sz="4" w:space="0"/>
              <w:right w:val="single" w:color="auto" w:sz="8" w:space="0"/>
            </w:tcBorders>
            <w:noWrap w:val="0"/>
            <w:vAlign w:val="center"/>
          </w:tcPr>
          <w:p>
            <w:pPr>
              <w:jc w:val="center"/>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jc w:val="center"/>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bottom"/>
          </w:tcPr>
          <w:p>
            <w:pPr>
              <w:jc w:val="center"/>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pPr>
              <w:jc w:val="center"/>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微型企业</w:t>
            </w:r>
          </w:p>
        </w:tc>
      </w:tr>
      <w:tr>
        <w:tblPrEx>
          <w:tblCellMar>
            <w:top w:w="0" w:type="dxa"/>
            <w:left w:w="108" w:type="dxa"/>
            <w:bottom w:w="0" w:type="dxa"/>
            <w:right w:w="108" w:type="dxa"/>
          </w:tblCellMar>
        </w:tblPrEx>
        <w:trPr>
          <w:trHeight w:val="525" w:hRule="atLeast"/>
          <w:jc w:val="center"/>
        </w:trPr>
        <w:tc>
          <w:tcPr>
            <w:tcW w:w="2376" w:type="dxa"/>
            <w:vMerge w:val="continue"/>
            <w:tcBorders>
              <w:top w:val="single" w:color="auto" w:sz="8" w:space="0"/>
              <w:left w:val="single" w:color="auto" w:sz="8" w:space="0"/>
              <w:bottom w:val="single" w:color="000000" w:sz="4" w:space="0"/>
              <w:right w:val="single" w:color="auto" w:sz="8" w:space="0"/>
            </w:tcBorders>
            <w:noWrap w:val="0"/>
            <w:vAlign w:val="center"/>
          </w:tcPr>
          <w:p>
            <w:pPr>
              <w:jc w:val="left"/>
              <w:outlineLvl w:val="9"/>
              <w:rPr>
                <w:rFonts w:hint="eastAsia" w:ascii="宋体" w:hAnsi="宋体" w:eastAsia="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noWrap w:val="0"/>
            <w:vAlign w:val="bottom"/>
          </w:tcPr>
          <w:p>
            <w:pPr>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noWrap w:val="0"/>
            <w:vAlign w:val="bottom"/>
          </w:tcPr>
          <w:p>
            <w:pPr>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pPr>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noWrap w:val="0"/>
            <w:vAlign w:val="bottom"/>
          </w:tcPr>
          <w:p>
            <w:pPr>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pPr>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noWrap w:val="0"/>
            <w:vAlign w:val="bottom"/>
          </w:tcPr>
          <w:p>
            <w:pPr>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noWrap w:val="0"/>
            <w:vAlign w:val="bottom"/>
          </w:tcPr>
          <w:p>
            <w:pPr>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pPr>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noWrap w:val="0"/>
            <w:vAlign w:val="bottom"/>
          </w:tcPr>
          <w:p>
            <w:pPr>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pPr>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noWrap w:val="0"/>
            <w:vAlign w:val="bottom"/>
          </w:tcPr>
          <w:p>
            <w:pPr>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noWrap w:val="0"/>
            <w:vAlign w:val="bottom"/>
          </w:tcPr>
          <w:p>
            <w:pPr>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noWrap w:val="0"/>
            <w:vAlign w:val="bottom"/>
          </w:tcPr>
          <w:p>
            <w:pPr>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资产总额Z（万元）</w:t>
            </w: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V＜200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1000≤Y＜10000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b w:val="0"/>
                <w:bCs w:val="0"/>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b w:val="0"/>
                <w:bCs w:val="0"/>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b w:val="0"/>
                <w:bCs w:val="0"/>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b/>
                <w:bCs/>
                <w:color w:val="auto"/>
                <w:kern w:val="0"/>
                <w:sz w:val="18"/>
                <w:szCs w:val="18"/>
                <w:highlight w:val="none"/>
              </w:rPr>
            </w:pPr>
          </w:p>
        </w:tc>
        <w:tc>
          <w:tcPr>
            <w:tcW w:w="166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8000≤Z＜120000</w:t>
            </w:r>
          </w:p>
        </w:tc>
        <w:tc>
          <w:tcPr>
            <w:tcW w:w="124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b/>
                <w:bCs/>
                <w:color w:val="auto"/>
                <w:kern w:val="0"/>
                <w:sz w:val="18"/>
                <w:szCs w:val="18"/>
                <w:highlight w:val="none"/>
              </w:rPr>
            </w:pPr>
          </w:p>
        </w:tc>
        <w:tc>
          <w:tcPr>
            <w:tcW w:w="1520"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100≤Z＜8000</w:t>
            </w:r>
          </w:p>
        </w:tc>
        <w:tc>
          <w:tcPr>
            <w:tcW w:w="128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outlineLvl w:val="9"/>
              <w:rPr>
                <w:rFonts w:hint="eastAsia" w:ascii="宋体" w:hAnsi="宋体" w:eastAsia="宋体" w:cs="宋体"/>
                <w:b/>
                <w:bCs/>
                <w:color w:val="auto"/>
                <w:kern w:val="0"/>
                <w:sz w:val="18"/>
                <w:szCs w:val="18"/>
                <w:highlight w:val="none"/>
              </w:rPr>
            </w:pPr>
          </w:p>
        </w:tc>
        <w:tc>
          <w:tcPr>
            <w:tcW w:w="1221" w:type="dxa"/>
            <w:tcBorders>
              <w:top w:val="nil"/>
              <w:left w:val="nil"/>
              <w:bottom w:val="single" w:color="auto" w:sz="4" w:space="0"/>
              <w:right w:val="single" w:color="auto" w:sz="8" w:space="0"/>
            </w:tcBorders>
            <w:noWrap w:val="0"/>
            <w:vAlign w:val="bottom"/>
          </w:tcPr>
          <w:p>
            <w:pPr>
              <w:jc w:val="left"/>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Z＜100</w:t>
            </w:r>
          </w:p>
        </w:tc>
      </w:tr>
      <w:tr>
        <w:tblPrEx>
          <w:tblCellMar>
            <w:top w:w="0" w:type="dxa"/>
            <w:left w:w="108" w:type="dxa"/>
            <w:bottom w:w="0" w:type="dxa"/>
            <w:right w:w="108" w:type="dxa"/>
          </w:tblCellMar>
        </w:tblPrEx>
        <w:trPr>
          <w:trHeight w:val="397" w:hRule="atLeast"/>
          <w:jc w:val="center"/>
        </w:trPr>
        <w:tc>
          <w:tcPr>
            <w:tcW w:w="2376" w:type="dxa"/>
            <w:tcBorders>
              <w:top w:val="nil"/>
              <w:left w:val="single" w:color="auto" w:sz="8" w:space="0"/>
              <w:bottom w:val="single" w:color="auto" w:sz="8"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8"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660" w:type="dxa"/>
            <w:tcBorders>
              <w:top w:val="nil"/>
              <w:left w:val="nil"/>
              <w:bottom w:val="single" w:color="auto" w:sz="8"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40" w:type="dxa"/>
            <w:tcBorders>
              <w:top w:val="nil"/>
              <w:left w:val="nil"/>
              <w:bottom w:val="single" w:color="auto" w:sz="8"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8"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520" w:type="dxa"/>
            <w:tcBorders>
              <w:top w:val="nil"/>
              <w:left w:val="nil"/>
              <w:bottom w:val="single" w:color="auto" w:sz="8"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85" w:type="dxa"/>
            <w:tcBorders>
              <w:top w:val="nil"/>
              <w:left w:val="nil"/>
              <w:bottom w:val="single" w:color="auto" w:sz="8"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8" w:space="0"/>
              <w:right w:val="single" w:color="auto" w:sz="4" w:space="0"/>
            </w:tcBorders>
            <w:noWrap w:val="0"/>
            <w:vAlign w:val="bottom"/>
          </w:tcPr>
          <w:p>
            <w:pPr>
              <w:jc w:val="left"/>
              <w:outlineLvl w:val="9"/>
              <w:rPr>
                <w:rFonts w:hint="eastAsia" w:ascii="宋体" w:hAnsi="宋体" w:eastAsia="宋体" w:cs="宋体"/>
                <w:color w:val="auto"/>
                <w:kern w:val="0"/>
                <w:sz w:val="18"/>
                <w:szCs w:val="18"/>
                <w:highlight w:val="none"/>
              </w:rPr>
            </w:pPr>
          </w:p>
        </w:tc>
        <w:tc>
          <w:tcPr>
            <w:tcW w:w="1221" w:type="dxa"/>
            <w:tcBorders>
              <w:top w:val="nil"/>
              <w:left w:val="nil"/>
              <w:bottom w:val="single" w:color="auto" w:sz="8" w:space="0"/>
              <w:right w:val="single" w:color="auto" w:sz="8" w:space="0"/>
            </w:tcBorders>
            <w:noWrap w:val="0"/>
            <w:vAlign w:val="bottom"/>
          </w:tcPr>
          <w:p>
            <w:pPr>
              <w:jc w:val="left"/>
              <w:outlineLvl w:val="9"/>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15318" w:type="dxa"/>
            <w:gridSpan w:val="10"/>
            <w:tcBorders>
              <w:top w:val="nil"/>
              <w:left w:val="nil"/>
              <w:bottom w:val="nil"/>
              <w:right w:val="nil"/>
            </w:tcBorders>
            <w:noWrap w:val="0"/>
            <w:vAlign w:val="bottom"/>
          </w:tcPr>
          <w:p>
            <w:pPr>
              <w:jc w:val="left"/>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说明：1、企业类型的划分以统计部门的统计数据为依据。</w:t>
            </w:r>
          </w:p>
          <w:p>
            <w:pPr>
              <w:ind w:firstLine="540" w:firstLineChars="300"/>
              <w:jc w:val="left"/>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2、个体工商户和本规定以外的行业，参照本规定进行划型。</w:t>
            </w:r>
          </w:p>
          <w:p>
            <w:pPr>
              <w:ind w:firstLine="540" w:firstLineChars="300"/>
              <w:jc w:val="left"/>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3、本规定的中型企业标准上限即为大型企业标准的下限。</w:t>
            </w:r>
          </w:p>
          <w:p>
            <w:pPr>
              <w:pStyle w:val="60"/>
              <w:ind w:firstLine="542" w:firstLineChars="300"/>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4、《关于印发中小企业划型标准规定的通知(工信部联企业〔2011〕300号)》全文链接：http://zfcg.changzhou.gov.cn/print.php?fid=191352060146258</w:t>
            </w:r>
          </w:p>
        </w:tc>
      </w:tr>
    </w:tbl>
    <w:p>
      <w:pPr>
        <w:shd w:val="clear"/>
        <w:spacing w:line="360" w:lineRule="auto"/>
        <w:ind w:right="420"/>
        <w:rPr>
          <w:rFonts w:hint="eastAsia" w:ascii="宋体" w:hAnsi="宋体" w:eastAsia="宋体" w:cs="宋体"/>
          <w:color w:val="auto"/>
          <w:highlight w:val="none"/>
        </w:rPr>
      </w:pPr>
    </w:p>
    <w:p>
      <w:pPr>
        <w:shd w:val="clear"/>
        <w:spacing w:line="360" w:lineRule="auto"/>
        <w:rPr>
          <w:rFonts w:hint="eastAsia" w:ascii="宋体" w:hAnsi="宋体" w:eastAsia="宋体" w:cs="宋体"/>
          <w:bCs/>
          <w:color w:val="auto"/>
          <w:sz w:val="24"/>
          <w:highlight w:val="none"/>
        </w:rPr>
      </w:pPr>
    </w:p>
    <w:sectPr>
      <w:pgSz w:w="16838" w:h="11906" w:orient="landscape"/>
      <w:pgMar w:top="1417" w:right="1276" w:bottom="1417" w:left="124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74</w:t>
                    </w:r>
                    <w: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77</w:t>
                    </w:r>
                    <w:r>
                      <w:fldChar w:fldCharType="end"/>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53</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52</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75</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tabs>
        <w:tab w:val="center" w:pos="4535"/>
        <w:tab w:val="right" w:pos="9070"/>
      </w:tabs>
      <w:ind w:firstLine="241" w:firstLineChars="100"/>
      <w:jc w:val="both"/>
      <w:rPr>
        <w:rFonts w:ascii="仿宋_GB2312" w:eastAsia="仿宋_GB2312"/>
        <w:b w:val="0"/>
        <w:i/>
        <w:sz w:val="18"/>
        <w:u w:val="single"/>
        <w:lang w:val="en-US"/>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ascii="仿宋_GB2312" w:eastAsia="仿宋_GB2312"/>
        <w:b/>
        <w:i/>
        <w:sz w:val="18"/>
        <w:u w:val="single"/>
      </w:rPr>
    </w:pPr>
    <w:r>
      <w:t></w:t>
    </w:r>
    <w:r>
      <w:rPr>
        <w:rFonts w:hint="eastAsia"/>
      </w:rPr>
      <w:t xml:space="preserve">                                                  </w:t>
    </w:r>
    <w:r>
      <w:t xml:space="preserve">             </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rPr>
        <w:rFonts w:ascii="仿宋_GB2312" w:eastAsia="仿宋_GB2312"/>
        <w:b/>
        <w:i/>
        <w:sz w:val="18"/>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rPr>
        <w:rFonts w:hint="eastAsia" w:eastAsia="宋体"/>
        <w:lang w:eastAsia="zh-CN"/>
      </w:rPr>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u w:val="single"/>
        <w:lang w:eastAsia="zh-CN"/>
      </w:rPr>
    </w:pPr>
    <w:r>
      <w:rPr>
        <w:rFonts w:hint="eastAsia"/>
      </w:rPr>
      <w:t xml:space="preserve">                                  </w:t>
    </w:r>
    <w:r>
      <w:rPr>
        <w:rFonts w:hint="eastAsia"/>
        <w:lang w:eastAsia="zh-CN"/>
      </w:rPr>
      <w:t>宁波市政府采购公开招标文件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DAF13"/>
    <w:multiLevelType w:val="singleLevel"/>
    <w:tmpl w:val="860DAF13"/>
    <w:lvl w:ilvl="0" w:tentative="0">
      <w:start w:val="14"/>
      <w:numFmt w:val="decimal"/>
      <w:suff w:val="space"/>
      <w:lvlText w:val="%1."/>
      <w:lvlJc w:val="left"/>
    </w:lvl>
  </w:abstractNum>
  <w:abstractNum w:abstractNumId="1">
    <w:nsid w:val="C029F32E"/>
    <w:multiLevelType w:val="singleLevel"/>
    <w:tmpl w:val="C029F32E"/>
    <w:lvl w:ilvl="0" w:tentative="0">
      <w:start w:val="6"/>
      <w:numFmt w:val="chineseCounting"/>
      <w:suff w:val="space"/>
      <w:lvlText w:val="第%1部分"/>
      <w:lvlJc w:val="left"/>
      <w:rPr>
        <w:rFonts w:hint="eastAsia"/>
      </w:rPr>
    </w:lvl>
  </w:abstractNum>
  <w:abstractNum w:abstractNumId="2">
    <w:nsid w:val="C2108510"/>
    <w:multiLevelType w:val="singleLevel"/>
    <w:tmpl w:val="C2108510"/>
    <w:lvl w:ilvl="0" w:tentative="0">
      <w:start w:val="18"/>
      <w:numFmt w:val="decimal"/>
      <w:suff w:val="space"/>
      <w:lvlText w:val="%1."/>
      <w:lvlJc w:val="left"/>
    </w:lvl>
  </w:abstractNum>
  <w:abstractNum w:abstractNumId="3">
    <w:nsid w:val="D90665B9"/>
    <w:multiLevelType w:val="singleLevel"/>
    <w:tmpl w:val="D90665B9"/>
    <w:lvl w:ilvl="0" w:tentative="0">
      <w:start w:val="1"/>
      <w:numFmt w:val="decimal"/>
      <w:suff w:val="nothing"/>
      <w:lvlText w:val="（%1）"/>
      <w:lvlJc w:val="left"/>
      <w:pPr>
        <w:ind w:left="210"/>
      </w:pPr>
    </w:lvl>
  </w:abstractNum>
  <w:abstractNum w:abstractNumId="4">
    <w:nsid w:val="00000025"/>
    <w:multiLevelType w:val="singleLevel"/>
    <w:tmpl w:val="00000025"/>
    <w:lvl w:ilvl="0" w:tentative="0">
      <w:start w:val="1"/>
      <w:numFmt w:val="decimal"/>
      <w:suff w:val="nothing"/>
      <w:lvlText w:val="（%1）"/>
      <w:lvlJc w:val="left"/>
    </w:lvl>
  </w:abstractNum>
  <w:abstractNum w:abstractNumId="5">
    <w:nsid w:val="1F6555ED"/>
    <w:multiLevelType w:val="singleLevel"/>
    <w:tmpl w:val="1F6555ED"/>
    <w:lvl w:ilvl="0" w:tentative="0">
      <w:start w:val="7"/>
      <w:numFmt w:val="decimal"/>
      <w:suff w:val="space"/>
      <w:lvlText w:val="%1."/>
      <w:lvlJc w:val="left"/>
    </w:lvl>
  </w:abstractNum>
  <w:abstractNum w:abstractNumId="6">
    <w:nsid w:val="3016CF82"/>
    <w:multiLevelType w:val="singleLevel"/>
    <w:tmpl w:val="3016CF82"/>
    <w:lvl w:ilvl="0" w:tentative="0">
      <w:start w:val="17"/>
      <w:numFmt w:val="decimal"/>
      <w:suff w:val="space"/>
      <w:lvlText w:val="%1."/>
      <w:lvlJc w:val="left"/>
    </w:lvl>
  </w:abstractNum>
  <w:abstractNum w:abstractNumId="7">
    <w:nsid w:val="316F1105"/>
    <w:multiLevelType w:val="singleLevel"/>
    <w:tmpl w:val="316F1105"/>
    <w:lvl w:ilvl="0" w:tentative="0">
      <w:start w:val="30"/>
      <w:numFmt w:val="decimal"/>
      <w:suff w:val="space"/>
      <w:lvlText w:val="%1."/>
      <w:lvlJc w:val="left"/>
      <w:rPr>
        <w:rFonts w:hint="default"/>
        <w:b/>
        <w:bCs/>
      </w:rPr>
    </w:lvl>
  </w:abstractNum>
  <w:abstractNum w:abstractNumId="8">
    <w:nsid w:val="3FDDB347"/>
    <w:multiLevelType w:val="singleLevel"/>
    <w:tmpl w:val="3FDDB347"/>
    <w:lvl w:ilvl="0" w:tentative="0">
      <w:start w:val="2"/>
      <w:numFmt w:val="decimal"/>
      <w:suff w:val="nothing"/>
      <w:lvlText w:val="%1、"/>
      <w:lvlJc w:val="left"/>
    </w:lvl>
  </w:abstractNum>
  <w:abstractNum w:abstractNumId="9">
    <w:nsid w:val="69F5CE03"/>
    <w:multiLevelType w:val="singleLevel"/>
    <w:tmpl w:val="69F5CE03"/>
    <w:lvl w:ilvl="0" w:tentative="0">
      <w:start w:val="4"/>
      <w:numFmt w:val="chineseCounting"/>
      <w:suff w:val="nothing"/>
      <w:lvlText w:val="%1、"/>
      <w:lvlJc w:val="left"/>
      <w:pPr>
        <w:ind w:left="3150"/>
      </w:pPr>
      <w:rPr>
        <w:rFonts w:hint="eastAsia"/>
      </w:rPr>
    </w:lvl>
  </w:abstractNum>
  <w:num w:numId="1">
    <w:abstractNumId w:val="5"/>
  </w:num>
  <w:num w:numId="2">
    <w:abstractNumId w:val="0"/>
  </w:num>
  <w:num w:numId="3">
    <w:abstractNumId w:val="6"/>
  </w:num>
  <w:num w:numId="4">
    <w:abstractNumId w:val="2"/>
  </w:num>
  <w:num w:numId="5">
    <w:abstractNumId w:val="7"/>
  </w:num>
  <w:num w:numId="6">
    <w:abstractNumId w:val="4"/>
  </w:num>
  <w:num w:numId="7">
    <w:abstractNumId w:val="1"/>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mYwMTkyZjcyZjljMzNjNjk5MDcxNGE2NDczZWM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A680C"/>
    <w:rsid w:val="011F6449"/>
    <w:rsid w:val="01236AFB"/>
    <w:rsid w:val="019F7441"/>
    <w:rsid w:val="01A73D87"/>
    <w:rsid w:val="01B37585"/>
    <w:rsid w:val="01D55165"/>
    <w:rsid w:val="01DF6BF8"/>
    <w:rsid w:val="01EC2C57"/>
    <w:rsid w:val="025F0711"/>
    <w:rsid w:val="026B2E25"/>
    <w:rsid w:val="02824D4D"/>
    <w:rsid w:val="02DC4B10"/>
    <w:rsid w:val="02DD76CE"/>
    <w:rsid w:val="02F36323"/>
    <w:rsid w:val="02F5619C"/>
    <w:rsid w:val="0326446A"/>
    <w:rsid w:val="032D5555"/>
    <w:rsid w:val="035F4B52"/>
    <w:rsid w:val="036634D2"/>
    <w:rsid w:val="03AA5DB1"/>
    <w:rsid w:val="03DD35E4"/>
    <w:rsid w:val="04076900"/>
    <w:rsid w:val="041A5A3B"/>
    <w:rsid w:val="042311BA"/>
    <w:rsid w:val="042B157A"/>
    <w:rsid w:val="048F763B"/>
    <w:rsid w:val="049F330E"/>
    <w:rsid w:val="04AA775C"/>
    <w:rsid w:val="04AF1889"/>
    <w:rsid w:val="04E62B47"/>
    <w:rsid w:val="04F66F48"/>
    <w:rsid w:val="05251E14"/>
    <w:rsid w:val="055911A0"/>
    <w:rsid w:val="05A16594"/>
    <w:rsid w:val="05A7762D"/>
    <w:rsid w:val="060B66D9"/>
    <w:rsid w:val="060E5941"/>
    <w:rsid w:val="06110FAF"/>
    <w:rsid w:val="0627193B"/>
    <w:rsid w:val="06493CA7"/>
    <w:rsid w:val="065A6178"/>
    <w:rsid w:val="066F1CF3"/>
    <w:rsid w:val="06930BB8"/>
    <w:rsid w:val="06AC1E40"/>
    <w:rsid w:val="06F723B4"/>
    <w:rsid w:val="07245D42"/>
    <w:rsid w:val="07264C62"/>
    <w:rsid w:val="076D7821"/>
    <w:rsid w:val="0779354C"/>
    <w:rsid w:val="08061376"/>
    <w:rsid w:val="08452D77"/>
    <w:rsid w:val="086401F8"/>
    <w:rsid w:val="08751CAA"/>
    <w:rsid w:val="087E4C40"/>
    <w:rsid w:val="08A871D0"/>
    <w:rsid w:val="08D66AD6"/>
    <w:rsid w:val="08DA33A3"/>
    <w:rsid w:val="08E80F13"/>
    <w:rsid w:val="092E203A"/>
    <w:rsid w:val="09335624"/>
    <w:rsid w:val="0944690F"/>
    <w:rsid w:val="09535675"/>
    <w:rsid w:val="095F057D"/>
    <w:rsid w:val="09642282"/>
    <w:rsid w:val="09733572"/>
    <w:rsid w:val="09772C16"/>
    <w:rsid w:val="098353B5"/>
    <w:rsid w:val="09A92330"/>
    <w:rsid w:val="09B06B87"/>
    <w:rsid w:val="09C13146"/>
    <w:rsid w:val="09E04166"/>
    <w:rsid w:val="0A1C0718"/>
    <w:rsid w:val="0A27015B"/>
    <w:rsid w:val="0A3E7710"/>
    <w:rsid w:val="0A5B7E63"/>
    <w:rsid w:val="0A5C4871"/>
    <w:rsid w:val="0AA374A5"/>
    <w:rsid w:val="0AAB7649"/>
    <w:rsid w:val="0ABC5606"/>
    <w:rsid w:val="0B30404E"/>
    <w:rsid w:val="0B4C6C14"/>
    <w:rsid w:val="0B547599"/>
    <w:rsid w:val="0B631A88"/>
    <w:rsid w:val="0B683D45"/>
    <w:rsid w:val="0B7F3F11"/>
    <w:rsid w:val="0B884417"/>
    <w:rsid w:val="0BF6188C"/>
    <w:rsid w:val="0BF73C91"/>
    <w:rsid w:val="0C170175"/>
    <w:rsid w:val="0C3C0BEA"/>
    <w:rsid w:val="0C571A41"/>
    <w:rsid w:val="0C5C1171"/>
    <w:rsid w:val="0C5E1CBC"/>
    <w:rsid w:val="0C615B50"/>
    <w:rsid w:val="0C8445DA"/>
    <w:rsid w:val="0C87121B"/>
    <w:rsid w:val="0CC007F7"/>
    <w:rsid w:val="0CC617AC"/>
    <w:rsid w:val="0CCE0D62"/>
    <w:rsid w:val="0CE618DF"/>
    <w:rsid w:val="0CFE707A"/>
    <w:rsid w:val="0D063BDA"/>
    <w:rsid w:val="0D08375F"/>
    <w:rsid w:val="0D184CFB"/>
    <w:rsid w:val="0D304BA3"/>
    <w:rsid w:val="0D4A7419"/>
    <w:rsid w:val="0D827401"/>
    <w:rsid w:val="0D84094E"/>
    <w:rsid w:val="0D8A00E9"/>
    <w:rsid w:val="0D8D589E"/>
    <w:rsid w:val="0DA01C73"/>
    <w:rsid w:val="0DD63300"/>
    <w:rsid w:val="0DE85E53"/>
    <w:rsid w:val="0DF50604"/>
    <w:rsid w:val="0DF702FE"/>
    <w:rsid w:val="0E060E51"/>
    <w:rsid w:val="0E5604B2"/>
    <w:rsid w:val="0E592082"/>
    <w:rsid w:val="0E6D5D79"/>
    <w:rsid w:val="0E9D0089"/>
    <w:rsid w:val="0EB803EE"/>
    <w:rsid w:val="0EF94D4B"/>
    <w:rsid w:val="0F1A19E5"/>
    <w:rsid w:val="0F4958DC"/>
    <w:rsid w:val="0F515DF7"/>
    <w:rsid w:val="0F596BA8"/>
    <w:rsid w:val="0F6248D2"/>
    <w:rsid w:val="0F693536"/>
    <w:rsid w:val="0F7B0511"/>
    <w:rsid w:val="0F7B76D9"/>
    <w:rsid w:val="0F816ACD"/>
    <w:rsid w:val="0F9832DB"/>
    <w:rsid w:val="0FA9345E"/>
    <w:rsid w:val="0FBF3FD2"/>
    <w:rsid w:val="0FBF7FF3"/>
    <w:rsid w:val="10646583"/>
    <w:rsid w:val="107D4B15"/>
    <w:rsid w:val="108A3C80"/>
    <w:rsid w:val="10C26171"/>
    <w:rsid w:val="10F33360"/>
    <w:rsid w:val="10FC16EA"/>
    <w:rsid w:val="110C3C07"/>
    <w:rsid w:val="110F1D40"/>
    <w:rsid w:val="11266F33"/>
    <w:rsid w:val="118963A1"/>
    <w:rsid w:val="11C6522A"/>
    <w:rsid w:val="11E104CC"/>
    <w:rsid w:val="11E20309"/>
    <w:rsid w:val="12255233"/>
    <w:rsid w:val="12530213"/>
    <w:rsid w:val="127723A9"/>
    <w:rsid w:val="12862074"/>
    <w:rsid w:val="12883966"/>
    <w:rsid w:val="128E7A56"/>
    <w:rsid w:val="129E45B4"/>
    <w:rsid w:val="12D81596"/>
    <w:rsid w:val="13072A44"/>
    <w:rsid w:val="135F4BE2"/>
    <w:rsid w:val="136C6BDF"/>
    <w:rsid w:val="139B1A0A"/>
    <w:rsid w:val="139D25C7"/>
    <w:rsid w:val="13BF3CE4"/>
    <w:rsid w:val="13DC6596"/>
    <w:rsid w:val="13F552E3"/>
    <w:rsid w:val="141008D8"/>
    <w:rsid w:val="14125FE6"/>
    <w:rsid w:val="146D271E"/>
    <w:rsid w:val="14982588"/>
    <w:rsid w:val="149A5AD9"/>
    <w:rsid w:val="14A7619D"/>
    <w:rsid w:val="14B20F69"/>
    <w:rsid w:val="150536C3"/>
    <w:rsid w:val="150C1963"/>
    <w:rsid w:val="151447A0"/>
    <w:rsid w:val="154A6454"/>
    <w:rsid w:val="15762120"/>
    <w:rsid w:val="157B6F93"/>
    <w:rsid w:val="158B65C1"/>
    <w:rsid w:val="16145A82"/>
    <w:rsid w:val="16A8729C"/>
    <w:rsid w:val="16B33777"/>
    <w:rsid w:val="16BC70A7"/>
    <w:rsid w:val="16C6339E"/>
    <w:rsid w:val="16D621CD"/>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35399"/>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731769"/>
    <w:rsid w:val="1E802593"/>
    <w:rsid w:val="1E8B6156"/>
    <w:rsid w:val="1EA703CC"/>
    <w:rsid w:val="1EB7330C"/>
    <w:rsid w:val="1EDD4E34"/>
    <w:rsid w:val="1F0A0FF3"/>
    <w:rsid w:val="1F2B2044"/>
    <w:rsid w:val="1F5771FF"/>
    <w:rsid w:val="1FD52DD5"/>
    <w:rsid w:val="1FE868A9"/>
    <w:rsid w:val="20034907"/>
    <w:rsid w:val="20173E4B"/>
    <w:rsid w:val="203942EC"/>
    <w:rsid w:val="203C3DDD"/>
    <w:rsid w:val="204E48BC"/>
    <w:rsid w:val="208921B3"/>
    <w:rsid w:val="20973DEB"/>
    <w:rsid w:val="20B26522"/>
    <w:rsid w:val="20B44310"/>
    <w:rsid w:val="20F052F3"/>
    <w:rsid w:val="211116EB"/>
    <w:rsid w:val="216133FC"/>
    <w:rsid w:val="21D56769"/>
    <w:rsid w:val="21E52EF3"/>
    <w:rsid w:val="21FB5D7B"/>
    <w:rsid w:val="22015E94"/>
    <w:rsid w:val="220B1C3D"/>
    <w:rsid w:val="221D1D20"/>
    <w:rsid w:val="22334A87"/>
    <w:rsid w:val="22496CD1"/>
    <w:rsid w:val="22BE6801"/>
    <w:rsid w:val="22DD5403"/>
    <w:rsid w:val="233500BF"/>
    <w:rsid w:val="23377FF7"/>
    <w:rsid w:val="234C3721"/>
    <w:rsid w:val="236B425F"/>
    <w:rsid w:val="23836192"/>
    <w:rsid w:val="23901F29"/>
    <w:rsid w:val="239C0061"/>
    <w:rsid w:val="23B908A4"/>
    <w:rsid w:val="23CB712D"/>
    <w:rsid w:val="23E95BEF"/>
    <w:rsid w:val="23FD0064"/>
    <w:rsid w:val="245375B0"/>
    <w:rsid w:val="24642C0A"/>
    <w:rsid w:val="249206AE"/>
    <w:rsid w:val="24B22173"/>
    <w:rsid w:val="24B95AD9"/>
    <w:rsid w:val="24BE24DA"/>
    <w:rsid w:val="24CF5825"/>
    <w:rsid w:val="24D663E6"/>
    <w:rsid w:val="24D77F2B"/>
    <w:rsid w:val="258B00E2"/>
    <w:rsid w:val="25A917A6"/>
    <w:rsid w:val="25BE27CC"/>
    <w:rsid w:val="25DA20CE"/>
    <w:rsid w:val="25F74A5C"/>
    <w:rsid w:val="25FD5DBC"/>
    <w:rsid w:val="2628662C"/>
    <w:rsid w:val="262D45DE"/>
    <w:rsid w:val="266126EB"/>
    <w:rsid w:val="26871DC8"/>
    <w:rsid w:val="26A53EF9"/>
    <w:rsid w:val="26A94201"/>
    <w:rsid w:val="26AC274F"/>
    <w:rsid w:val="27044A29"/>
    <w:rsid w:val="271D34C8"/>
    <w:rsid w:val="276142BF"/>
    <w:rsid w:val="27783712"/>
    <w:rsid w:val="278B7B24"/>
    <w:rsid w:val="27907362"/>
    <w:rsid w:val="27CD2FC0"/>
    <w:rsid w:val="281E2337"/>
    <w:rsid w:val="28333E1D"/>
    <w:rsid w:val="28432A8E"/>
    <w:rsid w:val="28454BD6"/>
    <w:rsid w:val="28455253"/>
    <w:rsid w:val="28551971"/>
    <w:rsid w:val="285B1C53"/>
    <w:rsid w:val="289F7086"/>
    <w:rsid w:val="28C32028"/>
    <w:rsid w:val="28CC490F"/>
    <w:rsid w:val="28DE40AA"/>
    <w:rsid w:val="2907571B"/>
    <w:rsid w:val="29272709"/>
    <w:rsid w:val="29345E77"/>
    <w:rsid w:val="294C65AD"/>
    <w:rsid w:val="29806583"/>
    <w:rsid w:val="298B3C4C"/>
    <w:rsid w:val="29F26D24"/>
    <w:rsid w:val="2A0A186E"/>
    <w:rsid w:val="2A15033F"/>
    <w:rsid w:val="2A1662C1"/>
    <w:rsid w:val="2A1C7367"/>
    <w:rsid w:val="2A2815FA"/>
    <w:rsid w:val="2A32120C"/>
    <w:rsid w:val="2A6D6092"/>
    <w:rsid w:val="2A7D76B4"/>
    <w:rsid w:val="2AE412F9"/>
    <w:rsid w:val="2AFC414B"/>
    <w:rsid w:val="2B437463"/>
    <w:rsid w:val="2B7807EE"/>
    <w:rsid w:val="2BA50BF7"/>
    <w:rsid w:val="2BBF00EC"/>
    <w:rsid w:val="2BC37CFD"/>
    <w:rsid w:val="2BD5237F"/>
    <w:rsid w:val="2BE536CE"/>
    <w:rsid w:val="2BE758D9"/>
    <w:rsid w:val="2C09049E"/>
    <w:rsid w:val="2C0A653C"/>
    <w:rsid w:val="2C107FEF"/>
    <w:rsid w:val="2C191F85"/>
    <w:rsid w:val="2CD87AB8"/>
    <w:rsid w:val="2CE82D6F"/>
    <w:rsid w:val="2D343236"/>
    <w:rsid w:val="2D3619B4"/>
    <w:rsid w:val="2D5C23F2"/>
    <w:rsid w:val="2DB476A8"/>
    <w:rsid w:val="2DD15014"/>
    <w:rsid w:val="2DF72DE4"/>
    <w:rsid w:val="2E0220AF"/>
    <w:rsid w:val="2E4B082A"/>
    <w:rsid w:val="2E5D4E86"/>
    <w:rsid w:val="2E5D790B"/>
    <w:rsid w:val="2E9A3C18"/>
    <w:rsid w:val="2EBB0FEE"/>
    <w:rsid w:val="2EC63002"/>
    <w:rsid w:val="2F0A6B38"/>
    <w:rsid w:val="2F19506B"/>
    <w:rsid w:val="2F946CCB"/>
    <w:rsid w:val="2FD25781"/>
    <w:rsid w:val="2FDC745C"/>
    <w:rsid w:val="2FF73CD3"/>
    <w:rsid w:val="2FFD7934"/>
    <w:rsid w:val="30733ACD"/>
    <w:rsid w:val="308C3862"/>
    <w:rsid w:val="309379D8"/>
    <w:rsid w:val="30A270F7"/>
    <w:rsid w:val="30DF1478"/>
    <w:rsid w:val="30EC586F"/>
    <w:rsid w:val="314550B7"/>
    <w:rsid w:val="319C6071"/>
    <w:rsid w:val="31AC537E"/>
    <w:rsid w:val="31E3679B"/>
    <w:rsid w:val="31E732FD"/>
    <w:rsid w:val="320A5AE9"/>
    <w:rsid w:val="32517576"/>
    <w:rsid w:val="32BE5C2C"/>
    <w:rsid w:val="32FB6478"/>
    <w:rsid w:val="33263B3F"/>
    <w:rsid w:val="33656452"/>
    <w:rsid w:val="336963EB"/>
    <w:rsid w:val="33816EEB"/>
    <w:rsid w:val="33EB55CD"/>
    <w:rsid w:val="33EC4C02"/>
    <w:rsid w:val="340D2360"/>
    <w:rsid w:val="3410665D"/>
    <w:rsid w:val="34211214"/>
    <w:rsid w:val="342E63AB"/>
    <w:rsid w:val="34950E68"/>
    <w:rsid w:val="34986E94"/>
    <w:rsid w:val="34AF62C9"/>
    <w:rsid w:val="34CB4388"/>
    <w:rsid w:val="34FA6E12"/>
    <w:rsid w:val="35457E70"/>
    <w:rsid w:val="354D7158"/>
    <w:rsid w:val="357839D6"/>
    <w:rsid w:val="358D5588"/>
    <w:rsid w:val="363A3B40"/>
    <w:rsid w:val="365302AE"/>
    <w:rsid w:val="36607A0A"/>
    <w:rsid w:val="366E227C"/>
    <w:rsid w:val="366F2E0D"/>
    <w:rsid w:val="367B6A5C"/>
    <w:rsid w:val="36A74ADA"/>
    <w:rsid w:val="36AD60D5"/>
    <w:rsid w:val="36B224F9"/>
    <w:rsid w:val="36EC0CC9"/>
    <w:rsid w:val="36F6277F"/>
    <w:rsid w:val="373F410B"/>
    <w:rsid w:val="37DC1CD5"/>
    <w:rsid w:val="37EE7094"/>
    <w:rsid w:val="38296C89"/>
    <w:rsid w:val="383002EB"/>
    <w:rsid w:val="38586797"/>
    <w:rsid w:val="38BC0149"/>
    <w:rsid w:val="38D87D1C"/>
    <w:rsid w:val="39636459"/>
    <w:rsid w:val="396B7F6C"/>
    <w:rsid w:val="397C1E1B"/>
    <w:rsid w:val="39B417A9"/>
    <w:rsid w:val="39C17AE2"/>
    <w:rsid w:val="39FC5695"/>
    <w:rsid w:val="3A006D8E"/>
    <w:rsid w:val="3A3651E5"/>
    <w:rsid w:val="3A744481"/>
    <w:rsid w:val="3A8C7BEF"/>
    <w:rsid w:val="3A906246"/>
    <w:rsid w:val="3AFA28D7"/>
    <w:rsid w:val="3B027CA5"/>
    <w:rsid w:val="3B2349B7"/>
    <w:rsid w:val="3B282647"/>
    <w:rsid w:val="3B616CFF"/>
    <w:rsid w:val="3B6259F6"/>
    <w:rsid w:val="3B976654"/>
    <w:rsid w:val="3B9D79CE"/>
    <w:rsid w:val="3BC01EFC"/>
    <w:rsid w:val="3BCA786A"/>
    <w:rsid w:val="3BD31E2F"/>
    <w:rsid w:val="3BE473AB"/>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A3A3F"/>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82986"/>
    <w:rsid w:val="3FBD419A"/>
    <w:rsid w:val="4019356B"/>
    <w:rsid w:val="40592157"/>
    <w:rsid w:val="406E1CAE"/>
    <w:rsid w:val="40A0133A"/>
    <w:rsid w:val="40C31A53"/>
    <w:rsid w:val="40FF545D"/>
    <w:rsid w:val="410067C8"/>
    <w:rsid w:val="41631A43"/>
    <w:rsid w:val="418F0D2A"/>
    <w:rsid w:val="41D01505"/>
    <w:rsid w:val="42256D4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4D3951"/>
    <w:rsid w:val="456D3CE4"/>
    <w:rsid w:val="4579042C"/>
    <w:rsid w:val="457F0571"/>
    <w:rsid w:val="45851176"/>
    <w:rsid w:val="45C63B94"/>
    <w:rsid w:val="460E7DA5"/>
    <w:rsid w:val="46395C97"/>
    <w:rsid w:val="46422483"/>
    <w:rsid w:val="4659254A"/>
    <w:rsid w:val="465B0637"/>
    <w:rsid w:val="465E3F0D"/>
    <w:rsid w:val="466A16E6"/>
    <w:rsid w:val="46893F2B"/>
    <w:rsid w:val="46C4686E"/>
    <w:rsid w:val="477B778F"/>
    <w:rsid w:val="478203EC"/>
    <w:rsid w:val="47B025FA"/>
    <w:rsid w:val="4809698F"/>
    <w:rsid w:val="4811697D"/>
    <w:rsid w:val="481937BC"/>
    <w:rsid w:val="48505B86"/>
    <w:rsid w:val="487A3E25"/>
    <w:rsid w:val="488B5503"/>
    <w:rsid w:val="48937E21"/>
    <w:rsid w:val="489A0361"/>
    <w:rsid w:val="48B94FF3"/>
    <w:rsid w:val="48E37AAB"/>
    <w:rsid w:val="48FD4B4C"/>
    <w:rsid w:val="49066E84"/>
    <w:rsid w:val="490A68E0"/>
    <w:rsid w:val="491055FE"/>
    <w:rsid w:val="495F5B3E"/>
    <w:rsid w:val="496F77D7"/>
    <w:rsid w:val="497654FD"/>
    <w:rsid w:val="49B64211"/>
    <w:rsid w:val="49C01457"/>
    <w:rsid w:val="49E56AF9"/>
    <w:rsid w:val="49F6167F"/>
    <w:rsid w:val="4A064FA0"/>
    <w:rsid w:val="4A100F23"/>
    <w:rsid w:val="4A16615C"/>
    <w:rsid w:val="4A4424D7"/>
    <w:rsid w:val="4AB82D0F"/>
    <w:rsid w:val="4AC53A65"/>
    <w:rsid w:val="4AEB7664"/>
    <w:rsid w:val="4AFD7C19"/>
    <w:rsid w:val="4B0567D1"/>
    <w:rsid w:val="4B236AAE"/>
    <w:rsid w:val="4B27210C"/>
    <w:rsid w:val="4B707271"/>
    <w:rsid w:val="4B9739F7"/>
    <w:rsid w:val="4BCA1FA1"/>
    <w:rsid w:val="4BD44D46"/>
    <w:rsid w:val="4BEE2503"/>
    <w:rsid w:val="4C245A30"/>
    <w:rsid w:val="4CB6685F"/>
    <w:rsid w:val="4CC367FE"/>
    <w:rsid w:val="4D077F3C"/>
    <w:rsid w:val="4D123355"/>
    <w:rsid w:val="4D2A3B31"/>
    <w:rsid w:val="4D312C52"/>
    <w:rsid w:val="4D905305"/>
    <w:rsid w:val="4D964A72"/>
    <w:rsid w:val="4D9C1254"/>
    <w:rsid w:val="4E793892"/>
    <w:rsid w:val="4E800872"/>
    <w:rsid w:val="4E86609F"/>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0013E"/>
    <w:rsid w:val="5244713B"/>
    <w:rsid w:val="52615633"/>
    <w:rsid w:val="526F4DE4"/>
    <w:rsid w:val="52977FD4"/>
    <w:rsid w:val="52A25790"/>
    <w:rsid w:val="52A96B6F"/>
    <w:rsid w:val="52B21B59"/>
    <w:rsid w:val="52B45975"/>
    <w:rsid w:val="52D94AA4"/>
    <w:rsid w:val="52EA3A62"/>
    <w:rsid w:val="52F50BB8"/>
    <w:rsid w:val="53097272"/>
    <w:rsid w:val="53544462"/>
    <w:rsid w:val="5397158E"/>
    <w:rsid w:val="54013861"/>
    <w:rsid w:val="542C7307"/>
    <w:rsid w:val="54487265"/>
    <w:rsid w:val="544D6070"/>
    <w:rsid w:val="54605E1E"/>
    <w:rsid w:val="54877ACD"/>
    <w:rsid w:val="54B3506A"/>
    <w:rsid w:val="54CA0D16"/>
    <w:rsid w:val="54DD4057"/>
    <w:rsid w:val="54E7490F"/>
    <w:rsid w:val="550764A4"/>
    <w:rsid w:val="550B2BF6"/>
    <w:rsid w:val="55202DAA"/>
    <w:rsid w:val="55214EB5"/>
    <w:rsid w:val="55364EFD"/>
    <w:rsid w:val="553E5926"/>
    <w:rsid w:val="55570796"/>
    <w:rsid w:val="555D4828"/>
    <w:rsid w:val="55747599"/>
    <w:rsid w:val="557A4C8B"/>
    <w:rsid w:val="558931E1"/>
    <w:rsid w:val="55923347"/>
    <w:rsid w:val="55925180"/>
    <w:rsid w:val="55983B1B"/>
    <w:rsid w:val="55A8376B"/>
    <w:rsid w:val="55DC29B6"/>
    <w:rsid w:val="55DD4241"/>
    <w:rsid w:val="566B6D1E"/>
    <w:rsid w:val="57032A2C"/>
    <w:rsid w:val="570F5219"/>
    <w:rsid w:val="5731646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C0CEB"/>
    <w:rsid w:val="595E1678"/>
    <w:rsid w:val="596D5BD4"/>
    <w:rsid w:val="597E3DD8"/>
    <w:rsid w:val="598C3104"/>
    <w:rsid w:val="59F80043"/>
    <w:rsid w:val="5A09252F"/>
    <w:rsid w:val="5A0B2778"/>
    <w:rsid w:val="5A2A7C7B"/>
    <w:rsid w:val="5A3E2560"/>
    <w:rsid w:val="5A5D3B6E"/>
    <w:rsid w:val="5A637A76"/>
    <w:rsid w:val="5A6D33BA"/>
    <w:rsid w:val="5A7469E7"/>
    <w:rsid w:val="5A792B1F"/>
    <w:rsid w:val="5A874767"/>
    <w:rsid w:val="5AA85BE2"/>
    <w:rsid w:val="5AAD6F28"/>
    <w:rsid w:val="5AD63A24"/>
    <w:rsid w:val="5B2E1A1D"/>
    <w:rsid w:val="5B843A1C"/>
    <w:rsid w:val="5B873E3F"/>
    <w:rsid w:val="5BA83AF9"/>
    <w:rsid w:val="5C02690E"/>
    <w:rsid w:val="5C1271C4"/>
    <w:rsid w:val="5C196DA7"/>
    <w:rsid w:val="5C2A048C"/>
    <w:rsid w:val="5C80234E"/>
    <w:rsid w:val="5C8A680C"/>
    <w:rsid w:val="5CB423BA"/>
    <w:rsid w:val="5D0C4701"/>
    <w:rsid w:val="5D0F0395"/>
    <w:rsid w:val="5D221076"/>
    <w:rsid w:val="5D227A80"/>
    <w:rsid w:val="5D397964"/>
    <w:rsid w:val="5D5A391C"/>
    <w:rsid w:val="5D5F10C0"/>
    <w:rsid w:val="5D891B7B"/>
    <w:rsid w:val="5DAD38EE"/>
    <w:rsid w:val="5DB27D4B"/>
    <w:rsid w:val="5E006862"/>
    <w:rsid w:val="5E0207B9"/>
    <w:rsid w:val="5E1834A1"/>
    <w:rsid w:val="5E261785"/>
    <w:rsid w:val="5E266935"/>
    <w:rsid w:val="5E4A7017"/>
    <w:rsid w:val="5E552BBA"/>
    <w:rsid w:val="5E611C10"/>
    <w:rsid w:val="5E7A0F3F"/>
    <w:rsid w:val="5EC55E0B"/>
    <w:rsid w:val="5EFC7377"/>
    <w:rsid w:val="5F06174D"/>
    <w:rsid w:val="5F3A3602"/>
    <w:rsid w:val="5F426012"/>
    <w:rsid w:val="5F45733B"/>
    <w:rsid w:val="5F6277C6"/>
    <w:rsid w:val="5F6D0B1D"/>
    <w:rsid w:val="5F8D0B82"/>
    <w:rsid w:val="5FCC5339"/>
    <w:rsid w:val="5FE34A5B"/>
    <w:rsid w:val="5FFE1E36"/>
    <w:rsid w:val="600F05EB"/>
    <w:rsid w:val="60232584"/>
    <w:rsid w:val="607330CE"/>
    <w:rsid w:val="60825176"/>
    <w:rsid w:val="609F2AC4"/>
    <w:rsid w:val="60D36795"/>
    <w:rsid w:val="60FA2EE8"/>
    <w:rsid w:val="61054A27"/>
    <w:rsid w:val="610A52BC"/>
    <w:rsid w:val="611D2366"/>
    <w:rsid w:val="613D15C5"/>
    <w:rsid w:val="61421856"/>
    <w:rsid w:val="615227C4"/>
    <w:rsid w:val="61654E3F"/>
    <w:rsid w:val="61686204"/>
    <w:rsid w:val="6182292A"/>
    <w:rsid w:val="619F7F92"/>
    <w:rsid w:val="61E67129"/>
    <w:rsid w:val="61F07FA8"/>
    <w:rsid w:val="61F94C26"/>
    <w:rsid w:val="62000E56"/>
    <w:rsid w:val="624F3E49"/>
    <w:rsid w:val="62632286"/>
    <w:rsid w:val="62885958"/>
    <w:rsid w:val="62A90EC7"/>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57CF3"/>
    <w:rsid w:val="64C158BF"/>
    <w:rsid w:val="64CE2EAA"/>
    <w:rsid w:val="651B3DD6"/>
    <w:rsid w:val="653C3090"/>
    <w:rsid w:val="65854376"/>
    <w:rsid w:val="658767BE"/>
    <w:rsid w:val="65892531"/>
    <w:rsid w:val="66195831"/>
    <w:rsid w:val="662E75B1"/>
    <w:rsid w:val="66342C2E"/>
    <w:rsid w:val="663E784C"/>
    <w:rsid w:val="668B6A45"/>
    <w:rsid w:val="67011F07"/>
    <w:rsid w:val="6727446C"/>
    <w:rsid w:val="672F3F24"/>
    <w:rsid w:val="673E055F"/>
    <w:rsid w:val="67551CE3"/>
    <w:rsid w:val="67A22552"/>
    <w:rsid w:val="67B22DCC"/>
    <w:rsid w:val="67BE71AA"/>
    <w:rsid w:val="67CA4DF7"/>
    <w:rsid w:val="67CA6B60"/>
    <w:rsid w:val="67D90273"/>
    <w:rsid w:val="67DE5875"/>
    <w:rsid w:val="67E55852"/>
    <w:rsid w:val="67EB1AB4"/>
    <w:rsid w:val="67FA1285"/>
    <w:rsid w:val="68551F4F"/>
    <w:rsid w:val="687C10C9"/>
    <w:rsid w:val="68840C16"/>
    <w:rsid w:val="68872541"/>
    <w:rsid w:val="68876EFB"/>
    <w:rsid w:val="68884654"/>
    <w:rsid w:val="689B3FAD"/>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045876"/>
    <w:rsid w:val="6C196F71"/>
    <w:rsid w:val="6C226FCB"/>
    <w:rsid w:val="6C31226F"/>
    <w:rsid w:val="6C53684F"/>
    <w:rsid w:val="6C552F0B"/>
    <w:rsid w:val="6C8C67B7"/>
    <w:rsid w:val="6C9D744C"/>
    <w:rsid w:val="6D167928"/>
    <w:rsid w:val="6D26299B"/>
    <w:rsid w:val="6D3C2A7C"/>
    <w:rsid w:val="6D4772EC"/>
    <w:rsid w:val="6D9078AF"/>
    <w:rsid w:val="6DA22A9E"/>
    <w:rsid w:val="6DAA3FEF"/>
    <w:rsid w:val="6DC0172B"/>
    <w:rsid w:val="6DCB690C"/>
    <w:rsid w:val="6DD41A5B"/>
    <w:rsid w:val="6DF43C2E"/>
    <w:rsid w:val="6DF51CA3"/>
    <w:rsid w:val="6E3B6D91"/>
    <w:rsid w:val="6E6164B5"/>
    <w:rsid w:val="6E8335BD"/>
    <w:rsid w:val="6E8E12EF"/>
    <w:rsid w:val="6E972936"/>
    <w:rsid w:val="6ED446C5"/>
    <w:rsid w:val="6F082E5B"/>
    <w:rsid w:val="6F2A7D94"/>
    <w:rsid w:val="6F8331F1"/>
    <w:rsid w:val="6FAE1A09"/>
    <w:rsid w:val="6FD75BF8"/>
    <w:rsid w:val="701B6B38"/>
    <w:rsid w:val="707723D0"/>
    <w:rsid w:val="70F5661B"/>
    <w:rsid w:val="71360107"/>
    <w:rsid w:val="713B688E"/>
    <w:rsid w:val="71854F84"/>
    <w:rsid w:val="71D43752"/>
    <w:rsid w:val="71F1796A"/>
    <w:rsid w:val="72154626"/>
    <w:rsid w:val="72262B5D"/>
    <w:rsid w:val="72283FF7"/>
    <w:rsid w:val="722E7212"/>
    <w:rsid w:val="723A0474"/>
    <w:rsid w:val="7251239D"/>
    <w:rsid w:val="725923E4"/>
    <w:rsid w:val="72864BF7"/>
    <w:rsid w:val="729023FC"/>
    <w:rsid w:val="73572EBD"/>
    <w:rsid w:val="739F35DC"/>
    <w:rsid w:val="73C0646E"/>
    <w:rsid w:val="73EA2AA9"/>
    <w:rsid w:val="742222F5"/>
    <w:rsid w:val="743C3A55"/>
    <w:rsid w:val="74476126"/>
    <w:rsid w:val="744A5902"/>
    <w:rsid w:val="74706664"/>
    <w:rsid w:val="747F3682"/>
    <w:rsid w:val="748B6871"/>
    <w:rsid w:val="749C4185"/>
    <w:rsid w:val="74A75E74"/>
    <w:rsid w:val="74DE3122"/>
    <w:rsid w:val="75067759"/>
    <w:rsid w:val="752E6DCD"/>
    <w:rsid w:val="7551380D"/>
    <w:rsid w:val="75600BE5"/>
    <w:rsid w:val="7564475C"/>
    <w:rsid w:val="7583797F"/>
    <w:rsid w:val="75D20F1D"/>
    <w:rsid w:val="75DA2C18"/>
    <w:rsid w:val="75F54412"/>
    <w:rsid w:val="75FC2F67"/>
    <w:rsid w:val="761D08E0"/>
    <w:rsid w:val="765D347C"/>
    <w:rsid w:val="76826699"/>
    <w:rsid w:val="769136B0"/>
    <w:rsid w:val="76C87133"/>
    <w:rsid w:val="76CD08D5"/>
    <w:rsid w:val="76DB4B92"/>
    <w:rsid w:val="76FD013A"/>
    <w:rsid w:val="77052AA4"/>
    <w:rsid w:val="77136511"/>
    <w:rsid w:val="77340A39"/>
    <w:rsid w:val="77351FD0"/>
    <w:rsid w:val="77472422"/>
    <w:rsid w:val="777F31F2"/>
    <w:rsid w:val="77C655DB"/>
    <w:rsid w:val="77D1700D"/>
    <w:rsid w:val="77EC04CC"/>
    <w:rsid w:val="78775729"/>
    <w:rsid w:val="78A42DB0"/>
    <w:rsid w:val="78A656AB"/>
    <w:rsid w:val="78B2245C"/>
    <w:rsid w:val="78DE6954"/>
    <w:rsid w:val="78E172CC"/>
    <w:rsid w:val="78EA1D1F"/>
    <w:rsid w:val="7904172F"/>
    <w:rsid w:val="790F7E27"/>
    <w:rsid w:val="792A231A"/>
    <w:rsid w:val="79316829"/>
    <w:rsid w:val="794F04F8"/>
    <w:rsid w:val="797E66A9"/>
    <w:rsid w:val="798518A4"/>
    <w:rsid w:val="799F60E4"/>
    <w:rsid w:val="79A97383"/>
    <w:rsid w:val="79E27E8B"/>
    <w:rsid w:val="79F850CE"/>
    <w:rsid w:val="79FD443C"/>
    <w:rsid w:val="7A1D1975"/>
    <w:rsid w:val="7A3E5150"/>
    <w:rsid w:val="7A4670D6"/>
    <w:rsid w:val="7A534B63"/>
    <w:rsid w:val="7A615382"/>
    <w:rsid w:val="7A67303B"/>
    <w:rsid w:val="7AAB1D04"/>
    <w:rsid w:val="7AB62133"/>
    <w:rsid w:val="7ABA4368"/>
    <w:rsid w:val="7ABF5E0B"/>
    <w:rsid w:val="7AD05746"/>
    <w:rsid w:val="7B257FFD"/>
    <w:rsid w:val="7B273D20"/>
    <w:rsid w:val="7B343476"/>
    <w:rsid w:val="7B3F192C"/>
    <w:rsid w:val="7B534628"/>
    <w:rsid w:val="7B5A2978"/>
    <w:rsid w:val="7B5A7E4C"/>
    <w:rsid w:val="7B667AF9"/>
    <w:rsid w:val="7B6C7E99"/>
    <w:rsid w:val="7B7468F8"/>
    <w:rsid w:val="7BEE0103"/>
    <w:rsid w:val="7C0A0FE4"/>
    <w:rsid w:val="7C254906"/>
    <w:rsid w:val="7C590818"/>
    <w:rsid w:val="7C5C02BC"/>
    <w:rsid w:val="7C7C10F6"/>
    <w:rsid w:val="7C853BEA"/>
    <w:rsid w:val="7C881368"/>
    <w:rsid w:val="7CBE7836"/>
    <w:rsid w:val="7CE27788"/>
    <w:rsid w:val="7D0C32F1"/>
    <w:rsid w:val="7D0F408D"/>
    <w:rsid w:val="7D491C6C"/>
    <w:rsid w:val="7D5429C0"/>
    <w:rsid w:val="7D6E6D43"/>
    <w:rsid w:val="7DB57A34"/>
    <w:rsid w:val="7DCF4DB8"/>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basedOn w:val="1"/>
    <w:next w:val="1"/>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autoRedefine/>
    <w:qFormat/>
    <w:uiPriority w:val="0"/>
    <w:rPr>
      <w:b/>
      <w:bCs/>
    </w:rPr>
  </w:style>
  <w:style w:type="paragraph" w:styleId="60">
    <w:name w:val="Body Text First Indent"/>
    <w:basedOn w:val="2"/>
    <w:next w:val="1"/>
    <w:link w:val="319"/>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2 Char"/>
    <w:autoRedefine/>
    <w:qFormat/>
    <w:uiPriority w:val="0"/>
    <w:rPr>
      <w:rFonts w:ascii="Arial" w:hAnsi="Arial" w:eastAsia="黑体"/>
      <w:b/>
      <w:kern w:val="2"/>
      <w:sz w:val="32"/>
      <w:lang w:val="en-US" w:eastAsia="zh-CN"/>
    </w:rPr>
  </w:style>
  <w:style w:type="character" w:customStyle="1" w:styleId="80">
    <w:name w:val="标题 1 Char"/>
    <w:link w:val="3"/>
    <w:autoRedefine/>
    <w:qFormat/>
    <w:uiPriority w:val="9"/>
    <w:rPr>
      <w:b/>
      <w:bCs/>
      <w:kern w:val="44"/>
      <w:sz w:val="44"/>
      <w:szCs w:val="44"/>
    </w:rPr>
  </w:style>
  <w:style w:type="character" w:customStyle="1" w:styleId="81">
    <w:name w:val="标题 4 Char"/>
    <w:autoRedefine/>
    <w:qFormat/>
    <w:uiPriority w:val="0"/>
    <w:rPr>
      <w:rFonts w:ascii="Arial" w:hAnsi="Arial" w:eastAsia="黑体"/>
      <w:b/>
      <w:kern w:val="2"/>
      <w:sz w:val="28"/>
    </w:rPr>
  </w:style>
  <w:style w:type="paragraph" w:customStyle="1" w:styleId="82">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9"/>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6"/>
    <w:autoRedefine/>
    <w:qFormat/>
    <w:uiPriority w:val="0"/>
    <w:rPr>
      <w:rFonts w:ascii="黑体" w:hAnsi="Courier New" w:eastAsia="黑体"/>
    </w:rPr>
  </w:style>
  <w:style w:type="character" w:customStyle="1" w:styleId="300">
    <w:name w:val="正文文本 2 Char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9"/>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7"/>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44173</Words>
  <Characters>47583</Characters>
  <Lines>281</Lines>
  <Paragraphs>79</Paragraphs>
  <TotalTime>127</TotalTime>
  <ScaleCrop>false</ScaleCrop>
  <LinksUpToDate>false</LinksUpToDate>
  <CharactersWithSpaces>52717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小艾</cp:lastModifiedBy>
  <cp:lastPrinted>2024-05-10T06:33:00Z</cp:lastPrinted>
  <dcterms:modified xsi:type="dcterms:W3CDTF">2024-05-14T05:34:49Z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5CF8EC20D06B488397DFF86438011AD2_13</vt:lpwstr>
  </property>
</Properties>
</file>